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cs="宋体"/>
          <w:b/>
          <w:bCs/>
          <w:color w:val="000000" w:themeColor="text1"/>
          <w:spacing w:val="26"/>
          <w:sz w:val="44"/>
          <w:szCs w:val="44"/>
          <w:highlight w:val="none"/>
          <w14:textFill>
            <w14:solidFill>
              <w14:schemeClr w14:val="tx1"/>
            </w14:solidFill>
          </w14:textFill>
        </w:rPr>
      </w:pPr>
    </w:p>
    <w:p>
      <w:pPr>
        <w:pStyle w:val="2"/>
        <w:jc w:val="center"/>
        <w:rPr>
          <w:color w:val="000000" w:themeColor="text1"/>
          <w:highlight w:val="none"/>
          <w14:textFill>
            <w14:solidFill>
              <w14:schemeClr w14:val="tx1"/>
            </w14:solidFill>
          </w14:textFill>
        </w:rPr>
      </w:pPr>
      <w:r>
        <w:rPr>
          <w:rFonts w:hint="eastAsia" w:cs="黑体"/>
          <w:b/>
          <w:bCs/>
          <w:color w:val="000000" w:themeColor="text1"/>
          <w:sz w:val="48"/>
          <w:szCs w:val="48"/>
          <w:highlight w:val="none"/>
          <w14:textFill>
            <w14:solidFill>
              <w14:schemeClr w14:val="tx1"/>
            </w14:solidFill>
          </w14:textFill>
        </w:rPr>
        <w:t>南沙街道公共基础设施升级改造建设项目</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jc w:val="center"/>
        <w:rPr>
          <w:rFonts w:ascii="宋体" w:hAnsi="宋体" w:cs="宋体"/>
          <w:b/>
          <w:bCs/>
          <w:color w:val="000000" w:themeColor="text1"/>
          <w:spacing w:val="26"/>
          <w:sz w:val="108"/>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pPr>
      <w:bookmarkStart w:id="0" w:name="_Toc104386980"/>
      <w:bookmarkEnd w:id="0"/>
      <w:bookmarkStart w:id="1" w:name="_Toc108770437"/>
      <w:bookmarkEnd w:id="1"/>
      <w:r>
        <w:rPr>
          <w:rFonts w:hint="eastAsia" w:ascii="宋体" w:hAnsi="宋体" w:cs="宋体"/>
          <w:b/>
          <w:bCs/>
          <w:color w:val="000000" w:themeColor="text1"/>
          <w:spacing w:val="26"/>
          <w:sz w:val="96"/>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t>招标文件</w:t>
      </w:r>
    </w:p>
    <w:p>
      <w:pPr>
        <w:spacing w:line="360" w:lineRule="auto"/>
        <w:jc w:val="center"/>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spacing w:line="360" w:lineRule="auto"/>
        <w:ind w:firstLine="945"/>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  标 单 位：</w:t>
      </w:r>
      <w:r>
        <w:rPr>
          <w:rFonts w:hint="eastAsia" w:ascii="宋体" w:hAnsi="宋体" w:cs="宋体"/>
          <w:color w:val="000000" w:themeColor="text1"/>
          <w:sz w:val="30"/>
          <w:szCs w:val="30"/>
          <w:highlight w:val="none"/>
          <w:u w:val="single"/>
          <w14:textFill>
            <w14:solidFill>
              <w14:schemeClr w14:val="tx1"/>
            </w14:solidFill>
          </w14:textFill>
        </w:rPr>
        <w:t>广州市南沙区人民政府南沙街道办事处</w:t>
      </w:r>
    </w:p>
    <w:p>
      <w:pPr>
        <w:spacing w:line="360" w:lineRule="auto"/>
        <w:ind w:firstLine="945"/>
        <w:rPr>
          <w:rFonts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招标代理单位：</w:t>
      </w:r>
      <w:r>
        <w:rPr>
          <w:rFonts w:hint="eastAsia" w:ascii="宋体" w:hAnsi="宋体" w:cs="宋体"/>
          <w:color w:val="000000" w:themeColor="text1"/>
          <w:sz w:val="30"/>
          <w:szCs w:val="30"/>
          <w:highlight w:val="none"/>
          <w:u w:val="single"/>
          <w14:textFill>
            <w14:solidFill>
              <w14:schemeClr w14:val="tx1"/>
            </w14:solidFill>
          </w14:textFill>
        </w:rPr>
        <w:t>广东科瑞工程管理有限公司</w:t>
      </w:r>
    </w:p>
    <w:p>
      <w:pPr>
        <w:spacing w:line="360" w:lineRule="auto"/>
        <w:ind w:firstLine="945"/>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日        期：2023年10月    </w:t>
      </w:r>
    </w:p>
    <w:p>
      <w:pPr>
        <w:pStyle w:val="2"/>
        <w:rPr>
          <w:color w:val="000000" w:themeColor="text1"/>
          <w:highlight w:val="none"/>
          <w14:textFill>
            <w14:solidFill>
              <w14:schemeClr w14:val="tx1"/>
            </w14:solidFill>
          </w14:textFill>
        </w:rPr>
      </w:pPr>
    </w:p>
    <w:p>
      <w:pPr>
        <w:spacing w:line="432" w:lineRule="auto"/>
        <w:ind w:firstLine="537" w:firstLineChars="224"/>
        <w:rPr>
          <w:rFonts w:ascii="宋体"/>
          <w:color w:val="000000" w:themeColor="text1"/>
          <w:sz w:val="24"/>
          <w:highlight w:val="none"/>
          <w14:textFill>
            <w14:solidFill>
              <w14:schemeClr w14:val="tx1"/>
            </w14:solidFill>
          </w14:textFill>
        </w:rPr>
        <w:sectPr>
          <w:footerReference r:id="rId3" w:type="default"/>
          <w:footerReference r:id="rId4" w:type="even"/>
          <w:endnotePr>
            <w:numFmt w:val="decimal"/>
          </w:endnotePr>
          <w:pgSz w:w="11906" w:h="16838"/>
          <w:pgMar w:top="1440" w:right="1134" w:bottom="1440" w:left="1134" w:header="851" w:footer="992" w:gutter="0"/>
          <w:pgNumType w:start="1"/>
          <w:cols w:space="425" w:num="1"/>
          <w:titlePg/>
          <w:docGrid w:type="lines" w:linePitch="312" w:charSpace="0"/>
        </w:sectPr>
      </w:pPr>
    </w:p>
    <w:p>
      <w:pPr>
        <w:jc w:val="center"/>
        <w:rPr>
          <w:rFonts w:ascii="宋体" w:hAnsi="宋体"/>
          <w:b/>
          <w:caps/>
          <w:color w:val="000000" w:themeColor="text1"/>
          <w:kern w:val="0"/>
          <w:highlight w:val="none"/>
          <w14:textFill>
            <w14:solidFill>
              <w14:schemeClr w14:val="tx1"/>
            </w14:solidFill>
          </w14:textFill>
        </w:rPr>
      </w:pPr>
      <w:r>
        <w:rPr>
          <w:rStyle w:val="44"/>
          <w:rFonts w:hint="eastAsia"/>
          <w:b/>
          <w:bCs/>
          <w:color w:val="000000" w:themeColor="text1"/>
          <w:sz w:val="28"/>
          <w:szCs w:val="28"/>
          <w:highlight w:val="none"/>
          <w14:textFill>
            <w14:solidFill>
              <w14:schemeClr w14:val="tx1"/>
            </w14:solidFill>
          </w14:textFill>
        </w:rPr>
        <w:t>目录</w:t>
      </w:r>
    </w:p>
    <w:p>
      <w:pPr>
        <w:pStyle w:val="26"/>
        <w:rPr>
          <w:rFonts w:asciiTheme="minorHAnsi" w:hAnsiTheme="minorHAnsi" w:eastAsiaTheme="minorEastAsia" w:cstheme="minorBidi"/>
          <w:caps w:val="0"/>
          <w:color w:val="000000" w:themeColor="text1"/>
          <w:kern w:val="2"/>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bookmarkStart w:id="2" w:name="_Toc2272545"/>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"_Toc115117418"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第一章  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"_Toc115117419"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一、投标须知前附表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"_Toc115117420"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二、投标须知修改表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"_Toc115117421"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三、投标须知通用条款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"_Toc115117422"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第二章  开标、评标及定标办法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"_Toc115117423"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一、开标、评标及定标办法修改表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"_Toc115117424"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二、开标、评标及定标办法通用条款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"_Toc115117425"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附表一 资格审查表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"_Toc115117426"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附表二 技术标有效性审查表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"_Toc115117427"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附表三 经济标有效性审查表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"_Toc115117428"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附表四 技术标详细审查评分表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"_Toc115117429"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附表五 经济标评分表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"_Toc115117430"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附表六 算术复核表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"_Toc115117431"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第三章  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"_Toc115117432"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第四章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"_Toc115117433"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一、技术标投标文件格式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9"/>
        <w:tabs>
          <w:tab w:val="right" w:leader="dot" w:pos="9060"/>
        </w:tabs>
        <w:ind w:left="84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"_Toc115117434"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二、经济标投标文件格式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"_Toc115117435"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第五章  技术条件（工程建设标准）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"_Toc115117436"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第六章  图纸及勘察资料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"_Toc115117437"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第七章  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9"/>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"_Toc115117438"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第八章  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_Toc115117438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widowControl/>
        <w:jc w:val="left"/>
        <w:rPr>
          <w:rFonts w:ascii="Arial" w:hAnsi="Arial"/>
          <w:b/>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br w:type="page"/>
      </w:r>
    </w:p>
    <w:bookmarkEnd w:id="2"/>
    <w:p>
      <w:pPr>
        <w:pStyle w:val="5"/>
        <w:rPr>
          <w:color w:val="000000" w:themeColor="text1"/>
          <w:highlight w:val="none"/>
          <w14:textFill>
            <w14:solidFill>
              <w14:schemeClr w14:val="tx1"/>
            </w14:solidFill>
          </w14:textFill>
        </w:rPr>
      </w:pPr>
      <w:bookmarkStart w:id="3" w:name="_Toc115117418"/>
      <w:r>
        <w:rPr>
          <w:rFonts w:hint="eastAsia"/>
          <w:color w:val="000000" w:themeColor="text1"/>
          <w:highlight w:val="none"/>
          <w14:textFill>
            <w14:solidFill>
              <w14:schemeClr w14:val="tx1"/>
            </w14:solidFill>
          </w14:textFill>
        </w:rPr>
        <w:t>第一章投标须知</w:t>
      </w:r>
      <w:bookmarkEnd w:id="3"/>
    </w:p>
    <w:p>
      <w:pPr>
        <w:pStyle w:val="6"/>
        <w:rPr>
          <w:color w:val="000000" w:themeColor="text1"/>
          <w:highlight w:val="none"/>
          <w14:textFill>
            <w14:solidFill>
              <w14:schemeClr w14:val="tx1"/>
            </w14:solidFill>
          </w14:textFill>
        </w:rPr>
      </w:pPr>
      <w:bookmarkStart w:id="4" w:name="_Toc2272546"/>
      <w:bookmarkEnd w:id="4"/>
      <w:bookmarkStart w:id="5" w:name="_Toc115117419"/>
      <w:r>
        <w:rPr>
          <w:rFonts w:hint="eastAsia"/>
          <w:color w:val="000000" w:themeColor="text1"/>
          <w:highlight w:val="none"/>
          <w14:textFill>
            <w14:solidFill>
              <w14:schemeClr w14:val="tx1"/>
            </w14:solidFill>
          </w14:textFill>
        </w:rPr>
        <w:t>一、投标须知前附表</w:t>
      </w:r>
      <w:bookmarkEnd w:id="5"/>
    </w:p>
    <w:p>
      <w:pPr>
        <w:pStyle w:val="13"/>
        <w:spacing w:line="288" w:lineRule="auto"/>
        <w:ind w:firstLine="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3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61"/>
        <w:gridCol w:w="6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条款号</w:t>
            </w:r>
          </w:p>
        </w:tc>
        <w:tc>
          <w:tcPr>
            <w:tcW w:w="1661" w:type="dxa"/>
            <w:tcBorders>
              <w:top w:val="doub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内容</w:t>
            </w:r>
          </w:p>
        </w:tc>
        <w:tc>
          <w:tcPr>
            <w:tcW w:w="6191" w:type="dxa"/>
            <w:tcBorders>
              <w:top w:val="double" w:color="auto" w:sz="4" w:space="0"/>
              <w:left w:val="single" w:color="auto" w:sz="4" w:space="0"/>
              <w:bottom w:val="single" w:color="auto" w:sz="4" w:space="0"/>
              <w:right w:val="double" w:color="auto" w:sz="4" w:space="0"/>
            </w:tcBorders>
            <w:vAlign w:val="center"/>
          </w:tcPr>
          <w:p>
            <w:pPr>
              <w:pStyle w:val="20"/>
              <w:snapToGrid w:val="0"/>
              <w:spacing w:line="264" w:lineRule="auto"/>
              <w:ind w:firstLine="458"/>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定义</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招标人（即发包人）：</w:t>
            </w:r>
            <w:r>
              <w:rPr>
                <w:rFonts w:hint="eastAsia" w:ascii="宋体" w:hAnsi="宋体"/>
                <w:color w:val="000000" w:themeColor="text1"/>
                <w:szCs w:val="21"/>
                <w:highlight w:val="none"/>
                <w:u w:val="single"/>
                <w14:textFill>
                  <w14:solidFill>
                    <w14:schemeClr w14:val="tx1"/>
                  </w14:solidFill>
                </w14:textFill>
              </w:rPr>
              <w:t>广州市南沙区人民政府南沙街道办事处</w:t>
            </w:r>
          </w:p>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项目建设管理单位：</w:t>
            </w:r>
            <w:r>
              <w:rPr>
                <w:rFonts w:hint="eastAsia" w:ascii="宋体" w:hAnsi="宋体"/>
                <w:color w:val="000000" w:themeColor="text1"/>
                <w:szCs w:val="21"/>
                <w:highlight w:val="none"/>
                <w:u w:val="single"/>
                <w14:textFill>
                  <w14:solidFill>
                    <w14:schemeClr w14:val="tx1"/>
                  </w14:solidFill>
                </w14:textFill>
              </w:rPr>
              <w:t>/</w:t>
            </w:r>
          </w:p>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w:t>
            </w:r>
            <w:r>
              <w:rPr>
                <w:rFonts w:hint="eastAsia" w:ascii="宋体" w:hAnsi="宋体"/>
                <w:color w:val="000000" w:themeColor="text1"/>
                <w:szCs w:val="21"/>
                <w:highlight w:val="none"/>
                <w:u w:val="single"/>
                <w14:textFill>
                  <w14:solidFill>
                    <w14:schemeClr w14:val="tx1"/>
                  </w14:solidFill>
                </w14:textFill>
              </w:rPr>
              <w:t>广东科瑞工程管理有限公司</w:t>
            </w:r>
          </w:p>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设计单位：</w:t>
            </w:r>
            <w:r>
              <w:rPr>
                <w:rFonts w:hint="eastAsia" w:ascii="宋体" w:hAnsi="宋体"/>
                <w:color w:val="000000" w:themeColor="text1"/>
                <w:szCs w:val="21"/>
                <w:highlight w:val="none"/>
                <w:u w:val="single"/>
                <w14:textFill>
                  <w14:solidFill>
                    <w14:schemeClr w14:val="tx1"/>
                  </w14:solidFill>
                </w14:textFill>
              </w:rPr>
              <w:t>广州市浅草堂园林工程与设计院有限公司</w:t>
            </w:r>
          </w:p>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w:t>
            </w:r>
            <w:r>
              <w:rPr>
                <w:rFonts w:hint="eastAsia" w:ascii="宋体" w:hAnsi="宋体"/>
                <w:color w:val="000000" w:themeColor="text1"/>
                <w:szCs w:val="21"/>
                <w:highlight w:val="none"/>
                <w:u w:val="single"/>
                <w14:textFill>
                  <w14:solidFill>
                    <w14:schemeClr w14:val="tx1"/>
                  </w14:solidFill>
                </w14:textFill>
              </w:rPr>
              <w:t>：/</w:t>
            </w:r>
          </w:p>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检测机构：</w:t>
            </w:r>
            <w:r>
              <w:rPr>
                <w:rFonts w:hint="eastAsia" w:ascii="宋体" w:hAnsi="宋体"/>
                <w:color w:val="000000" w:themeColor="text1"/>
                <w:szCs w:val="21"/>
                <w:highlight w:val="none"/>
                <w:u w:val="singl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工程名称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南沙街道公共基础设施升级改造建设项目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建设规模</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承包方式</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包括但不限于包工、包料、包质量、包安全生产、包文明施工、包工期、包各系统调试及联合调试、包承包范围内工程验收通过、包移交、包结算、包运行维护管理及相关部门报建/报批手续（如有）、包施工总承包管理和现场整体组织、包专业协调及配合、包承包人应当购买的保险等；具体以招标文件、招标图纸、工程量清单及相关资料说明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工程质量符合《建筑工程施工质量验收统一标准》（GB50300-2013）及国家现行相关专业有关施工质量验收规范标准，符合设计图纸中相关设计规范、标准，达到合格或（以上标准）。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工期要求</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暂定2023</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u w:val="single"/>
                <w14:textFill>
                  <w14:solidFill>
                    <w14:schemeClr w14:val="tx1"/>
                  </w14:solidFill>
                </w14:textFill>
              </w:rPr>
              <w:t xml:space="preserve"> 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u w:val="single"/>
                <w14:textFill>
                  <w14:solidFill>
                    <w14:schemeClr w14:val="tx1"/>
                  </w14:solidFill>
                </w14:textFill>
              </w:rPr>
              <w:t>（具体以经批复的开工文件为准）</w:t>
            </w:r>
            <w:r>
              <w:rPr>
                <w:rFonts w:hint="eastAsia" w:ascii="宋体" w:hAnsi="宋体"/>
                <w:b/>
                <w:bCs/>
                <w:color w:val="000000" w:themeColor="text1"/>
                <w:szCs w:val="21"/>
                <w:highlight w:val="none"/>
                <w14:textFill>
                  <w14:solidFill>
                    <w14:schemeClr w14:val="tx1"/>
                  </w14:solidFill>
                </w14:textFill>
              </w:rPr>
              <w:t>，</w:t>
            </w:r>
          </w:p>
          <w:p>
            <w:pPr>
              <w:snapToGrid w:val="0"/>
              <w:spacing w:line="264"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施工总工期：</w:t>
            </w:r>
            <w:r>
              <w:rPr>
                <w:rFonts w:hint="eastAsia" w:ascii="宋体" w:hAnsi="宋体"/>
                <w:b/>
                <w:bCs/>
                <w:color w:val="000000" w:themeColor="text1"/>
                <w:szCs w:val="21"/>
                <w:highlight w:val="none"/>
                <w:u w:val="single"/>
                <w14:textFill>
                  <w14:solidFill>
                    <w14:schemeClr w14:val="tx1"/>
                  </w14:solidFill>
                </w14:textFill>
              </w:rPr>
              <w:t xml:space="preserve"> 10 </w:t>
            </w:r>
            <w:r>
              <w:rPr>
                <w:rFonts w:hint="eastAsia" w:ascii="宋体" w:hAnsi="宋体"/>
                <w:b/>
                <w:bCs/>
                <w:color w:val="000000" w:themeColor="text1"/>
                <w:szCs w:val="21"/>
                <w:highlight w:val="none"/>
                <w14:textFill>
                  <w14:solidFill>
                    <w14:schemeClr w14:val="tx1"/>
                  </w14:solidFill>
                </w14:textFill>
              </w:rPr>
              <w:t>个月（300天）。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投标人资质等级及项目负责人等级要求</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报价以及单价和总价计算方式</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日历天。（从投标截止之日计起）</w:t>
            </w:r>
            <w:r>
              <w:rPr>
                <w:rFonts w:hint="eastAsia" w:ascii="宋体" w:hAnsi="宋体" w:cs="宋体"/>
                <w:color w:val="000000" w:themeColor="text1"/>
                <w:szCs w:val="21"/>
                <w:highlight w:val="none"/>
                <w:u w:val="single"/>
                <w14:textFill>
                  <w14:solidFill>
                    <w14:schemeClr w14:val="tx1"/>
                  </w14:solidFill>
                </w14:textFill>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是否要求投标人递交投标保证金：</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■不要求递交投标保证金。</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要求递交投标保证金。投标保证金的金额：0万元；</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投标保证金有效期：与投标有效期一致。</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1．投标保证金的形式：投标保证金可采用现金、支票、投标保证保险、投标保函（银行或专业担保公司出具）的形式，须在递交投标文件截止时间前完成缴纳。</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如采用现金或者支票方式提交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  </w:t>
            </w:r>
          </w:p>
          <w:p>
            <w:pPr>
              <w:snapToGrid w:val="0"/>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如采用电子形式的保函、担保或保证保险方式提交投标保证金，具体操作详见《广州公共资源交易中心关于开通电子保函服务功能的通知》（http://www.gzggzy.cn/jtgg /822128.jhtml）。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w:t>
            </w:r>
          </w:p>
        </w:tc>
        <w:tc>
          <w:tcPr>
            <w:tcW w:w="6191" w:type="dxa"/>
            <w:tcBorders>
              <w:top w:val="single" w:color="auto" w:sz="4" w:space="0"/>
              <w:left w:val="single" w:color="auto" w:sz="4" w:space="0"/>
              <w:bottom w:val="single" w:color="auto" w:sz="4" w:space="0"/>
              <w:right w:val="double" w:color="auto" w:sz="4" w:space="0"/>
            </w:tcBorders>
            <w:vAlign w:val="center"/>
          </w:tcPr>
          <w:p>
            <w:pPr>
              <w:pStyle w:val="20"/>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投标人自行踏勘 ，投标人不进行踏勘的，视为已熟知现场条件，自行承担相关风险</w:t>
            </w:r>
            <w:r>
              <w:rPr>
                <w:rFonts w:hint="eastAsia" w:ascii="宋体" w:hAnsi="宋体" w:cs="宋体"/>
                <w:color w:val="000000" w:themeColor="text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投标答疑</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1.疑问提交时间：</w:t>
            </w:r>
            <w:r>
              <w:rPr>
                <w:rFonts w:hint="eastAsia" w:cs="宋体"/>
                <w:color w:val="000000" w:themeColor="text1"/>
                <w:szCs w:val="21"/>
                <w:highlight w:val="none"/>
                <w:u w:val="single"/>
                <w14:textFill>
                  <w14:solidFill>
                    <w14:schemeClr w14:val="tx1"/>
                  </w14:solidFill>
                </w14:textFill>
              </w:rPr>
              <w:t>(在递交投标文件截止日期前18日)</w:t>
            </w:r>
            <w:r>
              <w:rPr>
                <w:rFonts w:hint="eastAsia"/>
                <w:color w:val="000000" w:themeColor="text1"/>
                <w:szCs w:val="21"/>
                <w:highlight w:val="none"/>
                <w:u w:val="single"/>
                <w14:textFill>
                  <w14:solidFill>
                    <w14:schemeClr w14:val="tx1"/>
                  </w14:solidFill>
                </w14:textFill>
              </w:rPr>
              <w:t>见本项目日程安排</w:t>
            </w:r>
            <w:r>
              <w:rPr>
                <w:rFonts w:hint="eastAsia"/>
                <w:color w:val="000000" w:themeColor="text1"/>
                <w:szCs w:val="21"/>
                <w:highlight w:val="none"/>
                <w14:textFill>
                  <w14:solidFill>
                    <w14:schemeClr w14:val="tx1"/>
                  </w14:solidFill>
                </w14:textFill>
              </w:rPr>
              <w:t>；</w:t>
            </w:r>
          </w:p>
          <w:p>
            <w:pPr>
              <w:snapToGrid w:val="0"/>
              <w:spacing w:line="264"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2.形式：投标人的疑问通过</w:t>
            </w:r>
            <w:r>
              <w:rPr>
                <w:rFonts w:hint="eastAsia"/>
                <w:color w:val="000000" w:themeColor="text1"/>
                <w:szCs w:val="21"/>
                <w:highlight w:val="none"/>
                <w:u w:val="single"/>
                <w14:textFill>
                  <w14:solidFill>
                    <w14:schemeClr w14:val="tx1"/>
                  </w14:solidFill>
                </w14:textFill>
              </w:rPr>
              <w:t>广州公共资源交易中心</w:t>
            </w:r>
            <w:r>
              <w:rPr>
                <w:rFonts w:hint="eastAsia"/>
                <w:color w:val="000000" w:themeColor="text1"/>
                <w:szCs w:val="21"/>
                <w:highlight w:val="none"/>
                <w14:textFill>
                  <w14:solidFill>
                    <w14:schemeClr w14:val="tx1"/>
                  </w14:solidFill>
                </w14:textFill>
              </w:rPr>
              <w:t>交易平台提交。</w:t>
            </w:r>
          </w:p>
          <w:p>
            <w:pPr>
              <w:snapToGrid w:val="0"/>
              <w:spacing w:line="264"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3.招标人澄清、修补或答疑期限：在递交投标文件截止日期前15 日</w:t>
            </w:r>
          </w:p>
          <w:p>
            <w:pPr>
              <w:snapToGrid w:val="0"/>
              <w:spacing w:line="264"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4.网上答疑的相关事项详见招标文件8.1、8.2款。</w:t>
            </w:r>
          </w:p>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具体要求：按照交易平台关于全流程电子化项目的相关指南进行操作，详见：</w:t>
            </w:r>
            <w:r>
              <w:rPr>
                <w:rFonts w:hint="eastAsia"/>
                <w:color w:val="000000" w:themeColor="text1"/>
                <w:szCs w:val="21"/>
                <w:highlight w:val="none"/>
                <w:u w:val="single"/>
                <w14:textFill>
                  <w14:solidFill>
                    <w14:schemeClr w14:val="tx1"/>
                  </w14:solidFill>
                </w14:textFill>
              </w:rPr>
              <w:t>广州公共资源交易中心网站(http:/ www.gzggzy.cn)服务指南栏目</w:t>
            </w:r>
            <w:r>
              <w:rPr>
                <w:rFonts w:hint="eastAsia"/>
                <w:color w:val="000000" w:themeColor="text1"/>
                <w:szCs w:val="21"/>
                <w:highlight w:val="none"/>
                <w14:textFill>
                  <w14:solidFill>
                    <w14:schemeClr w14:val="tx1"/>
                  </w14:solidFill>
                </w14:textFill>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strike/>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开标开始时间和地点</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（技术标和经济标同时开标）</w:t>
            </w:r>
          </w:p>
          <w:p>
            <w:pPr>
              <w:snapToGrid w:val="0"/>
              <w:spacing w:line="264"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1、开标开始时间：</w:t>
            </w:r>
            <w:r>
              <w:rPr>
                <w:rFonts w:hint="eastAsia" w:ascii="宋体" w:hAnsi="宋体" w:cs="宋体"/>
                <w:color w:val="000000" w:themeColor="text1"/>
                <w:szCs w:val="21"/>
                <w:highlight w:val="none"/>
                <w:u w:val="single"/>
                <w14:textFill>
                  <w14:solidFill>
                    <w14:schemeClr w14:val="tx1"/>
                  </w14:solidFill>
                </w14:textFill>
              </w:rPr>
              <w:t>2023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分（与投标截止时间为同一时间），地点：</w:t>
            </w:r>
            <w:r>
              <w:rPr>
                <w:rFonts w:hint="eastAsia" w:ascii="宋体" w:hAnsi="宋体" w:cs="宋体"/>
                <w:color w:val="000000" w:themeColor="text1"/>
                <w:szCs w:val="21"/>
                <w:highlight w:val="none"/>
                <w:u w:val="single"/>
                <w14:textFill>
                  <w14:solidFill>
                    <w14:schemeClr w14:val="tx1"/>
                  </w14:solidFill>
                </w14:textFill>
              </w:rPr>
              <w:t>广州公共资源交易中心第  开标室。</w:t>
            </w:r>
            <w:r>
              <w:rPr>
                <w:rFonts w:hint="eastAsia" w:ascii="宋体" w:hAnsi="宋体" w:cs="宋体"/>
                <w:b/>
                <w:bCs/>
                <w:color w:val="000000" w:themeColor="text1"/>
                <w:kern w:val="0"/>
                <w:szCs w:val="21"/>
                <w:highlight w:val="none"/>
                <w14:textFill>
                  <w14:solidFill>
                    <w14:schemeClr w14:val="tx1"/>
                  </w14:solidFill>
                </w14:textFill>
              </w:rPr>
              <w:t>投标人也可选择参加在线开标，具体按照交易平台相关指南进行操作。详见：</w:t>
            </w:r>
            <w:r>
              <w:rPr>
                <w:rFonts w:hint="eastAsia" w:ascii="宋体" w:hAnsi="宋体" w:cs="宋体"/>
                <w:b/>
                <w:bCs/>
                <w:color w:val="000000" w:themeColor="text1"/>
                <w:kern w:val="0"/>
                <w:szCs w:val="21"/>
                <w:highlight w:val="none"/>
                <w:u w:val="single"/>
                <w14:textFill>
                  <w14:solidFill>
                    <w14:schemeClr w14:val="tx1"/>
                  </w14:solidFill>
                </w14:textFill>
              </w:rPr>
              <w:t>广州公共资源交易中心-服务指南-操作手册</w:t>
            </w:r>
            <w:r>
              <w:rPr>
                <w:rFonts w:hint="eastAsia" w:ascii="宋体" w:hAnsi="宋体" w:cs="宋体"/>
                <w:b/>
                <w:bCs/>
                <w:color w:val="000000" w:themeColor="text1"/>
                <w:kern w:val="0"/>
                <w:szCs w:val="21"/>
                <w:highlight w:val="none"/>
                <w14:textFill>
                  <w14:solidFill>
                    <w14:schemeClr w14:val="tx1"/>
                  </w14:solidFill>
                </w14:textFill>
              </w:rPr>
              <w:t>。</w:t>
            </w:r>
          </w:p>
          <w:p>
            <w:pPr>
              <w:snapToGrid w:val="0"/>
              <w:spacing w:line="264"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注：投标文件解密问题。投标人只用执行一次解密，招标人执行解密次数根据招标文件开标次数确定。</w:t>
            </w:r>
          </w:p>
          <w:p>
            <w:pPr>
              <w:snapToGrid w:val="0"/>
              <w:spacing w:line="264"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2、递交投标文件备用光盘时间：</w:t>
            </w:r>
            <w:r>
              <w:rPr>
                <w:rFonts w:hint="eastAsia" w:ascii="宋体" w:hAnsi="宋体" w:cs="宋体"/>
                <w:color w:val="000000" w:themeColor="text1"/>
                <w:szCs w:val="21"/>
                <w:highlight w:val="none"/>
                <w:u w:val="single"/>
                <w14:textFill>
                  <w14:solidFill>
                    <w14:schemeClr w14:val="tx1"/>
                  </w14:solidFill>
                </w14:textFill>
              </w:rPr>
              <w:t>2023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分至</w:t>
            </w:r>
            <w:r>
              <w:rPr>
                <w:rFonts w:hint="eastAsia" w:ascii="宋体" w:hAnsi="宋体" w:cs="宋体"/>
                <w:color w:val="000000" w:themeColor="text1"/>
                <w:szCs w:val="21"/>
                <w:highlight w:val="none"/>
                <w:u w:val="single"/>
                <w14:textFill>
                  <w14:solidFill>
                    <w14:schemeClr w14:val="tx1"/>
                  </w14:solidFill>
                </w14:textFill>
              </w:rPr>
              <w:t>2023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分；递交地点：</w:t>
            </w:r>
            <w:r>
              <w:rPr>
                <w:rFonts w:hint="eastAsia" w:ascii="宋体" w:hAnsi="宋体" w:cs="宋体"/>
                <w:color w:val="000000" w:themeColor="text1"/>
                <w:szCs w:val="21"/>
                <w:highlight w:val="none"/>
                <w:u w:val="single"/>
                <w14:textFill>
                  <w14:solidFill>
                    <w14:schemeClr w14:val="tx1"/>
                  </w14:solidFill>
                </w14:textFill>
              </w:rPr>
              <w:t>广州公共资源交易中心第  开标室</w:t>
            </w:r>
            <w:r>
              <w:rPr>
                <w:rFonts w:hint="eastAsia" w:ascii="宋体" w:hAnsi="宋体" w:cs="宋体"/>
                <w:color w:val="000000" w:themeColor="text1"/>
                <w:highlight w:val="none"/>
                <w14:textFill>
                  <w14:solidFill>
                    <w14:schemeClr w14:val="tx1"/>
                  </w14:solidFill>
                </w14:textFill>
              </w:rPr>
              <w:t>。(建议安排在投标文件截止时间前15分钟至投标文件截止时间）</w:t>
            </w:r>
          </w:p>
          <w:p>
            <w:pPr>
              <w:widowControl/>
              <w:snapToGrid w:val="0"/>
              <w:spacing w:line="264" w:lineRule="auto"/>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上述时间及地点</w:t>
            </w:r>
            <w:r>
              <w:rPr>
                <w:rFonts w:hint="eastAsia" w:ascii="宋体" w:hAnsi="宋体" w:cs="宋体"/>
                <w:color w:val="000000" w:themeColor="text1"/>
                <w:szCs w:val="21"/>
                <w:highlight w:val="none"/>
                <w14:textFill>
                  <w14:solidFill>
                    <w14:schemeClr w14:val="tx1"/>
                  </w14:solidFill>
                </w14:textFill>
              </w:rPr>
              <w:t>是否</w:t>
            </w:r>
            <w:r>
              <w:rPr>
                <w:rFonts w:hint="eastAsia" w:ascii="宋体" w:hAnsi="宋体" w:cs="宋体"/>
                <w:color w:val="000000" w:themeColor="text1"/>
                <w:highlight w:val="none"/>
                <w14:textFill>
                  <w14:solidFill>
                    <w14:schemeClr w14:val="tx1"/>
                  </w14:solidFill>
                </w14:textFill>
              </w:rPr>
              <w:t>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26</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开标评标办法</w:t>
            </w:r>
          </w:p>
        </w:tc>
        <w:tc>
          <w:tcPr>
            <w:tcW w:w="6191" w:type="dxa"/>
            <w:tcBorders>
              <w:top w:val="single" w:color="auto" w:sz="4" w:space="0"/>
              <w:left w:val="single" w:color="auto" w:sz="4" w:space="0"/>
              <w:bottom w:val="single" w:color="auto" w:sz="4" w:space="0"/>
              <w:right w:val="double" w:color="auto" w:sz="4" w:space="0"/>
            </w:tcBorders>
            <w:vAlign w:val="center"/>
          </w:tcPr>
          <w:p>
            <w:pPr>
              <w:pStyle w:val="16"/>
              <w:snapToGrid w:val="0"/>
              <w:spacing w:after="0" w:line="264" w:lineRule="auto"/>
              <w:ind w:right="-153" w:rightChars="-73"/>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方式一：选取办法七（适合综合评分法四，技术标与经济标同时开启）。</w:t>
            </w:r>
          </w:p>
          <w:p>
            <w:pPr>
              <w:pStyle w:val="16"/>
              <w:snapToGrid w:val="0"/>
              <w:spacing w:after="0" w:line="264" w:lineRule="auto"/>
              <w:ind w:right="-53" w:rightChars="-2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投标人总得分</w:t>
            </w:r>
            <w:r>
              <w:rPr>
                <w:rFonts w:ascii="宋体" w:hAnsi="宋体" w:cs="宋体"/>
                <w:color w:val="000000" w:themeColor="text1"/>
                <w:szCs w:val="21"/>
                <w:highlight w:val="none"/>
                <w:u w:val="single"/>
                <w14:textFill>
                  <w14:solidFill>
                    <w14:schemeClr w14:val="tx1"/>
                  </w14:solidFill>
                </w14:textFill>
              </w:rPr>
              <w:t>=技术得分（满分20分）＋经济得分（满分100分）×经济得分权重（80%）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履约担保</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本项目最高投标限价为人民币</w:t>
            </w:r>
            <w:r>
              <w:rPr>
                <w:rFonts w:hint="eastAsia" w:cs="宋体"/>
                <w:color w:val="000000" w:themeColor="text1"/>
                <w:szCs w:val="21"/>
                <w:highlight w:val="none"/>
                <w:u w:val="single"/>
                <w14:textFill>
                  <w14:solidFill>
                    <w14:schemeClr w14:val="tx1"/>
                  </w14:solidFill>
                </w14:textFill>
              </w:rPr>
              <w:t>6</w:t>
            </w:r>
            <w:r>
              <w:rPr>
                <w:rFonts w:hint="eastAsia" w:cs="宋体"/>
                <w:color w:val="000000" w:themeColor="text1"/>
                <w:szCs w:val="21"/>
                <w:highlight w:val="none"/>
                <w:u w:val="single"/>
                <w:lang w:val="en-US" w:eastAsia="zh-CN"/>
                <w14:textFill>
                  <w14:solidFill>
                    <w14:schemeClr w14:val="tx1"/>
                  </w14:solidFill>
                </w14:textFill>
              </w:rPr>
              <w:t>881967</w:t>
            </w:r>
            <w:r>
              <w:rPr>
                <w:rFonts w:hint="eastAsia" w:cs="宋体"/>
                <w:color w:val="000000" w:themeColor="text1"/>
                <w:szCs w:val="21"/>
                <w:highlight w:val="none"/>
                <w:u w:val="single"/>
                <w14:textFill>
                  <w14:solidFill>
                    <w14:schemeClr w14:val="tx1"/>
                  </w14:solidFill>
                </w14:textFill>
              </w:rPr>
              <w:t>.</w:t>
            </w:r>
            <w:r>
              <w:rPr>
                <w:rFonts w:hint="eastAsia" w:cs="宋体"/>
                <w:color w:val="000000" w:themeColor="text1"/>
                <w:szCs w:val="21"/>
                <w:highlight w:val="none"/>
                <w:u w:val="single"/>
                <w:lang w:val="en-US" w:eastAsia="zh-CN"/>
                <w14:textFill>
                  <w14:solidFill>
                    <w14:schemeClr w14:val="tx1"/>
                  </w14:solidFill>
                </w14:textFill>
              </w:rPr>
              <w:t>33</w:t>
            </w:r>
            <w:r>
              <w:rPr>
                <w:rFonts w:hint="eastAsia" w:cs="宋体"/>
                <w:color w:val="000000" w:themeColor="text1"/>
                <w:szCs w:val="21"/>
                <w:highlight w:val="none"/>
                <w14:textFill>
                  <w14:solidFill>
                    <w14:schemeClr w14:val="tx1"/>
                  </w14:solidFill>
                </w14:textFill>
              </w:rPr>
              <w:t>元，投标总价超过最高投标限价的投标文件将被拒绝。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非竞争费用</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ind w:left="420" w:hanging="420" w:hanging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本项目绿色施工安全防护措施费为</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u w:val="single"/>
                <w:lang w:val="en-US" w:eastAsia="zh-CN"/>
                <w14:textFill>
                  <w14:solidFill>
                    <w14:schemeClr w14:val="tx1"/>
                  </w14:solidFill>
                </w14:textFill>
              </w:rPr>
              <w:t>366</w:t>
            </w:r>
            <w:bookmarkStart w:id="75" w:name="_GoBack"/>
            <w:bookmarkEnd w:id="75"/>
            <w:r>
              <w:rPr>
                <w:rFonts w:hint="eastAsia" w:cs="宋体"/>
                <w:color w:val="000000" w:themeColor="text1"/>
                <w:szCs w:val="21"/>
                <w:highlight w:val="none"/>
                <w:u w:val="single"/>
                <w:lang w:val="en-US" w:eastAsia="zh-CN"/>
                <w14:textFill>
                  <w14:solidFill>
                    <w14:schemeClr w14:val="tx1"/>
                  </w14:solidFill>
                </w14:textFill>
              </w:rPr>
              <w:t>755.46</w:t>
            </w:r>
            <w:r>
              <w:rPr>
                <w:rFonts w:hint="eastAsia"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元，暂列金额为</w:t>
            </w:r>
            <w:r>
              <w:rPr>
                <w:rFonts w:hint="eastAsia" w:ascii="宋体" w:hAnsi="宋体"/>
                <w:color w:val="000000" w:themeColor="text1"/>
                <w:szCs w:val="21"/>
                <w:highlight w:val="none"/>
                <w:u w:val="single"/>
                <w14:textFill>
                  <w14:solidFill>
                    <w14:schemeClr w14:val="tx1"/>
                  </w14:solidFill>
                </w14:textFill>
              </w:rPr>
              <w:t xml:space="preserve"> </w:t>
            </w:r>
          </w:p>
          <w:p>
            <w:pPr>
              <w:snapToGrid w:val="0"/>
              <w:spacing w:line="264" w:lineRule="auto"/>
              <w:ind w:left="420" w:hanging="420" w:hangingChars="200"/>
              <w:rPr>
                <w:rFonts w:cs="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元，暂估价为</w:t>
            </w:r>
            <w:r>
              <w:rPr>
                <w:rFonts w:hint="eastAsia" w:cs="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34"/>
              <w:snapToGrid w:val="0"/>
              <w:spacing w:line="264" w:lineRule="auto"/>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保修期</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计算评标参考价的等分点值</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进入第二阶段评审的家数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工程成本警戒价</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工程成本警戒价</w:t>
            </w:r>
            <w:r>
              <w:rPr>
                <w:rFonts w:hint="eastAsia" w:cs="宋体"/>
                <w:color w:val="000000" w:themeColor="text1"/>
                <w:szCs w:val="21"/>
                <w:highlight w:val="none"/>
                <w:u w:val="single"/>
                <w14:textFill>
                  <w14:solidFill>
                    <w14:schemeClr w14:val="tx1"/>
                  </w14:solidFill>
                </w14:textFill>
              </w:rPr>
              <w:t xml:space="preserve"> 6193770.</w:t>
            </w:r>
            <w:r>
              <w:rPr>
                <w:rFonts w:hint="eastAsia" w:cs="宋体"/>
                <w:color w:val="000000" w:themeColor="text1"/>
                <w:szCs w:val="21"/>
                <w:highlight w:val="none"/>
                <w:u w:val="singl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元（最高投标限价的90%）</w:t>
            </w:r>
            <w:r>
              <w:rPr>
                <w:rFonts w:hint="eastAsia" w:ascii="宋体" w:hAnsi="宋体"/>
                <w:color w:val="000000" w:themeColor="text1"/>
                <w:szCs w:val="21"/>
                <w:highlight w:val="none"/>
                <w14:textFill>
                  <w14:solidFill>
                    <w14:schemeClr w14:val="tx1"/>
                  </w14:solidFill>
                </w14:textFill>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napToGrid w:val="0"/>
              <w:spacing w:line="264"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第一阶段各分值的权重</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评标委员会人数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企业综合诚信评价分数</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第二阶段投标人名次的排序方法（适用于办法一、办法二）</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经济分相同情况下的排序方法（适用于办法三、办法四）</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ind w:firstLine="458"/>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第二阶段投标人名次的排序方法（适用于办法五、办法六）</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13.5.2</w:t>
            </w: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合同价款的调整办法</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建设工程质量检测单位</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分包</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 w:val="24"/>
                <w:szCs w:val="21"/>
                <w:highlight w:val="none"/>
                <w:lang w:val="zh-CN"/>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不允许；</w:t>
            </w:r>
          </w:p>
          <w:p>
            <w:pPr>
              <w:snapToGrid w:val="0"/>
              <w:spacing w:line="264"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允许：</w:t>
            </w:r>
            <w:r>
              <w:rPr>
                <w:rFonts w:hint="eastAsia" w:ascii="宋体" w:hAnsi="宋体"/>
                <w:color w:val="000000" w:themeColor="text1"/>
                <w:kern w:val="0"/>
                <w:szCs w:val="21"/>
                <w:highlight w:val="none"/>
                <w:lang w:val="zh-CN"/>
                <w14:textFill>
                  <w14:solidFill>
                    <w14:schemeClr w14:val="tx1"/>
                  </w14:solidFill>
                </w14:textFill>
              </w:rPr>
              <w:t>分包内容要要求：</w:t>
            </w:r>
            <w:r>
              <w:rPr>
                <w:rFonts w:hint="eastAsia" w:ascii="宋体" w:hAnsi="宋体"/>
                <w:color w:val="000000" w:themeColor="text1"/>
                <w:kern w:val="0"/>
                <w:szCs w:val="21"/>
                <w:highlight w:val="none"/>
                <w:u w:val="single"/>
                <w14:textFill>
                  <w14:solidFill>
                    <w14:schemeClr w14:val="tx1"/>
                  </w14:solidFill>
                </w14:textFill>
              </w:rPr>
              <w:t>非主体的工程、非关键性的工作</w:t>
            </w:r>
            <w:r>
              <w:rPr>
                <w:rFonts w:hint="eastAsia" w:ascii="宋体" w:hAnsi="宋体"/>
                <w:color w:val="000000" w:themeColor="text1"/>
                <w:kern w:val="0"/>
                <w:szCs w:val="21"/>
                <w:highlight w:val="none"/>
                <w:u w:val="single"/>
                <w:lang w:val="zh-CN"/>
                <w14:textFill>
                  <w14:solidFill>
                    <w14:schemeClr w14:val="tx1"/>
                  </w14:solidFill>
                </w14:textFill>
              </w:rPr>
              <w:t>。</w:t>
            </w:r>
          </w:p>
          <w:p>
            <w:pPr>
              <w:snapToGrid w:val="0"/>
              <w:spacing w:line="264"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分包金额要求：</w:t>
            </w:r>
            <w:r>
              <w:rPr>
                <w:rFonts w:hint="eastAsia" w:ascii="宋体" w:hAnsi="宋体"/>
                <w:color w:val="000000" w:themeColor="text1"/>
                <w:kern w:val="0"/>
                <w:szCs w:val="21"/>
                <w:highlight w:val="none"/>
                <w:u w:val="single"/>
                <w14:textFill>
                  <w14:solidFill>
                    <w14:schemeClr w14:val="tx1"/>
                  </w14:solidFill>
                </w14:textFill>
              </w:rPr>
              <w:t>/</w:t>
            </w:r>
            <w:r>
              <w:rPr>
                <w:rFonts w:hint="eastAsia" w:ascii="宋体" w:hAnsi="宋体"/>
                <w:color w:val="000000" w:themeColor="text1"/>
                <w:kern w:val="0"/>
                <w:szCs w:val="21"/>
                <w:highlight w:val="none"/>
                <w:u w:val="single"/>
                <w:lang w:val="zh-CN"/>
                <w14:textFill>
                  <w14:solidFill>
                    <w14:schemeClr w14:val="tx1"/>
                  </w14:solidFill>
                </w14:textFill>
              </w:rPr>
              <w:t>。</w:t>
            </w:r>
          </w:p>
          <w:p>
            <w:pPr>
              <w:snapToGrid w:val="0"/>
              <w:spacing w:line="264"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对分包人的资质要求：</w:t>
            </w:r>
            <w:r>
              <w:rPr>
                <w:rFonts w:hint="eastAsia" w:ascii="宋体" w:hAnsi="宋体"/>
                <w:color w:val="000000" w:themeColor="text1"/>
                <w:kern w:val="0"/>
                <w:szCs w:val="21"/>
                <w:highlight w:val="none"/>
                <w:u w:val="single"/>
                <w14:textFill>
                  <w14:solidFill>
                    <w14:schemeClr w14:val="tx1"/>
                  </w14:solidFill>
                </w14:textFill>
              </w:rPr>
              <w:t>相对应的资质</w:t>
            </w:r>
            <w:r>
              <w:rPr>
                <w:rFonts w:hint="eastAsia" w:ascii="宋体" w:hAnsi="宋体"/>
                <w:color w:val="000000" w:themeColor="text1"/>
                <w:kern w:val="0"/>
                <w:szCs w:val="21"/>
                <w:highlight w:val="none"/>
                <w:u w:val="single"/>
                <w:lang w:val="zh-CN"/>
                <w14:textFill>
                  <w14:solidFill>
                    <w14:schemeClr w14:val="tx1"/>
                  </w14:solidFill>
                </w14:textFill>
              </w:rPr>
              <w:t>。</w:t>
            </w:r>
          </w:p>
          <w:p>
            <w:pPr>
              <w:snapToGrid w:val="0"/>
              <w:spacing w:line="264"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对分包人的其他要求：</w:t>
            </w:r>
            <w:r>
              <w:rPr>
                <w:rFonts w:hint="eastAsia" w:ascii="宋体" w:hAnsi="宋体"/>
                <w:color w:val="000000" w:themeColor="text1"/>
                <w:kern w:val="0"/>
                <w:szCs w:val="21"/>
                <w:highlight w:val="none"/>
                <w:u w:val="single"/>
                <w14:textFill>
                  <w14:solidFill>
                    <w14:schemeClr w14:val="tx1"/>
                  </w14:solidFill>
                </w14:textFill>
              </w:rPr>
              <w:t>未在以往工程中因不诚信行为或不充分履约行为被本项目招标人书面拒绝投标的，或未被纳入联合惩戒范围的。须经发包人同意</w:t>
            </w:r>
            <w:r>
              <w:rPr>
                <w:rFonts w:hint="eastAsia" w:ascii="宋体" w:hAnsi="宋体"/>
                <w:color w:val="000000" w:themeColor="text1"/>
                <w:kern w:val="0"/>
                <w:szCs w:val="21"/>
                <w:highlight w:val="none"/>
                <w:u w:val="single"/>
                <w:lang w:val="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电子招标投标解密失败及突发情况的补救</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1、按照交易平台关于全流程电子化项目的相关指南进行操作。详见：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广州公共资源交易中心网站(http:/ www.gzggzy.cn)服务指南栏目</w:t>
            </w:r>
            <w:r>
              <w:rPr>
                <w:rFonts w:hint="eastAsia" w:ascii="宋体" w:hAnsi="宋体" w:cs="Courier New"/>
                <w:color w:val="000000" w:themeColor="text1"/>
                <w:szCs w:val="21"/>
                <w:highlight w:val="none"/>
                <w14:textFill>
                  <w14:solidFill>
                    <w14:schemeClr w14:val="tx1"/>
                  </w14:solidFill>
                </w14:textFill>
              </w:rPr>
              <w:t xml:space="preserve">。  </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2、提交投标文件光盘备用</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cs="Courier New"/>
                <w:b/>
                <w:color w:val="000000" w:themeColor="text1"/>
                <w:szCs w:val="21"/>
                <w:highlight w:val="none"/>
                <w14:textFill>
                  <w14:solidFill>
                    <w14:schemeClr w14:val="tx1"/>
                  </w14:solidFill>
                </w14:textFill>
              </w:rPr>
              <w:t>密封袋上应写明项目名称和招标人名称。</w:t>
            </w:r>
            <w:r>
              <w:rPr>
                <w:rFonts w:hint="eastAsia" w:ascii="宋体" w:hAnsi="宋体" w:cs="Courier New"/>
                <w:color w:val="000000" w:themeColor="text1"/>
                <w:szCs w:val="21"/>
                <w:highlight w:val="none"/>
                <w14:textFill>
                  <w14:solidFill>
                    <w14:schemeClr w14:val="tx1"/>
                  </w14:solidFill>
                </w14:textFill>
              </w:rPr>
              <w:t>递交的光盘不得加密。光盘无法读取或导入的，则视为未提交备用投标文件光盘。如果投标人没有按规定通过交易平台网上递交电子投标文件的，不再读取提交的光盘。投标人也可不提交备用光盘。</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3、补救方案</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（1）投标文件解密失败的补救方案：</w:t>
            </w:r>
          </w:p>
          <w:p>
            <w:pPr>
              <w:snapToGrid w:val="0"/>
              <w:spacing w:line="264" w:lineRule="auto"/>
              <w:rPr>
                <w:rFonts w:ascii="宋体" w:hAnsi="宋体" w:cs="Courier New"/>
                <w:b/>
                <w:bCs/>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Courier New"/>
                <w:b/>
                <w:bCs/>
                <w:color w:val="000000" w:themeColor="text1"/>
                <w:szCs w:val="21"/>
                <w:highlight w:val="none"/>
                <w14:textFill>
                  <w14:solidFill>
                    <w14:schemeClr w14:val="tx1"/>
                  </w14:solidFill>
                </w14:textFill>
              </w:rPr>
              <w:t>因投标人之外原因解密失败且未递交电子光盘的，视为撤回投标文件。</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（2）评标时突发情况的补救方案</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color w:val="000000" w:themeColor="text1"/>
                <w:highlight w:val="non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招标人拒绝接收投标文件备用光盘的情况</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1、在投标截止期后逾期或未在指定地点递交投标文件备用光盘的；</w:t>
            </w:r>
          </w:p>
          <w:p>
            <w:pPr>
              <w:snapToGrid w:val="0"/>
              <w:spacing w:line="264" w:lineRule="auto"/>
              <w:rPr>
                <w:rFonts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2、投标文件备用光盘未按招标文件要求密封或未在密封处盖章的；</w:t>
            </w:r>
          </w:p>
          <w:p>
            <w:pPr>
              <w:snapToGrid w:val="0"/>
              <w:spacing w:line="264" w:lineRule="auto"/>
              <w:rPr>
                <w:color w:val="000000" w:themeColor="text1"/>
                <w:highlight w:val="non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工人工资支付专用帐户</w:t>
            </w:r>
          </w:p>
        </w:tc>
        <w:tc>
          <w:tcPr>
            <w:tcW w:w="6191" w:type="dxa"/>
            <w:tcBorders>
              <w:top w:val="single" w:color="auto" w:sz="4" w:space="0"/>
              <w:left w:val="single" w:color="auto" w:sz="4" w:space="0"/>
              <w:bottom w:val="single" w:color="auto" w:sz="4" w:space="0"/>
              <w:right w:val="double" w:color="auto" w:sz="4" w:space="0"/>
            </w:tcBorders>
            <w:vAlign w:val="center"/>
          </w:tcPr>
          <w:p>
            <w:pPr>
              <w:snapToGrid w:val="0"/>
              <w:spacing w:line="264" w:lineRule="auto"/>
              <w:rPr>
                <w:rFonts w:ascii="宋体" w:hAnsi="宋体" w:cs="Courier New"/>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napToGrid w:val="0"/>
              <w:spacing w:line="264"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w:t>
            </w:r>
          </w:p>
        </w:tc>
        <w:tc>
          <w:tcPr>
            <w:tcW w:w="981" w:type="dxa"/>
            <w:tcBorders>
              <w:top w:val="single" w:color="auto" w:sz="4" w:space="0"/>
              <w:left w:val="single" w:color="auto" w:sz="4" w:space="0"/>
              <w:bottom w:val="double" w:color="auto" w:sz="4" w:space="0"/>
              <w:right w:val="single" w:color="auto" w:sz="4" w:space="0"/>
            </w:tcBorders>
            <w:vAlign w:val="center"/>
          </w:tcPr>
          <w:p>
            <w:pPr>
              <w:snapToGrid w:val="0"/>
              <w:spacing w:line="264" w:lineRule="auto"/>
              <w:jc w:val="center"/>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doub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中标候选人公示后中标单位提交投标文件要求</w:t>
            </w:r>
          </w:p>
        </w:tc>
        <w:tc>
          <w:tcPr>
            <w:tcW w:w="6191" w:type="dxa"/>
            <w:tcBorders>
              <w:top w:val="single" w:color="auto" w:sz="4" w:space="0"/>
              <w:left w:val="single" w:color="auto" w:sz="4" w:space="0"/>
              <w:bottom w:val="double" w:color="auto" w:sz="4" w:space="0"/>
              <w:right w:val="double" w:color="auto" w:sz="4" w:space="0"/>
            </w:tcBorders>
            <w:vAlign w:val="center"/>
          </w:tcPr>
          <w:p>
            <w:pPr>
              <w:snapToGrid w:val="0"/>
              <w:spacing w:line="264"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中标单位在中标候选人公示结束后三个工作日内分别提交</w:t>
            </w:r>
            <w:r>
              <w:rPr>
                <w:rFonts w:hint="eastAsia" w:ascii="宋体" w:hAnsi="宋体" w:cs="宋体"/>
                <w:color w:val="000000" w:themeColor="text1"/>
                <w:szCs w:val="21"/>
                <w:highlight w:val="none"/>
                <w:u w:val="singl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套与电子投标文件内容完全一致的纸质版投标文件（含经济标单价分析）及经济标报价套价软件版和Microsoft Excel版电子文件光盘。</w:t>
            </w:r>
          </w:p>
        </w:tc>
      </w:tr>
    </w:tbl>
    <w:p>
      <w:pPr>
        <w:pStyle w:val="6"/>
        <w:rPr>
          <w:color w:val="000000" w:themeColor="text1"/>
          <w:highlight w:val="none"/>
          <w14:textFill>
            <w14:solidFill>
              <w14:schemeClr w14:val="tx1"/>
            </w14:solidFill>
          </w14:textFill>
        </w:rPr>
      </w:pPr>
      <w:bookmarkStart w:id="6" w:name="_Toc2272547"/>
      <w:bookmarkEnd w:id="6"/>
      <w:r>
        <w:rPr>
          <w:color w:val="000000" w:themeColor="text1"/>
          <w:highlight w:val="none"/>
          <w14:textFill>
            <w14:solidFill>
              <w14:schemeClr w14:val="tx1"/>
            </w14:solidFill>
          </w14:textFill>
        </w:rPr>
        <w:br w:type="page"/>
      </w:r>
      <w:bookmarkStart w:id="7" w:name="_Toc115117420"/>
      <w:r>
        <w:rPr>
          <w:rFonts w:hint="eastAsia"/>
          <w:color w:val="000000" w:themeColor="text1"/>
          <w:highlight w:val="none"/>
          <w14:textFill>
            <w14:solidFill>
              <w14:schemeClr w14:val="tx1"/>
            </w14:solidFill>
          </w14:textFill>
        </w:rPr>
        <w:t>二、投标须知修改表</w:t>
      </w:r>
      <w:bookmarkEnd w:id="7"/>
    </w:p>
    <w:p>
      <w:pPr>
        <w:pStyle w:val="34"/>
        <w:pBdr>
          <w:bottom w:val="single" w:color="auto" w:sz="6" w:space="1"/>
        </w:pBdr>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w:t>
      </w:r>
      <w:r>
        <w:rPr>
          <w:rFonts w:hint="eastAsia" w:ascii="宋体" w:hAnsi="宋体" w:cs="宋体"/>
          <w:b/>
          <w:color w:val="000000" w:themeColor="text1"/>
          <w:szCs w:val="21"/>
          <w:highlight w:val="none"/>
          <w14:textFill>
            <w14:solidFill>
              <w14:schemeClr w14:val="tx1"/>
            </w14:solidFill>
          </w14:textFill>
        </w:rPr>
        <w:t>明：</w:t>
      </w:r>
      <w:r>
        <w:rPr>
          <w:rFonts w:hint="eastAsia"/>
          <w:b/>
          <w:color w:val="000000" w:themeColor="text1"/>
          <w:szCs w:val="21"/>
          <w:highlight w:val="none"/>
          <w14:textFill>
            <w14:solidFill>
              <w14:schemeClr w14:val="tx1"/>
            </w14:solidFill>
          </w14:textFill>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7"/>
        <w:ind w:firstLine="489" w:firstLineChars="23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5.1    修改类型：修改</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5.1</w:t>
      </w:r>
      <w:r>
        <w:rPr>
          <w:rFonts w:hint="eastAsia" w:ascii="宋体" w:hAnsi="宋体" w:cs="宋体"/>
          <w:bCs/>
          <w:color w:val="000000" w:themeColor="text1"/>
          <w:szCs w:val="21"/>
          <w:highlight w:val="none"/>
          <w14:textFill>
            <w14:solidFill>
              <w14:schemeClr w14:val="tx1"/>
            </w14:solidFill>
          </w14:textFill>
        </w:rPr>
        <w:t>投标人应按本投标须知前附表第15项所述时间和要求对工程现场及周围环境进行踏勘，</w:t>
      </w:r>
      <w:r>
        <w:rPr>
          <w:rFonts w:hint="eastAsia" w:ascii="宋体" w:hAnsi="宋体" w:cs="宋体"/>
          <w:color w:val="000000" w:themeColor="text1"/>
          <w:szCs w:val="21"/>
          <w:highlight w:val="none"/>
          <w14:textFill>
            <w14:solidFill>
              <w14:schemeClr w14:val="tx1"/>
            </w14:solidFill>
          </w14:textFill>
        </w:rPr>
        <w:t>投标人应充分重视和仔细地进行这种考察，</w:t>
      </w:r>
      <w:r>
        <w:rPr>
          <w:rFonts w:hint="eastAsia" w:ascii="宋体" w:hAnsi="宋体" w:cs="宋体"/>
          <w:bCs/>
          <w:color w:val="000000" w:themeColor="text1"/>
          <w:szCs w:val="21"/>
          <w:highlight w:val="none"/>
          <w14:textFill>
            <w14:solidFill>
              <w14:schemeClr w14:val="tx1"/>
            </w14:solidFill>
          </w14:textFill>
        </w:rPr>
        <w:t>以便投标人获取</w:t>
      </w:r>
      <w:r>
        <w:rPr>
          <w:rFonts w:hint="eastAsia" w:ascii="宋体" w:hAnsi="宋体" w:cs="宋体"/>
          <w:color w:val="000000" w:themeColor="text1"/>
          <w:szCs w:val="21"/>
          <w:highlight w:val="none"/>
          <w14:textFill>
            <w14:solidFill>
              <w14:schemeClr w14:val="tx1"/>
            </w14:solidFill>
          </w14:textFill>
        </w:rPr>
        <w:t>那些须投标人自己负责的</w:t>
      </w:r>
      <w:r>
        <w:rPr>
          <w:rFonts w:hint="eastAsia" w:ascii="宋体" w:hAnsi="宋体" w:cs="宋体"/>
          <w:bCs/>
          <w:color w:val="000000" w:themeColor="text1"/>
          <w:szCs w:val="21"/>
          <w:highlight w:val="none"/>
          <w14:textFill>
            <w14:solidFill>
              <w14:schemeClr w14:val="tx1"/>
            </w14:solidFill>
          </w14:textFill>
        </w:rPr>
        <w:t>有关编制投标文件和签署合同所涉及现场所有的资料。</w:t>
      </w:r>
      <w:r>
        <w:rPr>
          <w:rFonts w:hint="eastAsia" w:ascii="宋体" w:hAnsi="宋体" w:cs="宋体"/>
          <w:color w:val="000000" w:themeColor="text1"/>
          <w:szCs w:val="21"/>
          <w:highlight w:val="none"/>
          <w14:textFill>
            <w14:solidFill>
              <w14:schemeClr w14:val="tx1"/>
            </w14:solidFill>
          </w14:textFill>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cs="宋体"/>
          <w:color w:val="000000" w:themeColor="text1"/>
          <w:szCs w:val="21"/>
          <w:highlight w:val="none"/>
          <w:u w:val="single"/>
          <w14:textFill>
            <w14:solidFill>
              <w14:schemeClr w14:val="tx1"/>
            </w14:solidFill>
          </w14:textFill>
        </w:rPr>
        <w:t>招标人不受理因投标人缺乏对现场条件的了解或掌握而提出的任何索赔。</w:t>
      </w:r>
      <w:r>
        <w:rPr>
          <w:rFonts w:hint="eastAsia" w:ascii="宋体" w:hAnsi="宋体" w:cs="宋体"/>
          <w:color w:val="000000" w:themeColor="text1"/>
          <w:szCs w:val="21"/>
          <w:highlight w:val="none"/>
          <w14:textFill>
            <w14:solidFill>
              <w14:schemeClr w14:val="tx1"/>
            </w14:solidFill>
          </w14:textFill>
        </w:rPr>
        <w:t>考察现场的费用由投标人自己承担。</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r>
        <w:rPr>
          <w:rFonts w:ascii="宋体" w:hAnsi="宋体"/>
          <w:b/>
          <w:color w:val="000000" w:themeColor="text1"/>
          <w:szCs w:val="21"/>
          <w:highlight w:val="none"/>
          <w14:textFill>
            <w14:solidFill>
              <w14:schemeClr w14:val="tx1"/>
            </w14:solidFill>
          </w14:textFill>
        </w:rPr>
        <w:t>7</w:t>
      </w:r>
      <w:r>
        <w:rPr>
          <w:rFonts w:hint="eastAsia" w:ascii="宋体" w:hAnsi="宋体"/>
          <w:b/>
          <w:color w:val="000000" w:themeColor="text1"/>
          <w:szCs w:val="21"/>
          <w:highlight w:val="none"/>
          <w14:textFill>
            <w14:solidFill>
              <w14:schemeClr w14:val="tx1"/>
            </w14:solidFill>
          </w14:textFill>
        </w:rPr>
        <w:t>.1    修改类型：修改</w:t>
      </w:r>
    </w:p>
    <w:p>
      <w:pPr>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原文：</w:t>
      </w:r>
      <w:r>
        <w:rPr>
          <w:rFonts w:ascii="宋体" w:hAnsi="宋体"/>
          <w:b/>
          <w:color w:val="000000" w:themeColor="text1"/>
          <w:szCs w:val="21"/>
          <w:highlight w:val="none"/>
          <w14:textFill>
            <w14:solidFill>
              <w14:schemeClr w14:val="tx1"/>
            </w14:solidFill>
          </w14:textFill>
        </w:rPr>
        <w:t xml:space="preserve">7.1 </w:t>
      </w:r>
      <w:r>
        <w:rPr>
          <w:rFonts w:hint="eastAsia" w:ascii="宋体" w:hAnsi="宋体"/>
          <w:color w:val="000000" w:themeColor="text1"/>
          <w:szCs w:val="21"/>
          <w:highlight w:val="none"/>
          <w14:textFill>
            <w14:solidFill>
              <w14:schemeClr w14:val="tx1"/>
            </w14:solidFill>
          </w14:textFill>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第一章投标须知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第二章开标、评标及定标办法</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第三章合同条款</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第四章投标文件格式</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第五章技术条件（工程建设标准）（另册）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第六章图纸及勘察资料</w:t>
      </w:r>
      <w:bookmarkStart w:id="8" w:name="_Hlk48663595"/>
      <w:r>
        <w:rPr>
          <w:rFonts w:hint="eastAsia" w:ascii="宋体" w:hAnsi="宋体"/>
          <w:color w:val="000000" w:themeColor="text1"/>
          <w:szCs w:val="21"/>
          <w:highlight w:val="none"/>
          <w14:textFill>
            <w14:solidFill>
              <w14:schemeClr w14:val="tx1"/>
            </w14:solidFill>
          </w14:textFill>
        </w:rPr>
        <w:t>（另册）</w:t>
      </w:r>
      <w:bookmarkEnd w:id="8"/>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第七章招标工程量清单（另册）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第八章最高投标限价</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72" w:firstLineChars="224"/>
        <w:rPr>
          <w:rFonts w:ascii="宋体" w:hAnsi="宋体"/>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现文：</w:t>
      </w:r>
      <w:r>
        <w:rPr>
          <w:rFonts w:ascii="宋体" w:hAnsi="宋体"/>
          <w:b/>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本招标文件包括下列文件，以及所有按本须知第8条发出的</w:t>
      </w:r>
      <w:r>
        <w:rPr>
          <w:rFonts w:hint="eastAsia" w:ascii="宋体" w:hAnsi="宋体" w:cs="宋体"/>
          <w:color w:val="000000" w:themeColor="text1"/>
          <w:szCs w:val="21"/>
          <w:highlight w:val="none"/>
          <w:u w:val="single"/>
          <w14:textFill>
            <w14:solidFill>
              <w14:schemeClr w14:val="tx1"/>
            </w14:solidFill>
          </w14:textFill>
        </w:rPr>
        <w:t>招标答疑纪要</w:t>
      </w:r>
      <w:r>
        <w:rPr>
          <w:rFonts w:hint="eastAsia" w:ascii="宋体" w:hAnsi="宋体"/>
          <w:color w:val="000000" w:themeColor="text1"/>
          <w:szCs w:val="21"/>
          <w:highlight w:val="none"/>
          <w14:textFill>
            <w14:solidFill>
              <w14:schemeClr w14:val="tx1"/>
            </w14:solidFill>
          </w14:textFill>
        </w:rPr>
        <w:t>和按本须知第9条发出的澄清或修改：</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第一章投标须知</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第二章开标、评标及定标办法</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第三章合同条款</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第四章投标文件格式</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第五章技术条件（工程建设标准）</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第六章图纸及勘察资料（另册）</w:t>
      </w:r>
    </w:p>
    <w:p>
      <w:pPr>
        <w:pBdr>
          <w:bottom w:val="single" w:color="auto" w:sz="6" w:space="1"/>
        </w:pBdr>
        <w:spacing w:line="360" w:lineRule="auto"/>
        <w:ind w:firstLine="470" w:firstLineChars="224"/>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第七章招标工程量清单（另册）</w:t>
      </w:r>
    </w:p>
    <w:p>
      <w:pPr>
        <w:pBdr>
          <w:bottom w:val="single" w:color="auto" w:sz="6" w:space="1"/>
        </w:pBdr>
        <w:spacing w:line="360" w:lineRule="auto"/>
        <w:ind w:firstLine="470" w:firstLineChars="224"/>
        <w:rPr>
          <w:rFonts w:ascii="宋体" w:hAnsi="宋体"/>
          <w:b/>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第八章最高投标限价（另册）</w:t>
      </w:r>
    </w:p>
    <w:p>
      <w:pPr>
        <w:pBdr>
          <w:bottom w:val="single" w:color="auto" w:sz="6" w:space="1"/>
        </w:pBd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注：招标人应在技术条件（工程建设标准）中明确施工现场建筑垃圾源头减量的具体要求和建筑垃圾综合利用产品的使用要求。</w:t>
      </w:r>
    </w:p>
    <w:p>
      <w:pPr>
        <w:pStyle w:val="34"/>
        <w:spacing w:line="4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 xml:space="preserve">8.1   </w:t>
      </w:r>
      <w:r>
        <w:rPr>
          <w:rFonts w:hint="eastAsia" w:ascii="宋体" w:hAnsi="宋体" w:cs="宋体"/>
          <w:b/>
          <w:color w:val="000000" w:themeColor="text1"/>
          <w:szCs w:val="21"/>
          <w:highlight w:val="none"/>
          <w14:textFill>
            <w14:solidFill>
              <w14:schemeClr w14:val="tx1"/>
            </w14:solidFill>
          </w14:textFill>
        </w:rPr>
        <w:t>修改类型：修改</w:t>
      </w:r>
    </w:p>
    <w:p>
      <w:pPr>
        <w:spacing w:line="460" w:lineRule="exact"/>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8.1投标人若对招标文件（包括招标图纸）中有疑问，可以书面形式通过交易平台提交给招标人或招标代理人，提交形式见本须知前附表第16项。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8.1</w:t>
      </w:r>
      <w:r>
        <w:rPr>
          <w:rFonts w:hint="eastAsia" w:ascii="宋体" w:hAnsi="宋体" w:cs="宋体"/>
          <w:bCs/>
          <w:color w:val="000000" w:themeColor="text1"/>
          <w:szCs w:val="21"/>
          <w:highlight w:val="none"/>
          <w:u w:val="single"/>
          <w14:textFill>
            <w14:solidFill>
              <w14:schemeClr w14:val="tx1"/>
            </w14:solidFill>
          </w14:textFill>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pStyle w:val="7"/>
        <w:ind w:firstLine="489" w:firstLineChars="23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8.2    修改类型：修改</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527" w:firstLineChars="250"/>
        <w:rPr>
          <w:rFonts w:ascii="宋体" w:hAnsi="宋体" w:cs="宋体"/>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8.2招标答疑会会议纪要将在提交投标文件截止时间15日前在</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"http://ggzy.gz.gov.cn/xmcxjsgc/index.jhtml"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u w:val="single"/>
          <w14:textFill>
            <w14:solidFill>
              <w14:schemeClr w14:val="tx1"/>
            </w14:solidFill>
          </w14:textFill>
        </w:rPr>
        <w:t>项目查询(日程安排、答疑纪要)</w:t>
      </w:r>
      <w:r>
        <w:rPr>
          <w:rFonts w:hint="eastAsia" w:ascii="宋体" w:hAnsi="宋体" w:cs="宋体"/>
          <w:color w:val="000000" w:themeColor="text1"/>
          <w:szCs w:val="21"/>
          <w:highlight w:val="none"/>
          <w:u w:val="singl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”专区公开发布。答疑纪要一经在</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交易平台发布，视作已发放给所有投标人。</w:t>
      </w:r>
    </w:p>
    <w:p>
      <w:pPr>
        <w:pStyle w:val="34"/>
        <w:spacing w:line="4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条款号：8.3     修改类型：修改</w:t>
      </w:r>
    </w:p>
    <w:p>
      <w:pPr>
        <w:pStyle w:val="34"/>
        <w:spacing w:line="460" w:lineRule="exact"/>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原文：8.3答疑会会议纪要为招标文件的一部分。</w:t>
      </w:r>
    </w:p>
    <w:p>
      <w:pPr>
        <w:pBdr>
          <w:bottom w:val="single" w:color="auto" w:sz="6" w:space="1"/>
        </w:pBdr>
        <w:ind w:firstLine="411" w:firstLineChars="196"/>
        <w:rPr>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现文：8.4</w:t>
      </w:r>
      <w:r>
        <w:rPr>
          <w:rFonts w:hint="eastAsia" w:ascii="宋体" w:hAnsi="宋体" w:cs="宋体"/>
          <w:bCs/>
          <w:color w:val="000000" w:themeColor="text1"/>
          <w:szCs w:val="21"/>
          <w:highlight w:val="none"/>
          <w:u w:val="single"/>
          <w14:textFill>
            <w14:solidFill>
              <w14:schemeClr w14:val="tx1"/>
            </w14:solidFill>
          </w14:textFill>
        </w:rPr>
        <w:t>招标答疑纪要</w:t>
      </w:r>
      <w:r>
        <w:rPr>
          <w:rFonts w:hint="eastAsia" w:ascii="宋体" w:hAnsi="宋体" w:cs="宋体"/>
          <w:bCs/>
          <w:color w:val="000000" w:themeColor="text1"/>
          <w:szCs w:val="21"/>
          <w:highlight w:val="none"/>
          <w14:textFill>
            <w14:solidFill>
              <w14:schemeClr w14:val="tx1"/>
            </w14:solidFill>
          </w14:textFill>
        </w:rPr>
        <w:t>为招标文件的一部分。</w:t>
      </w:r>
    </w:p>
    <w:p>
      <w:pPr>
        <w:pStyle w:val="7"/>
        <w:ind w:firstLine="489" w:firstLineChars="23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8.4     修改类型：修改</w:t>
      </w:r>
    </w:p>
    <w:p>
      <w:pPr>
        <w:pStyle w:val="31"/>
        <w:spacing w:line="460" w:lineRule="exact"/>
        <w:ind w:firstLine="413" w:firstLineChars="196"/>
        <w:rPr>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原文：</w:t>
      </w:r>
      <w:r>
        <w:rPr>
          <w:rFonts w:hint="eastAsia"/>
          <w:color w:val="000000" w:themeColor="text1"/>
          <w:sz w:val="21"/>
          <w:szCs w:val="21"/>
          <w:highlight w:val="none"/>
          <w14:textFill>
            <w14:solidFill>
              <w14:schemeClr w14:val="tx1"/>
            </w14:solidFill>
          </w14:textFill>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8.4若</w:t>
      </w:r>
      <w:r>
        <w:rPr>
          <w:rFonts w:hint="eastAsia" w:ascii="宋体" w:hAnsi="宋体" w:cs="宋体"/>
          <w:color w:val="000000" w:themeColor="text1"/>
          <w:szCs w:val="21"/>
          <w:highlight w:val="none"/>
          <w:u w:val="single"/>
          <w14:textFill>
            <w14:solidFill>
              <w14:schemeClr w14:val="tx1"/>
            </w14:solidFill>
          </w14:textFill>
        </w:rPr>
        <w:t>招标答疑纪要</w:t>
      </w:r>
      <w:r>
        <w:rPr>
          <w:rFonts w:hint="eastAsia" w:ascii="宋体" w:hAnsi="宋体" w:cs="宋体"/>
          <w:color w:val="000000" w:themeColor="text1"/>
          <w:szCs w:val="21"/>
          <w:highlight w:val="none"/>
          <w14:textFill>
            <w14:solidFill>
              <w14:schemeClr w14:val="tx1"/>
            </w14:solidFill>
          </w14:textFill>
        </w:rPr>
        <w:t>与招标文件有矛盾时，以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最后发布的答疑纪要为准。</w:t>
      </w:r>
    </w:p>
    <w:p>
      <w:pPr>
        <w:pStyle w:val="2"/>
        <w:rPr>
          <w:color w:val="000000" w:themeColor="text1"/>
          <w:highlight w:val="none"/>
          <w14:textFill>
            <w14:solidFill>
              <w14:schemeClr w14:val="tx1"/>
            </w14:solidFill>
          </w14:textFill>
        </w:rPr>
      </w:pPr>
    </w:p>
    <w:p>
      <w:pPr>
        <w:pStyle w:val="7"/>
        <w:ind w:firstLine="489" w:firstLineChars="23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9.2     修改类型：修改</w:t>
      </w:r>
    </w:p>
    <w:p>
      <w:pPr>
        <w:spacing w:line="360" w:lineRule="auto"/>
        <w:ind w:firstLine="472" w:firstLineChars="224"/>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9.2招标文件的澄清或修改将在</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"http://ggzy.gz.gov.cn/xmcxjsgc/index.jhtml"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u w:val="single"/>
          <w14:textFill>
            <w14:solidFill>
              <w14:schemeClr w14:val="tx1"/>
            </w14:solidFill>
          </w14:textFill>
        </w:rPr>
        <w:t>项目查询(日程安排、答疑纪要)</w:t>
      </w:r>
      <w:r>
        <w:rPr>
          <w:rFonts w:hint="eastAsia" w:ascii="宋体" w:hAnsi="宋体" w:cs="宋体"/>
          <w:color w:val="000000" w:themeColor="text1"/>
          <w:szCs w:val="21"/>
          <w:highlight w:val="none"/>
          <w:u w:val="singl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”专区公开发布。答疑纪要一经在</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交易平台发布，视作已发放给所有投标人，以</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交易平台上网发布时间作为送达时间。</w:t>
      </w:r>
    </w:p>
    <w:p>
      <w:pPr>
        <w:pStyle w:val="34"/>
        <w:spacing w:line="4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color w:val="000000" w:themeColor="text1"/>
          <w:szCs w:val="21"/>
          <w:highlight w:val="none"/>
          <w14:textFill>
            <w14:solidFill>
              <w14:schemeClr w14:val="tx1"/>
            </w14:solidFill>
          </w14:textFill>
        </w:rPr>
        <w:t xml:space="preserve">9.4      </w:t>
      </w:r>
      <w:r>
        <w:rPr>
          <w:rFonts w:hint="eastAsia" w:ascii="宋体" w:hAnsi="宋体" w:cs="宋体"/>
          <w:b/>
          <w:color w:val="000000" w:themeColor="text1"/>
          <w:szCs w:val="21"/>
          <w:highlight w:val="none"/>
          <w14:textFill>
            <w14:solidFill>
              <w14:schemeClr w14:val="tx1"/>
            </w14:solidFill>
          </w14:textFill>
        </w:rPr>
        <w:t>修改类型：修改</w:t>
      </w:r>
    </w:p>
    <w:p>
      <w:pPr>
        <w:pStyle w:val="34"/>
        <w:spacing w:line="460" w:lineRule="exact"/>
        <w:ind w:firstLine="413"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9.4招标文件的澄清、修改均以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发布的内容为准。当招标文件的澄清、修改在同一内容的表述不一致时，以</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最后发布的内容为准。</w:t>
      </w:r>
    </w:p>
    <w:p>
      <w:pPr>
        <w:pStyle w:val="34"/>
        <w:spacing w:line="4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条款号：11.2 、11.3    修改类型：修改</w:t>
      </w:r>
    </w:p>
    <w:p>
      <w:pPr>
        <w:spacing w:line="4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ascii="宋体" w:hAnsi="宋体" w:cs="宋体"/>
          <w:color w:val="000000" w:themeColor="text1"/>
          <w:szCs w:val="21"/>
          <w:highlight w:val="none"/>
          <w14:textFill>
            <w14:solidFill>
              <w14:schemeClr w14:val="tx1"/>
            </w14:solidFill>
          </w14:textFill>
        </w:rPr>
        <w:t>11.2</w:t>
      </w:r>
      <w:r>
        <w:rPr>
          <w:rFonts w:hint="eastAsia" w:ascii="宋体" w:hAnsi="宋体" w:cs="宋体"/>
          <w:color w:val="000000" w:themeColor="text1"/>
          <w:szCs w:val="21"/>
          <w:highlight w:val="none"/>
          <w14:textFill>
            <w14:solidFill>
              <w14:schemeClr w14:val="tx1"/>
            </w14:solidFill>
          </w14:textFill>
        </w:rPr>
        <w:t>投标文件技术标部分主要包括下列内容</w:t>
      </w:r>
      <w:r>
        <w:rPr>
          <w:rFonts w:ascii="宋体" w:hAnsi="宋体" w:cs="宋体"/>
          <w:color w:val="000000" w:themeColor="text1"/>
          <w:szCs w:val="21"/>
          <w:highlight w:val="none"/>
          <w14:textFill>
            <w14:solidFill>
              <w14:schemeClr w14:val="tx1"/>
            </w14:solidFill>
          </w14:textFill>
        </w:rPr>
        <w:t>:</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 技术投标文件</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按招标文件的要求填写</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 资格审查文件：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（1）投标人声明； </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（2）法定代表人证明书、法定代表人签字或盖章的本投标文件授权委托证明书；</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（3）企业营业执照（取自平台内上传件）；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（4）企业资质证书（取自平台内上传件）；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（5）建筑施工企业安全生产许可证（取自平台内上传件）；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（6）项目负责人（按网上投标登记时选择拟投标的项目负责人）</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（7）专职安全员（按网上投标登记时选择拟投标的专职安全员）</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（8）拟委托技术负责人的相关证书、资料（具体要求由招标人明确）</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（9）拟委派项目负责人的建造师注册证书（取自平台内上传件）； </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（11）专职安全员须具有在有效期内的安全考核合格证书（C类）或建筑施工企业专职安全生产管理人员安全生产考核合格证书（取自平台内上传件）；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（12）用于资格审查的业绩（设置业绩要求时选择此项，投标人须提供类似工程业绩的项目名称及项目编号，具体格式由招标人自定）；</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11.2.3</w:t>
      </w:r>
      <w:r>
        <w:rPr>
          <w:rFonts w:hint="eastAsia" w:ascii="宋体" w:hAnsi="宋体" w:cs="宋体"/>
          <w:color w:val="000000" w:themeColor="text1"/>
          <w:szCs w:val="21"/>
          <w:highlight w:val="none"/>
          <w14:textFill>
            <w14:solidFill>
              <w14:schemeClr w14:val="tx1"/>
            </w14:solidFill>
          </w14:textFill>
        </w:rPr>
        <w:t>项目管理机构配备。</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）投标人应列出该项目工程的施工组织机构构成和画出机构框架图及其负责人；</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）投标人应详细列出该施工组织机构中主要成员的名单、简历资料、职务职称和在本项目中拟担任的职务等资料，并附上有关证明材料扫描件；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）其他辅助说明资料。</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11.2.4</w:t>
      </w:r>
      <w:r>
        <w:rPr>
          <w:rFonts w:hint="eastAsia" w:ascii="宋体" w:hAnsi="宋体" w:cs="宋体"/>
          <w:color w:val="000000" w:themeColor="text1"/>
          <w:szCs w:val="21"/>
          <w:highlight w:val="none"/>
          <w14:textFill>
            <w14:solidFill>
              <w14:schemeClr w14:val="tx1"/>
            </w14:solidFill>
          </w14:textFill>
        </w:rPr>
        <w:t>投标人在广州市可使用适合本工程的机械设备（附：机械设备为自有或租赁的说明；及承诺机械设备如属于租赁的，其租赁是不属于重复租赁）。</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11.2.5</w:t>
      </w:r>
      <w:r>
        <w:rPr>
          <w:rFonts w:hint="eastAsia" w:ascii="宋体" w:hAnsi="宋体" w:cs="宋体"/>
          <w:color w:val="000000" w:themeColor="text1"/>
          <w:szCs w:val="21"/>
          <w:highlight w:val="none"/>
          <w14:textFill>
            <w14:solidFill>
              <w14:schemeClr w14:val="tx1"/>
            </w14:solidFill>
          </w14:textFill>
        </w:rPr>
        <w:t>施工组织设计或施工方案。（投标人在编制施工组织设计或施工方案时应按照招标人提出的施工现场建筑垃圾源头减量的具体要求以及建筑垃圾综合利用产品的使用要求提供相应措施。）</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11.2.</w:t>
      </w:r>
      <w:r>
        <w:rPr>
          <w:rFonts w:hint="eastAsia" w:ascii="宋体" w:hAnsi="宋体" w:cs="宋体"/>
          <w:color w:val="000000" w:themeColor="text1"/>
          <w:szCs w:val="21"/>
          <w:highlight w:val="none"/>
          <w14:textFill>
            <w14:solidFill>
              <w14:schemeClr w14:val="tx1"/>
            </w14:solidFill>
          </w14:textFill>
        </w:rPr>
        <w:t>6按照招标文件要求填写的《参与编制技术标投标文件人员名单》。</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11.3 </w:t>
      </w:r>
      <w:r>
        <w:rPr>
          <w:rFonts w:hint="eastAsia" w:ascii="宋体" w:hAnsi="宋体" w:cs="宋体"/>
          <w:color w:val="000000" w:themeColor="text1"/>
          <w:szCs w:val="21"/>
          <w:highlight w:val="none"/>
          <w14:textFill>
            <w14:solidFill>
              <w14:schemeClr w14:val="tx1"/>
            </w14:solidFill>
          </w14:textFill>
        </w:rPr>
        <w:t>经济部分投标文件主要包括下列内容：</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11.3.1 </w:t>
      </w:r>
      <w:r>
        <w:rPr>
          <w:rFonts w:hint="eastAsia" w:ascii="宋体" w:hAnsi="宋体" w:cs="宋体"/>
          <w:color w:val="000000" w:themeColor="text1"/>
          <w:szCs w:val="21"/>
          <w:highlight w:val="none"/>
          <w14:textFill>
            <w14:solidFill>
              <w14:schemeClr w14:val="tx1"/>
            </w14:solidFill>
          </w14:textFill>
        </w:rPr>
        <w:t>经济投标文件</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按招标文件的要求填写</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11.3.2</w:t>
      </w:r>
      <w:r>
        <w:rPr>
          <w:rFonts w:hint="eastAsia" w:ascii="宋体" w:hAnsi="宋体" w:cs="宋体"/>
          <w:color w:val="000000" w:themeColor="text1"/>
          <w:szCs w:val="21"/>
          <w:highlight w:val="none"/>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）投标总价封面、扉页；</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）总说明</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（3）工程项目投标报价汇总表；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（4）单项工程投标报价汇总表；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（5）单位工程投标报价汇总表；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（6）分部分项工程清单与计价表；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（7）单价措施项目清单与计价表；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（8）总价措施项目清单与计价表；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（9）综合单价分析表；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（10）其他项目清单与计价汇总表；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（11）暂列金额明细表；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（12）材料（工程设备）暂估价明细表；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（13）专业工程暂估价明细表；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（14）计日工表；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（15）总承包服务计价表；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（16）规费和税金项目计价表；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（17）人工、主要材料和设备一览表</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11.3.</w:t>
      </w:r>
      <w:r>
        <w:rPr>
          <w:rFonts w:hint="eastAsia" w:ascii="宋体" w:hAnsi="宋体" w:cs="宋体"/>
          <w:color w:val="000000" w:themeColor="text1"/>
          <w:szCs w:val="21"/>
          <w:highlight w:val="none"/>
          <w14:textFill>
            <w14:solidFill>
              <w14:schemeClr w14:val="tx1"/>
            </w14:solidFill>
          </w14:textFill>
        </w:rPr>
        <w:t>3按照招标文件要求填写的《参与编制经济标投标文件人员名单》。</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spacing w:line="4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11.2投标文件技术标部分主要包括下列内容</w:t>
      </w:r>
      <w:r>
        <w:rPr>
          <w:rFonts w:hint="eastAsia" w:cs="宋体"/>
          <w:color w:val="000000" w:themeColor="text1"/>
          <w:szCs w:val="21"/>
          <w:highlight w:val="none"/>
          <w:u w:val="single"/>
          <w14:textFill>
            <w14:solidFill>
              <w14:schemeClr w14:val="tx1"/>
            </w14:solidFill>
          </w14:textFill>
        </w:rPr>
        <w:t>（除注明原件外，均为清晰扫描件即可）</w:t>
      </w:r>
      <w:r>
        <w:rPr>
          <w:rFonts w:hint="eastAsia" w:ascii="宋体" w:hAnsi="宋体" w:cs="宋体"/>
          <w:color w:val="000000" w:themeColor="text1"/>
          <w:szCs w:val="21"/>
          <w:highlight w:val="none"/>
          <w14:textFill>
            <w14:solidFill>
              <w14:schemeClr w14:val="tx1"/>
            </w14:solidFill>
          </w14:textFill>
        </w:rPr>
        <w:t>：</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11.2.1 技术投标文件(按招标文件的要求填写)；</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 资格审查文件：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（1）投标人声明</w:t>
      </w:r>
      <w:r>
        <w:rPr>
          <w:rFonts w:hint="eastAsia" w:cs="宋体"/>
          <w:bCs/>
          <w:color w:val="000000" w:themeColor="text1"/>
          <w:szCs w:val="21"/>
          <w:highlight w:val="none"/>
          <w:u w:val="single"/>
          <w14:textFill>
            <w14:solidFill>
              <w14:schemeClr w14:val="tx1"/>
            </w14:solidFill>
          </w14:textFill>
        </w:rPr>
        <w:t>（须按招标公告附件内容及格式要求编制）</w:t>
      </w:r>
      <w:r>
        <w:rPr>
          <w:rFonts w:hint="eastAsia" w:ascii="宋体" w:hAnsi="宋体" w:cs="宋体"/>
          <w:color w:val="000000" w:themeColor="text1"/>
          <w:szCs w:val="21"/>
          <w:highlight w:val="none"/>
          <w14:textFill>
            <w14:solidFill>
              <w14:schemeClr w14:val="tx1"/>
            </w14:solidFill>
          </w14:textFill>
        </w:rPr>
        <w:t xml:space="preserve">； </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（2）法定代表人证明书、法定代表人签字或盖章的本投标文件授权委托证明书；</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（3）企业营业执照（取自平台内上传件）；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（4）企业资质证书（取自平台内上传件）；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（5）建筑施工企业安全生产许可证（取自平台内上传件）；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（6）项目负责人（按网上投标登记时选择拟投标的项目负责人）</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（7）专职安全员（按网上投标登记时选择拟投标的专职安全员）</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cs="宋体"/>
          <w:bCs/>
          <w:color w:val="000000" w:themeColor="text1"/>
          <w:szCs w:val="21"/>
          <w:highlight w:val="none"/>
          <w:u w:val="single"/>
          <w14:textFill>
            <w14:solidFill>
              <w14:schemeClr w14:val="tx1"/>
            </w14:solidFill>
          </w14:textFill>
        </w:rPr>
        <w:t>拟委派技术负责人的职称证书（提供职称证书清晰扫描件）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hint="eastAsia" w:cs="宋体"/>
          <w:bCs/>
          <w:color w:val="000000" w:themeColor="text1"/>
          <w:szCs w:val="21"/>
          <w:highlight w:val="none"/>
          <w:u w:val="single"/>
          <w14:textFill>
            <w14:solidFill>
              <w14:schemeClr w14:val="tx1"/>
            </w14:solidFill>
          </w14:textFill>
        </w:rPr>
        <w:t>拟委派项目负责人的建造师注册证书</w:t>
      </w:r>
      <w:r>
        <w:rPr>
          <w:rFonts w:hint="eastAsia" w:ascii="宋体" w:hAnsi="宋体" w:cs="宋体"/>
          <w:color w:val="000000" w:themeColor="text1"/>
          <w:szCs w:val="21"/>
          <w:highlight w:val="none"/>
          <w14:textFill>
            <w14:solidFill>
              <w14:schemeClr w14:val="tx1"/>
            </w14:solidFill>
          </w14:textFill>
        </w:rPr>
        <w:t xml:space="preserve">（取自平台内上传件）； </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（10）项目负责人持有安全生产考核合格证（B类）或建筑施工企业项目负责人安全生产考核合格证书（取自平台内上传件）；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（11）专职安全员须具有安全生产考核合格证（C类）或建筑施工企业专职安全生产管理人员安全生产考核合格证（C3类）（取自平台内上传件）；</w:t>
      </w:r>
    </w:p>
    <w:p>
      <w:pPr>
        <w:spacing w:line="4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（12）资格审查前，投标人须在广州市住房和城乡建设局建立企业信用档案及拟担任本工程项目负责人、专职安全员须是本企业信用档案中的在册人员。</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11.2.3</w:t>
      </w:r>
      <w:r>
        <w:rPr>
          <w:rFonts w:hint="eastAsia" w:ascii="宋体" w:hAnsi="宋体" w:cs="宋体"/>
          <w:bCs/>
          <w:color w:val="000000" w:themeColor="text1"/>
          <w:szCs w:val="21"/>
          <w:highlight w:val="none"/>
          <w:u w:val="single"/>
          <w14:textFill>
            <w14:solidFill>
              <w14:schemeClr w14:val="tx1"/>
            </w14:solidFill>
          </w14:textFill>
        </w:rPr>
        <w:t>企业相关资料。</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11.2.4</w:t>
      </w:r>
      <w:r>
        <w:rPr>
          <w:rFonts w:hint="eastAsia" w:ascii="宋体" w:hAnsi="宋体" w:cs="宋体"/>
          <w:bCs/>
          <w:color w:val="000000" w:themeColor="text1"/>
          <w:szCs w:val="21"/>
          <w:highlight w:val="none"/>
          <w:u w:val="single"/>
          <w14:textFill>
            <w14:solidFill>
              <w14:schemeClr w14:val="tx1"/>
            </w14:solidFill>
          </w14:textFill>
        </w:rPr>
        <w:t>按照招标文件要求填写的《参与编制技术标投标文件人员名单》（格式见第四章）。</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11.2.5</w:t>
      </w:r>
      <w:r>
        <w:rPr>
          <w:rFonts w:hint="eastAsia" w:ascii="宋体" w:hAnsi="宋体" w:cs="宋体"/>
          <w:bCs/>
          <w:color w:val="000000" w:themeColor="text1"/>
          <w:szCs w:val="21"/>
          <w:highlight w:val="none"/>
          <w:u w:val="single"/>
          <w14:textFill>
            <w14:solidFill>
              <w14:schemeClr w14:val="tx1"/>
            </w14:solidFill>
          </w14:textFill>
        </w:rPr>
        <w:t>《投标函》（须按招标文件第四章格式）。</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11.2.6</w:t>
      </w:r>
      <w:r>
        <w:rPr>
          <w:rFonts w:hint="eastAsia" w:ascii="宋体" w:hAnsi="宋体" w:cs="宋体"/>
          <w:bCs/>
          <w:color w:val="000000" w:themeColor="text1"/>
          <w:szCs w:val="21"/>
          <w:highlight w:val="none"/>
          <w:u w:val="single"/>
          <w14:textFill>
            <w14:solidFill>
              <w14:schemeClr w14:val="tx1"/>
            </w14:solidFill>
          </w14:textFill>
        </w:rPr>
        <w:t>《项目管理机构人员基本情况及业绩表》（格式见第四章）。</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11.2.7</w:t>
      </w:r>
      <w:r>
        <w:rPr>
          <w:rFonts w:hint="eastAsia" w:ascii="宋体" w:hAnsi="宋体" w:cs="宋体"/>
          <w:bCs/>
          <w:color w:val="000000" w:themeColor="text1"/>
          <w:szCs w:val="21"/>
          <w:highlight w:val="none"/>
          <w:u w:val="single"/>
          <w14:textFill>
            <w14:solidFill>
              <w14:schemeClr w14:val="tx1"/>
            </w14:solidFill>
          </w14:textFill>
        </w:rPr>
        <w:t>《企业业绩表》（格式见第四章）。</w:t>
      </w:r>
    </w:p>
    <w:p>
      <w:pPr>
        <w:pBdr>
          <w:bottom w:val="single" w:color="auto" w:sz="6" w:space="1"/>
        </w:pBdr>
        <w:spacing w:line="460" w:lineRule="exact"/>
        <w:ind w:firstLine="424" w:firstLineChars="202"/>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11.2.8</w:t>
      </w:r>
      <w:r>
        <w:rPr>
          <w:rFonts w:hint="eastAsia" w:ascii="宋体" w:hAnsi="宋体" w:cs="宋体"/>
          <w:bCs/>
          <w:color w:val="000000" w:themeColor="text1"/>
          <w:szCs w:val="21"/>
          <w:highlight w:val="none"/>
          <w:u w:val="single"/>
          <w14:textFill>
            <w14:solidFill>
              <w14:schemeClr w14:val="tx1"/>
            </w14:solidFill>
          </w14:textFill>
        </w:rPr>
        <w:t>《施工项目管理团队人员信息表》</w:t>
      </w:r>
      <w:r>
        <w:rPr>
          <w:rFonts w:hint="eastAsia" w:cs="宋体"/>
          <w:color w:val="000000" w:themeColor="text1"/>
          <w:szCs w:val="21"/>
          <w:highlight w:val="none"/>
          <w:u w:val="single"/>
          <w14:textFill>
            <w14:solidFill>
              <w14:schemeClr w14:val="tx1"/>
            </w14:solidFill>
          </w14:textFill>
        </w:rPr>
        <w:t>（格式见第四章）。</w:t>
      </w:r>
    </w:p>
    <w:p>
      <w:pPr>
        <w:pBdr>
          <w:bottom w:val="single" w:color="auto" w:sz="6" w:space="1"/>
        </w:pBdr>
        <w:spacing w:line="460" w:lineRule="exact"/>
        <w:ind w:firstLine="424" w:firstLineChars="202"/>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11.3 经济部分投标文件主要包括下列内容：</w:t>
      </w:r>
    </w:p>
    <w:p>
      <w:pPr>
        <w:pBdr>
          <w:bottom w:val="single" w:color="auto" w:sz="6" w:space="1"/>
        </w:pBdr>
        <w:spacing w:line="460" w:lineRule="exact"/>
        <w:ind w:firstLine="424" w:firstLineChars="202"/>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11.3.1  经济投标文件(按招标文件的要求填写)。</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color w:val="000000" w:themeColor="text1"/>
          <w:szCs w:val="21"/>
          <w:highlight w:val="none"/>
          <w:u w:val="single"/>
          <w14:textFill>
            <w14:solidFill>
              <w14:schemeClr w14:val="tx1"/>
            </w14:solidFill>
          </w14:textFill>
        </w:rPr>
        <w:t>（投标报价的工程量清单的组成、格式等按广州公共资源交易中心的投标文件管理软件自动生成）</w:t>
      </w:r>
    </w:p>
    <w:p>
      <w:pPr>
        <w:pBdr>
          <w:bottom w:val="single" w:color="auto" w:sz="6" w:space="1"/>
        </w:pBdr>
        <w:spacing w:line="460" w:lineRule="exact"/>
        <w:ind w:firstLine="424" w:firstLineChars="202"/>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11.3.3按照招标文件要求填写的《参与编制经济标投标文件人员名单》。</w:t>
      </w:r>
      <w:r>
        <w:rPr>
          <w:rFonts w:hint="eastAsia" w:ascii="宋体" w:hAnsi="宋体" w:cs="宋体"/>
          <w:bCs/>
          <w:color w:val="000000" w:themeColor="text1"/>
          <w:szCs w:val="21"/>
          <w:highlight w:val="none"/>
          <w:u w:val="single"/>
          <w14:textFill>
            <w14:solidFill>
              <w14:schemeClr w14:val="tx1"/>
            </w14:solidFill>
          </w14:textFill>
        </w:rPr>
        <w:t>（须按招标文件第四章格式）。</w:t>
      </w:r>
    </w:p>
    <w:p>
      <w:pPr>
        <w:pBdr>
          <w:bottom w:val="single" w:color="auto" w:sz="6" w:space="1"/>
        </w:pBdr>
        <w:spacing w:line="460" w:lineRule="exact"/>
        <w:ind w:firstLine="424" w:firstLineChars="202"/>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460" w:lineRule="exact"/>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11.3.5</w:t>
      </w:r>
      <w:r>
        <w:rPr>
          <w:rFonts w:hint="eastAsia" w:ascii="宋体" w:hAnsi="宋体" w:cs="宋体"/>
          <w:bCs/>
          <w:color w:val="000000" w:themeColor="text1"/>
          <w:szCs w:val="21"/>
          <w:highlight w:val="none"/>
          <w:u w:val="single"/>
          <w14:textFill>
            <w14:solidFill>
              <w14:schemeClr w14:val="tx1"/>
            </w14:solidFill>
          </w14:textFill>
        </w:rPr>
        <w:t>《对投标文件编制的承诺》（须按招标文件第四章格式）</w:t>
      </w:r>
      <w:r>
        <w:rPr>
          <w:rFonts w:hint="eastAsia" w:ascii="宋体" w:hAnsi="宋体" w:cs="宋体"/>
          <w:bCs/>
          <w:color w:val="000000" w:themeColor="text1"/>
          <w:szCs w:val="21"/>
          <w:highlight w:val="none"/>
          <w14:textFill>
            <w14:solidFill>
              <w14:schemeClr w14:val="tx1"/>
            </w14:solidFill>
          </w14:textFill>
        </w:rPr>
        <w:t>。</w:t>
      </w:r>
    </w:p>
    <w:p>
      <w:pPr>
        <w:pStyle w:val="2"/>
        <w:rPr>
          <w:color w:val="000000" w:themeColor="text1"/>
          <w:highlight w:val="none"/>
          <w14:textFill>
            <w14:solidFill>
              <w14:schemeClr w14:val="tx1"/>
            </w14:solidFill>
          </w14:textFill>
        </w:rPr>
      </w:pP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12.2           修改类型：修改</w:t>
      </w:r>
    </w:p>
    <w:p>
      <w:pPr>
        <w:adjustRightInd w:val="0"/>
        <w:spacing w:line="360" w:lineRule="auto"/>
        <w:ind w:firstLine="411"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12.2投标文件全部采用电子文档，投标文件所附证书证件均为</w:t>
      </w:r>
      <w:r>
        <w:rPr>
          <w:rFonts w:hint="eastAsia" w:ascii="宋体" w:hAnsi="宋体" w:cs="宋体"/>
          <w:color w:val="000000" w:themeColor="text1"/>
          <w:szCs w:val="21"/>
          <w:highlight w:val="none"/>
          <w:u w:val="single"/>
          <w14:textFill>
            <w14:solidFill>
              <w14:schemeClr w14:val="tx1"/>
            </w14:solidFill>
          </w14:textFill>
        </w:rPr>
        <w:t>清晰</w:t>
      </w:r>
      <w:r>
        <w:rPr>
          <w:rFonts w:hint="eastAsia" w:ascii="宋体" w:hAnsi="宋体" w:cs="宋体"/>
          <w:color w:val="000000" w:themeColor="text1"/>
          <w:szCs w:val="21"/>
          <w:highlight w:val="none"/>
          <w14:textFill>
            <w14:solidFill>
              <w14:schemeClr w14:val="tx1"/>
            </w14:solidFill>
          </w14:textFill>
        </w:rPr>
        <w:t>扫描件，并采用单位数字证书，按招标文件要求在相应位置加盖电子印章。投标文件中需个人签字或盖章的，</w:t>
      </w:r>
      <w:r>
        <w:rPr>
          <w:rFonts w:hint="eastAsia" w:cs="宋体"/>
          <w:color w:val="000000" w:themeColor="text1"/>
          <w:szCs w:val="21"/>
          <w:highlight w:val="none"/>
          <w14:textFill>
            <w14:solidFill>
              <w14:schemeClr w14:val="tx1"/>
            </w14:solidFill>
          </w14:textFill>
        </w:rPr>
        <w:t>应加盖个人电子印章或在线下完成后扫描上传</w:t>
      </w:r>
      <w:r>
        <w:rPr>
          <w:rFonts w:hint="eastAsia"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交易平台关于全流程电子化项目的相关指南进行操作。详见：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广州公共资源交易中心网站发布的最新版操作指引。</w:t>
      </w:r>
      <w:r>
        <w:rPr>
          <w:rFonts w:hint="eastAsia" w:ascii="宋体" w:hAnsi="宋体" w:cs="宋体"/>
          <w:color w:val="000000" w:themeColor="text1"/>
          <w:szCs w:val="21"/>
          <w:highlight w:val="none"/>
          <w14:textFill>
            <w14:solidFill>
              <w14:schemeClr w14:val="tx1"/>
            </w14:solidFill>
          </w14:textFill>
        </w:rPr>
        <w:t>。</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12.3           修改类型：修改</w:t>
      </w:r>
    </w:p>
    <w:p>
      <w:pPr>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12.3投标文件应按照交易平台关于全流程电子化项目的相关指南进行编制，详见：。</w:t>
      </w:r>
    </w:p>
    <w:p>
      <w:pPr>
        <w:spacing w:line="360" w:lineRule="auto"/>
        <w:ind w:firstLine="409"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12.3</w:t>
      </w:r>
      <w:r>
        <w:rPr>
          <w:rFonts w:hint="eastAsia" w:ascii="宋体" w:hAnsi="宋体" w:cs="宋体"/>
          <w:bCs/>
          <w:color w:val="000000" w:themeColor="text1"/>
          <w:szCs w:val="21"/>
          <w:highlight w:val="none"/>
          <w14:textFill>
            <w14:solidFill>
              <w14:schemeClr w14:val="tx1"/>
            </w14:solidFill>
          </w14:textFill>
        </w:rPr>
        <w:t>投标文件应按</w:t>
      </w:r>
      <w:r>
        <w:rPr>
          <w:rFonts w:hint="eastAsia" w:ascii="宋体" w:hAnsi="宋体" w:cs="宋体"/>
          <w:color w:val="000000" w:themeColor="text1"/>
          <w:szCs w:val="21"/>
          <w:highlight w:val="none"/>
          <w14:textFill>
            <w14:solidFill>
              <w14:schemeClr w14:val="tx1"/>
            </w14:solidFill>
          </w14:textFill>
        </w:rPr>
        <w:t>照</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交易平台关于全流程电子化项目的相关指南进行编制，详见：</w:t>
      </w:r>
      <w:r>
        <w:rPr>
          <w:rFonts w:hint="eastAsia" w:ascii="宋体" w:hAnsi="宋体" w:cs="宋体"/>
          <w:color w:val="000000" w:themeColor="text1"/>
          <w:szCs w:val="21"/>
          <w:highlight w:val="none"/>
          <w:u w:val="single"/>
          <w14:textFill>
            <w14:solidFill>
              <w14:schemeClr w14:val="tx1"/>
            </w14:solidFill>
          </w14:textFill>
        </w:rPr>
        <w:t>广州公共资源交易中心网站发布的最新版操作指引</w:t>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360" w:lineRule="auto"/>
        <w:ind w:firstLine="409" w:firstLineChars="195"/>
        <w:textAlignment w:val="baseline"/>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如不按上述要求编制引起系统无法检索、读取相关信息的，其后果由投标人承担。</w:t>
      </w:r>
    </w:p>
    <w:p>
      <w:pPr>
        <w:pStyle w:val="7"/>
        <w:ind w:firstLine="409" w:firstLineChars="194"/>
        <w:rPr>
          <w:rFonts w:cs="宋体"/>
          <w:b w:val="0"/>
          <w:color w:val="000000" w:themeColor="text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13.1           修改类型：修改</w:t>
      </w:r>
    </w:p>
    <w:p>
      <w:pPr>
        <w:pBdr>
          <w:bottom w:val="single" w:color="auto" w:sz="6" w:space="1"/>
        </w:pBdr>
        <w:spacing w:line="360" w:lineRule="auto"/>
        <w:ind w:firstLine="411" w:firstLineChars="195"/>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13.1本工程的投标报价采用投标须知前附表第12项所规定的方式。</w:t>
      </w:r>
      <w:r>
        <w:rPr>
          <w:rFonts w:hint="eastAsia" w:ascii="宋体" w:hAnsi="宋体" w:cs="宋体"/>
          <w:color w:val="000000" w:themeColor="text1"/>
          <w:szCs w:val="21"/>
          <w:highlight w:val="none"/>
          <w:u w:val="single"/>
          <w14:textFill>
            <w14:solidFill>
              <w14:schemeClr w14:val="tx1"/>
            </w14:solidFill>
          </w14:textFill>
        </w:rPr>
        <w:t>投标文件中的大写金额和小写金额不一致的，以大写金额为准。</w:t>
      </w:r>
      <w:r>
        <w:rPr>
          <w:rFonts w:hint="eastAsia" w:ascii="宋体" w:hAnsi="宋体" w:cs="宋体"/>
          <w:color w:val="000000" w:themeColor="text1"/>
          <w:szCs w:val="21"/>
          <w:highlight w:val="none"/>
          <w14:textFill>
            <w14:solidFill>
              <w14:schemeClr w14:val="tx1"/>
            </w14:solidFill>
          </w14:textFill>
        </w:rPr>
        <w:t>投标报价（含单价及总价）精确到“分”。</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13.5           修改类型：修改</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13.5变更结算方式按施工合同相关条款执行。</w:t>
      </w:r>
    </w:p>
    <w:p>
      <w:pPr>
        <w:spacing w:line="360" w:lineRule="auto"/>
        <w:ind w:firstLine="422" w:firstLineChars="200"/>
        <w:rPr>
          <w:rFonts w:cs="宋体"/>
          <w:b/>
          <w:color w:val="000000" w:themeColor="text1"/>
          <w:szCs w:val="21"/>
          <w:highlight w:val="none"/>
          <w14:textFill>
            <w14:solidFill>
              <w14:schemeClr w14:val="tx1"/>
            </w14:solidFill>
          </w14:textFill>
        </w:rPr>
      </w:pPr>
      <w:r>
        <w:rPr>
          <w:rFonts w:hint="eastAsia" w:cs="宋体"/>
          <w:b/>
          <w:color w:val="000000" w:themeColor="text1"/>
          <w:szCs w:val="21"/>
          <w:highlight w:val="none"/>
          <w14:textFill>
            <w14:solidFill>
              <w14:schemeClr w14:val="tx1"/>
            </w14:solidFill>
          </w14:textFill>
        </w:rPr>
        <w:t>条款号：16.1-16.5       修改类型：删除</w:t>
      </w:r>
    </w:p>
    <w:p>
      <w:pPr>
        <w:spacing w:line="360" w:lineRule="auto"/>
        <w:ind w:firstLine="422" w:firstLineChars="200"/>
        <w:rPr>
          <w:rFonts w:cs="宋体"/>
          <w:color w:val="000000" w:themeColor="text1"/>
          <w:szCs w:val="21"/>
          <w:highlight w:val="none"/>
          <w14:textFill>
            <w14:solidFill>
              <w14:schemeClr w14:val="tx1"/>
            </w14:solidFill>
          </w14:textFill>
        </w:rPr>
      </w:pPr>
      <w:r>
        <w:rPr>
          <w:rFonts w:hint="eastAsia" w:cs="宋体"/>
          <w:b/>
          <w:color w:val="000000" w:themeColor="text1"/>
          <w:szCs w:val="21"/>
          <w:highlight w:val="none"/>
          <w14:textFill>
            <w14:solidFill>
              <w14:schemeClr w14:val="tx1"/>
            </w14:solidFill>
          </w14:textFill>
        </w:rPr>
        <w:t>原文：</w:t>
      </w:r>
      <w:r>
        <w:rPr>
          <w:rFonts w:hint="eastAsia" w:cs="宋体"/>
          <w:color w:val="000000" w:themeColor="text1"/>
          <w:szCs w:val="21"/>
          <w:highlight w:val="none"/>
          <w14:textFill>
            <w14:solidFill>
              <w14:schemeClr w14:val="tx1"/>
            </w14:solidFill>
          </w14:textFill>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16.1.1 采用现金或者支票形式提交的，投标保证金须从投标人的银行基本账户转出。</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16.1.3 采用电子形式的保函、担保或保证保险提交投标保证金的，应在招标文件中明确电子递交途径。</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16.3投标保证金应依据法律法规的相关规定退还。</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16.4如有下列情况之一的，招标人可以不予退还投标保证金（是否退还投标保证金由招标人在招标文件中规定）：</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16.4.1因投标人原因造成投标文件未解密的；</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16.4.2投标人在投标有效期内撤销投标文件；</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16.4.3中标人未能在规定期限内按要求提交履约担保；</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16.4.4中标人未能在规定期限内签署合同协议。</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16.5投标人如存在下列情况之一的，将被拒绝在一定时期内参与招标人后续工程投标（拒绝时限需在招标文件中明确）：</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16.5.1投标人存在16.4条款所列情形且投标人提交的保函、担保或保证保险无法兑付的；</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16.5.3按招标文件要求免于提供投标保证金的投标人存在16.4条款所列情形的。</w:t>
      </w:r>
    </w:p>
    <w:p>
      <w:pPr>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注：16.5.3款由招标人二选一，需在招标文件中明确。</w:t>
      </w:r>
    </w:p>
    <w:p>
      <w:pPr>
        <w:pBdr>
          <w:bottom w:val="single" w:color="auto" w:sz="6" w:space="22"/>
        </w:pBdr>
        <w:spacing w:line="360" w:lineRule="auto"/>
        <w:rPr>
          <w:rFonts w:cs="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17.1           修改类型：修改</w:t>
      </w:r>
    </w:p>
    <w:p>
      <w:pP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360" w:lineRule="auto"/>
        <w:ind w:firstLine="411" w:firstLineChars="19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17.1投标人应采用单位数字证书，按招标文件要求在相应位置加盖电子印章。投标文件中需个人签字或盖章的，</w:t>
      </w:r>
      <w:r>
        <w:rPr>
          <w:rFonts w:hint="eastAsia" w:cs="宋体"/>
          <w:color w:val="000000" w:themeColor="text1"/>
          <w:szCs w:val="21"/>
          <w:highlight w:val="none"/>
          <w14:textFill>
            <w14:solidFill>
              <w14:schemeClr w14:val="tx1"/>
            </w14:solidFill>
          </w14:textFill>
        </w:rPr>
        <w:t>应加盖个人电子印章或在线下完成后扫描上传</w:t>
      </w:r>
      <w:r>
        <w:rPr>
          <w:rFonts w:hint="eastAsia"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交易平台关于全流程电子化项目的相关指南进行操作。详见：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广州公共资源交易中心网站发布的最新版操作指引</w:t>
      </w:r>
      <w:r>
        <w:rPr>
          <w:rFonts w:hint="eastAsia" w:ascii="宋体" w:hAnsi="宋体" w:cs="宋体"/>
          <w:color w:val="000000" w:themeColor="text1"/>
          <w:szCs w:val="21"/>
          <w:highlight w:val="none"/>
          <w14:textFill>
            <w14:solidFill>
              <w14:schemeClr w14:val="tx1"/>
            </w14:solidFill>
          </w14:textFill>
        </w:rPr>
        <w:t>。</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18.1           修改类型：修改</w:t>
      </w:r>
    </w:p>
    <w:p>
      <w:pPr>
        <w:spacing w:line="360" w:lineRule="auto"/>
        <w:ind w:firstLine="411" w:firstLineChars="195"/>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18.1</w:t>
      </w:r>
      <w:r>
        <w:rPr>
          <w:rFonts w:hint="eastAsia" w:ascii="宋体" w:hAnsi="宋体" w:cs="宋体"/>
          <w:bCs/>
          <w:color w:val="000000" w:themeColor="text1"/>
          <w:szCs w:val="21"/>
          <w:highlight w:val="none"/>
          <w14:textFill>
            <w14:solidFill>
              <w14:schemeClr w14:val="tx1"/>
            </w14:solidFill>
          </w14:textFill>
        </w:rPr>
        <w:t>递交的电子投标文件（不含备用光盘）必须进行加密。按照交易平台关于</w:t>
      </w:r>
      <w:r>
        <w:rPr>
          <w:rFonts w:hint="eastAsia" w:ascii="宋体" w:hAnsi="宋体" w:cs="宋体"/>
          <w:color w:val="000000" w:themeColor="text1"/>
          <w:szCs w:val="21"/>
          <w:highlight w:val="none"/>
          <w14:textFill>
            <w14:solidFill>
              <w14:schemeClr w14:val="tx1"/>
            </w14:solidFill>
          </w14:textFill>
        </w:rPr>
        <w:t>全流程电子化项目的相关指南进行操作。详见： 。</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18.1</w:t>
      </w:r>
      <w:r>
        <w:rPr>
          <w:rFonts w:hint="eastAsia" w:ascii="宋体" w:hAnsi="宋体" w:cs="宋体"/>
          <w:bCs/>
          <w:color w:val="000000" w:themeColor="text1"/>
          <w:szCs w:val="21"/>
          <w:highlight w:val="none"/>
          <w14:textFill>
            <w14:solidFill>
              <w14:schemeClr w14:val="tx1"/>
            </w14:solidFill>
          </w14:textFill>
        </w:rPr>
        <w:t>递交的电子投标文件（不含备用光盘）必须进行加密。按照</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bCs/>
          <w:color w:val="000000" w:themeColor="text1"/>
          <w:szCs w:val="21"/>
          <w:highlight w:val="none"/>
          <w14:textFill>
            <w14:solidFill>
              <w14:schemeClr w14:val="tx1"/>
            </w14:solidFill>
          </w14:textFill>
        </w:rPr>
        <w:t>交易平台关于</w:t>
      </w:r>
      <w:r>
        <w:rPr>
          <w:rFonts w:hint="eastAsia" w:ascii="宋体" w:hAnsi="宋体" w:cs="宋体"/>
          <w:color w:val="000000" w:themeColor="text1"/>
          <w:szCs w:val="21"/>
          <w:highlight w:val="none"/>
          <w14:textFill>
            <w14:solidFill>
              <w14:schemeClr w14:val="tx1"/>
            </w14:solidFill>
          </w14:textFill>
        </w:rPr>
        <w:t>全流程电子化项目的相关指南进行操作。详见：</w:t>
      </w:r>
      <w:r>
        <w:rPr>
          <w:rFonts w:hint="eastAsia" w:ascii="宋体" w:hAnsi="宋体" w:cs="宋体"/>
          <w:color w:val="000000" w:themeColor="text1"/>
          <w:szCs w:val="21"/>
          <w:highlight w:val="none"/>
          <w:u w:val="single"/>
          <w14:textFill>
            <w14:solidFill>
              <w14:schemeClr w14:val="tx1"/>
            </w14:solidFill>
          </w14:textFill>
        </w:rPr>
        <w:t>广州公共资源交易中心网站发布的最新版操作指引</w:t>
      </w:r>
      <w:r>
        <w:rPr>
          <w:rFonts w:hint="eastAsia" w:ascii="宋体" w:hAnsi="宋体" w:cs="宋体"/>
          <w:color w:val="000000" w:themeColor="text1"/>
          <w:szCs w:val="21"/>
          <w:highlight w:val="none"/>
          <w14:textFill>
            <w14:solidFill>
              <w14:schemeClr w14:val="tx1"/>
            </w14:solidFill>
          </w14:textFill>
        </w:rPr>
        <w:t>。</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18.2           修改类型：修改</w:t>
      </w:r>
    </w:p>
    <w:p>
      <w:pPr>
        <w:spacing w:line="360" w:lineRule="auto"/>
        <w:ind w:firstLine="411"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18.2</w:t>
      </w:r>
      <w:r>
        <w:rPr>
          <w:rFonts w:hint="eastAsia" w:ascii="宋体" w:hAnsi="宋体" w:cs="宋体"/>
          <w:bCs/>
          <w:color w:val="000000" w:themeColor="text1"/>
          <w:szCs w:val="21"/>
          <w:highlight w:val="none"/>
          <w14:textFill>
            <w14:solidFill>
              <w14:schemeClr w14:val="tx1"/>
            </w14:solidFill>
          </w14:textFill>
        </w:rPr>
        <w:t>未按要求加密的投标文件，</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bCs/>
          <w:color w:val="000000" w:themeColor="text1"/>
          <w:szCs w:val="21"/>
          <w:highlight w:val="none"/>
          <w14:textFill>
            <w14:solidFill>
              <w14:schemeClr w14:val="tx1"/>
            </w14:solidFill>
          </w14:textFill>
        </w:rPr>
        <w:t>将予以拒收。</w:t>
      </w:r>
    </w:p>
    <w:p>
      <w:pPr>
        <w:pBdr>
          <w:bottom w:val="single" w:color="auto" w:sz="6" w:space="1"/>
        </w:pBdr>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18.2</w:t>
      </w:r>
      <w:r>
        <w:rPr>
          <w:rFonts w:hint="eastAsia" w:ascii="宋体" w:hAnsi="宋体" w:cs="宋体"/>
          <w:bCs/>
          <w:color w:val="000000" w:themeColor="text1"/>
          <w:szCs w:val="21"/>
          <w:highlight w:val="none"/>
          <w14:textFill>
            <w14:solidFill>
              <w14:schemeClr w14:val="tx1"/>
            </w14:solidFill>
          </w14:textFill>
        </w:rPr>
        <w:t>未按要求加密的投标文件，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w:t>
      </w:r>
      <w:r>
        <w:rPr>
          <w:rFonts w:hint="eastAsia" w:ascii="宋体" w:hAnsi="宋体" w:cs="宋体"/>
          <w:bCs/>
          <w:color w:val="000000" w:themeColor="text1"/>
          <w:szCs w:val="21"/>
          <w:highlight w:val="none"/>
          <w14:textFill>
            <w14:solidFill>
              <w14:schemeClr w14:val="tx1"/>
            </w14:solidFill>
          </w14:textFill>
        </w:rPr>
        <w:t>将予以拒收。</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19             修改类型：修改</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19.投标文件的递交和接收</w:t>
      </w:r>
    </w:p>
    <w:p>
      <w:pPr>
        <w:pBdr>
          <w:bottom w:val="single" w:color="auto" w:sz="6" w:space="1"/>
        </w:pBdr>
        <w:spacing w:line="360" w:lineRule="auto"/>
        <w:ind w:firstLine="411" w:firstLineChars="195"/>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19.</w:t>
      </w:r>
      <w:r>
        <w:rPr>
          <w:rFonts w:hint="eastAsia" w:ascii="宋体" w:hAnsi="宋体" w:cs="宋体"/>
          <w:bCs/>
          <w:color w:val="000000" w:themeColor="text1"/>
          <w:szCs w:val="21"/>
          <w:highlight w:val="none"/>
          <w:u w:val="single"/>
          <w14:textFill>
            <w14:solidFill>
              <w14:schemeClr w14:val="tx1"/>
            </w14:solidFill>
          </w14:textFill>
        </w:rPr>
        <w:t>投标登记和</w:t>
      </w:r>
      <w:r>
        <w:rPr>
          <w:rFonts w:hint="eastAsia" w:ascii="宋体" w:hAnsi="宋体" w:cs="宋体"/>
          <w:bCs/>
          <w:color w:val="000000" w:themeColor="text1"/>
          <w:szCs w:val="21"/>
          <w:highlight w:val="none"/>
          <w14:textFill>
            <w14:solidFill>
              <w14:schemeClr w14:val="tx1"/>
            </w14:solidFill>
          </w14:textFill>
        </w:rPr>
        <w:t>投标文件的递交和接收</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19.1           修改类型：修改</w:t>
      </w:r>
    </w:p>
    <w:p>
      <w:pPr>
        <w:spacing w:line="360" w:lineRule="auto"/>
        <w:ind w:firstLine="411" w:firstLineChars="195"/>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19.1</w:t>
      </w:r>
      <w:r>
        <w:rPr>
          <w:rFonts w:hint="eastAsia" w:ascii="宋体" w:hAnsi="宋体" w:cs="宋体"/>
          <w:bCs/>
          <w:color w:val="000000" w:themeColor="text1"/>
          <w:szCs w:val="21"/>
          <w:highlight w:val="none"/>
          <w14:textFill>
            <w14:solidFill>
              <w14:schemeClr w14:val="tx1"/>
            </w14:solidFill>
          </w14:textFill>
        </w:rPr>
        <w:t>投标人通过</w:t>
      </w:r>
      <w:r>
        <w:rPr>
          <w:rFonts w:hint="eastAsia" w:ascii="宋体" w:hAnsi="宋体" w:cs="宋体"/>
          <w:color w:val="000000" w:themeColor="text1"/>
          <w:szCs w:val="21"/>
          <w:highlight w:val="none"/>
          <w14:textFill>
            <w14:solidFill>
              <w14:schemeClr w14:val="tx1"/>
            </w14:solidFill>
          </w14:textFill>
        </w:rPr>
        <w:t>交易平台递交电子投标文件。</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19.1投标人通过</w:t>
      </w:r>
      <w:r>
        <w:rPr>
          <w:rFonts w:hint="eastAsia" w:ascii="宋体" w:hAnsi="宋体" w:cs="宋体"/>
          <w:color w:val="000000" w:themeColor="text1"/>
          <w:szCs w:val="21"/>
          <w:highlight w:val="none"/>
          <w:u w:val="single"/>
          <w14:textFill>
            <w14:solidFill>
              <w14:schemeClr w14:val="tx1"/>
            </w14:solidFill>
          </w14:textFill>
        </w:rPr>
        <w:t>广州公共资源交易中心交易平台</w:t>
      </w:r>
      <w:r>
        <w:rPr>
          <w:rFonts w:hint="eastAsia" w:ascii="宋体" w:hAnsi="宋体" w:cs="宋体"/>
          <w:color w:val="000000" w:themeColor="text1"/>
          <w:szCs w:val="21"/>
          <w:highlight w:val="none"/>
          <w14:textFill>
            <w14:solidFill>
              <w14:schemeClr w14:val="tx1"/>
            </w14:solidFill>
          </w14:textFill>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19.2           修改类型：修改</w:t>
      </w:r>
    </w:p>
    <w:p>
      <w:pPr>
        <w:adjustRightInd w:val="0"/>
        <w:spacing w:line="360" w:lineRule="auto"/>
        <w:ind w:firstLine="411"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19.2</w:t>
      </w:r>
      <w:r>
        <w:rPr>
          <w:rFonts w:hint="eastAsia" w:ascii="宋体" w:hAnsi="宋体" w:cs="宋体"/>
          <w:bCs/>
          <w:color w:val="000000" w:themeColor="text1"/>
          <w:szCs w:val="21"/>
          <w:highlight w:val="none"/>
          <w14:textFill>
            <w14:solidFill>
              <w14:schemeClr w14:val="tx1"/>
            </w14:solidFill>
          </w14:textFill>
        </w:rPr>
        <w:t>投标人完成电子</w:t>
      </w: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上传后，</w:t>
      </w:r>
      <w:r>
        <w:rPr>
          <w:rFonts w:hint="eastAsia" w:ascii="宋体" w:hAnsi="宋体" w:cs="宋体"/>
          <w:color w:val="000000" w:themeColor="text1"/>
          <w:szCs w:val="21"/>
          <w:highlight w:val="none"/>
          <w14:textFill>
            <w14:solidFill>
              <w14:schemeClr w14:val="tx1"/>
            </w14:solidFill>
          </w14:textFill>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19.2</w:t>
      </w:r>
      <w:r>
        <w:rPr>
          <w:rFonts w:hint="eastAsia" w:ascii="宋体" w:hAnsi="宋体" w:cs="宋体"/>
          <w:bCs/>
          <w:color w:val="000000" w:themeColor="text1"/>
          <w:szCs w:val="21"/>
          <w:highlight w:val="none"/>
          <w14:textFill>
            <w14:solidFill>
              <w14:schemeClr w14:val="tx1"/>
            </w14:solidFill>
          </w14:textFill>
        </w:rPr>
        <w:t>投标人完成电子</w:t>
      </w: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bCs/>
          <w:color w:val="000000" w:themeColor="text1"/>
          <w:szCs w:val="21"/>
          <w:highlight w:val="none"/>
          <w14:textFill>
            <w14:solidFill>
              <w14:schemeClr w14:val="tx1"/>
            </w14:solidFill>
          </w14:textFill>
        </w:rPr>
        <w:t>上传后，</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交易平台即时向投标人发出递交回执通知。递交时间以递交回执通知载明的传输完成时间为准。</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19.3           修改类型：修改</w:t>
      </w:r>
    </w:p>
    <w:p>
      <w:pPr>
        <w:adjustRightInd w:val="0"/>
        <w:spacing w:line="360" w:lineRule="auto"/>
        <w:ind w:firstLine="411"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19.3</w:t>
      </w:r>
      <w:r>
        <w:rPr>
          <w:rFonts w:hint="eastAsia" w:ascii="宋体" w:hAnsi="宋体" w:cs="宋体"/>
          <w:bCs/>
          <w:color w:val="000000" w:themeColor="text1"/>
          <w:szCs w:val="21"/>
          <w:highlight w:val="none"/>
          <w14:textFill>
            <w14:solidFill>
              <w14:schemeClr w14:val="tx1"/>
            </w14:solidFill>
          </w14:textFill>
        </w:rPr>
        <w:t>逾期送达的电子投标文件，</w:t>
      </w:r>
      <w:r>
        <w:rPr>
          <w:rFonts w:hint="eastAsia" w:ascii="宋体" w:hAnsi="宋体" w:cs="宋体"/>
          <w:color w:val="000000" w:themeColor="text1"/>
          <w:szCs w:val="21"/>
          <w:highlight w:val="none"/>
          <w14:textFill>
            <w14:solidFill>
              <w14:schemeClr w14:val="tx1"/>
            </w14:solidFill>
          </w14:textFill>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19.3</w:t>
      </w:r>
      <w:r>
        <w:rPr>
          <w:rFonts w:hint="eastAsia" w:ascii="宋体" w:hAnsi="宋体" w:cs="宋体"/>
          <w:bCs/>
          <w:color w:val="000000" w:themeColor="text1"/>
          <w:szCs w:val="21"/>
          <w:highlight w:val="none"/>
          <w14:textFill>
            <w14:solidFill>
              <w14:schemeClr w14:val="tx1"/>
            </w14:solidFill>
          </w14:textFill>
        </w:rPr>
        <w:t>逾期送达的电子投标文件，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交易平台将予以拒收。</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19.5           修改类型：修改</w:t>
      </w:r>
    </w:p>
    <w:p>
      <w:pPr>
        <w:spacing w:line="360" w:lineRule="auto"/>
        <w:ind w:firstLine="411"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19.5</w:t>
      </w:r>
      <w:r>
        <w:rPr>
          <w:rFonts w:hint="eastAsia" w:ascii="宋体" w:hAnsi="宋体" w:cs="宋体"/>
          <w:color w:val="000000" w:themeColor="text1"/>
          <w:szCs w:val="21"/>
          <w:highlight w:val="none"/>
          <w:u w:val="single"/>
          <w14:textFill>
            <w14:solidFill>
              <w14:schemeClr w14:val="tx1"/>
            </w14:solidFill>
          </w14:textFill>
        </w:rPr>
        <w:t>广州公共资源交易中心交易平台将按招标文件规定的时间同时开启技术标和经济标。</w:t>
      </w:r>
    </w:p>
    <w:p>
      <w:pPr>
        <w:pStyle w:val="34"/>
        <w:spacing w:line="4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19.6</w:t>
      </w:r>
      <w:r>
        <w:rPr>
          <w:rFonts w:hint="eastAsia" w:ascii="宋体" w:hAnsi="宋体" w:cs="宋体"/>
          <w:b/>
          <w:color w:val="000000" w:themeColor="text1"/>
          <w:szCs w:val="21"/>
          <w:highlight w:val="none"/>
          <w14:textFill>
            <w14:solidFill>
              <w14:schemeClr w14:val="tx1"/>
            </w14:solidFill>
          </w14:textFill>
        </w:rPr>
        <w:t>修改类型：删除</w:t>
      </w:r>
    </w:p>
    <w:p>
      <w:pPr>
        <w:pBdr>
          <w:bottom w:val="single" w:color="auto" w:sz="6" w:space="1"/>
        </w:pBdr>
        <w:spacing w:line="460" w:lineRule="exact"/>
        <w:ind w:firstLine="413"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20.3           修改类型：修改</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20.3</w:t>
      </w:r>
      <w:r>
        <w:rPr>
          <w:rFonts w:hint="eastAsia" w:ascii="宋体" w:hAnsi="宋体" w:cs="宋体"/>
          <w:color w:val="000000" w:themeColor="text1"/>
          <w:szCs w:val="21"/>
          <w:highlight w:val="none"/>
          <w:u w:val="single"/>
          <w14:textFill>
            <w14:solidFill>
              <w14:schemeClr w14:val="tx1"/>
            </w14:solidFill>
          </w14:textFill>
        </w:rPr>
        <w:t>到投标截止时间止，招标人收到的投标文件少于3家的，招标人将重新组织招标。</w:t>
      </w: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21.1           修改类型：修改</w:t>
      </w:r>
    </w:p>
    <w:p>
      <w:pPr>
        <w:adjustRightInd w:val="0"/>
        <w:spacing w:line="360" w:lineRule="auto"/>
        <w:ind w:firstLine="411" w:firstLineChars="195"/>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21.1本须知前附表第17项规定的投标截止时间</w:t>
      </w:r>
      <w:r>
        <w:rPr>
          <w:rFonts w:hint="eastAsia" w:ascii="宋体" w:hAnsi="宋体" w:cs="宋体"/>
          <w:bCs/>
          <w:color w:val="000000" w:themeColor="text1"/>
          <w:szCs w:val="21"/>
          <w:highlight w:val="none"/>
          <w14:textFill>
            <w14:solidFill>
              <w14:schemeClr w14:val="tx1"/>
            </w14:solidFill>
          </w14:textFill>
        </w:rPr>
        <w:t>后送达的电子投标文件，</w:t>
      </w:r>
      <w:r>
        <w:rPr>
          <w:rFonts w:hint="eastAsia" w:ascii="宋体" w:hAnsi="宋体" w:cs="宋体"/>
          <w:color w:val="000000" w:themeColor="text1"/>
          <w:szCs w:val="21"/>
          <w:highlight w:val="none"/>
          <w14:textFill>
            <w14:solidFill>
              <w14:schemeClr w14:val="tx1"/>
            </w14:solidFill>
          </w14:textFill>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21.1本须知前附表第17项规定的投标截止时间</w:t>
      </w:r>
      <w:r>
        <w:rPr>
          <w:rFonts w:hint="eastAsia" w:ascii="宋体" w:hAnsi="宋体" w:cs="宋体"/>
          <w:bCs/>
          <w:color w:val="000000" w:themeColor="text1"/>
          <w:szCs w:val="21"/>
          <w:highlight w:val="none"/>
          <w14:textFill>
            <w14:solidFill>
              <w14:schemeClr w14:val="tx1"/>
            </w14:solidFill>
          </w14:textFill>
        </w:rPr>
        <w:t>后送达的电子投标文件，</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交易平台将予以拒收。</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条款号：27                         修改类型：修改</w:t>
      </w:r>
    </w:p>
    <w:p>
      <w:pPr>
        <w:pBdr>
          <w:bottom w:val="single" w:color="auto" w:sz="6" w:space="1"/>
        </w:pBdr>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原文：</w:t>
      </w:r>
      <w:r>
        <w:rPr>
          <w:rFonts w:hint="eastAsia" w:ascii="宋体" w:hAnsi="宋体"/>
          <w:color w:val="000000" w:themeColor="text1"/>
          <w:szCs w:val="21"/>
          <w:highlight w:val="none"/>
          <w14:textFill>
            <w14:solidFill>
              <w14:schemeClr w14:val="tx1"/>
            </w14:solidFill>
          </w14:textFill>
        </w:rPr>
        <w:t>27．中标通知书</w:t>
      </w:r>
    </w:p>
    <w:p>
      <w:pPr>
        <w:pBdr>
          <w:bottom w:val="single" w:color="auto" w:sz="6" w:space="1"/>
        </w:pBd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27.4在产生中标候选人后，招标人将中标候选人的投标文件商务部分文件的所有内容（包括人员、业绩、奖项等资料）在交易平台和广东省招标投标监管网公开。</w:t>
      </w:r>
    </w:p>
    <w:p>
      <w:pPr>
        <w:pBdr>
          <w:bottom w:val="single" w:color="auto" w:sz="6" w:space="1"/>
        </w:pBdr>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现文：</w:t>
      </w:r>
      <w:r>
        <w:rPr>
          <w:rFonts w:hint="eastAsia" w:ascii="宋体" w:hAnsi="宋体"/>
          <w:color w:val="000000" w:themeColor="text1"/>
          <w:szCs w:val="21"/>
          <w:highlight w:val="none"/>
          <w14:textFill>
            <w14:solidFill>
              <w14:schemeClr w14:val="tx1"/>
            </w14:solidFill>
          </w14:textFill>
        </w:rPr>
        <w:t>27．中标通知书</w:t>
      </w:r>
    </w:p>
    <w:p>
      <w:pPr>
        <w:pBdr>
          <w:bottom w:val="single" w:color="auto" w:sz="6" w:space="1"/>
        </w:pBd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27.1招标人将在</w:t>
      </w:r>
      <w:r>
        <w:rPr>
          <w:rFonts w:hint="eastAsia" w:ascii="宋体" w:hAnsi="宋体"/>
          <w:color w:val="000000" w:themeColor="text1"/>
          <w:szCs w:val="21"/>
          <w:highlight w:val="none"/>
          <w:u w:val="single"/>
          <w14:textFill>
            <w14:solidFill>
              <w14:schemeClr w14:val="tx1"/>
            </w14:solidFill>
          </w14:textFill>
        </w:rPr>
        <w:t>广州公共资源交易中心</w:t>
      </w:r>
      <w:r>
        <w:rPr>
          <w:rFonts w:hint="eastAsia" w:ascii="宋体" w:hAnsi="宋体"/>
          <w:color w:val="000000" w:themeColor="text1"/>
          <w:szCs w:val="21"/>
          <w:highlight w:val="none"/>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w:t>
      </w:r>
      <w:r>
        <w:rPr>
          <w:rFonts w:hint="eastAsia" w:ascii="宋体" w:hAnsi="宋体"/>
          <w:color w:val="000000" w:themeColor="text1"/>
          <w:szCs w:val="21"/>
          <w:highlight w:val="none"/>
          <w:u w:val="single"/>
          <w14:textFill>
            <w14:solidFill>
              <w14:schemeClr w14:val="tx1"/>
            </w14:solidFill>
          </w14:textFill>
        </w:rPr>
        <w:t>中标人自行于广州公共资源交易中心交易平台下载中标通知书。中标人须对其投标文件真实性负责，并准备投标文件涉及的所有原件待查，如存在弄虚作假情况的，招标人有权取消其中标人资格，并上报建设行政主管部门。</w:t>
      </w:r>
    </w:p>
    <w:p>
      <w:pPr>
        <w:pBdr>
          <w:bottom w:val="single" w:color="auto" w:sz="6" w:space="1"/>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27.4在产生中标候选人后，招标人将中标候选人的投标文件商务部分文件的</w:t>
      </w:r>
      <w:r>
        <w:rPr>
          <w:rFonts w:hint="eastAsia" w:ascii="宋体" w:hAnsi="宋体"/>
          <w:color w:val="000000" w:themeColor="text1"/>
          <w:szCs w:val="21"/>
          <w:highlight w:val="none"/>
          <w:u w:val="single"/>
          <w14:textFill>
            <w14:solidFill>
              <w14:schemeClr w14:val="tx1"/>
            </w14:solidFill>
          </w14:textFill>
        </w:rPr>
        <w:t>人员、业绩、奖项等资料</w:t>
      </w:r>
      <w:r>
        <w:rPr>
          <w:rFonts w:hint="eastAsia"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u w:val="single"/>
          <w14:textFill>
            <w14:solidFill>
              <w14:schemeClr w14:val="tx1"/>
            </w14:solidFill>
          </w14:textFill>
        </w:rPr>
        <w:t>广州公共资源交易中心</w:t>
      </w:r>
      <w:r>
        <w:rPr>
          <w:rFonts w:hint="eastAsia" w:ascii="宋体" w:hAnsi="宋体"/>
          <w:color w:val="000000" w:themeColor="text1"/>
          <w:szCs w:val="21"/>
          <w:highlight w:val="none"/>
          <w14:textFill>
            <w14:solidFill>
              <w14:schemeClr w14:val="tx1"/>
            </w14:solidFill>
          </w14:textFill>
        </w:rPr>
        <w:t>交易平台和广东省招标投标监管网公开。</w:t>
      </w:r>
    </w:p>
    <w:p>
      <w:pPr>
        <w:spacing w:line="360"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29.1</w:t>
      </w:r>
      <w:r>
        <w:rPr>
          <w:rFonts w:hint="eastAsia" w:ascii="宋体" w:hAnsi="宋体" w:cs="宋体"/>
          <w:b/>
          <w:color w:val="000000" w:themeColor="text1"/>
          <w:szCs w:val="21"/>
          <w:highlight w:val="none"/>
          <w14:textFill>
            <w14:solidFill>
              <w14:schemeClr w14:val="tx1"/>
            </w14:solidFill>
          </w14:textFill>
        </w:rPr>
        <w:t xml:space="preserve">           修改类型：修改</w:t>
      </w:r>
    </w:p>
    <w:p>
      <w:pPr>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 xml:space="preserve"> 29.1在收到中标通知书后的</w:t>
      </w:r>
      <w:r>
        <w:rPr>
          <w:rFonts w:hint="eastAsia" w:ascii="宋体" w:hAnsi="宋体" w:cs="宋体"/>
          <w:b/>
          <w:color w:val="000000" w:themeColor="text1"/>
          <w:szCs w:val="21"/>
          <w:highlight w:val="none"/>
          <w14:textFill>
            <w14:solidFill>
              <w14:schemeClr w14:val="tx1"/>
            </w14:solidFill>
          </w14:textFill>
        </w:rPr>
        <w:t>15日</w:t>
      </w:r>
      <w:r>
        <w:rPr>
          <w:rFonts w:hint="eastAsia" w:ascii="宋体" w:hAnsi="宋体" w:cs="宋体"/>
          <w:color w:val="000000" w:themeColor="text1"/>
          <w:szCs w:val="21"/>
          <w:highlight w:val="none"/>
          <w14:textFill>
            <w14:solidFill>
              <w14:schemeClr w14:val="tx1"/>
            </w14:solidFill>
          </w14:textFill>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u w:val="single"/>
          <w14:textFill>
            <w14:solidFill>
              <w14:schemeClr w14:val="tx1"/>
            </w14:solidFill>
          </w14:textFill>
        </w:rPr>
        <w:t>29.1在签订合同后的</w:t>
      </w:r>
      <w:r>
        <w:rPr>
          <w:rFonts w:hint="eastAsia" w:ascii="宋体" w:hAnsi="宋体" w:cs="宋体"/>
          <w:b/>
          <w:color w:val="000000" w:themeColor="text1"/>
          <w:szCs w:val="21"/>
          <w:highlight w:val="none"/>
          <w:u w:val="single"/>
          <w14:textFill>
            <w14:solidFill>
              <w14:schemeClr w14:val="tx1"/>
            </w14:solidFill>
          </w14:textFill>
        </w:rPr>
        <w:t>15日</w:t>
      </w:r>
      <w:r>
        <w:rPr>
          <w:rFonts w:hint="eastAsia" w:ascii="宋体" w:hAnsi="宋体" w:cs="宋体"/>
          <w:color w:val="000000" w:themeColor="text1"/>
          <w:szCs w:val="21"/>
          <w:highlight w:val="none"/>
          <w:u w:val="single"/>
          <w14:textFill>
            <w14:solidFill>
              <w14:schemeClr w14:val="tx1"/>
            </w14:solidFill>
          </w14:textFill>
        </w:rPr>
        <w:t>内，中标人应按本须知前附表第20项的规定向招标人提交履约担保。</w:t>
      </w:r>
    </w:p>
    <w:p>
      <w:pPr>
        <w:pStyle w:val="13"/>
        <w:rPr>
          <w:color w:val="000000" w:themeColor="text1"/>
          <w:highlight w:val="none"/>
          <w14:textFill>
            <w14:solidFill>
              <w14:schemeClr w14:val="tx1"/>
            </w14:solidFill>
          </w14:textFill>
        </w:rPr>
      </w:pPr>
    </w:p>
    <w:p>
      <w:pPr>
        <w:pStyle w:val="7"/>
        <w:ind w:firstLine="409" w:firstLineChars="194"/>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29.2           修改类型：修改</w:t>
      </w:r>
    </w:p>
    <w:p>
      <w:pPr>
        <w:spacing w:line="360" w:lineRule="auto"/>
        <w:ind w:firstLine="411" w:firstLineChars="195"/>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：29.2</w:t>
      </w:r>
      <w:r>
        <w:rPr>
          <w:rFonts w:hint="eastAsia" w:ascii="宋体" w:hAnsi="宋体" w:cs="宋体"/>
          <w:color w:val="000000" w:themeColor="text1"/>
          <w:szCs w:val="21"/>
          <w:highlight w:val="none"/>
          <w:u w:val="single"/>
          <w14:textFill>
            <w14:solidFill>
              <w14:schemeClr w14:val="tx1"/>
            </w14:solidFill>
          </w14:textFill>
        </w:rPr>
        <w:t>合同正式签订之日起</w:t>
      </w:r>
      <w:r>
        <w:rPr>
          <w:rFonts w:ascii="宋体" w:hAnsi="宋体" w:cs="宋体"/>
          <w:color w:val="000000" w:themeColor="text1"/>
          <w:szCs w:val="21"/>
          <w:highlight w:val="none"/>
          <w:u w:val="single"/>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日内</w:t>
      </w:r>
      <w:r>
        <w:rPr>
          <w:rFonts w:hint="eastAsia" w:ascii="宋体" w:hAnsi="宋体" w:cs="宋体"/>
          <w:color w:val="000000" w:themeColor="text1"/>
          <w:szCs w:val="21"/>
          <w:highlight w:val="none"/>
          <w14:textFill>
            <w14:solidFill>
              <w14:schemeClr w14:val="tx1"/>
            </w14:solidFill>
          </w14:textFill>
        </w:rPr>
        <w:t>，中标人未按上款的规定递交履约担保，招标人将解除中标通知书及合同，原中标人的投标保证金不予退还，且依法承担相应法律责任。原中标人给招标人造成的损失超过投标保证金数额的，还应当对超过部分予以赔偿。原中标人有异议的，可以向人民法院起诉。</w:t>
      </w:r>
    </w:p>
    <w:p>
      <w:pPr>
        <w:pStyle w:val="2"/>
        <w:rPr>
          <w:color w:val="000000" w:themeColor="text1"/>
          <w:highlight w:val="none"/>
          <w14:textFill>
            <w14:solidFill>
              <w14:schemeClr w14:val="tx1"/>
            </w14:solidFill>
          </w14:textFill>
        </w:rPr>
      </w:pP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注：以上修改，仅限于本范本中有可供选择条款的情形。</w:t>
      </w:r>
    </w:p>
    <w:p>
      <w:pPr>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pPr>
        <w:pStyle w:val="6"/>
        <w:rPr>
          <w:color w:val="000000" w:themeColor="text1"/>
          <w:highlight w:val="none"/>
          <w14:textFill>
            <w14:solidFill>
              <w14:schemeClr w14:val="tx1"/>
            </w14:solidFill>
          </w14:textFill>
        </w:rPr>
      </w:pPr>
      <w:bookmarkStart w:id="9" w:name="_Toc2272548"/>
      <w:bookmarkEnd w:id="9"/>
      <w:bookmarkStart w:id="10" w:name="_Toc115117421"/>
      <w:r>
        <w:rPr>
          <w:rFonts w:hint="eastAsia"/>
          <w:color w:val="000000" w:themeColor="text1"/>
          <w:highlight w:val="none"/>
          <w14:textFill>
            <w14:solidFill>
              <w14:schemeClr w14:val="tx1"/>
            </w14:solidFill>
          </w14:textFill>
        </w:rPr>
        <w:t>三、投标须知通用条款</w:t>
      </w:r>
      <w:bookmarkEnd w:id="10"/>
    </w:p>
    <w:p>
      <w:pPr>
        <w:spacing w:before="156" w:beforeLines="50" w:after="156" w:afterLines="50"/>
        <w:jc w:val="center"/>
        <w:rPr>
          <w:b/>
          <w:color w:val="000000" w:themeColor="text1"/>
          <w:sz w:val="24"/>
          <w:szCs w:val="24"/>
          <w:highlight w:val="none"/>
          <w14:textFill>
            <w14:solidFill>
              <w14:schemeClr w14:val="tx1"/>
            </w14:solidFill>
          </w14:textFill>
        </w:rPr>
      </w:pPr>
      <w:bookmarkStart w:id="11" w:name="_Toc2272549"/>
      <w:bookmarkEnd w:id="11"/>
      <w:r>
        <w:rPr>
          <w:rFonts w:hint="eastAsia"/>
          <w:b/>
          <w:color w:val="000000" w:themeColor="text1"/>
          <w:sz w:val="24"/>
          <w:szCs w:val="24"/>
          <w:highlight w:val="none"/>
          <w14:textFill>
            <w14:solidFill>
              <w14:schemeClr w14:val="tx1"/>
            </w14:solidFill>
          </w14:textFill>
        </w:rPr>
        <w:t>（一）总则</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.定义</w:t>
      </w:r>
    </w:p>
    <w:p>
      <w:pPr>
        <w:pStyle w:val="34"/>
        <w:spacing w:line="360" w:lineRule="auto"/>
        <w:ind w:firstLine="480" w:firstLineChars="200"/>
        <w:rPr>
          <w:rFonts w:asci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本招标文件使用的下列词语具有如下规定的意义：</w:t>
      </w:r>
    </w:p>
    <w:p>
      <w:pPr>
        <w:pStyle w:val="34"/>
        <w:spacing w:line="360" w:lineRule="auto"/>
        <w:ind w:firstLine="480" w:firstLineChars="200"/>
        <w:rPr>
          <w:rFonts w:asci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）“招标人”（即发包人）、“项目建设管理单位</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（或称“项目代建单位”）、“招标代理”、“设计单位”、“监理单位”均已在投标须知前附表中列明。</w:t>
      </w:r>
    </w:p>
    <w:p>
      <w:pPr>
        <w:pStyle w:val="34"/>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）“投标人”指向招标人提交投标文件的当事人。</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）“承包人”指其投标被招标人接受并与其签订承包合同的当事人。</w:t>
      </w:r>
    </w:p>
    <w:p>
      <w:pPr>
        <w:pStyle w:val="34"/>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highlight w:val="none"/>
          <w14:textFill>
            <w14:solidFill>
              <w14:schemeClr w14:val="tx1"/>
            </w14:solidFill>
          </w14:textFill>
        </w:rPr>
        <w:t>招标文件的澄清与修改</w:t>
      </w:r>
      <w:r>
        <w:rPr>
          <w:rFonts w:hint="eastAsia" w:ascii="宋体" w:hAnsi="宋体"/>
          <w:color w:val="000000" w:themeColor="text1"/>
          <w:sz w:val="24"/>
          <w:highlight w:val="none"/>
          <w14:textFill>
            <w14:solidFill>
              <w14:schemeClr w14:val="tx1"/>
            </w14:solidFill>
          </w14:textFill>
        </w:rPr>
        <w:t>文件。</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）“投标文件”指投标人根据本项目招标文件向招标人提交的全部文件。</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）“书面形式”指打字或印刷的文件和数据电文（包括电报、电传、传真、电子数据交换和电子邮件）。</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.招标说明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2.3</w:t>
      </w:r>
      <w:r>
        <w:rPr>
          <w:rFonts w:hint="eastAsia" w:ascii="宋体" w:hAnsi="宋体"/>
          <w:bCs/>
          <w:color w:val="000000" w:themeColor="text1"/>
          <w:sz w:val="24"/>
          <w:highlight w:val="none"/>
          <w14:textFill>
            <w14:solidFill>
              <w14:schemeClr w14:val="tx1"/>
            </w14:solidFill>
          </w14:textFill>
        </w:rPr>
        <w:t>设计说明：详见招标图纸。</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2.4</w:t>
      </w:r>
      <w:r>
        <w:rPr>
          <w:rFonts w:hint="eastAsia" w:ascii="宋体" w:hAnsi="宋体"/>
          <w:bCs/>
          <w:color w:val="000000" w:themeColor="text1"/>
          <w:sz w:val="24"/>
          <w:highlight w:val="none"/>
          <w14:textFill>
            <w14:solidFill>
              <w14:schemeClr w14:val="tx1"/>
            </w14:solidFill>
          </w14:textFill>
        </w:rPr>
        <w:t>工程施工特点：详见招标图纸。</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.资金来源</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本招标工程项目资金来源见投标须知前附表第</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项</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.合格投标人的条件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4.1</w:t>
      </w:r>
      <w:r>
        <w:rPr>
          <w:rFonts w:hint="eastAsia" w:ascii="宋体" w:hAnsi="宋体"/>
          <w:bCs/>
          <w:color w:val="000000" w:themeColor="text1"/>
          <w:sz w:val="24"/>
          <w:highlight w:val="none"/>
          <w14:textFill>
            <w14:solidFill>
              <w14:schemeClr w14:val="tx1"/>
            </w14:solidFill>
          </w14:textFill>
        </w:rPr>
        <w:t>详见本项目招标公告</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.踏勘现场</w:t>
      </w:r>
    </w:p>
    <w:p>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5.1 </w:t>
      </w:r>
      <w:r>
        <w:rPr>
          <w:rFonts w:hint="eastAsia" w:ascii="宋体" w:hAnsi="宋体"/>
          <w:bCs/>
          <w:color w:val="000000" w:themeColor="text1"/>
          <w:sz w:val="24"/>
          <w:highlight w:val="none"/>
          <w14:textFill>
            <w14:solidFill>
              <w14:schemeClr w14:val="tx1"/>
            </w14:solidFill>
          </w14:textFill>
        </w:rPr>
        <w:t>投标人应按本投标须知前附表第</w:t>
      </w:r>
      <w:r>
        <w:rPr>
          <w:rFonts w:ascii="宋体" w:hAnsi="宋体"/>
          <w:bCs/>
          <w:color w:val="000000" w:themeColor="text1"/>
          <w:sz w:val="24"/>
          <w:highlight w:val="none"/>
          <w14:textFill>
            <w14:solidFill>
              <w14:schemeClr w14:val="tx1"/>
            </w14:solidFill>
          </w14:textFill>
        </w:rPr>
        <w:t>15</w:t>
      </w:r>
      <w:r>
        <w:rPr>
          <w:rFonts w:hint="eastAsia" w:ascii="宋体" w:hAnsi="宋体"/>
          <w:bCs/>
          <w:color w:val="000000" w:themeColor="text1"/>
          <w:sz w:val="24"/>
          <w:highlight w:val="none"/>
          <w14:textFill>
            <w14:solidFill>
              <w14:schemeClr w14:val="tx1"/>
            </w14:solidFill>
          </w14:textFill>
        </w:rPr>
        <w:t>项所述时间和要求对工程现场及周围环境进行踏勘，</w:t>
      </w:r>
      <w:r>
        <w:rPr>
          <w:rFonts w:hint="eastAsia" w:ascii="宋体" w:hAnsi="宋体"/>
          <w:color w:val="000000" w:themeColor="text1"/>
          <w:sz w:val="24"/>
          <w:highlight w:val="none"/>
          <w14:textFill>
            <w14:solidFill>
              <w14:schemeClr w14:val="tx1"/>
            </w14:solidFill>
          </w14:textFill>
        </w:rPr>
        <w:t>投标人应充分重视和仔细地进行这种考察，</w:t>
      </w:r>
      <w:r>
        <w:rPr>
          <w:rFonts w:hint="eastAsia" w:ascii="宋体" w:hAnsi="宋体"/>
          <w:bCs/>
          <w:color w:val="000000" w:themeColor="text1"/>
          <w:sz w:val="24"/>
          <w:highlight w:val="none"/>
          <w14:textFill>
            <w14:solidFill>
              <w14:schemeClr w14:val="tx1"/>
            </w14:solidFill>
          </w14:textFill>
        </w:rPr>
        <w:t>以便投标人获取</w:t>
      </w:r>
      <w:r>
        <w:rPr>
          <w:rFonts w:hint="eastAsia" w:ascii="宋体" w:hAnsi="宋体"/>
          <w:color w:val="000000" w:themeColor="text1"/>
          <w:sz w:val="24"/>
          <w:highlight w:val="none"/>
          <w14:textFill>
            <w14:solidFill>
              <w14:schemeClr w14:val="tx1"/>
            </w14:solidFill>
          </w14:textFill>
        </w:rPr>
        <w:t>那些须投标人自己负责的</w:t>
      </w:r>
      <w:r>
        <w:rPr>
          <w:rFonts w:hint="eastAsia" w:ascii="宋体" w:hAnsi="宋体"/>
          <w:bCs/>
          <w:color w:val="000000" w:themeColor="text1"/>
          <w:sz w:val="24"/>
          <w:highlight w:val="none"/>
          <w14:textFill>
            <w14:solidFill>
              <w14:schemeClr w14:val="tx1"/>
            </w14:solidFill>
          </w14:textFill>
        </w:rPr>
        <w:t>有关编制投标文件和签署合同所涉及现场所有的资料。</w:t>
      </w:r>
      <w:r>
        <w:rPr>
          <w:rFonts w:hint="eastAsia" w:ascii="宋体" w:hAnsi="宋体"/>
          <w:color w:val="000000" w:themeColor="text1"/>
          <w:sz w:val="24"/>
          <w:highlight w:val="none"/>
          <w14:textFill>
            <w14:solidFill>
              <w14:schemeClr w14:val="tx1"/>
            </w14:solidFill>
          </w14:textFill>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5.2 </w:t>
      </w:r>
      <w:r>
        <w:rPr>
          <w:rFonts w:hint="eastAsia" w:ascii="宋体" w:hAnsi="宋体"/>
          <w:bCs/>
          <w:color w:val="000000" w:themeColor="text1"/>
          <w:sz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5.3 </w:t>
      </w:r>
      <w:r>
        <w:rPr>
          <w:rFonts w:hint="eastAsia" w:ascii="宋体" w:hAnsi="宋体"/>
          <w:bCs/>
          <w:color w:val="000000" w:themeColor="text1"/>
          <w:sz w:val="24"/>
          <w:highlight w:val="none"/>
          <w14:textFill>
            <w14:solidFill>
              <w14:schemeClr w14:val="tx1"/>
            </w14:solidFill>
          </w14:textFill>
        </w:rPr>
        <w:t>经招标人允许，投标人可为踏勘目的进入招标人的项目现场。</w:t>
      </w:r>
      <w:r>
        <w:rPr>
          <w:rFonts w:hint="eastAsia" w:ascii="宋体" w:hAnsi="宋体"/>
          <w:color w:val="000000" w:themeColor="text1"/>
          <w:sz w:val="24"/>
          <w:highlight w:val="none"/>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highlight w:val="none"/>
          <w14:textFill>
            <w14:solidFill>
              <w14:schemeClr w14:val="tx1"/>
            </w14:solidFill>
          </w14:textFill>
        </w:rPr>
        <w:t>投标人不得因此使招标人承担有关的责任和蒙受损失。</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不论投标结果如何，投标人应承担</w:t>
      </w:r>
      <w:r>
        <w:rPr>
          <w:rFonts w:hint="eastAsia" w:ascii="宋体" w:hAnsi="宋体"/>
          <w:bCs/>
          <w:color w:val="000000" w:themeColor="text1"/>
          <w:sz w:val="24"/>
          <w:highlight w:val="none"/>
          <w14:textFill>
            <w14:solidFill>
              <w14:schemeClr w14:val="tx1"/>
            </w14:solidFill>
          </w14:textFill>
        </w:rPr>
        <w:t>自身</w:t>
      </w:r>
      <w:r>
        <w:rPr>
          <w:rFonts w:hint="eastAsia" w:ascii="宋体" w:hAnsi="宋体"/>
          <w:color w:val="000000" w:themeColor="text1"/>
          <w:sz w:val="24"/>
          <w:highlight w:val="none"/>
          <w14:textFill>
            <w14:solidFill>
              <w14:schemeClr w14:val="tx1"/>
            </w14:solidFill>
          </w14:textFill>
        </w:rPr>
        <w:t>因投标文件编制、递交及其他</w:t>
      </w:r>
      <w:r>
        <w:rPr>
          <w:rFonts w:hint="eastAsia" w:ascii="宋体" w:hAnsi="宋体"/>
          <w:bCs/>
          <w:color w:val="000000" w:themeColor="text1"/>
          <w:sz w:val="24"/>
          <w:highlight w:val="none"/>
          <w14:textFill>
            <w14:solidFill>
              <w14:schemeClr w14:val="tx1"/>
            </w14:solidFill>
          </w14:textFill>
        </w:rPr>
        <w:t>参加本招标活动</w:t>
      </w:r>
      <w:r>
        <w:rPr>
          <w:rFonts w:hint="eastAsia" w:ascii="宋体" w:hAnsi="宋体"/>
          <w:color w:val="000000" w:themeColor="text1"/>
          <w:sz w:val="24"/>
          <w:highlight w:val="none"/>
          <w14:textFill>
            <w14:solidFill>
              <w14:schemeClr w14:val="tx1"/>
            </w14:solidFill>
          </w14:textFill>
        </w:rPr>
        <w:t>所涉及的一切费用，招标人对上述费用不负任何责任。</w:t>
      </w:r>
    </w:p>
    <w:p>
      <w:pPr>
        <w:spacing w:before="156" w:beforeLines="50" w:after="156" w:afterLines="50"/>
        <w:jc w:val="center"/>
        <w:rPr>
          <w:b/>
          <w:color w:val="000000" w:themeColor="text1"/>
          <w:sz w:val="24"/>
          <w:szCs w:val="24"/>
          <w:highlight w:val="none"/>
          <w14:textFill>
            <w14:solidFill>
              <w14:schemeClr w14:val="tx1"/>
            </w14:solidFill>
          </w14:textFill>
        </w:rPr>
      </w:pPr>
      <w:bookmarkStart w:id="12" w:name="_Toc2272550"/>
      <w:bookmarkEnd w:id="12"/>
      <w:r>
        <w:rPr>
          <w:rFonts w:hint="eastAsia"/>
          <w:b/>
          <w:color w:val="000000" w:themeColor="text1"/>
          <w:sz w:val="24"/>
          <w:szCs w:val="24"/>
          <w:highlight w:val="none"/>
          <w14:textFill>
            <w14:solidFill>
              <w14:schemeClr w14:val="tx1"/>
            </w14:solidFill>
          </w14:textFill>
        </w:rPr>
        <w:t>（二）招标文件</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招标文件的组成</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7.1</w:t>
      </w:r>
      <w:r>
        <w:rPr>
          <w:rFonts w:hint="eastAsia" w:ascii="宋体" w:hAnsi="宋体"/>
          <w:color w:val="000000" w:themeColor="text1"/>
          <w:sz w:val="24"/>
          <w:highlight w:val="none"/>
          <w14:textFill>
            <w14:solidFill>
              <w14:schemeClr w14:val="tx1"/>
            </w14:solidFill>
          </w14:textFill>
        </w:rPr>
        <w:t>本招标文件包括下列文件，以及所有按本须知第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条发出的招标答疑会会议纪要和按本须知第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条发出的澄清或修改：</w:t>
      </w:r>
    </w:p>
    <w:p>
      <w:pPr>
        <w:pStyle w:val="34"/>
        <w:spacing w:line="360" w:lineRule="auto"/>
        <w:ind w:left="-2" w:firstLine="480" w:firstLineChars="200"/>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第一章</w:t>
      </w:r>
      <w:r>
        <w:rPr>
          <w:rFonts w:hint="eastAsia" w:ascii="宋体" w:hAnsi="宋体"/>
          <w:color w:val="000000" w:themeColor="text1"/>
          <w:sz w:val="24"/>
          <w:highlight w:val="none"/>
          <w14:textFill>
            <w14:solidFill>
              <w14:schemeClr w14:val="tx1"/>
            </w14:solidFill>
          </w14:textFill>
        </w:rPr>
        <w:t>投标须知</w:t>
      </w:r>
    </w:p>
    <w:p>
      <w:pPr>
        <w:pStyle w:val="34"/>
        <w:spacing w:line="360" w:lineRule="auto"/>
        <w:ind w:left="-2" w:firstLine="480" w:firstLineChars="200"/>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第二章</w:t>
      </w:r>
      <w:r>
        <w:rPr>
          <w:rFonts w:hint="eastAsia" w:ascii="宋体" w:hAnsi="宋体"/>
          <w:color w:val="000000" w:themeColor="text1"/>
          <w:sz w:val="24"/>
          <w:highlight w:val="none"/>
          <w14:textFill>
            <w14:solidFill>
              <w14:schemeClr w14:val="tx1"/>
            </w14:solidFill>
          </w14:textFill>
        </w:rPr>
        <w:t>开标、评标及定标办法</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第三章合同条款</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第四章</w:t>
      </w:r>
      <w:r>
        <w:rPr>
          <w:rFonts w:hint="eastAsia" w:ascii="宋体" w:hAnsi="宋体"/>
          <w:color w:val="000000" w:themeColor="text1"/>
          <w:sz w:val="24"/>
          <w:highlight w:val="none"/>
          <w14:textFill>
            <w14:solidFill>
              <w14:schemeClr w14:val="tx1"/>
            </w14:solidFill>
          </w14:textFill>
        </w:rPr>
        <w:t>投标文件格式</w:t>
      </w:r>
    </w:p>
    <w:p>
      <w:pPr>
        <w:pStyle w:val="34"/>
        <w:spacing w:line="360" w:lineRule="auto"/>
        <w:ind w:left="-2" w:firstLine="480" w:firstLineChars="200"/>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第五章</w:t>
      </w:r>
      <w:r>
        <w:rPr>
          <w:rFonts w:hint="eastAsia" w:ascii="宋体" w:hAnsi="宋体"/>
          <w:color w:val="000000" w:themeColor="text1"/>
          <w:sz w:val="24"/>
          <w:highlight w:val="none"/>
          <w14:textFill>
            <w14:solidFill>
              <w14:schemeClr w14:val="tx1"/>
            </w14:solidFill>
          </w14:textFill>
        </w:rPr>
        <w:t>技术条件（工程建设标准）（另册）</w:t>
      </w:r>
    </w:p>
    <w:p>
      <w:pPr>
        <w:pStyle w:val="34"/>
        <w:spacing w:line="360" w:lineRule="auto"/>
        <w:ind w:left="-2" w:firstLine="480" w:firstLineChars="200"/>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第六章</w:t>
      </w:r>
      <w:r>
        <w:rPr>
          <w:rFonts w:hint="eastAsia" w:ascii="宋体" w:hAnsi="宋体"/>
          <w:color w:val="000000" w:themeColor="text1"/>
          <w:sz w:val="24"/>
          <w:highlight w:val="none"/>
          <w14:textFill>
            <w14:solidFill>
              <w14:schemeClr w14:val="tx1"/>
            </w14:solidFill>
          </w14:textFill>
        </w:rPr>
        <w:t>图纸及勘察资料（另册）</w:t>
      </w:r>
    </w:p>
    <w:p>
      <w:pPr>
        <w:pStyle w:val="34"/>
        <w:spacing w:line="360" w:lineRule="auto"/>
        <w:ind w:left="-2" w:firstLine="480" w:firstLineChars="200"/>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第七章招标</w:t>
      </w:r>
      <w:r>
        <w:rPr>
          <w:rFonts w:hint="eastAsia" w:ascii="宋体" w:hAnsi="宋体"/>
          <w:color w:val="000000" w:themeColor="text1"/>
          <w:sz w:val="24"/>
          <w:highlight w:val="none"/>
          <w14:textFill>
            <w14:solidFill>
              <w14:schemeClr w14:val="tx1"/>
            </w14:solidFill>
          </w14:textFill>
        </w:rPr>
        <w:t>工程量清单（另册）</w:t>
      </w:r>
    </w:p>
    <w:p>
      <w:pPr>
        <w:pStyle w:val="34"/>
        <w:spacing w:line="360" w:lineRule="auto"/>
        <w:ind w:left="-2"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第八章最高投标限价</w:t>
      </w:r>
    </w:p>
    <w:p>
      <w:pPr>
        <w:pStyle w:val="34"/>
        <w:spacing w:line="360" w:lineRule="auto"/>
        <w:ind w:left="-2"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注：</w:t>
      </w:r>
      <w:r>
        <w:rPr>
          <w:rFonts w:hint="eastAsia" w:ascii="宋体"/>
          <w:color w:val="000000" w:themeColor="text1"/>
          <w:sz w:val="24"/>
          <w:highlight w:val="none"/>
          <w:u w:val="single"/>
          <w14:textFill>
            <w14:solidFill>
              <w14:schemeClr w14:val="tx1"/>
            </w14:solidFill>
          </w14:textFill>
        </w:rPr>
        <w:t>招标人应在技术条件（工程建设标准）中明确施工现场建筑垃圾源头减量的具体要求和建筑垃圾综合利用产品的使用要求。</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投标人一旦中标，招标文件的内容对招标人和中标人双方均有约束力。</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.招标答疑</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14:textFill>
            <w14:solidFill>
              <w14:schemeClr w14:val="tx1"/>
            </w14:solidFill>
          </w14:textFill>
        </w:rPr>
        <w:t>投标人若对招标文件（包括招标图纸）中有疑问，可以书面形式</w:t>
      </w:r>
      <w:r>
        <w:rPr>
          <w:rFonts w:hint="eastAsia"/>
          <w:color w:val="000000" w:themeColor="text1"/>
          <w:sz w:val="24"/>
          <w:szCs w:val="24"/>
          <w:highlight w:val="none"/>
          <w14:textFill>
            <w14:solidFill>
              <w14:schemeClr w14:val="tx1"/>
            </w14:solidFill>
          </w14:textFill>
        </w:rPr>
        <w:t>通过</w:t>
      </w:r>
      <w:r>
        <w:rPr>
          <w:rFonts w:hint="eastAsia" w:ascii="宋体" w:hAnsi="宋体"/>
          <w:color w:val="000000" w:themeColor="text1"/>
          <w:sz w:val="24"/>
          <w:szCs w:val="24"/>
          <w:highlight w:val="none"/>
          <w14:textFill>
            <w14:solidFill>
              <w14:schemeClr w14:val="tx1"/>
            </w14:solidFill>
          </w14:textFill>
        </w:rPr>
        <w:t>交易平台</w:t>
      </w:r>
      <w:r>
        <w:rPr>
          <w:rFonts w:hint="eastAsia"/>
          <w:color w:val="000000" w:themeColor="text1"/>
          <w:sz w:val="24"/>
          <w:szCs w:val="24"/>
          <w:highlight w:val="none"/>
          <w14:textFill>
            <w14:solidFill>
              <w14:schemeClr w14:val="tx1"/>
            </w14:solidFill>
          </w14:textFill>
        </w:rPr>
        <w:t>提交</w:t>
      </w:r>
      <w:r>
        <w:rPr>
          <w:rFonts w:hint="eastAsia" w:ascii="宋体" w:hAnsi="宋体"/>
          <w:color w:val="000000" w:themeColor="text1"/>
          <w:sz w:val="24"/>
          <w:highlight w:val="none"/>
          <w14:textFill>
            <w14:solidFill>
              <w14:schemeClr w14:val="tx1"/>
            </w14:solidFill>
          </w14:textFill>
        </w:rPr>
        <w:t>给招标人或招标代理人，提交形式见本须知前附表第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项。</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w:t>
      </w:r>
      <w:r>
        <w:rPr>
          <w:rFonts w:hint="eastAsia" w:ascii="宋体"/>
          <w:color w:val="000000" w:themeColor="text1"/>
          <w:sz w:val="24"/>
          <w:highlight w:val="none"/>
          <w14:textFill>
            <w14:solidFill>
              <w14:schemeClr w14:val="tx1"/>
            </w14:solidFill>
          </w14:textFill>
        </w:rPr>
        <w:t>招标答疑会会议纪要将在提交投标文件截止时间15日前在</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 xml:space="preserve"> “项目答疑纪要”专区公开发布。答疑纪要一经在</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答疑会会议纪要为招标文件的一部分。</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w:t>
      </w:r>
      <w:r>
        <w:rPr>
          <w:rFonts w:hint="eastAsia" w:ascii="宋体" w:hAnsi="宋体"/>
          <w:color w:val="000000" w:themeColor="text1"/>
          <w:sz w:val="24"/>
          <w:highlight w:val="none"/>
          <w14:textFill>
            <w14:solidFill>
              <w14:schemeClr w14:val="tx1"/>
            </w14:solidFill>
          </w14:textFill>
        </w:rPr>
        <w:t>若招标答疑会会议纪要与招标文件有矛盾，以答疑会议纪要最后发出的书面形式的文件为准。</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招标文件的澄清与修改</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招标文件发出后</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在提交投标文件截止时间15日前，招标人可对招标文件进行必要的澄清或修改。</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w:t>
      </w:r>
      <w:r>
        <w:rPr>
          <w:rFonts w:hint="eastAsia" w:ascii="宋体"/>
          <w:color w:val="000000" w:themeColor="text1"/>
          <w:sz w:val="24"/>
          <w:highlight w:val="none"/>
          <w14:textFill>
            <w14:solidFill>
              <w14:schemeClr w14:val="tx1"/>
            </w14:solidFill>
          </w14:textFill>
        </w:rPr>
        <w:t>招标文件的澄清或修改将在</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“项目答疑纪要”专区公开发布。答疑纪要一经在</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发布，视作已发放给所有投标人，以</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上网发布时间作为送达时间。</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招标文件的修改内容为招标文件的组成部分。</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9.4</w:t>
      </w:r>
      <w:r>
        <w:rPr>
          <w:rFonts w:hint="eastAsia" w:ascii="宋体" w:hAnsi="宋体"/>
          <w:color w:val="000000" w:themeColor="text1"/>
          <w:sz w:val="24"/>
          <w:highlight w:val="none"/>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9.5</w:t>
      </w:r>
      <w:r>
        <w:rPr>
          <w:rFonts w:hint="eastAsia" w:ascii="宋体" w:hAnsi="宋体"/>
          <w:color w:val="000000" w:themeColor="text1"/>
          <w:sz w:val="24"/>
          <w:highlight w:val="none"/>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156" w:beforeLines="50" w:after="156" w:afterLines="50"/>
        <w:jc w:val="center"/>
        <w:rPr>
          <w:b/>
          <w:color w:val="000000" w:themeColor="text1"/>
          <w:sz w:val="24"/>
          <w:szCs w:val="24"/>
          <w:highlight w:val="none"/>
          <w14:textFill>
            <w14:solidFill>
              <w14:schemeClr w14:val="tx1"/>
            </w14:solidFill>
          </w14:textFill>
        </w:rPr>
      </w:pPr>
      <w:bookmarkStart w:id="13" w:name="_Toc2272551"/>
      <w:bookmarkEnd w:id="13"/>
      <w:r>
        <w:rPr>
          <w:rFonts w:hint="eastAsia"/>
          <w:b/>
          <w:color w:val="000000" w:themeColor="text1"/>
          <w:sz w:val="24"/>
          <w:szCs w:val="24"/>
          <w:highlight w:val="none"/>
          <w14:textFill>
            <w14:solidFill>
              <w14:schemeClr w14:val="tx1"/>
            </w14:solidFill>
          </w14:textFill>
        </w:rPr>
        <w:t>（三）投标文件的编制</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.投标文件的语言及度量衡单位</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投标文件和与投标有关的所有文件均应使用中文。</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除工程规范另有规定外，投标文件使用的度量衡单位，均采用中华人民共和国法定计量单位。</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.投标文件的组成</w:t>
      </w:r>
    </w:p>
    <w:p>
      <w:pPr>
        <w:pStyle w:val="34"/>
        <w:spacing w:line="360" w:lineRule="auto"/>
        <w:ind w:firstLine="480" w:firstLineChars="200"/>
        <w:rPr>
          <w:rFonts w:asci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投标文件由技术部分（含资格审查文件）和经济部分二部分投标文件组成</w:t>
      </w:r>
      <w:r>
        <w:rPr>
          <w:rFonts w:hint="eastAsia" w:ascii="宋体" w:hAnsi="宋体"/>
          <w:b/>
          <w:color w:val="000000" w:themeColor="text1"/>
          <w:sz w:val="24"/>
          <w:highlight w:val="none"/>
          <w14:textFill>
            <w14:solidFill>
              <w14:schemeClr w14:val="tx1"/>
            </w14:solidFill>
          </w14:textFill>
        </w:rPr>
        <w:t>。</w:t>
      </w:r>
    </w:p>
    <w:p>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11.2</w:t>
      </w:r>
      <w:r>
        <w:rPr>
          <w:rFonts w:hint="eastAsia" w:ascii="宋体" w:hAnsi="宋体"/>
          <w:bCs/>
          <w:color w:val="000000" w:themeColor="text1"/>
          <w:sz w:val="24"/>
          <w:highlight w:val="none"/>
          <w14:textFill>
            <w14:solidFill>
              <w14:schemeClr w14:val="tx1"/>
            </w14:solidFill>
          </w14:textFill>
        </w:rPr>
        <w:t>投标文件技术标部分主要包括下列内容</w:t>
      </w:r>
      <w:r>
        <w:rPr>
          <w:rFonts w:ascii="宋体" w:hAnsi="宋体"/>
          <w:bCs/>
          <w:color w:val="000000" w:themeColor="text1"/>
          <w:sz w:val="24"/>
          <w:highlight w:val="none"/>
          <w14:textFill>
            <w14:solidFill>
              <w14:schemeClr w14:val="tx1"/>
            </w14:solidFill>
          </w14:textFill>
        </w:rPr>
        <w:t>:</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11.2.1 技术投标文件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按招标文件的要求填写</w:t>
      </w:r>
      <w:r>
        <w:rPr>
          <w:rFonts w:ascii="宋体" w:hAnsi="宋体"/>
          <w:color w:val="000000" w:themeColor="text1"/>
          <w:sz w:val="24"/>
          <w:highlight w:val="none"/>
          <w14:textFill>
            <w14:solidFill>
              <w14:schemeClr w14:val="tx1"/>
            </w14:solidFill>
          </w14:textFill>
        </w:rPr>
        <w:t>)</w:t>
      </w:r>
      <w:r>
        <w:rPr>
          <w:rFonts w:hint="eastAsia" w:ascii="宋体"/>
          <w:bCs/>
          <w:color w:val="000000" w:themeColor="text1"/>
          <w:sz w:val="24"/>
          <w:highlight w:val="none"/>
          <w14:textFill>
            <w14:solidFill>
              <w14:schemeClr w14:val="tx1"/>
            </w14:solidFill>
          </w14:textFill>
        </w:rPr>
        <w:t>；</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11.2.2 资格审查文件：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 xml:space="preserve">（1）投标人声明； </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（2）法定代表人证明书、法定代表人签字或盖章的本投标文件授权委托证明书；</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（3）企业营业执照（取自平台内上传件）；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（4）企业资质证书（取自平台内上传件）；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（5）建筑施工企业安全生产许可证（取自平台内上传件）；</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（6）</w:t>
      </w:r>
      <w:r>
        <w:rPr>
          <w:rFonts w:hint="eastAsia" w:ascii="宋体" w:hAnsi="宋体"/>
          <w:bCs/>
          <w:color w:val="000000" w:themeColor="text1"/>
          <w:sz w:val="24"/>
          <w:szCs w:val="24"/>
          <w:highlight w:val="none"/>
          <w14:textFill>
            <w14:solidFill>
              <w14:schemeClr w14:val="tx1"/>
            </w14:solidFill>
          </w14:textFill>
        </w:rPr>
        <w:t>项目负责人（按网上投标登记时选择拟投标的项目负责人）</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（7）专职安全员（按网上投标登记时选择拟投标的专职安全员）</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（8）拟委托技术负责人的相关证书、资料（具体要求由招标人明确）</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 xml:space="preserve">（9）拟委派项目负责人的建造师注册证书（取自平台内上传件）； </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（10）项目负责人安全生产考核合格证明或在有效期内的安全考核合格证书（B类）或建筑施工企业项目负责人安全生产考核合格证书（取自平台内上传件）</w:t>
      </w:r>
      <w:r>
        <w:rPr>
          <w:rFonts w:hint="eastAsia" w:ascii="宋体"/>
          <w:bCs/>
          <w:color w:val="000000" w:themeColor="text1"/>
          <w:sz w:val="24"/>
          <w:szCs w:val="24"/>
          <w:highlight w:val="none"/>
          <w14:textFill>
            <w14:solidFill>
              <w14:schemeClr w14:val="tx1"/>
            </w14:solidFill>
          </w14:textFill>
        </w:rPr>
        <w:t>；</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（11）专职安全员须具有在有效期内的安全考核合格证书（C类）或建筑施工企业专职安全生产管理人员安全生产考核合格证书</w:t>
      </w:r>
      <w:r>
        <w:rPr>
          <w:rFonts w:hint="eastAsia" w:ascii="宋体"/>
          <w:bCs/>
          <w:color w:val="000000" w:themeColor="text1"/>
          <w:sz w:val="24"/>
          <w:szCs w:val="24"/>
          <w:highlight w:val="none"/>
          <w14:textFill>
            <w14:solidFill>
              <w14:schemeClr w14:val="tx1"/>
            </w14:solidFill>
          </w14:textFill>
        </w:rPr>
        <w:t>（取自平台内上传件）；</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（12）</w:t>
      </w:r>
      <w:r>
        <w:rPr>
          <w:rFonts w:hint="eastAsia" w:ascii="宋体" w:hAnsi="宋体"/>
          <w:bCs/>
          <w:color w:val="000000" w:themeColor="text1"/>
          <w:sz w:val="24"/>
          <w:szCs w:val="24"/>
          <w:highlight w:val="none"/>
          <w14:textFill>
            <w14:solidFill>
              <w14:schemeClr w14:val="tx1"/>
            </w14:solidFill>
          </w14:textFill>
        </w:rPr>
        <w:t>用于资格审查的业绩（设置业绩要求时选择此项，投标人</w:t>
      </w:r>
      <w:r>
        <w:rPr>
          <w:rFonts w:hint="eastAsia" w:ascii="宋体" w:hAnsi="宋体"/>
          <w:color w:val="000000" w:themeColor="text1"/>
          <w:sz w:val="24"/>
          <w:highlight w:val="none"/>
          <w14:textFill>
            <w14:solidFill>
              <w14:schemeClr w14:val="tx1"/>
            </w14:solidFill>
          </w14:textFill>
        </w:rPr>
        <w:t>须提供类似工程业绩的项目名称及项目编号，具体格式由招标人自定</w:t>
      </w:r>
      <w:r>
        <w:rPr>
          <w:rFonts w:hint="eastAsia" w:ascii="宋体" w:hAnsi="宋体"/>
          <w:bCs/>
          <w:color w:val="000000" w:themeColor="text1"/>
          <w:sz w:val="24"/>
          <w:szCs w:val="24"/>
          <w:highlight w:val="none"/>
          <w14:textFill>
            <w14:solidFill>
              <w14:schemeClr w14:val="tx1"/>
            </w14:solidFill>
          </w14:textFill>
        </w:rPr>
        <w:t>）；</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（14）列明主办单位的联合体工作协议（采用联合体投标时需递交，投标人拟任本工程项目负责人应为联合体主办方信用档案中的在册人员，</w:t>
      </w:r>
      <w:r>
        <w:rPr>
          <w:rFonts w:hint="eastAsia" w:ascii="宋体" w:hAnsi="宋体"/>
          <w:color w:val="000000" w:themeColor="text1"/>
          <w:sz w:val="24"/>
          <w:szCs w:val="24"/>
          <w:highlight w:val="none"/>
          <w14:textFill>
            <w14:solidFill>
              <w14:schemeClr w14:val="tx1"/>
            </w14:solidFill>
          </w14:textFill>
        </w:rPr>
        <w:t>联合体工作协议应明确约定各方拟承担的工作和责任</w:t>
      </w:r>
      <w:r>
        <w:rPr>
          <w:rFonts w:hint="eastAsia" w:ascii="宋体" w:hAnsi="宋体"/>
          <w:bCs/>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投标人具有在广州地区可使用适合本工程的机械设备的证明文件（</w:t>
      </w:r>
      <w:r>
        <w:rPr>
          <w:rFonts w:hint="eastAsia" w:ascii="宋体" w:hAnsi="宋体"/>
          <w:color w:val="000000" w:themeColor="text1"/>
          <w:sz w:val="24"/>
          <w:highlight w:val="none"/>
          <w14:textFill>
            <w14:solidFill>
              <w14:schemeClr w14:val="tx1"/>
            </w14:solidFill>
          </w14:textFill>
        </w:rPr>
        <w:t>提供沥青摊铺机自有发票或权属证明及设备现场全貌彩照（彩照须能反映其规格型号）</w:t>
      </w:r>
      <w:r>
        <w:rPr>
          <w:rFonts w:hint="eastAsia" w:ascii="宋体" w:hAnsi="宋体"/>
          <w:color w:val="000000" w:themeColor="text1"/>
          <w:sz w:val="24"/>
          <w:szCs w:val="24"/>
          <w:highlight w:val="none"/>
          <w14:textFill>
            <w14:solidFill>
              <w14:schemeClr w14:val="tx1"/>
            </w14:solidFill>
          </w14:textFill>
        </w:rPr>
        <w:t>）。（含有市政道路面层沥青摊铺且沥青摊铺占预计发包价50%或以上的大、中修市政公用工程需提供该项内容的证明文件）。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11.2.3</w:t>
      </w:r>
      <w:r>
        <w:rPr>
          <w:rFonts w:hint="eastAsia" w:ascii="宋体" w:hAnsi="宋体"/>
          <w:color w:val="000000" w:themeColor="text1"/>
          <w:sz w:val="24"/>
          <w:highlight w:val="none"/>
          <w14:textFill>
            <w14:solidFill>
              <w14:schemeClr w14:val="tx1"/>
            </w14:solidFill>
          </w14:textFill>
        </w:rPr>
        <w:t>项目管理机构配备。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）投标人应列出该项目工程的施工组织机构构成和画出机构框架图及其负责人；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）其他辅助说明资料。</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11.2.4</w:t>
      </w:r>
      <w:r>
        <w:rPr>
          <w:rFonts w:hint="eastAsia" w:ascii="宋体" w:hAnsi="宋体"/>
          <w:color w:val="000000" w:themeColor="text1"/>
          <w:sz w:val="24"/>
          <w:highlight w:val="none"/>
          <w14:textFill>
            <w14:solidFill>
              <w14:schemeClr w14:val="tx1"/>
            </w14:solidFill>
          </w14:textFill>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11.2.5</w:t>
      </w:r>
      <w:r>
        <w:rPr>
          <w:rFonts w:hint="eastAsia" w:ascii="宋体" w:hAnsi="宋体"/>
          <w:color w:val="000000" w:themeColor="text1"/>
          <w:sz w:val="24"/>
          <w:highlight w:val="none"/>
          <w14:textFill>
            <w14:solidFill>
              <w14:schemeClr w14:val="tx1"/>
            </w14:solidFill>
          </w14:textFill>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w:t>
      </w:r>
      <w:r>
        <w:rPr>
          <w:rFonts w:hint="eastAsia" w:ascii="宋体" w:hAnsi="宋体"/>
          <w:color w:val="000000" w:themeColor="text1"/>
          <w:sz w:val="24"/>
          <w:highlight w:val="none"/>
          <w14:textFill>
            <w14:solidFill>
              <w14:schemeClr w14:val="tx1"/>
            </w14:solidFill>
          </w14:textFill>
        </w:rPr>
        <w:t>6按照</w:t>
      </w:r>
      <w:r>
        <w:rPr>
          <w:rFonts w:hint="eastAsia" w:ascii="宋体" w:hAnsi="宋体"/>
          <w:bCs/>
          <w:color w:val="000000" w:themeColor="text1"/>
          <w:sz w:val="24"/>
          <w:highlight w:val="none"/>
          <w14:textFill>
            <w14:solidFill>
              <w14:schemeClr w14:val="tx1"/>
            </w14:solidFill>
          </w14:textFill>
        </w:rPr>
        <w:t>招标文件要求</w:t>
      </w:r>
      <w:r>
        <w:rPr>
          <w:rFonts w:hint="eastAsia" w:ascii="宋体" w:hAnsi="宋体"/>
          <w:color w:val="000000" w:themeColor="text1"/>
          <w:sz w:val="24"/>
          <w:highlight w:val="none"/>
          <w14:textFill>
            <w14:solidFill>
              <w14:schemeClr w14:val="tx1"/>
            </w14:solidFill>
          </w14:textFill>
        </w:rPr>
        <w:t>填写的《参与编制技术标投标文件人员名单》。</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11.3 </w:t>
      </w:r>
      <w:r>
        <w:rPr>
          <w:rFonts w:hint="eastAsia" w:ascii="宋体" w:hAnsi="宋体"/>
          <w:bCs/>
          <w:color w:val="000000" w:themeColor="text1"/>
          <w:sz w:val="24"/>
          <w:highlight w:val="none"/>
          <w14:textFill>
            <w14:solidFill>
              <w14:schemeClr w14:val="tx1"/>
            </w14:solidFill>
          </w14:textFill>
        </w:rPr>
        <w:t>经济部分投标文件主要包括下列内容：</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11.3.1 </w:t>
      </w:r>
      <w:r>
        <w:rPr>
          <w:rFonts w:hint="eastAsia" w:ascii="宋体" w:hAnsi="宋体"/>
          <w:color w:val="000000" w:themeColor="text1"/>
          <w:sz w:val="24"/>
          <w:highlight w:val="none"/>
          <w14:textFill>
            <w14:solidFill>
              <w14:schemeClr w14:val="tx1"/>
            </w14:solidFill>
          </w14:textFill>
        </w:rPr>
        <w:t>经济投标文件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按招标文件的要求填写</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11.3.2</w:t>
      </w:r>
      <w:r>
        <w:rPr>
          <w:rFonts w:hint="eastAsia" w:ascii="宋体" w:hAnsi="宋体"/>
          <w:color w:val="000000" w:themeColor="text1"/>
          <w:sz w:val="24"/>
          <w:highlight w:val="none"/>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highlight w:val="none"/>
          <w14:textFill>
            <w14:solidFill>
              <w14:schemeClr w14:val="tx1"/>
            </w14:solidFill>
          </w14:textFill>
        </w:rPr>
        <w:t>其中包括如下：</w:t>
      </w:r>
    </w:p>
    <w:p>
      <w:pPr>
        <w:spacing w:line="360" w:lineRule="auto"/>
        <w:ind w:firstLine="566" w:firstLineChars="236"/>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）投标总价封面、扉页；</w:t>
      </w:r>
    </w:p>
    <w:p>
      <w:pPr>
        <w:spacing w:line="360" w:lineRule="auto"/>
        <w:ind w:firstLine="566" w:firstLineChars="23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）总说明</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（3）工程项目投标报价汇总表；</w:t>
      </w:r>
    </w:p>
    <w:p>
      <w:pPr>
        <w:spacing w:line="360" w:lineRule="auto"/>
        <w:ind w:firstLine="566" w:firstLineChars="23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（4）单项工程投标报价汇总表；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（5）单位工程投标报价汇总表；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（6）分部分项工程清单与计价表；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（7）单价措施项目清单与计价表；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（8）总价措施项目清单与计价表；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（9）综合单价分析表；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（10）其他项目清单与计价汇总表；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（11）暂列金额明细表；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（12）材料（工程设备）暂估价明细表；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（13）专业工程暂估价明细表；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（14）计日工表；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（15）总承包服务计价表；</w:t>
      </w:r>
    </w:p>
    <w:p>
      <w:pPr>
        <w:spacing w:line="360" w:lineRule="auto"/>
        <w:ind w:firstLine="566" w:firstLineChars="236"/>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（16）规费和税金项目计价表；</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（17）人工、主要材料和设备一览表</w:t>
      </w:r>
    </w:p>
    <w:p>
      <w:pPr>
        <w:tabs>
          <w:tab w:val="left" w:pos="1125"/>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3按照</w:t>
      </w:r>
      <w:r>
        <w:rPr>
          <w:rFonts w:hint="eastAsia" w:ascii="宋体" w:hAnsi="宋体"/>
          <w:bCs/>
          <w:color w:val="000000" w:themeColor="text1"/>
          <w:sz w:val="24"/>
          <w:highlight w:val="none"/>
          <w14:textFill>
            <w14:solidFill>
              <w14:schemeClr w14:val="tx1"/>
            </w14:solidFill>
          </w14:textFill>
        </w:rPr>
        <w:t>招标文件要求</w:t>
      </w:r>
      <w:r>
        <w:rPr>
          <w:rFonts w:hint="eastAsia" w:ascii="宋体" w:hAnsi="宋体"/>
          <w:color w:val="000000" w:themeColor="text1"/>
          <w:sz w:val="24"/>
          <w:highlight w:val="none"/>
          <w14:textFill>
            <w14:solidFill>
              <w14:schemeClr w14:val="tx1"/>
            </w14:solidFill>
          </w14:textFill>
        </w:rPr>
        <w:t>填写的《参与编制经济标投标文件人员名单》。</w:t>
      </w:r>
    </w:p>
    <w:p>
      <w:pPr>
        <w:tabs>
          <w:tab w:val="left" w:pos="1125"/>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.投标文件格式</w:t>
      </w:r>
    </w:p>
    <w:p>
      <w:pPr>
        <w:pStyle w:val="34"/>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投标文件包括本须知第</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条中规定的内容，投标人提交的投标文件应当使用招标文件所提供的投标文件全部格式（表格可以按同样格式扩展）。</w:t>
      </w:r>
    </w:p>
    <w:p>
      <w:pPr>
        <w:pStyle w:val="34"/>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themeColor="text1"/>
          <w:sz w:val="24"/>
          <w:szCs w:val="24"/>
          <w:highlight w:val="none"/>
          <w14:textFill>
            <w14:solidFill>
              <w14:schemeClr w14:val="tx1"/>
            </w14:solidFill>
          </w14:textFill>
        </w:rPr>
        <w:t>全流程电子化项目的相关指南进行操作。详见： 。</w:t>
      </w:r>
    </w:p>
    <w:p>
      <w:pPr>
        <w:pStyle w:val="34"/>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12.3 </w:t>
      </w:r>
      <w:r>
        <w:rPr>
          <w:rFonts w:hint="eastAsia" w:ascii="宋体" w:hAnsi="宋体"/>
          <w:bCs/>
          <w:color w:val="000000" w:themeColor="text1"/>
          <w:sz w:val="24"/>
          <w:szCs w:val="24"/>
          <w:highlight w:val="none"/>
          <w14:textFill>
            <w14:solidFill>
              <w14:schemeClr w14:val="tx1"/>
            </w14:solidFill>
          </w14:textFill>
        </w:rPr>
        <w:t>投标文件应按</w:t>
      </w:r>
      <w:r>
        <w:rPr>
          <w:rFonts w:hint="eastAsia" w:ascii="宋体" w:hAnsi="宋体"/>
          <w:color w:val="000000" w:themeColor="text1"/>
          <w:sz w:val="24"/>
          <w:highlight w:val="none"/>
          <w14:textFill>
            <w14:solidFill>
              <w14:schemeClr w14:val="tx1"/>
            </w14:solidFill>
          </w14:textFill>
        </w:rPr>
        <w:t xml:space="preserve">照交易平台关于全流程电子化项目的相关指南进行编制，详见：。               </w:t>
      </w:r>
    </w:p>
    <w:p>
      <w:pPr>
        <w:pStyle w:val="34"/>
        <w:spacing w:line="360" w:lineRule="auto"/>
        <w:ind w:firstLine="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.投标报价及造价承包和变更结算方式</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13.1 </w:t>
      </w:r>
      <w:r>
        <w:rPr>
          <w:rFonts w:hint="eastAsia" w:ascii="宋体" w:hAnsi="宋体"/>
          <w:color w:val="000000" w:themeColor="text1"/>
          <w:sz w:val="24"/>
          <w:highlight w:val="none"/>
          <w14:textFill>
            <w14:solidFill>
              <w14:schemeClr w14:val="tx1"/>
            </w14:solidFill>
          </w14:textFill>
        </w:rPr>
        <w:t>本工程的投标报价采用投标须知前附表第</w:t>
      </w: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项所规定的方式。投标报价（含单价及总价）精确到“分”。</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r>
        <w:rPr>
          <w:rFonts w:hint="eastAsia" w:ascii="宋体" w:hAnsi="宋体"/>
          <w:color w:val="000000" w:themeColor="text1"/>
          <w:sz w:val="24"/>
          <w:highlight w:val="none"/>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13.4</w:t>
      </w:r>
      <w:r>
        <w:rPr>
          <w:rFonts w:hint="eastAsia" w:ascii="宋体" w:hAnsi="宋体"/>
          <w:color w:val="000000" w:themeColor="text1"/>
          <w:sz w:val="24"/>
          <w:highlight w:val="none"/>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13.5.4 </w:t>
      </w:r>
      <w:r>
        <w:rPr>
          <w:rFonts w:hint="eastAsia" w:ascii="宋体" w:hAnsi="宋体"/>
          <w:color w:val="000000" w:themeColor="text1"/>
          <w:sz w:val="24"/>
          <w:highlight w:val="none"/>
          <w14:textFill>
            <w14:solidFill>
              <w14:schemeClr w14:val="tx1"/>
            </w14:solidFill>
          </w14:textFill>
        </w:rPr>
        <w:t>如相关定额没有相应子目的，其计价方式由招标人在本招标文件第三章中另行规定。未规定的，中标后双方协商约定。</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w:t>
      </w:r>
      <w:r>
        <w:rPr>
          <w:rFonts w:hint="eastAsia" w:ascii="宋体" w:hAnsi="宋体"/>
          <w:color w:val="000000" w:themeColor="text1"/>
          <w:sz w:val="24"/>
          <w:highlight w:val="none"/>
          <w14:textFill>
            <w14:solidFill>
              <w14:schemeClr w14:val="tx1"/>
            </w14:solidFill>
          </w14:textFill>
        </w:rPr>
        <w:t>暂列金额、暂估价</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13.6.1</w:t>
      </w:r>
      <w:r>
        <w:rPr>
          <w:rFonts w:hint="eastAsia" w:ascii="宋体" w:hAnsi="宋体"/>
          <w:color w:val="000000" w:themeColor="text1"/>
          <w:sz w:val="24"/>
          <w:highlight w:val="none"/>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暂估价是指招标人在工程量清单中提供的用于支付必然发生但暂时不能确定价格的材料的单价以及专业工程的金额。</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13.6.2</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13.6.3</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13.6.4</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款规定确定。</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13.6.5</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13.6.6 </w:t>
      </w:r>
      <w:r>
        <w:rPr>
          <w:rFonts w:hint="eastAsia" w:ascii="宋体" w:hAnsi="宋体"/>
          <w:color w:val="000000" w:themeColor="text1"/>
          <w:sz w:val="24"/>
          <w:highlight w:val="none"/>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r>
        <w:rPr>
          <w:rFonts w:hint="eastAsia" w:ascii="宋体" w:hAnsi="宋体"/>
          <w:color w:val="000000" w:themeColor="text1"/>
          <w:sz w:val="24"/>
          <w:highlight w:val="none"/>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pPr>
        <w:pStyle w:val="34"/>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.投标货币</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14.1 </w:t>
      </w:r>
      <w:r>
        <w:rPr>
          <w:rFonts w:hint="eastAsia" w:ascii="宋体" w:hAnsi="宋体"/>
          <w:color w:val="000000" w:themeColor="text1"/>
          <w:sz w:val="24"/>
          <w:highlight w:val="none"/>
          <w14:textFill>
            <w14:solidFill>
              <w14:schemeClr w14:val="tx1"/>
            </w14:solidFill>
          </w14:textFill>
        </w:rPr>
        <w:t>本工程投标报价采用的币种为人民币。</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.投标有效期</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15.1 </w:t>
      </w:r>
      <w:r>
        <w:rPr>
          <w:rFonts w:hint="eastAsia" w:ascii="宋体" w:hAnsi="宋体"/>
          <w:color w:val="000000" w:themeColor="text1"/>
          <w:sz w:val="24"/>
          <w:highlight w:val="none"/>
          <w14:textFill>
            <w14:solidFill>
              <w14:schemeClr w14:val="tx1"/>
            </w14:solidFill>
          </w14:textFill>
        </w:rPr>
        <w:t>投标有效期见投标须知前附表第</w:t>
      </w:r>
      <w:r>
        <w:rPr>
          <w:rFonts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项所规定的期限，在此期限内，凡符合本招标文件要求的投标文件均保持有效。</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投标人应按投标须知前附表第</w:t>
      </w:r>
      <w:r>
        <w:rPr>
          <w:rFonts w:ascii="宋体" w:hAnsi="宋体"/>
          <w:color w:val="000000" w:themeColor="text1"/>
          <w:sz w:val="24"/>
          <w:highlight w:val="none"/>
          <w14:textFill>
            <w14:solidFill>
              <w14:schemeClr w14:val="tx1"/>
            </w14:solidFill>
          </w14:textFill>
        </w:rPr>
        <w:t>14</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16.4.1因投标人原因造成投标文件未解密的；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16.4.2投标人在投标有效期内撤销投标文件；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16.4.3中标人未能在规定期限内按要求提交履约担保；</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16.4.4中标人未能在规定期限内签署合同协议。</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16.5.3按招标文件要求免于提供投标保证金的投标人存在16.4条款所列情形的。</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注：16.5.3款由招标人二选一，需在招标文件中明确。</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.投标文件的签署</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w:t>
      </w:r>
      <w:r>
        <w:rPr>
          <w:rFonts w:hint="eastAsia" w:ascii="宋体" w:hAnsi="宋体"/>
          <w:color w:val="000000" w:themeColor="text1"/>
          <w:sz w:val="24"/>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before="156" w:beforeLines="50" w:after="156" w:afterLines="50"/>
        <w:jc w:val="center"/>
        <w:rPr>
          <w:b/>
          <w:color w:val="000000" w:themeColor="text1"/>
          <w:sz w:val="24"/>
          <w:szCs w:val="24"/>
          <w:highlight w:val="none"/>
          <w14:textFill>
            <w14:solidFill>
              <w14:schemeClr w14:val="tx1"/>
            </w14:solidFill>
          </w14:textFill>
        </w:rPr>
      </w:pPr>
      <w:bookmarkStart w:id="14" w:name="_Toc2272552"/>
      <w:bookmarkEnd w:id="14"/>
      <w:r>
        <w:rPr>
          <w:rFonts w:hint="eastAsia"/>
          <w:b/>
          <w:color w:val="000000" w:themeColor="text1"/>
          <w:sz w:val="24"/>
          <w:szCs w:val="24"/>
          <w:highlight w:val="none"/>
          <w14:textFill>
            <w14:solidFill>
              <w14:schemeClr w14:val="tx1"/>
            </w14:solidFill>
          </w14:textFill>
        </w:rPr>
        <w:t>（四）投标文件的提交</w:t>
      </w:r>
    </w:p>
    <w:p>
      <w:pPr>
        <w:pStyle w:val="7"/>
        <w:ind w:firstLine="482"/>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18</w:t>
      </w:r>
      <w:r>
        <w:rPr>
          <w:rFonts w:hint="eastAsia"/>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投标文件的密封和标记</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递交的电子投标文件（不含备用光盘）必须进行加密。按照交易平台关于</w:t>
      </w:r>
      <w:r>
        <w:rPr>
          <w:rFonts w:hint="eastAsia"/>
          <w:color w:val="000000" w:themeColor="text1"/>
          <w:sz w:val="24"/>
          <w:szCs w:val="24"/>
          <w:highlight w:val="none"/>
          <w14:textFill>
            <w14:solidFill>
              <w14:schemeClr w14:val="tx1"/>
            </w14:solidFill>
          </w14:textFill>
        </w:rPr>
        <w:t>全流程电子化项目的相关指南进行操作。详见： 。</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.2</w:t>
      </w:r>
      <w:r>
        <w:rPr>
          <w:rFonts w:hint="eastAsia" w:ascii="宋体"/>
          <w:bCs/>
          <w:color w:val="000000" w:themeColor="text1"/>
          <w:sz w:val="24"/>
          <w:highlight w:val="none"/>
          <w14:textFill>
            <w14:solidFill>
              <w14:schemeClr w14:val="tx1"/>
            </w14:solidFill>
          </w14:textFill>
        </w:rPr>
        <w:t>未按要求加密的投标文件，</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bCs/>
          <w:color w:val="000000" w:themeColor="text1"/>
          <w:sz w:val="24"/>
          <w:highlight w:val="none"/>
          <w14:textFill>
            <w14:solidFill>
              <w14:schemeClr w14:val="tx1"/>
            </w14:solidFill>
          </w14:textFill>
        </w:rPr>
        <w:t>将予以拒收。</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.投标文件的递交和接收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1投标人通过</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2投标人完成电子</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bCs/>
          <w:color w:val="000000" w:themeColor="text1"/>
          <w:sz w:val="24"/>
          <w:highlight w:val="none"/>
          <w14:textFill>
            <w14:solidFill>
              <w14:schemeClr w14:val="tx1"/>
            </w14:solidFill>
          </w14:textFill>
        </w:rPr>
        <w:t>上传后，</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即时向投标人发出递交回执通知。递交时间以递交回执通知载明的传输完成时间为准。</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3</w:t>
      </w:r>
      <w:r>
        <w:rPr>
          <w:rFonts w:hint="eastAsia"/>
          <w:bCs/>
          <w:color w:val="000000" w:themeColor="text1"/>
          <w:sz w:val="24"/>
          <w:szCs w:val="24"/>
          <w:highlight w:val="none"/>
          <w14:textFill>
            <w14:solidFill>
              <w14:schemeClr w14:val="tx1"/>
            </w14:solidFill>
          </w14:textFill>
        </w:rPr>
        <w:t>逾期送达的</w:t>
      </w:r>
      <w:r>
        <w:rPr>
          <w:rFonts w:hint="eastAsia" w:ascii="宋体" w:hAnsi="宋体"/>
          <w:bCs/>
          <w:color w:val="000000" w:themeColor="text1"/>
          <w:sz w:val="24"/>
          <w:highlight w:val="none"/>
          <w14:textFill>
            <w14:solidFill>
              <w14:schemeClr w14:val="tx1"/>
            </w14:solidFill>
          </w14:textFill>
        </w:rPr>
        <w:t>电子投标文件，</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投标截止前，</w:t>
      </w:r>
      <w:r>
        <w:rPr>
          <w:rFonts w:hint="eastAsia"/>
          <w:color w:val="000000" w:themeColor="text1"/>
          <w:sz w:val="24"/>
          <w:szCs w:val="24"/>
          <w:highlight w:val="none"/>
          <w14:textFill>
            <w14:solidFill>
              <w14:schemeClr w14:val="tx1"/>
            </w14:solidFill>
          </w14:textFill>
        </w:rPr>
        <w:t>招标人拒绝接收符合条件的投标文件，投标人可向招标投标监督机构投诉。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5如技术标和经济标先后分别开启，</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将按招标文件规定的时间分别开启技术标和经济标。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19.6</w:t>
      </w:r>
      <w:r>
        <w:rPr>
          <w:rFonts w:hint="eastAsia" w:ascii="宋体" w:hAnsi="宋体"/>
          <w:color w:val="000000" w:themeColor="text1"/>
          <w:sz w:val="24"/>
          <w:szCs w:val="24"/>
          <w:highlight w:val="none"/>
          <w14:textFill>
            <w14:solidFill>
              <w14:schemeClr w14:val="tx1"/>
            </w14:solidFill>
          </w14:textFill>
        </w:rPr>
        <w:t>在规定的时间内，项目负责人须到自助签到。按照交易平台有关项目负责人自助签到流程进行操作。项目负责人凡未凭身份证按时到达指定地点签到的，</w:t>
      </w:r>
      <w:r>
        <w:rPr>
          <w:rFonts w:hint="eastAsia" w:ascii="宋体" w:hAnsi="宋体"/>
          <w:color w:val="000000" w:themeColor="text1"/>
          <w:sz w:val="24"/>
          <w:highlight w:val="none"/>
          <w14:textFill>
            <w14:solidFill>
              <w14:schemeClr w14:val="tx1"/>
            </w14:solidFill>
          </w14:textFill>
        </w:rPr>
        <w:t>该投标文件将不能参与资格审查和评标</w:t>
      </w:r>
      <w:r>
        <w:rPr>
          <w:rFonts w:hint="eastAsia" w:ascii="宋体" w:hAnsi="宋体"/>
          <w:color w:val="000000" w:themeColor="text1"/>
          <w:sz w:val="24"/>
          <w:szCs w:val="24"/>
          <w:highlight w:val="none"/>
          <w14:textFill>
            <w14:solidFill>
              <w14:schemeClr w14:val="tx1"/>
            </w14:solidFill>
          </w14:textFill>
        </w:rPr>
        <w:t>（选择性条款）。</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20.1</w:t>
      </w:r>
      <w:r>
        <w:rPr>
          <w:rFonts w:hint="eastAsia" w:ascii="宋体" w:hAnsi="宋体"/>
          <w:color w:val="000000" w:themeColor="text1"/>
          <w:sz w:val="24"/>
          <w:highlight w:val="none"/>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招标人可按本须知第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20.3 </w:t>
      </w:r>
      <w:r>
        <w:rPr>
          <w:rFonts w:hint="eastAsia" w:ascii="宋体" w:hAnsi="宋体"/>
          <w:color w:val="000000" w:themeColor="text1"/>
          <w:sz w:val="24"/>
          <w:highlight w:val="none"/>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highlight w:val="none"/>
          <w14:textFill>
            <w14:solidFill>
              <w14:schemeClr w14:val="tx1"/>
            </w14:solidFill>
          </w14:textFill>
        </w:rPr>
        <w:t>。</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.迟交的投标文件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 </w:t>
      </w:r>
      <w:r>
        <w:rPr>
          <w:rFonts w:hint="eastAsia" w:ascii="宋体" w:hAnsi="宋体"/>
          <w:color w:val="000000" w:themeColor="text1"/>
          <w:sz w:val="24"/>
          <w:highlight w:val="none"/>
          <w14:textFill>
            <w14:solidFill>
              <w14:schemeClr w14:val="tx1"/>
            </w14:solidFill>
          </w14:textFill>
        </w:rPr>
        <w:t>本须知前附表第</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7项规定的投标截止时间</w:t>
      </w:r>
      <w:r>
        <w:rPr>
          <w:rFonts w:hint="eastAsia"/>
          <w:bCs/>
          <w:color w:val="000000" w:themeColor="text1"/>
          <w:sz w:val="24"/>
          <w:szCs w:val="24"/>
          <w:highlight w:val="none"/>
          <w14:textFill>
            <w14:solidFill>
              <w14:schemeClr w14:val="tx1"/>
            </w14:solidFill>
          </w14:textFill>
        </w:rPr>
        <w:t>后送达的</w:t>
      </w:r>
      <w:r>
        <w:rPr>
          <w:rFonts w:hint="eastAsia" w:ascii="宋体" w:hAnsi="宋体"/>
          <w:bCs/>
          <w:color w:val="000000" w:themeColor="text1"/>
          <w:sz w:val="24"/>
          <w:highlight w:val="none"/>
          <w14:textFill>
            <w14:solidFill>
              <w14:schemeClr w14:val="tx1"/>
            </w14:solidFill>
          </w14:textFill>
        </w:rPr>
        <w:t>电子投标文件，</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.投标文件的修改与撤回</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r>
        <w:rPr>
          <w:rFonts w:hint="eastAsia" w:ascii="宋体" w:hAnsi="宋体"/>
          <w:color w:val="000000" w:themeColor="text1"/>
          <w:sz w:val="24"/>
          <w:highlight w:val="none"/>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22.2</w:t>
      </w:r>
      <w:r>
        <w:rPr>
          <w:color w:val="000000" w:themeColor="text1"/>
          <w:sz w:val="24"/>
          <w:szCs w:val="24"/>
          <w:highlight w:val="none"/>
          <w14:textFill>
            <w14:solidFill>
              <w14:schemeClr w14:val="tx1"/>
            </w14:solidFill>
          </w14:textFill>
        </w:rPr>
        <w:t>投标人修改或撤回已递交</w:t>
      </w:r>
      <w:r>
        <w:rPr>
          <w:rFonts w:hint="eastAsia"/>
          <w:color w:val="000000" w:themeColor="text1"/>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，需在</w:t>
      </w:r>
      <w:r>
        <w:rPr>
          <w:rFonts w:hint="eastAsia" w:ascii="宋体" w:hAnsi="宋体"/>
          <w:color w:val="000000" w:themeColor="text1"/>
          <w:sz w:val="24"/>
          <w:highlight w:val="none"/>
          <w14:textFill>
            <w14:solidFill>
              <w14:schemeClr w14:val="tx1"/>
            </w14:solidFill>
          </w14:textFill>
        </w:rPr>
        <w:t>交易平台发出修改或撤回</w:t>
      </w:r>
      <w:r>
        <w:rPr>
          <w:color w:val="000000" w:themeColor="text1"/>
          <w:sz w:val="24"/>
          <w:szCs w:val="24"/>
          <w:highlight w:val="none"/>
          <w14:textFill>
            <w14:solidFill>
              <w14:schemeClr w14:val="tx1"/>
            </w14:solidFill>
          </w14:textFill>
        </w:rPr>
        <w:t>通知，</w:t>
      </w:r>
      <w:r>
        <w:rPr>
          <w:rFonts w:hint="eastAsia"/>
          <w:color w:val="000000" w:themeColor="text1"/>
          <w:sz w:val="24"/>
          <w:szCs w:val="24"/>
          <w:highlight w:val="none"/>
          <w14:textFill>
            <w14:solidFill>
              <w14:schemeClr w14:val="tx1"/>
            </w14:solidFill>
          </w14:textFill>
        </w:rPr>
        <w:t>并按</w:t>
      </w:r>
      <w:r>
        <w:rPr>
          <w:color w:val="000000" w:themeColor="text1"/>
          <w:sz w:val="24"/>
          <w:szCs w:val="24"/>
          <w:highlight w:val="none"/>
          <w14:textFill>
            <w14:solidFill>
              <w14:schemeClr w14:val="tx1"/>
            </w14:solidFill>
          </w14:textFill>
        </w:rPr>
        <w:t>要求加盖电子印章。</w:t>
      </w:r>
      <w:r>
        <w:rPr>
          <w:bCs/>
          <w:iCs/>
          <w:color w:val="000000" w:themeColor="text1"/>
          <w:sz w:val="24"/>
          <w:szCs w:val="24"/>
          <w:highlight w:val="none"/>
          <w14:textFill>
            <w14:solidFill>
              <w14:schemeClr w14:val="tx1"/>
            </w14:solidFill>
          </w14:textFill>
        </w:rPr>
        <w:t>电子招标投标交易平台收到通知后，</w:t>
      </w:r>
      <w:r>
        <w:rPr>
          <w:color w:val="000000" w:themeColor="text1"/>
          <w:sz w:val="24"/>
          <w:szCs w:val="24"/>
          <w:highlight w:val="none"/>
          <w14:textFill>
            <w14:solidFill>
              <w14:schemeClr w14:val="tx1"/>
            </w14:solidFill>
          </w14:textFill>
        </w:rPr>
        <w:t>即时向投标人发出确认回执通知。</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22.3</w:t>
      </w:r>
      <w:r>
        <w:rPr>
          <w:rFonts w:hint="eastAsia"/>
          <w:color w:val="000000" w:themeColor="text1"/>
          <w:sz w:val="24"/>
          <w:szCs w:val="24"/>
          <w:highlight w:val="none"/>
          <w14:textFill>
            <w14:solidFill>
              <w14:schemeClr w14:val="tx1"/>
            </w14:solidFill>
          </w14:textFill>
        </w:rPr>
        <w:t>修改后再次递交的，按19点的规定执行。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4在投标截止时间之后，投标人不得补充、修改和更换投标文件。</w:t>
      </w:r>
    </w:p>
    <w:p>
      <w:pPr>
        <w:spacing w:before="156" w:beforeLines="50" w:after="156" w:afterLines="50"/>
        <w:jc w:val="center"/>
        <w:rPr>
          <w:b/>
          <w:color w:val="000000" w:themeColor="text1"/>
          <w:sz w:val="24"/>
          <w:szCs w:val="24"/>
          <w:highlight w:val="none"/>
          <w14:textFill>
            <w14:solidFill>
              <w14:schemeClr w14:val="tx1"/>
            </w14:solidFill>
          </w14:textFill>
        </w:rPr>
      </w:pPr>
      <w:bookmarkStart w:id="15" w:name="_Toc2272553"/>
      <w:bookmarkEnd w:id="15"/>
      <w:r>
        <w:rPr>
          <w:rFonts w:hint="eastAsia"/>
          <w:b/>
          <w:color w:val="000000" w:themeColor="text1"/>
          <w:sz w:val="24"/>
          <w:szCs w:val="24"/>
          <w:highlight w:val="none"/>
          <w14:textFill>
            <w14:solidFill>
              <w14:schemeClr w14:val="tx1"/>
            </w14:solidFill>
          </w14:textFill>
        </w:rPr>
        <w:t>（五）开标、评标、定标及合同签定</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.开标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详见第二章开标、评标及定标办法</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t>.评标过程的保密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24.1 </w:t>
      </w:r>
      <w:r>
        <w:rPr>
          <w:rFonts w:hint="eastAsia" w:ascii="宋体" w:hAnsi="宋体"/>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26</w:t>
      </w:r>
      <w:r>
        <w:rPr>
          <w:rFonts w:hint="eastAsia"/>
          <w:color w:val="000000" w:themeColor="text1"/>
          <w:highlight w:val="none"/>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.中标通知书</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27.2</w:t>
      </w:r>
      <w:r>
        <w:rPr>
          <w:rFonts w:hint="eastAsia" w:ascii="宋体" w:hAnsi="宋体"/>
          <w:color w:val="000000" w:themeColor="text1"/>
          <w:sz w:val="24"/>
          <w:highlight w:val="none"/>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27.3</w:t>
      </w:r>
      <w:r>
        <w:rPr>
          <w:rFonts w:hint="eastAsia" w:ascii="宋体" w:hAnsi="宋体"/>
          <w:color w:val="000000" w:themeColor="text1"/>
          <w:sz w:val="24"/>
          <w:highlight w:val="none"/>
          <w14:textFill>
            <w14:solidFill>
              <w14:schemeClr w14:val="tx1"/>
            </w14:solidFill>
          </w14:textFill>
        </w:rPr>
        <w:t>中标人必须在收到中标通知书后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小时之内以书面形式回复招标人，确认收到。</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27.4在产生中标候选人后，招标人将中标候选人的投标文件商务部分文件的所有内容（包括人员、业绩、奖项等资料）在交易平台和广东省招标投标监管网公开。</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.合同协议书的签订</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28.1 </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28.3</w:t>
      </w:r>
      <w:r>
        <w:rPr>
          <w:rFonts w:hint="eastAsia" w:ascii="宋体" w:hAnsi="宋体"/>
          <w:color w:val="000000" w:themeColor="text1"/>
          <w:sz w:val="24"/>
          <w:highlight w:val="none"/>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28.4</w:t>
      </w:r>
      <w:r>
        <w:rPr>
          <w:rFonts w:hint="eastAsia" w:ascii="宋体" w:hAnsi="宋体"/>
          <w:color w:val="000000" w:themeColor="text1"/>
          <w:sz w:val="24"/>
          <w:highlight w:val="none"/>
          <w14:textFill>
            <w14:solidFill>
              <w14:schemeClr w14:val="tx1"/>
            </w14:solidFill>
          </w14:textFill>
        </w:rPr>
        <w:t>招标人支付工程款时，中标人应按规定开具发票。</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.履约担保</w:t>
      </w:r>
    </w:p>
    <w:p>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29.1 </w:t>
      </w:r>
      <w:r>
        <w:rPr>
          <w:rFonts w:hint="eastAsia" w:ascii="宋体" w:hAnsi="宋体"/>
          <w:color w:val="000000" w:themeColor="text1"/>
          <w:sz w:val="24"/>
          <w:highlight w:val="none"/>
          <w14:textFill>
            <w14:solidFill>
              <w14:schemeClr w14:val="tx1"/>
            </w14:solidFill>
          </w14:textFill>
        </w:rPr>
        <w:t>在收到中标通知书后的</w:t>
      </w:r>
      <w:r>
        <w:rPr>
          <w:rFonts w:ascii="宋体" w:hAnsi="宋体"/>
          <w:b/>
          <w:color w:val="000000" w:themeColor="text1"/>
          <w:sz w:val="24"/>
          <w:highlight w:val="none"/>
          <w14:textFill>
            <w14:solidFill>
              <w14:schemeClr w14:val="tx1"/>
            </w14:solidFill>
          </w14:textFill>
        </w:rPr>
        <w:t>15</w:t>
      </w:r>
      <w:r>
        <w:rPr>
          <w:rFonts w:hint="eastAsia" w:ascii="宋体" w:hAnsi="宋体"/>
          <w:b/>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内，中标人应按本须知前附表第</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0项的规定向招标人提交履约担保。</w:t>
      </w:r>
    </w:p>
    <w:p>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29.2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.合同生效</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30.1</w:t>
      </w:r>
      <w:r>
        <w:rPr>
          <w:rFonts w:hint="eastAsia" w:ascii="宋体" w:hAnsi="宋体"/>
          <w:color w:val="000000" w:themeColor="text1"/>
          <w:sz w:val="24"/>
          <w:highlight w:val="none"/>
          <w14:textFill>
            <w14:solidFill>
              <w14:schemeClr w14:val="tx1"/>
            </w14:solidFill>
          </w14:textFill>
        </w:rPr>
        <w:t>在合同双方全权代表在合同协议书上签字，并分别加盖双方单位的公章后，合同正式生效。</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.其它费用</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w:t>
      </w:r>
      <w:r>
        <w:rPr>
          <w:rFonts w:hint="eastAsia"/>
          <w:color w:val="000000" w:themeColor="text1"/>
          <w:highlight w:val="none"/>
          <w14:textFill>
            <w14:solidFill>
              <w14:schemeClr w14:val="tx1"/>
            </w14:solidFill>
          </w14:textFill>
        </w:rPr>
        <w:t>.腐败与欺诈行为</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在招标和合同实施期间，招标人要求投标人和承包人遵守最高的道德标准。</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对本条款的规定，特定义如下词汇：</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）、“腐败行为”是指在招标或合同执行期间，通过提供、给予、接受或索要任何有价值的东西，从而影响招标人有关人员工作的行为；</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4"/>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如果投标人被认定在本招标的竞争中有腐败或欺诈行为，则会被取消投标资格。</w:t>
      </w:r>
    </w:p>
    <w:p>
      <w:pPr>
        <w:pStyle w:val="34"/>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rPr>
          <w:color w:val="000000" w:themeColor="text1"/>
          <w:highlight w:val="none"/>
          <w14:textFill>
            <w14:solidFill>
              <w14:schemeClr w14:val="tx1"/>
            </w14:solidFill>
          </w14:textFill>
        </w:rPr>
      </w:pPr>
      <w:bookmarkStart w:id="16" w:name="_Toc2272554"/>
      <w:bookmarkEnd w:id="16"/>
      <w:r>
        <w:rPr>
          <w:rFonts w:ascii="宋体"/>
          <w:color w:val="000000" w:themeColor="text1"/>
          <w:highlight w:val="none"/>
          <w14:textFill>
            <w14:solidFill>
              <w14:schemeClr w14:val="tx1"/>
            </w14:solidFill>
          </w14:textFill>
        </w:rPr>
        <w:br w:type="page"/>
      </w:r>
      <w:bookmarkStart w:id="17" w:name="_Toc115117422"/>
      <w:r>
        <w:rPr>
          <w:rFonts w:hint="eastAsia"/>
          <w:color w:val="000000" w:themeColor="text1"/>
          <w:highlight w:val="none"/>
          <w14:textFill>
            <w14:solidFill>
              <w14:schemeClr w14:val="tx1"/>
            </w14:solidFill>
          </w14:textFill>
        </w:rPr>
        <w:t>第二章开标、评标及定标办法</w:t>
      </w:r>
      <w:bookmarkEnd w:id="17"/>
    </w:p>
    <w:p>
      <w:pPr>
        <w:pStyle w:val="6"/>
        <w:rPr>
          <w:color w:val="000000" w:themeColor="text1"/>
          <w:highlight w:val="none"/>
          <w14:textFill>
            <w14:solidFill>
              <w14:schemeClr w14:val="tx1"/>
            </w14:solidFill>
          </w14:textFill>
        </w:rPr>
      </w:pPr>
      <w:bookmarkStart w:id="18" w:name="_Toc2272555"/>
      <w:bookmarkEnd w:id="18"/>
      <w:bookmarkStart w:id="19" w:name="_Toc115117423"/>
      <w:r>
        <w:rPr>
          <w:rFonts w:hint="eastAsia"/>
          <w:color w:val="000000" w:themeColor="text1"/>
          <w:sz w:val="28"/>
          <w:szCs w:val="28"/>
          <w:highlight w:val="none"/>
          <w14:textFill>
            <w14:solidFill>
              <w14:schemeClr w14:val="tx1"/>
            </w14:solidFill>
          </w14:textFill>
        </w:rPr>
        <w:t>一、</w:t>
      </w:r>
      <w:r>
        <w:rPr>
          <w:rFonts w:hint="eastAsia"/>
          <w:color w:val="000000" w:themeColor="text1"/>
          <w:highlight w:val="none"/>
          <w14:textFill>
            <w14:solidFill>
              <w14:schemeClr w14:val="tx1"/>
            </w14:solidFill>
          </w14:textFill>
        </w:rPr>
        <w:t>开标、评标及定标办法修改表</w:t>
      </w:r>
      <w:bookmarkEnd w:id="19"/>
    </w:p>
    <w:p>
      <w:pPr>
        <w:pStyle w:val="34"/>
        <w:pBdr>
          <w:bottom w:val="single" w:color="auto" w:sz="6" w:space="1"/>
        </w:pBd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36.1            修改类型：修改</w:t>
      </w:r>
    </w:p>
    <w:p>
      <w:pPr>
        <w:spacing w:line="312"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12"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000000" w:themeColor="text1"/>
          <w:szCs w:val="21"/>
          <w:highlight w:val="none"/>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36.3               修改类型：删除</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36.4             修改类型：修改</w:t>
      </w:r>
    </w:p>
    <w:p>
      <w:pPr>
        <w:spacing w:line="312" w:lineRule="auto"/>
        <w:ind w:firstLine="413"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36.4若递交投标文件的投标人不足3家，则重新组织招标。（当N个标段同时招标且不允许兼中时，若有效投标人不足N+2家，则重新组织招标）</w:t>
      </w:r>
    </w:p>
    <w:p>
      <w:pPr>
        <w:pBdr>
          <w:bottom w:val="single" w:color="auto" w:sz="6" w:space="1"/>
        </w:pBdr>
        <w:spacing w:line="312" w:lineRule="auto"/>
        <w:ind w:firstLine="413"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u w:val="single"/>
          <w14:textFill>
            <w14:solidFill>
              <w14:schemeClr w14:val="tx1"/>
            </w14:solidFill>
          </w14:textFill>
        </w:rPr>
        <w:t>36.4若递交投标文件的投标人不足3家，则重新组织招标。</w:t>
      </w:r>
    </w:p>
    <w:p>
      <w:pPr>
        <w:pStyle w:val="2"/>
        <w:spacing w:line="312" w:lineRule="auto"/>
        <w:rPr>
          <w:color w:val="000000" w:themeColor="text1"/>
          <w:highlight w:val="none"/>
          <w14:textFill>
            <w14:solidFill>
              <w14:schemeClr w14:val="tx1"/>
            </w14:solidFill>
          </w14:textFill>
        </w:rPr>
      </w:pP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36.5.1             修改类型：修改</w:t>
      </w:r>
    </w:p>
    <w:p>
      <w:pP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36.5.1在投标截止时间后半小时内，投标人通过</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交易平台对已递交的电子投标文件进行解密。投标人完成解密后，再由招标人</w:t>
      </w:r>
      <w:r>
        <w:rPr>
          <w:rFonts w:hint="eastAsia" w:ascii="宋体" w:hAnsi="宋体" w:cs="宋体"/>
          <w:color w:val="000000" w:themeColor="text1"/>
          <w:szCs w:val="21"/>
          <w:highlight w:val="none"/>
          <w:u w:val="single"/>
          <w14:textFill>
            <w14:solidFill>
              <w14:schemeClr w14:val="tx1"/>
            </w14:solidFill>
          </w14:textFill>
        </w:rPr>
        <w:t>或招标代理</w:t>
      </w:r>
      <w:r>
        <w:rPr>
          <w:rFonts w:hint="eastAsia" w:ascii="宋体" w:hAnsi="宋体" w:cs="宋体"/>
          <w:color w:val="000000" w:themeColor="text1"/>
          <w:szCs w:val="21"/>
          <w:highlight w:val="none"/>
          <w14:textFill>
            <w14:solidFill>
              <w14:schemeClr w14:val="tx1"/>
            </w14:solidFill>
          </w14:textFill>
        </w:rPr>
        <w:t>进行解密。解密完成后，公布招标项目名称、投标人名称、投标保证金的递交情况、投标报价、工期及其他内容；</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36.5.3           修改类型：修改</w:t>
      </w:r>
    </w:p>
    <w:p>
      <w:pPr>
        <w:spacing w:line="312"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36.5.3</w:t>
      </w:r>
      <w:r>
        <w:rPr>
          <w:rFonts w:hint="eastAsia" w:ascii="宋体" w:hAnsi="宋体" w:cs="宋体"/>
          <w:color w:val="000000" w:themeColor="text1"/>
          <w:szCs w:val="21"/>
          <w:highlight w:val="none"/>
          <w14:textFill>
            <w14:solidFill>
              <w14:schemeClr w14:val="tx1"/>
            </w14:solidFill>
          </w14:textFill>
        </w:rPr>
        <w:t>投标人代表、招标人代表、监标人、记录人等有关人员在开标记录上签字确认；若有关人员不签字的，不影响开标程序；</w:t>
      </w:r>
    </w:p>
    <w:p>
      <w:pPr>
        <w:pBdr>
          <w:bottom w:val="single" w:color="auto" w:sz="6"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36.5.3</w:t>
      </w:r>
      <w:r>
        <w:rPr>
          <w:rFonts w:hint="eastAsia" w:ascii="宋体" w:hAnsi="宋体" w:cs="宋体"/>
          <w:color w:val="000000" w:themeColor="text1"/>
          <w:szCs w:val="21"/>
          <w:highlight w:val="none"/>
          <w14:textFill>
            <w14:solidFill>
              <w14:schemeClr w14:val="tx1"/>
            </w14:solidFill>
          </w14:textFill>
        </w:rPr>
        <w:t>投标人代表、招标人代表、监标人、记录人等有关人员在开标记录上签字确认；若有关人员不签字的，不影响开标程序；</w:t>
      </w:r>
      <w:r>
        <w:rPr>
          <w:rFonts w:hint="eastAsia" w:ascii="宋体" w:hAnsi="宋体" w:cs="宋体"/>
          <w:color w:val="000000" w:themeColor="text1"/>
          <w:szCs w:val="21"/>
          <w:highlight w:val="none"/>
          <w:u w:val="single"/>
          <w14:textFill>
            <w14:solidFill>
              <w14:schemeClr w14:val="tx1"/>
            </w14:solidFill>
          </w14:textFill>
        </w:rPr>
        <w:t>若投标人不参加开标会的，或不签字确认的，视同该投标人认可开标结果。</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39.3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12" w:lineRule="auto"/>
        <w:ind w:firstLine="422"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39.3</w:t>
      </w:r>
      <w:r>
        <w:rPr>
          <w:rFonts w:hint="eastAsia" w:ascii="宋体" w:hAnsi="宋体" w:cs="宋体"/>
          <w:bCs/>
          <w:color w:val="000000" w:themeColor="text1"/>
          <w:szCs w:val="21"/>
          <w:highlight w:val="none"/>
          <w14:textFill>
            <w14:solidFill>
              <w14:schemeClr w14:val="tx1"/>
            </w14:solidFill>
          </w14:textFill>
        </w:rPr>
        <w:t>排名第一的中标候选人放弃中标、</w:t>
      </w:r>
      <w:r>
        <w:rPr>
          <w:rFonts w:hint="eastAsia" w:ascii="宋体" w:hAnsi="宋体" w:cs="宋体"/>
          <w:bCs/>
          <w:color w:val="000000" w:themeColor="text1"/>
          <w:szCs w:val="21"/>
          <w:highlight w:val="none"/>
          <w:u w:val="single"/>
          <w14:textFill>
            <w14:solidFill>
              <w14:schemeClr w14:val="tx1"/>
            </w14:solidFill>
          </w14:textFill>
        </w:rPr>
        <w:t>或因不可抗力不能履行合同，或不按照招标文件要求提交履约担保，或经核查发现委派的项目负责人已在其他在建项目中任施工单位项目负责人的，或者被查实存在影响中标结果的违法行为等情形，不符合中标条件的，招标人可以确定排名第二的中标候选人为中标人，</w:t>
      </w:r>
      <w:r>
        <w:rPr>
          <w:rFonts w:hint="eastAsia" w:cs="宋体"/>
          <w:bCs/>
          <w:color w:val="000000" w:themeColor="text1"/>
          <w:szCs w:val="21"/>
          <w:highlight w:val="none"/>
          <w:u w:val="single"/>
          <w14:textFill>
            <w14:solidFill>
              <w14:schemeClr w14:val="tx1"/>
            </w14:solidFill>
          </w14:textFill>
        </w:rPr>
        <w:t>如第二中标候选人出现前款所列的情形的，招标人也可以确定排名第三的中标候选人为中标人，如所有中标候选人均出现前款所列的情形，为招标失败，招标人依法重新招标</w:t>
      </w:r>
      <w:r>
        <w:rPr>
          <w:rFonts w:hint="eastAsia"/>
          <w:bCs/>
          <w:color w:val="000000" w:themeColor="text1"/>
          <w:szCs w:val="21"/>
          <w:highlight w:val="none"/>
          <w:u w:val="single"/>
          <w14:textFill>
            <w14:solidFill>
              <w14:schemeClr w14:val="tx1"/>
            </w14:solidFill>
          </w14:textFill>
        </w:rPr>
        <w:t>。</w:t>
      </w:r>
    </w:p>
    <w:p>
      <w:pP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条款号：（二）开标评标办法程序和细则          修改类型：删除</w:t>
      </w:r>
    </w:p>
    <w:p>
      <w:pPr>
        <w:pBdr>
          <w:bottom w:val="single" w:color="auto" w:sz="4" w:space="1"/>
        </w:pBdr>
        <w:spacing w:line="312" w:lineRule="auto"/>
        <w:ind w:firstLine="472" w:firstLineChars="22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可选办法一（适合综合评分法一，技术标与经济标先后分别开启）</w:t>
      </w:r>
    </w:p>
    <w:p>
      <w:pPr>
        <w:pBdr>
          <w:bottom w:val="single" w:color="auto" w:sz="4"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可选办法二（适合综合评分法一，技术标与经济标同时开启）</w:t>
      </w:r>
    </w:p>
    <w:p>
      <w:pPr>
        <w:pBdr>
          <w:bottom w:val="single" w:color="auto" w:sz="4"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可选办法三（适合综合评分法二，技术标与经济标先后分别开启）</w:t>
      </w:r>
    </w:p>
    <w:p>
      <w:pPr>
        <w:pBdr>
          <w:bottom w:val="single" w:color="auto" w:sz="4"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可选办法四（适合综合评分法二，技术标与经济标同时开启）</w:t>
      </w:r>
    </w:p>
    <w:p>
      <w:pPr>
        <w:pBdr>
          <w:bottom w:val="single" w:color="auto" w:sz="4"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可选办法五（适合综合评分法三，技术标与经济标先后分别开启）</w:t>
      </w:r>
    </w:p>
    <w:p>
      <w:pPr>
        <w:pBdr>
          <w:bottom w:val="single" w:color="auto" w:sz="4"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可选办法六（适合综合评分法三，技术标与经济标同时开启）</w:t>
      </w:r>
    </w:p>
    <w:p>
      <w:pPr>
        <w:pBdr>
          <w:bottom w:val="single" w:color="auto" w:sz="4" w:space="1"/>
        </w:pBdr>
        <w:spacing w:line="312" w:lineRule="auto"/>
        <w:ind w:firstLine="472" w:firstLineChars="22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highlight w:val="none"/>
          <w14:textFill>
            <w14:solidFill>
              <w14:schemeClr w14:val="tx1"/>
            </w14:solidFill>
          </w14:textFill>
        </w:rPr>
        <w:t>可选办法八（适合经评审的最低投标价法，技术标与经济标同时开启）</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41.1               修改类型：修改</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41.1开标由招标人主持；</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41.1开标由招标人</w:t>
      </w:r>
      <w:r>
        <w:rPr>
          <w:rFonts w:hint="eastAsia" w:ascii="宋体" w:hAnsi="宋体" w:cs="宋体"/>
          <w:color w:val="000000" w:themeColor="text1"/>
          <w:szCs w:val="21"/>
          <w:highlight w:val="none"/>
          <w:u w:val="single"/>
          <w14:textFill>
            <w14:solidFill>
              <w14:schemeClr w14:val="tx1"/>
            </w14:solidFill>
          </w14:textFill>
        </w:rPr>
        <w:t>或招标代理</w:t>
      </w:r>
      <w:r>
        <w:rPr>
          <w:rFonts w:hint="eastAsia" w:ascii="宋体" w:hAnsi="宋体" w:cs="宋体"/>
          <w:color w:val="000000" w:themeColor="text1"/>
          <w:szCs w:val="21"/>
          <w:highlight w:val="none"/>
          <w14:textFill>
            <w14:solidFill>
              <w14:schemeClr w14:val="tx1"/>
            </w14:solidFill>
          </w14:textFill>
        </w:rPr>
        <w:t>主持；</w:t>
      </w:r>
    </w:p>
    <w:p>
      <w:pPr>
        <w:pStyle w:val="7"/>
        <w:spacing w:line="312" w:lineRule="auto"/>
        <w:ind w:firstLine="422"/>
        <w:rPr>
          <w:rFonts w:cs="宋体"/>
          <w:b w:val="0"/>
          <w:color w:val="000000" w:themeColor="text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41.2.1             修改类型：修改</w:t>
      </w:r>
    </w:p>
    <w:p>
      <w:pP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41.2.1投标截止期前，各投标人递交投标文件（包括技术标投标文件、经济标投标文件）至交易平台。有关投标文件提交的事项详见第一章投标须知。</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41.2.1投标截止期前，各投标人递交投标文件（包括技术标投标文件、经济标投标文件）至</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s="宋体"/>
          <w:color w:val="000000" w:themeColor="text1"/>
          <w:szCs w:val="21"/>
          <w:highlight w:val="none"/>
          <w14:textFill>
            <w14:solidFill>
              <w14:schemeClr w14:val="tx1"/>
            </w14:solidFill>
          </w14:textFill>
        </w:rPr>
        <w:t>交易平台。有关投标文件提交的事项详见第一章投标须知。</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条款号: </w:t>
      </w:r>
      <w:r>
        <w:rPr>
          <w:color w:val="000000" w:themeColor="text1"/>
          <w:sz w:val="21"/>
          <w:highlight w:val="none"/>
          <w14:textFill>
            <w14:solidFill>
              <w14:schemeClr w14:val="tx1"/>
            </w14:solidFill>
          </w14:textFill>
        </w:rPr>
        <w:t>41.2.2</w:t>
      </w:r>
      <w:r>
        <w:rPr>
          <w:rFonts w:hint="eastAsia"/>
          <w:color w:val="000000" w:themeColor="text1"/>
          <w:sz w:val="21"/>
          <w:highlight w:val="none"/>
          <w14:textFill>
            <w14:solidFill>
              <w14:schemeClr w14:val="tx1"/>
            </w14:solidFill>
          </w14:textFill>
        </w:rPr>
        <w:t xml:space="preserve">               修改类型：删除</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41.2.2开标前，首先由招标人随机抽取确定该工程计算评标参考价的等分点值X。</w:t>
      </w:r>
    </w:p>
    <w:p>
      <w:pPr>
        <w:pStyle w:val="7"/>
        <w:spacing w:line="312" w:lineRule="auto"/>
        <w:ind w:firstLine="422"/>
        <w:rPr>
          <w:rFonts w:cs="宋体"/>
          <w:b w:val="0"/>
          <w:color w:val="000000" w:themeColor="text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条款号: </w:t>
      </w:r>
      <w:r>
        <w:rPr>
          <w:color w:val="000000" w:themeColor="text1"/>
          <w:sz w:val="21"/>
          <w:highlight w:val="none"/>
          <w14:textFill>
            <w14:solidFill>
              <w14:schemeClr w14:val="tx1"/>
            </w14:solidFill>
          </w14:textFill>
        </w:rPr>
        <w:t>41.3</w:t>
      </w:r>
      <w:r>
        <w:rPr>
          <w:rFonts w:hint="eastAsia"/>
          <w:color w:val="000000" w:themeColor="text1"/>
          <w:sz w:val="21"/>
          <w:highlight w:val="none"/>
          <w14:textFill>
            <w14:solidFill>
              <w14:schemeClr w14:val="tx1"/>
            </w14:solidFill>
          </w14:textFill>
        </w:rPr>
        <w:t xml:space="preserve">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招标人对开标过程进行记录，并存档备查，投标人在技术标开标记录上签字。</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41.3招标人或招标代理对开标过程进行记录，并存档备查，投标人在开标记录上签字，投标人未签字且未提出异议的将被视为默认开标结果。</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42.2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42.2评标委员会的组成：方式。</w:t>
      </w:r>
    </w:p>
    <w:p>
      <w:pPr>
        <w:pBdr>
          <w:bottom w:val="single" w:color="auto" w:sz="6" w:space="1"/>
        </w:pBdr>
        <w:spacing w:line="312" w:lineRule="auto"/>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方式一：评标委员会为综合评标委员会，负责资格审查及评标工作。</w:t>
      </w:r>
    </w:p>
    <w:p>
      <w:pPr>
        <w:pBdr>
          <w:bottom w:val="single" w:color="auto" w:sz="6" w:space="1"/>
        </w:pBdr>
        <w:spacing w:line="312" w:lineRule="auto"/>
        <w:ind w:firstLine="422"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方式二：评标委员会由技术评审组和经济评审组组成。其中：资格审查及技术评审由技术评标组负责，经济评审由经济评审组负责。</w:t>
      </w:r>
    </w:p>
    <w:p>
      <w:pPr>
        <w:pBdr>
          <w:bottom w:val="single" w:color="auto" w:sz="6" w:space="1"/>
        </w:pBdr>
        <w:spacing w:line="312" w:lineRule="auto"/>
        <w:ind w:firstLine="424" w:firstLineChars="201"/>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42.2评标委员会的组成：方式</w:t>
      </w:r>
      <w:r>
        <w:rPr>
          <w:rFonts w:hint="eastAsia" w:ascii="宋体" w:hAnsi="宋体" w:cs="宋体"/>
          <w:color w:val="000000" w:themeColor="text1"/>
          <w:szCs w:val="21"/>
          <w:highlight w:val="none"/>
          <w:u w:val="single"/>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w:t>
      </w:r>
    </w:p>
    <w:p>
      <w:pPr>
        <w:pBdr>
          <w:bottom w:val="single" w:color="auto" w:sz="6" w:space="1"/>
        </w:pBdr>
        <w:spacing w:line="312" w:lineRule="auto"/>
        <w:ind w:firstLine="422" w:firstLineChars="201"/>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方式一：评标委员会为综合评标委员会，负责资格审查及评标工作。</w:t>
      </w:r>
    </w:p>
    <w:p>
      <w:pPr>
        <w:pStyle w:val="34"/>
        <w:spacing w:line="312"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r>
        <w:rPr>
          <w:rFonts w:hint="eastAsia" w:ascii="宋体" w:hAnsi="宋体" w:cs="宋体"/>
          <w:b/>
          <w:bCs/>
          <w:color w:val="000000" w:themeColor="text1"/>
          <w:szCs w:val="21"/>
          <w:highlight w:val="none"/>
          <w14:textFill>
            <w14:solidFill>
              <w14:schemeClr w14:val="tx1"/>
            </w14:solidFill>
          </w14:textFill>
        </w:rPr>
        <w:t>43.6</w:t>
      </w:r>
      <w:r>
        <w:rPr>
          <w:rFonts w:hint="eastAsia" w:ascii="宋体" w:hAnsi="宋体" w:cs="宋体"/>
          <w:b/>
          <w:color w:val="000000" w:themeColor="text1"/>
          <w:szCs w:val="21"/>
          <w:highlight w:val="none"/>
          <w14:textFill>
            <w14:solidFill>
              <w14:schemeClr w14:val="tx1"/>
            </w14:solidFill>
          </w14:textFill>
        </w:rPr>
        <w:t>修改类型：修改</w:t>
      </w:r>
    </w:p>
    <w:p>
      <w:pPr>
        <w:spacing w:line="312" w:lineRule="auto"/>
        <w:ind w:firstLine="413"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43.6</w:t>
      </w:r>
      <w:r>
        <w:rPr>
          <w:rFonts w:hint="eastAsia" w:ascii="宋体" w:hAnsi="宋体" w:cs="宋体"/>
          <w:bCs/>
          <w:color w:val="000000" w:themeColor="text1"/>
          <w:szCs w:val="21"/>
          <w:highlight w:val="none"/>
          <w14:textFill>
            <w14:solidFill>
              <w14:schemeClr w14:val="tx1"/>
            </w14:solidFill>
          </w14:textFill>
        </w:rPr>
        <w:t>资格审查合格的投标人少于3名的（当N个标段同时招标且不允许兼中时，资格审查合格的投标人少于N+2名），则本项目招标失败。</w:t>
      </w:r>
    </w:p>
    <w:p>
      <w:pPr>
        <w:pBdr>
          <w:bottom w:val="single" w:color="auto" w:sz="6" w:space="1"/>
        </w:pBdr>
        <w:spacing w:line="312" w:lineRule="auto"/>
        <w:ind w:firstLine="413"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43.6</w:t>
      </w:r>
      <w:r>
        <w:rPr>
          <w:rFonts w:hint="eastAsia" w:ascii="宋体" w:hAnsi="宋体" w:cs="宋体"/>
          <w:bCs/>
          <w:color w:val="000000" w:themeColor="text1"/>
          <w:szCs w:val="21"/>
          <w:highlight w:val="none"/>
          <w:u w:val="single"/>
          <w14:textFill>
            <w14:solidFill>
              <w14:schemeClr w14:val="tx1"/>
            </w14:solidFill>
          </w14:textFill>
        </w:rPr>
        <w:t>资格审查合格的投标人少于3名的，则本项目招标失败</w:t>
      </w:r>
      <w:r>
        <w:rPr>
          <w:rFonts w:hint="eastAsia" w:ascii="宋体" w:hAnsi="宋体" w:cs="宋体"/>
          <w:bCs/>
          <w:color w:val="000000" w:themeColor="text1"/>
          <w:szCs w:val="21"/>
          <w:highlight w:val="none"/>
          <w14:textFill>
            <w14:solidFill>
              <w14:schemeClr w14:val="tx1"/>
            </w14:solidFill>
          </w14:textFill>
        </w:rPr>
        <w:t>。</w:t>
      </w:r>
    </w:p>
    <w:p>
      <w:pPr>
        <w:pStyle w:val="34"/>
        <w:spacing w:line="312"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条款号：44.1修改类型：修改</w:t>
      </w:r>
    </w:p>
    <w:p>
      <w:pPr>
        <w:spacing w:line="312" w:lineRule="auto"/>
        <w:ind w:firstLine="413"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 xml:space="preserve"> 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12" w:lineRule="auto"/>
        <w:ind w:firstLine="413" w:firstLineChars="196"/>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条款号: </w:t>
      </w:r>
      <w:r>
        <w:rPr>
          <w:color w:val="000000" w:themeColor="text1"/>
          <w:sz w:val="21"/>
          <w:highlight w:val="none"/>
          <w14:textFill>
            <w14:solidFill>
              <w14:schemeClr w14:val="tx1"/>
            </w14:solidFill>
          </w14:textFill>
        </w:rPr>
        <w:t>44.2</w:t>
      </w:r>
      <w:r>
        <w:rPr>
          <w:rFonts w:hint="eastAsia"/>
          <w:color w:val="000000" w:themeColor="text1"/>
          <w:sz w:val="21"/>
          <w:highlight w:val="none"/>
          <w14:textFill>
            <w14:solidFill>
              <w14:schemeClr w14:val="tx1"/>
            </w14:solidFill>
          </w14:textFill>
        </w:rPr>
        <w:t xml:space="preserve">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12" w:lineRule="auto"/>
        <w:ind w:firstLine="413" w:firstLineChars="196"/>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投标人的技术标得分为所有评委分数汇总后去掉一个最高分和一个最低分的算术平均值（若分数出现小数点时，保留小数点后二位，第三位小数四舍五入）。</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45.1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szCs w:val="21"/>
          <w:highlight w:val="none"/>
          <w14:textFill>
            <w14:solidFill>
              <w14:schemeClr w14:val="tx1"/>
            </w14:solidFill>
          </w14:textFill>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12" w:lineRule="auto"/>
        <w:ind w:firstLine="424" w:firstLineChars="201"/>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：45.1若通过技术标有效性审查的投标人中所有投标报价均大于等于最高投标限价*100%（D的取值范围为[94,100],由招标人自主确定）的（具体金额为：</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u w:val="single"/>
          <w:lang w:val="en-US" w:eastAsia="zh-CN"/>
          <w14:textFill>
            <w14:solidFill>
              <w14:schemeClr w14:val="tx1"/>
            </w14:solidFill>
          </w14:textFill>
        </w:rPr>
        <w:t>881967</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 xml:space="preserve"> 元），则本项目招标失败，由招标人依法重新招标。 </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45.2               修改类型：修改</w:t>
      </w:r>
    </w:p>
    <w:p>
      <w:pPr>
        <w:pStyle w:val="34"/>
        <w:tabs>
          <w:tab w:val="left" w:pos="7380"/>
        </w:tabs>
        <w:snapToGrid w:val="0"/>
        <w:spacing w:line="312" w:lineRule="auto"/>
        <w:ind w:firstLine="422" w:firstLineChars="200"/>
        <w:rPr>
          <w:rFonts w:ascii="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olor w:val="000000" w:themeColor="text1"/>
          <w:szCs w:val="21"/>
          <w:highlight w:val="none"/>
          <w14:textFill>
            <w14:solidFill>
              <w14:schemeClr w14:val="tx1"/>
            </w14:solidFill>
          </w14:textFill>
        </w:rPr>
        <w:t>45.2按方法计算评标参考价：</w:t>
      </w:r>
    </w:p>
    <w:p>
      <w:pPr>
        <w:widowControl/>
        <w:spacing w:line="312" w:lineRule="auto"/>
        <w:ind w:firstLine="422" w:firstLineChars="200"/>
        <w:rPr>
          <w:rFonts w:ascii="宋体" w:hAnsi="宋体"/>
          <w:b/>
          <w:bCs/>
          <w:color w:val="000000" w:themeColor="text1"/>
          <w:kern w:val="0"/>
          <w:szCs w:val="21"/>
          <w:highlight w:val="none"/>
          <w14:textFill>
            <w14:solidFill>
              <w14:schemeClr w14:val="tx1"/>
            </w14:solidFill>
          </w14:textFill>
        </w:rPr>
      </w:pPr>
      <w:r>
        <w:rPr>
          <w:rFonts w:hint="eastAsia" w:ascii="宋体" w:hAnsi="宋体" w:cs="仿宋"/>
          <w:b/>
          <w:bCs/>
          <w:color w:val="000000" w:themeColor="text1"/>
          <w:kern w:val="0"/>
          <w:szCs w:val="21"/>
          <w:highlight w:val="none"/>
          <w14:textFill>
            <w14:solidFill>
              <w14:schemeClr w14:val="tx1"/>
            </w14:solidFill>
          </w14:textFill>
        </w:rPr>
        <w:t>方法一：加权平均法</w:t>
      </w:r>
    </w:p>
    <w:p>
      <w:pPr>
        <w:spacing w:line="312"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技术标或技术标加诚信得分（具体由招标人自定）前</w:t>
      </w:r>
      <w:r>
        <w:rPr>
          <w:rFonts w:ascii="宋体" w:hAnsi="宋体" w:cs="仿宋"/>
          <w:color w:val="000000" w:themeColor="text1"/>
          <w:szCs w:val="21"/>
          <w:highlight w:val="none"/>
          <w14:textFill>
            <w14:solidFill>
              <w14:schemeClr w14:val="tx1"/>
            </w14:solidFill>
          </w14:textFill>
        </w:rPr>
        <w:t>N</w:t>
      </w:r>
      <w:r>
        <w:rPr>
          <w:rFonts w:hint="eastAsia" w:ascii="宋体" w:hAnsi="宋体" w:cs="仿宋"/>
          <w:color w:val="000000" w:themeColor="text1"/>
          <w:szCs w:val="21"/>
          <w:highlight w:val="none"/>
          <w14:textFill>
            <w14:solidFill>
              <w14:schemeClr w14:val="tx1"/>
            </w14:solidFill>
          </w14:textFill>
        </w:rPr>
        <w:t>名（N≥5，具体由招标人自定）的经济报价加权平均，计算评标参考价。公式如下：</w:t>
      </w:r>
    </w:p>
    <w:p>
      <w:pPr>
        <w:spacing w:line="312"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评标参考价</w:t>
      </w:r>
      <w:r>
        <w:rPr>
          <w:rFonts w:ascii="宋体" w:hAnsi="宋体" w:cs="仿宋"/>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14:textFill>
            <w14:solidFill>
              <w14:schemeClr w14:val="tx1"/>
            </w14:solidFill>
          </w14:textFill>
        </w:rPr>
        <w:t>Σ（投标人的投标报价</w:t>
      </w:r>
      <w:r>
        <w:rPr>
          <w:rFonts w:ascii="宋体" w:hAnsi="宋体" w:cs="仿宋"/>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14:textFill>
            <w14:solidFill>
              <w14:schemeClr w14:val="tx1"/>
            </w14:solidFill>
          </w14:textFill>
        </w:rPr>
        <w:t>报价权重）。</w:t>
      </w:r>
    </w:p>
    <w:p>
      <w:pPr>
        <w:spacing w:line="312"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其中：报价权重的计算方法为：将</w:t>
      </w:r>
      <w:r>
        <w:rPr>
          <w:rFonts w:ascii="宋体" w:hAnsi="宋体" w:cs="仿宋"/>
          <w:color w:val="000000" w:themeColor="text1"/>
          <w:szCs w:val="21"/>
          <w:highlight w:val="none"/>
          <w14:textFill>
            <w14:solidFill>
              <w14:schemeClr w14:val="tx1"/>
            </w14:solidFill>
          </w14:textFill>
        </w:rPr>
        <w:t>N</w:t>
      </w:r>
      <w:r>
        <w:rPr>
          <w:rFonts w:hint="eastAsia" w:ascii="宋体" w:hAnsi="宋体" w:cs="仿宋"/>
          <w:color w:val="000000" w:themeColor="text1"/>
          <w:szCs w:val="21"/>
          <w:highlight w:val="none"/>
          <w14:textFill>
            <w14:solidFill>
              <w14:schemeClr w14:val="tx1"/>
            </w14:solidFill>
          </w14:textFill>
        </w:rPr>
        <w:t>名投标人按技术分由高至低进行排序，第一名投标人的权重为（</w:t>
      </w:r>
      <w:r>
        <w:rPr>
          <w:rFonts w:ascii="宋体" w:hAnsi="宋体" w:cs="仿宋"/>
          <w:color w:val="000000" w:themeColor="text1"/>
          <w:szCs w:val="21"/>
          <w:highlight w:val="none"/>
          <w14:textFill>
            <w14:solidFill>
              <w14:schemeClr w14:val="tx1"/>
            </w14:solidFill>
          </w14:textFill>
        </w:rPr>
        <w:fldChar w:fldCharType="begin"/>
      </w:r>
      <w:r>
        <w:rPr>
          <w:rFonts w:ascii="宋体" w:hAnsi="宋体" w:cs="仿宋"/>
          <w:color w:val="000000" w:themeColor="text1"/>
          <w:szCs w:val="21"/>
          <w:highlight w:val="none"/>
          <w14:textFill>
            <w14:solidFill>
              <w14:schemeClr w14:val="tx1"/>
            </w14:solidFill>
          </w14:textFill>
        </w:rPr>
        <w:instrText xml:space="preserve"> QUOTE </w:instrText>
      </w:r>
      <w:r>
        <w:rPr>
          <w:rFonts w:ascii="宋体" w:hAnsi="宋体"/>
          <w:color w:val="000000" w:themeColor="text1"/>
          <w:szCs w:val="21"/>
          <w:highlight w:val="none"/>
          <w14:textFill>
            <w14:solidFill>
              <w14:schemeClr w14:val="tx1"/>
            </w14:solidFill>
          </w14:textFill>
        </w:rPr>
        <w:drawing>
          <wp:inline distT="0" distB="0" distL="0" distR="0">
            <wp:extent cx="379730" cy="448310"/>
            <wp:effectExtent l="0" t="0" r="1270" b="889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color w:val="000000" w:themeColor="text1"/>
          <w:szCs w:val="2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drawing>
          <wp:inline distT="0" distB="0" distL="0" distR="0">
            <wp:extent cx="379730" cy="44831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ascii="宋体" w:hAnsi="宋体" w:cs="仿宋"/>
          <w:color w:val="000000" w:themeColor="text1"/>
          <w:szCs w:val="21"/>
          <w:highlight w:val="none"/>
          <w14:textFill>
            <w14:solidFill>
              <w14:schemeClr w14:val="tx1"/>
            </w14:solidFill>
          </w14:textFill>
        </w:rPr>
        <w:fldChar w:fldCharType="end"/>
      </w:r>
      <w:r>
        <w:rPr>
          <w:rFonts w:hint="eastAsia" w:ascii="宋体" w:hAnsi="宋体" w:cs="仿宋"/>
          <w:color w:val="000000" w:themeColor="text1"/>
          <w:szCs w:val="21"/>
          <w:highlight w:val="none"/>
          <w14:textFill>
            <w14:solidFill>
              <w14:schemeClr w14:val="tx1"/>
            </w14:solidFill>
          </w14:textFill>
        </w:rPr>
        <w:t>），第二名投标人的权重为（</w:t>
      </w:r>
      <w:r>
        <w:rPr>
          <w:rFonts w:ascii="宋体" w:hAnsi="宋体" w:cs="仿宋"/>
          <w:color w:val="000000" w:themeColor="text1"/>
          <w:szCs w:val="21"/>
          <w:highlight w:val="none"/>
          <w14:textFill>
            <w14:solidFill>
              <w14:schemeClr w14:val="tx1"/>
            </w14:solidFill>
          </w14:textFill>
        </w:rPr>
        <w:fldChar w:fldCharType="begin"/>
      </w:r>
      <w:r>
        <w:rPr>
          <w:rFonts w:ascii="宋体" w:hAnsi="宋体" w:cs="仿宋"/>
          <w:color w:val="000000" w:themeColor="text1"/>
          <w:szCs w:val="21"/>
          <w:highlight w:val="none"/>
          <w14:textFill>
            <w14:solidFill>
              <w14:schemeClr w14:val="tx1"/>
            </w14:solidFill>
          </w14:textFill>
        </w:rPr>
        <w:instrText xml:space="preserve"> QUOTE </w:instrText>
      </w:r>
      <w:r>
        <w:rPr>
          <w:rFonts w:ascii="宋体" w:hAnsi="宋体"/>
          <w:color w:val="000000" w:themeColor="text1"/>
          <w:position w:val="-23"/>
          <w:szCs w:val="21"/>
          <w:highlight w:val="none"/>
          <w14:textFill>
            <w14:solidFill>
              <w14:schemeClr w14:val="tx1"/>
            </w14:solidFill>
          </w14:textFill>
        </w:rPr>
        <w:drawing>
          <wp:inline distT="0" distB="0" distL="0" distR="0">
            <wp:extent cx="327660" cy="396875"/>
            <wp:effectExtent l="0" t="0" r="15240" b="31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color w:val="000000" w:themeColor="text1"/>
          <w:szCs w:val="21"/>
          <w:highlight w:val="none"/>
          <w14:textFill>
            <w14:solidFill>
              <w14:schemeClr w14:val="tx1"/>
            </w14:solidFill>
          </w14:textFill>
        </w:rPr>
        <w:fldChar w:fldCharType="separate"/>
      </w:r>
      <w:r>
        <w:rPr>
          <w:rFonts w:ascii="宋体" w:hAnsi="宋体"/>
          <w:color w:val="000000" w:themeColor="text1"/>
          <w:position w:val="-23"/>
          <w:szCs w:val="21"/>
          <w:highlight w:val="none"/>
          <w14:textFill>
            <w14:solidFill>
              <w14:schemeClr w14:val="tx1"/>
            </w14:solidFill>
          </w14:textFill>
        </w:rPr>
        <w:drawing>
          <wp:inline distT="0" distB="0" distL="0" distR="0">
            <wp:extent cx="327660" cy="396875"/>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color w:val="000000" w:themeColor="text1"/>
          <w:szCs w:val="21"/>
          <w:highlight w:val="none"/>
          <w14:textFill>
            <w14:solidFill>
              <w14:schemeClr w14:val="tx1"/>
            </w14:solidFill>
          </w14:textFill>
        </w:rPr>
        <w:fldChar w:fldCharType="end"/>
      </w:r>
      <w:r>
        <w:rPr>
          <w:rFonts w:hint="eastAsia" w:ascii="宋体" w:hAnsi="宋体" w:cs="仿宋"/>
          <w:color w:val="000000" w:themeColor="text1"/>
          <w:szCs w:val="21"/>
          <w:highlight w:val="none"/>
          <w14:textFill>
            <w14:solidFill>
              <w14:schemeClr w14:val="tx1"/>
            </w14:solidFill>
          </w14:textFill>
        </w:rPr>
        <w:t>），以此类推，最后一名投标人的权重为（</w:t>
      </w:r>
      <w:r>
        <w:rPr>
          <w:rFonts w:ascii="宋体" w:hAnsi="宋体" w:cs="仿宋"/>
          <w:color w:val="000000" w:themeColor="text1"/>
          <w:szCs w:val="21"/>
          <w:highlight w:val="none"/>
          <w14:textFill>
            <w14:solidFill>
              <w14:schemeClr w14:val="tx1"/>
            </w14:solidFill>
          </w14:textFill>
        </w:rPr>
        <w:fldChar w:fldCharType="begin"/>
      </w:r>
      <w:r>
        <w:rPr>
          <w:rFonts w:ascii="宋体" w:hAnsi="宋体" w:cs="仿宋"/>
          <w:color w:val="000000" w:themeColor="text1"/>
          <w:szCs w:val="21"/>
          <w:highlight w:val="none"/>
          <w14:textFill>
            <w14:solidFill>
              <w14:schemeClr w14:val="tx1"/>
            </w14:solidFill>
          </w14:textFill>
        </w:rPr>
        <w:instrText xml:space="preserve"> QUOTE </w:instrText>
      </w:r>
      <w:r>
        <w:rPr>
          <w:rFonts w:ascii="宋体" w:hAnsi="宋体"/>
          <w:color w:val="000000" w:themeColor="text1"/>
          <w:position w:val="-23"/>
          <w:szCs w:val="21"/>
          <w:highlight w:val="none"/>
          <w14:textFill>
            <w14:solidFill>
              <w14:schemeClr w14:val="tx1"/>
            </w14:solidFill>
          </w14:textFill>
        </w:rPr>
        <w:drawing>
          <wp:inline distT="0" distB="0" distL="0" distR="0">
            <wp:extent cx="327660" cy="396875"/>
            <wp:effectExtent l="0" t="0" r="15240" b="317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color w:val="000000" w:themeColor="text1"/>
          <w:szCs w:val="21"/>
          <w:highlight w:val="none"/>
          <w14:textFill>
            <w14:solidFill>
              <w14:schemeClr w14:val="tx1"/>
            </w14:solidFill>
          </w14:textFill>
        </w:rPr>
        <w:fldChar w:fldCharType="separate"/>
      </w:r>
      <w:r>
        <w:rPr>
          <w:rFonts w:ascii="宋体" w:hAnsi="宋体"/>
          <w:color w:val="000000" w:themeColor="text1"/>
          <w:position w:val="-23"/>
          <w:szCs w:val="21"/>
          <w:highlight w:val="none"/>
          <w14:textFill>
            <w14:solidFill>
              <w14:schemeClr w14:val="tx1"/>
            </w14:solidFill>
          </w14:textFill>
        </w:rPr>
        <w:drawing>
          <wp:inline distT="0" distB="0" distL="0" distR="0">
            <wp:extent cx="327660" cy="396875"/>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ascii="宋体" w:hAnsi="宋体" w:cs="仿宋"/>
          <w:color w:val="000000" w:themeColor="text1"/>
          <w:szCs w:val="21"/>
          <w:highlight w:val="none"/>
          <w14:textFill>
            <w14:solidFill>
              <w14:schemeClr w14:val="tx1"/>
            </w14:solidFill>
          </w14:textFill>
        </w:rPr>
        <w:fldChar w:fldCharType="end"/>
      </w:r>
      <w:r>
        <w:rPr>
          <w:rFonts w:hint="eastAsia" w:ascii="宋体" w:hAnsi="宋体" w:cs="仿宋"/>
          <w:color w:val="000000" w:themeColor="text1"/>
          <w:szCs w:val="21"/>
          <w:highlight w:val="none"/>
          <w14:textFill>
            <w14:solidFill>
              <w14:schemeClr w14:val="tx1"/>
            </w14:solidFill>
          </w14:textFill>
        </w:rPr>
        <w:t>）。</w:t>
      </w:r>
    </w:p>
    <w:p>
      <w:pPr>
        <w:widowControl/>
        <w:spacing w:line="312" w:lineRule="auto"/>
        <w:ind w:firstLine="422" w:firstLineChars="200"/>
        <w:rPr>
          <w:rFonts w:ascii="宋体" w:hAnsi="宋体"/>
          <w:b/>
          <w:bCs/>
          <w:color w:val="000000" w:themeColor="text1"/>
          <w:kern w:val="0"/>
          <w:szCs w:val="21"/>
          <w:highlight w:val="none"/>
          <w14:textFill>
            <w14:solidFill>
              <w14:schemeClr w14:val="tx1"/>
            </w14:solidFill>
          </w14:textFill>
        </w:rPr>
      </w:pPr>
      <w:r>
        <w:rPr>
          <w:rFonts w:hint="eastAsia" w:ascii="宋体" w:hAnsi="宋体" w:cs="仿宋"/>
          <w:b/>
          <w:bCs/>
          <w:color w:val="000000" w:themeColor="text1"/>
          <w:kern w:val="0"/>
          <w:szCs w:val="21"/>
          <w:highlight w:val="none"/>
          <w14:textFill>
            <w14:solidFill>
              <w14:schemeClr w14:val="tx1"/>
            </w14:solidFill>
          </w14:textFill>
        </w:rPr>
        <w:t>方法二：区间抽取法</w:t>
      </w:r>
    </w:p>
    <w:p>
      <w:pPr>
        <w:widowControl/>
        <w:snapToGrid w:val="0"/>
        <w:spacing w:line="312"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12" w:lineRule="auto"/>
        <w:ind w:firstLine="420" w:firstLineChars="200"/>
        <w:rPr>
          <w:rFonts w:ascii="宋体" w:hAnsi="宋体"/>
          <w:color w:val="000000" w:themeColor="text1"/>
          <w:kern w:val="0"/>
          <w:szCs w:val="21"/>
          <w:highlight w:val="none"/>
          <w:vertAlign w:val="subscript"/>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评标参考价</w:t>
      </w:r>
      <w:r>
        <w:rPr>
          <w:rFonts w:ascii="宋体" w:hAnsi="宋体" w:cs="仿宋"/>
          <w:color w:val="000000" w:themeColor="text1"/>
          <w:kern w:val="0"/>
          <w:szCs w:val="21"/>
          <w:highlight w:val="none"/>
          <w14:textFill>
            <w14:solidFill>
              <w14:schemeClr w14:val="tx1"/>
            </w14:solidFill>
          </w14:textFill>
        </w:rPr>
        <w:t>=</w:t>
      </w:r>
      <w:r>
        <w:rPr>
          <w:rFonts w:hint="eastAsia" w:ascii="宋体" w:hAnsi="宋体" w:cs="仿宋"/>
          <w:color w:val="000000" w:themeColor="text1"/>
          <w:kern w:val="0"/>
          <w:szCs w:val="21"/>
          <w:highlight w:val="none"/>
          <w14:textFill>
            <w14:solidFill>
              <w14:schemeClr w14:val="tx1"/>
            </w14:solidFill>
          </w14:textFill>
        </w:rPr>
        <w:t>（</w:t>
      </w:r>
      <w:r>
        <w:rPr>
          <w:rFonts w:ascii="宋体" w:hAnsi="宋体" w:cs="仿宋"/>
          <w:color w:val="000000" w:themeColor="text1"/>
          <w:kern w:val="0"/>
          <w:szCs w:val="21"/>
          <w:highlight w:val="none"/>
          <w14:textFill>
            <w14:solidFill>
              <w14:schemeClr w14:val="tx1"/>
            </w14:solidFill>
          </w14:textFill>
        </w:rPr>
        <w:t>Q</w:t>
      </w:r>
      <w:r>
        <w:rPr>
          <w:rFonts w:hint="eastAsia" w:ascii="宋体" w:hAnsi="宋体" w:cs="仿宋"/>
          <w:color w:val="000000" w:themeColor="text1"/>
          <w:kern w:val="0"/>
          <w:szCs w:val="21"/>
          <w:highlight w:val="none"/>
          <w:vertAlign w:val="subscript"/>
          <w14:textFill>
            <w14:solidFill>
              <w14:schemeClr w14:val="tx1"/>
            </w14:solidFill>
          </w14:textFill>
        </w:rPr>
        <w:t>高</w:t>
      </w:r>
      <w:r>
        <w:rPr>
          <w:rFonts w:ascii="宋体" w:hAnsi="宋体" w:cs="仿宋"/>
          <w:color w:val="000000" w:themeColor="text1"/>
          <w:kern w:val="0"/>
          <w:szCs w:val="21"/>
          <w:highlight w:val="none"/>
          <w14:textFill>
            <w14:solidFill>
              <w14:schemeClr w14:val="tx1"/>
            </w14:solidFill>
          </w14:textFill>
        </w:rPr>
        <w:t>-Q</w:t>
      </w:r>
      <w:r>
        <w:rPr>
          <w:rFonts w:hint="eastAsia" w:ascii="宋体" w:hAnsi="宋体" w:cs="仿宋"/>
          <w:color w:val="000000" w:themeColor="text1"/>
          <w:kern w:val="0"/>
          <w:szCs w:val="21"/>
          <w:highlight w:val="none"/>
          <w:vertAlign w:val="subscript"/>
          <w14:textFill>
            <w14:solidFill>
              <w14:schemeClr w14:val="tx1"/>
            </w14:solidFill>
          </w14:textFill>
        </w:rPr>
        <w:t>低</w:t>
      </w:r>
      <w:r>
        <w:rPr>
          <w:rFonts w:hint="eastAsia" w:ascii="宋体" w:hAnsi="宋体" w:cs="仿宋"/>
          <w:color w:val="000000" w:themeColor="text1"/>
          <w:kern w:val="0"/>
          <w:szCs w:val="21"/>
          <w:highlight w:val="none"/>
          <w14:textFill>
            <w14:solidFill>
              <w14:schemeClr w14:val="tx1"/>
            </w14:solidFill>
          </w14:textFill>
        </w:rPr>
        <w:t>）</w:t>
      </w:r>
      <w:r>
        <w:rPr>
          <w:rFonts w:ascii="宋体" w:hAnsi="宋体" w:cs="仿宋"/>
          <w:color w:val="000000" w:themeColor="text1"/>
          <w:kern w:val="0"/>
          <w:szCs w:val="21"/>
          <w:highlight w:val="none"/>
          <w14:textFill>
            <w14:solidFill>
              <w14:schemeClr w14:val="tx1"/>
            </w14:solidFill>
          </w14:textFill>
        </w:rPr>
        <w:t>/100*</w:t>
      </w:r>
      <w:r>
        <w:rPr>
          <w:rFonts w:hint="eastAsia" w:ascii="宋体" w:hAnsi="宋体" w:cs="仿宋"/>
          <w:color w:val="000000" w:themeColor="text1"/>
          <w:kern w:val="0"/>
          <w:szCs w:val="21"/>
          <w:highlight w:val="none"/>
          <w14:textFill>
            <w14:solidFill>
              <w14:schemeClr w14:val="tx1"/>
            </w14:solidFill>
          </w14:textFill>
        </w:rPr>
        <w:t>Ｘ</w:t>
      </w:r>
      <w:r>
        <w:rPr>
          <w:rFonts w:ascii="宋体" w:hAnsi="宋体" w:cs="仿宋"/>
          <w:color w:val="000000" w:themeColor="text1"/>
          <w:kern w:val="0"/>
          <w:szCs w:val="21"/>
          <w:highlight w:val="none"/>
          <w14:textFill>
            <w14:solidFill>
              <w14:schemeClr w14:val="tx1"/>
            </w14:solidFill>
          </w14:textFill>
        </w:rPr>
        <w:t>+Q</w:t>
      </w:r>
      <w:r>
        <w:rPr>
          <w:rFonts w:hint="eastAsia" w:ascii="宋体" w:hAnsi="宋体" w:cs="仿宋"/>
          <w:color w:val="000000" w:themeColor="text1"/>
          <w:kern w:val="0"/>
          <w:szCs w:val="21"/>
          <w:highlight w:val="none"/>
          <w:vertAlign w:val="subscript"/>
          <w14:textFill>
            <w14:solidFill>
              <w14:schemeClr w14:val="tx1"/>
            </w14:solidFill>
          </w14:textFill>
        </w:rPr>
        <w:t>低</w:t>
      </w:r>
    </w:p>
    <w:p>
      <w:pPr>
        <w:widowControl/>
        <w:snapToGrid w:val="0"/>
        <w:spacing w:line="312"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仿宋"/>
          <w:color w:val="000000" w:themeColor="text1"/>
          <w:szCs w:val="21"/>
          <w:highlight w:val="none"/>
          <w14:textFill>
            <w14:solidFill>
              <w14:schemeClr w14:val="tx1"/>
            </w14:solidFill>
          </w14:textFill>
        </w:rPr>
        <w:t>Q</w:t>
      </w:r>
      <w:r>
        <w:rPr>
          <w:rFonts w:hint="eastAsia" w:ascii="宋体" w:hAnsi="宋体" w:cs="仿宋"/>
          <w:color w:val="000000" w:themeColor="text1"/>
          <w:szCs w:val="21"/>
          <w:highlight w:val="none"/>
          <w:vertAlign w:val="subscript"/>
          <w14:textFill>
            <w14:solidFill>
              <w14:schemeClr w14:val="tx1"/>
            </w14:solidFill>
          </w14:textFill>
        </w:rPr>
        <w:t>低</w:t>
      </w:r>
      <w:r>
        <w:rPr>
          <w:rFonts w:hint="eastAsia" w:ascii="宋体" w:hAnsi="宋体" w:cs="仿宋"/>
          <w:color w:val="000000" w:themeColor="text1"/>
          <w:szCs w:val="21"/>
          <w:highlight w:val="none"/>
          <w14:textFill>
            <w14:solidFill>
              <w14:schemeClr w14:val="tx1"/>
            </w14:solidFill>
          </w14:textFill>
        </w:rPr>
        <w:t>：为达到或超过技术标及格分数线的投标人最低报价与工程成本警示价两者中的较高值；</w:t>
      </w:r>
    </w:p>
    <w:p>
      <w:pPr>
        <w:spacing w:line="312" w:lineRule="auto"/>
        <w:ind w:firstLine="420" w:firstLineChars="200"/>
        <w:rPr>
          <w:rFonts w:ascii="宋体" w:hAnsi="宋体" w:cs="仿宋"/>
          <w:color w:val="000000" w:themeColor="text1"/>
          <w:szCs w:val="21"/>
          <w:highlight w:val="none"/>
          <w14:textFill>
            <w14:solidFill>
              <w14:schemeClr w14:val="tx1"/>
            </w14:solidFill>
          </w14:textFill>
        </w:rPr>
      </w:pPr>
      <w:r>
        <w:rPr>
          <w:rFonts w:ascii="宋体" w:hAnsi="宋体" w:cs="仿宋"/>
          <w:color w:val="000000" w:themeColor="text1"/>
          <w:kern w:val="0"/>
          <w:szCs w:val="21"/>
          <w:highlight w:val="none"/>
          <w14:textFill>
            <w14:solidFill>
              <w14:schemeClr w14:val="tx1"/>
            </w14:solidFill>
          </w14:textFill>
        </w:rPr>
        <w:t>Q</w:t>
      </w:r>
      <w:r>
        <w:rPr>
          <w:rFonts w:hint="eastAsia" w:ascii="宋体" w:hAnsi="宋体" w:cs="仿宋"/>
          <w:color w:val="000000" w:themeColor="text1"/>
          <w:kern w:val="0"/>
          <w:szCs w:val="21"/>
          <w:highlight w:val="none"/>
          <w:vertAlign w:val="subscript"/>
          <w14:textFill>
            <w14:solidFill>
              <w14:schemeClr w14:val="tx1"/>
            </w14:solidFill>
          </w14:textFill>
        </w:rPr>
        <w:t>高</w:t>
      </w:r>
      <w:r>
        <w:rPr>
          <w:rFonts w:hint="eastAsia" w:ascii="宋体" w:hAnsi="宋体" w:cs="仿宋"/>
          <w:color w:val="000000" w:themeColor="text1"/>
          <w:szCs w:val="21"/>
          <w:highlight w:val="none"/>
          <w14:textFill>
            <w14:solidFill>
              <w14:schemeClr w14:val="tx1"/>
            </w14:solidFill>
          </w14:textFill>
        </w:rPr>
        <w:t>：为（最高投标限价</w:t>
      </w:r>
      <w:r>
        <w:rPr>
          <w:rFonts w:ascii="宋体" w:hAnsi="宋体" w:cs="仿宋"/>
          <w:color w:val="000000" w:themeColor="text1"/>
          <w:szCs w:val="21"/>
          <w:highlight w:val="none"/>
          <w14:textFill>
            <w14:solidFill>
              <w14:schemeClr w14:val="tx1"/>
            </w14:solidFill>
          </w14:textFill>
        </w:rPr>
        <w:t>*D%</w:t>
      </w:r>
      <w:r>
        <w:rPr>
          <w:rFonts w:hint="eastAsia" w:ascii="宋体" w:hAnsi="宋体" w:cs="仿宋"/>
          <w:color w:val="000000" w:themeColor="text1"/>
          <w:szCs w:val="21"/>
          <w:highlight w:val="none"/>
          <w14:textFill>
            <w14:solidFill>
              <w14:schemeClr w14:val="tx1"/>
            </w14:solidFill>
          </w14:textFill>
        </w:rPr>
        <w:t>）（</w:t>
      </w:r>
      <w:r>
        <w:rPr>
          <w:rFonts w:ascii="宋体" w:hAnsi="宋体" w:cs="仿宋"/>
          <w:color w:val="000000" w:themeColor="text1"/>
          <w:szCs w:val="21"/>
          <w:highlight w:val="none"/>
          <w14:textFill>
            <w14:solidFill>
              <w14:schemeClr w14:val="tx1"/>
            </w14:solidFill>
          </w14:textFill>
        </w:rPr>
        <w:t>D</w:t>
      </w:r>
      <w:r>
        <w:rPr>
          <w:rFonts w:hint="eastAsia" w:ascii="宋体" w:hAnsi="宋体" w:cs="仿宋"/>
          <w:color w:val="000000" w:themeColor="text1"/>
          <w:szCs w:val="21"/>
          <w:highlight w:val="none"/>
          <w14:textFill>
            <w14:solidFill>
              <w14:schemeClr w14:val="tx1"/>
            </w14:solidFill>
          </w14:textFill>
        </w:rPr>
        <w:t>的取值范围为</w:t>
      </w:r>
      <w:r>
        <w:rPr>
          <w:rFonts w:ascii="宋体" w:hAnsi="宋体" w:cs="仿宋"/>
          <w:color w:val="000000" w:themeColor="text1"/>
          <w:szCs w:val="21"/>
          <w:highlight w:val="none"/>
          <w14:textFill>
            <w14:solidFill>
              <w14:schemeClr w14:val="tx1"/>
            </w14:solidFill>
          </w14:textFill>
        </w:rPr>
        <w:t>[94,100],</w:t>
      </w:r>
      <w:r>
        <w:rPr>
          <w:rFonts w:hint="eastAsia" w:ascii="宋体" w:hAnsi="宋体" w:cs="仿宋"/>
          <w:color w:val="000000" w:themeColor="text1"/>
          <w:szCs w:val="21"/>
          <w:highlight w:val="none"/>
          <w14:textFill>
            <w14:solidFill>
              <w14:schemeClr w14:val="tx1"/>
            </w14:solidFill>
          </w14:textFill>
        </w:rPr>
        <w:t>由招标人自定）</w:t>
      </w:r>
    </w:p>
    <w:p>
      <w:pPr>
        <w:spacing w:line="312" w:lineRule="auto"/>
        <w:ind w:firstLine="422" w:firstLineChars="201"/>
        <w:rPr>
          <w:rFonts w:ascii="宋体" w:hAnsi="宋体" w:cs="宋体"/>
          <w:color w:val="000000" w:themeColor="text1"/>
          <w:szCs w:val="21"/>
          <w:highlight w:val="none"/>
          <w14:textFill>
            <w14:solidFill>
              <w14:schemeClr w14:val="tx1"/>
            </w14:solidFill>
          </w14:textFill>
        </w:rPr>
      </w:pPr>
      <w:r>
        <w:rPr>
          <w:rFonts w:ascii="宋体" w:hAnsi="宋体" w:cs="仿宋"/>
          <w:color w:val="000000" w:themeColor="text1"/>
          <w:szCs w:val="21"/>
          <w:highlight w:val="none"/>
          <w14:textFill>
            <w14:solidFill>
              <w14:schemeClr w14:val="tx1"/>
            </w14:solidFill>
          </w14:textFill>
        </w:rPr>
        <w:t>X:</w:t>
      </w:r>
      <w:r>
        <w:rPr>
          <w:rFonts w:hint="eastAsia" w:ascii="宋体" w:hAnsi="宋体" w:cs="仿宋"/>
          <w:color w:val="000000" w:themeColor="text1"/>
          <w:szCs w:val="21"/>
          <w:highlight w:val="none"/>
          <w14:textFill>
            <w14:solidFill>
              <w14:schemeClr w14:val="tx1"/>
            </w14:solidFill>
          </w14:textFill>
        </w:rPr>
        <w:t>为等分点值，在开标前从[0,100]整数中随机抽取。</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45.2按方法</w:t>
      </w:r>
      <w:r>
        <w:rPr>
          <w:rFonts w:hint="eastAsia" w:ascii="宋体" w:hAnsi="宋体" w:cs="宋体"/>
          <w:color w:val="000000" w:themeColor="text1"/>
          <w:szCs w:val="21"/>
          <w:highlight w:val="none"/>
          <w:u w:val="single"/>
          <w14:textFill>
            <w14:solidFill>
              <w14:schemeClr w14:val="tx1"/>
            </w14:solidFill>
          </w14:textFill>
        </w:rPr>
        <w:t xml:space="preserve">  一 </w:t>
      </w:r>
      <w:r>
        <w:rPr>
          <w:rFonts w:hint="eastAsia" w:ascii="宋体" w:hAnsi="宋体" w:cs="宋体"/>
          <w:color w:val="000000" w:themeColor="text1"/>
          <w:szCs w:val="21"/>
          <w:highlight w:val="none"/>
          <w14:textFill>
            <w14:solidFill>
              <w14:schemeClr w14:val="tx1"/>
            </w14:solidFill>
          </w14:textFill>
        </w:rPr>
        <w:t xml:space="preserve">计算评标参考价： </w:t>
      </w:r>
    </w:p>
    <w:p>
      <w:pPr>
        <w:spacing w:line="312" w:lineRule="auto"/>
        <w:ind w:firstLine="424" w:firstLineChars="201"/>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方法一：加权平均法</w:t>
      </w:r>
    </w:p>
    <w:p>
      <w:pPr>
        <w:spacing w:line="312" w:lineRule="auto"/>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通过技术标有效性审查的投标人技术标得分前5名（N=5，不足5名时，取所有满足前述条件的投标人数量）</w:t>
      </w:r>
      <w:r>
        <w:rPr>
          <w:rFonts w:hint="eastAsia" w:ascii="宋体" w:hAnsi="宋体" w:cs="宋体"/>
          <w:bCs/>
          <w:color w:val="000000" w:themeColor="text1"/>
          <w:szCs w:val="21"/>
          <w:highlight w:val="none"/>
          <w14:textFill>
            <w14:solidFill>
              <w14:schemeClr w14:val="tx1"/>
            </w14:solidFill>
          </w14:textFill>
        </w:rPr>
        <w:t>的经济报价加权平均，计算评标参考价。公式如下：</w:t>
      </w:r>
    </w:p>
    <w:p>
      <w:pPr>
        <w:spacing w:line="312" w:lineRule="auto"/>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评标参考价=Σ（投标人的投标报价*报价权重）。</w:t>
      </w:r>
    </w:p>
    <w:p>
      <w:pPr>
        <w:widowControl/>
        <w:spacing w:line="312" w:lineRule="auto"/>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其中：报价权重的计算方法为：将N名投标人按第一阶段入围得分由高至低进行排序，第一名投标人的权重为（</w:t>
      </w:r>
      <w:r>
        <w:rPr>
          <w:rFonts w:cs="宋体"/>
          <w:color w:val="000000" w:themeColor="text1"/>
          <w:szCs w:val="2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781685</wp:posOffset>
            </wp:positionH>
            <wp:positionV relativeFrom="paragraph">
              <wp:posOffset>368935</wp:posOffset>
            </wp:positionV>
            <wp:extent cx="251460" cy="295275"/>
            <wp:effectExtent l="0" t="0" r="15240" b="9525"/>
            <wp:wrapThrough wrapText="bothSides">
              <wp:wrapPolygon>
                <wp:start x="0" y="0"/>
                <wp:lineTo x="0" y="20206"/>
                <wp:lineTo x="19636" y="20206"/>
                <wp:lineTo x="19636" y="0"/>
                <wp:lineTo x="0" y="0"/>
              </wp:wrapPolygon>
            </wp:wrapThrough>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251460" cy="295275"/>
                    </a:xfrm>
                    <a:prstGeom prst="rect">
                      <a:avLst/>
                    </a:prstGeom>
                    <a:noFill/>
                    <a:ln>
                      <a:noFill/>
                    </a:ln>
                  </pic:spPr>
                </pic:pic>
              </a:graphicData>
            </a:graphic>
          </wp:anchor>
        </w:drawing>
      </w:r>
      <w:r>
        <w:rPr>
          <w:rFonts w:hint="eastAsia" w:cs="宋体"/>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QUOTE </w:instrText>
      </w:r>
      <w:r>
        <w:rPr>
          <w:rFonts w:cs="宋体"/>
          <w:color w:val="000000" w:themeColor="text1"/>
          <w:szCs w:val="21"/>
          <w:highlight w:val="none"/>
          <w14:textFill>
            <w14:solidFill>
              <w14:schemeClr w14:val="tx1"/>
            </w14:solidFill>
          </w14:textFill>
        </w:rPr>
        <w:drawing>
          <wp:inline distT="0" distB="0" distL="114300" distR="114300">
            <wp:extent cx="381000" cy="447675"/>
            <wp:effectExtent l="0" t="0" r="0"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8"/>
                    <a:stretch>
                      <a:fillRect/>
                    </a:stretch>
                  </pic:blipFill>
                  <pic:spPr>
                    <a:xfrm>
                      <a:off x="0" y="0"/>
                      <a:ext cx="381000" cy="447675"/>
                    </a:xfrm>
                    <a:prstGeom prst="rect">
                      <a:avLst/>
                    </a:prstGeom>
                    <a:noFill/>
                    <a:ln>
                      <a:noFill/>
                    </a:ln>
                  </pic:spPr>
                </pic:pic>
              </a:graphicData>
            </a:graphic>
          </wp:inline>
        </w:drawing>
      </w:r>
      <w:r>
        <w:rPr>
          <w:rFonts w:cs="宋体"/>
          <w:color w:val="000000" w:themeColor="text1"/>
          <w:szCs w:val="21"/>
          <w:highlight w:val="none"/>
          <w14:textFill>
            <w14:solidFill>
              <w14:schemeClr w14:val="tx1"/>
            </w14:solidFill>
          </w14:textFill>
        </w:rPr>
        <w:instrText xml:space="preserve"> \* MERGEFORMAT </w:instrText>
      </w:r>
      <w:r>
        <w:rPr>
          <w:rFonts w:hint="eastAsia" w:cs="宋体"/>
          <w:color w:val="000000" w:themeColor="text1"/>
          <w:szCs w:val="2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t>），第二名投标人的权重为（</w:t>
      </w: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QUOTE </w:instrText>
      </w:r>
      <w:r>
        <w:rPr>
          <w:rFonts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9"/>
                    <a:stretch>
                      <a:fillRect/>
                    </a:stretch>
                  </pic:blipFill>
                  <pic:spPr>
                    <a:xfrm>
                      <a:off x="0" y="0"/>
                      <a:ext cx="323850" cy="400050"/>
                    </a:xfrm>
                    <a:prstGeom prst="rect">
                      <a:avLst/>
                    </a:prstGeom>
                    <a:noFill/>
                    <a:ln>
                      <a:noFill/>
                    </a:ln>
                  </pic:spPr>
                </pic:pic>
              </a:graphicData>
            </a:graphic>
          </wp:inline>
        </w:drawing>
      </w:r>
      <w:r>
        <w:rPr>
          <w:rFonts w:cs="宋体"/>
          <w:color w:val="000000" w:themeColor="text1"/>
          <w:position w:val="-23"/>
          <w:szCs w:val="21"/>
          <w:highlight w:val="none"/>
          <w14:textFill>
            <w14:solidFill>
              <w14:schemeClr w14:val="tx1"/>
            </w14:solidFill>
          </w14:textFill>
        </w:rPr>
        <w:instrText xml:space="preserve"> \* MERGEFORMAT </w:instrText>
      </w:r>
      <w:r>
        <w:rPr>
          <w:rFonts w:hint="eastAsia" w:cs="宋体"/>
          <w:color w:val="000000" w:themeColor="text1"/>
          <w:szCs w:val="21"/>
          <w:highlight w:val="none"/>
          <w14:textFill>
            <w14:solidFill>
              <w14:schemeClr w14:val="tx1"/>
            </w14:solidFill>
          </w14:textFill>
        </w:rPr>
        <w:fldChar w:fldCharType="separate"/>
      </w:r>
      <w:r>
        <w:rPr>
          <w:rFonts w:cs="宋体"/>
          <w:color w:val="000000" w:themeColor="text1"/>
          <w:position w:val="-23"/>
          <w:szCs w:val="21"/>
          <w:highlight w:val="none"/>
          <w14:textFill>
            <w14:solidFill>
              <w14:schemeClr w14:val="tx1"/>
            </w14:solidFill>
          </w14:textFill>
        </w:rPr>
        <w:drawing>
          <wp:inline distT="0" distB="0" distL="114300" distR="114300">
            <wp:extent cx="240030" cy="296545"/>
            <wp:effectExtent l="0" t="0" r="7620" b="825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19"/>
                    <a:stretch>
                      <a:fillRect/>
                    </a:stretch>
                  </pic:blipFill>
                  <pic:spPr>
                    <a:xfrm>
                      <a:off x="0" y="0"/>
                      <a:ext cx="240030" cy="296545"/>
                    </a:xfrm>
                    <a:prstGeom prst="rect">
                      <a:avLst/>
                    </a:prstGeom>
                    <a:noFill/>
                    <a:ln>
                      <a:noFill/>
                    </a:ln>
                  </pic:spPr>
                </pic:pic>
              </a:graphicData>
            </a:graphic>
          </wp:inline>
        </w:drawing>
      </w:r>
      <w:r>
        <w:rPr>
          <w:rFonts w:hint="eastAsia" w:cs="宋体"/>
          <w:color w:val="000000" w:themeColor="text1"/>
          <w:szCs w:val="2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t>），以此类推，最后一名投标人的权重为（</w:t>
      </w: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QUOTE </w:instrText>
      </w:r>
      <w:r>
        <w:rPr>
          <w:rFonts w:cs="宋体"/>
          <w:color w:val="000000" w:themeColor="text1"/>
          <w:position w:val="-23"/>
          <w:szCs w:val="21"/>
          <w:highlight w:val="none"/>
          <w14:textFill>
            <w14:solidFill>
              <w14:schemeClr w14:val="tx1"/>
            </w14:solidFill>
          </w14:textFill>
        </w:rPr>
        <w:drawing>
          <wp:inline distT="0" distB="0" distL="114300" distR="114300">
            <wp:extent cx="323850" cy="400050"/>
            <wp:effectExtent l="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20"/>
                    <a:stretch>
                      <a:fillRect/>
                    </a:stretch>
                  </pic:blipFill>
                  <pic:spPr>
                    <a:xfrm>
                      <a:off x="0" y="0"/>
                      <a:ext cx="323850" cy="400050"/>
                    </a:xfrm>
                    <a:prstGeom prst="rect">
                      <a:avLst/>
                    </a:prstGeom>
                    <a:noFill/>
                    <a:ln>
                      <a:noFill/>
                    </a:ln>
                  </pic:spPr>
                </pic:pic>
              </a:graphicData>
            </a:graphic>
          </wp:inline>
        </w:drawing>
      </w:r>
      <w:r>
        <w:rPr>
          <w:rFonts w:cs="宋体"/>
          <w:color w:val="000000" w:themeColor="text1"/>
          <w:position w:val="-23"/>
          <w:szCs w:val="21"/>
          <w:highlight w:val="none"/>
          <w14:textFill>
            <w14:solidFill>
              <w14:schemeClr w14:val="tx1"/>
            </w14:solidFill>
          </w14:textFill>
        </w:rPr>
        <w:instrText xml:space="preserve"> \* MERGEFORMAT </w:instrText>
      </w:r>
      <w:r>
        <w:rPr>
          <w:rFonts w:hint="eastAsia" w:cs="宋体"/>
          <w:color w:val="000000" w:themeColor="text1"/>
          <w:szCs w:val="21"/>
          <w:highlight w:val="none"/>
          <w14:textFill>
            <w14:solidFill>
              <w14:schemeClr w14:val="tx1"/>
            </w14:solidFill>
          </w14:textFill>
        </w:rPr>
        <w:fldChar w:fldCharType="separate"/>
      </w:r>
      <w:r>
        <w:rPr>
          <w:rFonts w:cs="宋体"/>
          <w:color w:val="000000" w:themeColor="text1"/>
          <w:position w:val="-23"/>
          <w:szCs w:val="21"/>
          <w:highlight w:val="none"/>
          <w14:textFill>
            <w14:solidFill>
              <w14:schemeClr w14:val="tx1"/>
            </w14:solidFill>
          </w14:textFill>
        </w:rPr>
        <w:drawing>
          <wp:inline distT="0" distB="0" distL="114300" distR="114300">
            <wp:extent cx="281305" cy="347980"/>
            <wp:effectExtent l="0" t="0" r="4445" b="1397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0"/>
                    <a:stretch>
                      <a:fillRect/>
                    </a:stretch>
                  </pic:blipFill>
                  <pic:spPr>
                    <a:xfrm>
                      <a:off x="0" y="0"/>
                      <a:ext cx="281305" cy="347980"/>
                    </a:xfrm>
                    <a:prstGeom prst="rect">
                      <a:avLst/>
                    </a:prstGeom>
                    <a:noFill/>
                    <a:ln>
                      <a:noFill/>
                    </a:ln>
                  </pic:spPr>
                </pic:pic>
              </a:graphicData>
            </a:graphic>
          </wp:inline>
        </w:drawing>
      </w:r>
      <w:r>
        <w:rPr>
          <w:rFonts w:hint="eastAsia" w:cs="宋体"/>
          <w:color w:val="000000" w:themeColor="text1"/>
          <w:szCs w:val="2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t xml:space="preserve">）。 </w:t>
      </w:r>
    </w:p>
    <w:p>
      <w:pPr>
        <w:pBdr>
          <w:bottom w:val="single" w:color="auto" w:sz="4" w:space="7"/>
        </w:pBdr>
        <w:spacing w:line="312" w:lineRule="auto"/>
        <w:ind w:firstLine="411" w:firstLineChars="196"/>
        <w:rPr>
          <w:rFonts w:ascii="宋体" w:hAnsi="宋体"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若投标人的</w:t>
      </w:r>
      <w:r>
        <w:rPr>
          <w:rFonts w:hint="eastAsia" w:ascii="宋体" w:hAnsi="宋体" w:cs="宋体"/>
          <w:bCs/>
          <w:color w:val="000000" w:themeColor="text1"/>
          <w:szCs w:val="21"/>
          <w:highlight w:val="none"/>
          <w:u w:val="single"/>
          <w14:textFill>
            <w14:solidFill>
              <w14:schemeClr w14:val="tx1"/>
            </w14:solidFill>
          </w14:textFill>
        </w:rPr>
        <w:t>技术标得分</w:t>
      </w:r>
      <w:r>
        <w:rPr>
          <w:rFonts w:hint="eastAsia" w:cs="宋体"/>
          <w:color w:val="000000" w:themeColor="text1"/>
          <w:szCs w:val="21"/>
          <w:highlight w:val="none"/>
          <w:u w:val="single"/>
          <w14:textFill>
            <w14:solidFill>
              <w14:schemeClr w14:val="tx1"/>
            </w14:solidFill>
          </w14:textFill>
        </w:rPr>
        <w:t>相同的，则以投标总报价较低的排前；投标总报价仍相同的，则对具有相同情况的投标人，由评标委员会采用记名投票方式，确定投标人</w:t>
      </w:r>
      <w:r>
        <w:rPr>
          <w:rFonts w:hint="eastAsia" w:ascii="宋体" w:hAnsi="宋体" w:cs="宋体"/>
          <w:bCs/>
          <w:color w:val="000000" w:themeColor="text1"/>
          <w:szCs w:val="21"/>
          <w:highlight w:val="none"/>
          <w:u w:val="single"/>
          <w14:textFill>
            <w14:solidFill>
              <w14:schemeClr w14:val="tx1"/>
            </w14:solidFill>
          </w14:textFill>
        </w:rPr>
        <w:t>参与评标参考价计算</w:t>
      </w:r>
      <w:r>
        <w:rPr>
          <w:rFonts w:hint="eastAsia" w:cs="宋体"/>
          <w:color w:val="000000" w:themeColor="text1"/>
          <w:szCs w:val="21"/>
          <w:highlight w:val="none"/>
          <w:u w:val="single"/>
          <w14:textFill>
            <w14:solidFill>
              <w14:schemeClr w14:val="tx1"/>
            </w14:solidFill>
          </w14:textFill>
        </w:rPr>
        <w:t>名次的排序。</w:t>
      </w:r>
      <w:r>
        <w:rPr>
          <w:rFonts w:hint="eastAsia" w:ascii="宋体" w:hAnsi="宋体" w:cs="宋体"/>
          <w:color w:val="000000" w:themeColor="text1"/>
          <w:szCs w:val="21"/>
          <w:highlight w:val="none"/>
          <w14:textFill>
            <w14:solidFill>
              <w14:schemeClr w14:val="tx1"/>
            </w14:solidFill>
          </w14:textFill>
        </w:rPr>
        <w:t>。</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45.3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kern w:val="0"/>
          <w:szCs w:val="21"/>
          <w:highlight w:val="none"/>
          <w14:textFill>
            <w14:solidFill>
              <w14:schemeClr w14:val="tx1"/>
            </w14:solidFill>
          </w14:textFill>
        </w:rPr>
        <w:t>45.3</w:t>
      </w:r>
      <w:r>
        <w:rPr>
          <w:rFonts w:hint="eastAsia" w:ascii="宋体" w:hAnsi="宋体" w:cs="宋体"/>
          <w:color w:val="000000" w:themeColor="text1"/>
          <w:szCs w:val="21"/>
          <w:highlight w:val="none"/>
          <w14:textFill>
            <w14:solidFill>
              <w14:schemeClr w14:val="tx1"/>
            </w14:solidFill>
          </w14:textFill>
        </w:rPr>
        <w:t>当标价等于评标参考价时得100分，标价每高于评标参考价1%，扣1.5分，每低于评标参考价1%，扣1分，扣至0分为止，得出经济分，精确到小数点后两位。</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45.3</w:t>
      </w:r>
      <w:r>
        <w:rPr>
          <w:rFonts w:hint="eastAsia" w:ascii="宋体" w:hAnsi="宋体" w:cs="宋体"/>
          <w:color w:val="000000" w:themeColor="text1"/>
          <w:szCs w:val="21"/>
          <w:highlight w:val="none"/>
          <w14:textFill>
            <w14:solidFill>
              <w14:schemeClr w14:val="tx1"/>
            </w14:solidFill>
          </w14:textFill>
        </w:rPr>
        <w:t>当</w:t>
      </w:r>
      <w:r>
        <w:rPr>
          <w:rFonts w:hint="eastAsia" w:ascii="宋体" w:hAnsi="宋体" w:cs="宋体"/>
          <w:color w:val="000000" w:themeColor="text1"/>
          <w:szCs w:val="21"/>
          <w:highlight w:val="none"/>
          <w:u w:val="single"/>
          <w14:textFill>
            <w14:solidFill>
              <w14:schemeClr w14:val="tx1"/>
            </w14:solidFill>
          </w14:textFill>
        </w:rPr>
        <w:t>投标总报价</w:t>
      </w:r>
      <w:r>
        <w:rPr>
          <w:rFonts w:hint="eastAsia" w:ascii="宋体" w:hAnsi="宋体" w:cs="宋体"/>
          <w:color w:val="000000" w:themeColor="text1"/>
          <w:szCs w:val="21"/>
          <w:highlight w:val="none"/>
          <w14:textFill>
            <w14:solidFill>
              <w14:schemeClr w14:val="tx1"/>
            </w14:solidFill>
          </w14:textFill>
        </w:rPr>
        <w:t>等于评标参考价时得100分，</w:t>
      </w:r>
      <w:r>
        <w:rPr>
          <w:rFonts w:hint="eastAsia" w:ascii="宋体" w:hAnsi="宋体" w:cs="宋体"/>
          <w:color w:val="000000" w:themeColor="text1"/>
          <w:szCs w:val="21"/>
          <w:highlight w:val="none"/>
          <w:u w:val="single"/>
          <w14:textFill>
            <w14:solidFill>
              <w14:schemeClr w14:val="tx1"/>
            </w14:solidFill>
          </w14:textFill>
        </w:rPr>
        <w:t>投标总报价</w:t>
      </w:r>
      <w:r>
        <w:rPr>
          <w:rFonts w:hint="eastAsia" w:ascii="宋体" w:hAnsi="宋体" w:cs="宋体"/>
          <w:color w:val="000000" w:themeColor="text1"/>
          <w:szCs w:val="21"/>
          <w:highlight w:val="none"/>
          <w14:textFill>
            <w14:solidFill>
              <w14:schemeClr w14:val="tx1"/>
            </w14:solidFill>
          </w14:textFill>
        </w:rPr>
        <w:t>每高于评标参考价1%，扣</w:t>
      </w:r>
      <w:r>
        <w:rPr>
          <w:rFonts w:hint="eastAsia" w:ascii="宋体" w:hAnsi="宋体" w:cs="宋体"/>
          <w:color w:val="000000" w:themeColor="text1"/>
          <w:szCs w:val="21"/>
          <w:highlight w:val="none"/>
          <w:u w:val="single"/>
          <w14:textFill>
            <w14:solidFill>
              <w14:schemeClr w14:val="tx1"/>
            </w14:solidFill>
          </w14:textFill>
        </w:rPr>
        <w:t>0.2</w:t>
      </w:r>
      <w:r>
        <w:rPr>
          <w:rFonts w:hint="eastAsia" w:ascii="宋体" w:hAnsi="宋体" w:cs="宋体"/>
          <w:color w:val="000000" w:themeColor="text1"/>
          <w:szCs w:val="21"/>
          <w:highlight w:val="none"/>
          <w14:textFill>
            <w14:solidFill>
              <w14:schemeClr w14:val="tx1"/>
            </w14:solidFill>
          </w14:textFill>
        </w:rPr>
        <w:t>分，每低于评标参考价1%，扣</w:t>
      </w:r>
      <w:r>
        <w:rPr>
          <w:rFonts w:hint="eastAsia" w:ascii="宋体" w:hAnsi="宋体" w:cs="宋体"/>
          <w:color w:val="000000" w:themeColor="text1"/>
          <w:szCs w:val="21"/>
          <w:highlight w:val="none"/>
          <w:u w:val="single"/>
          <w14:textFill>
            <w14:solidFill>
              <w14:schemeClr w14:val="tx1"/>
            </w14:solidFill>
          </w14:textFill>
        </w:rPr>
        <w:t>0.1</w:t>
      </w:r>
      <w:r>
        <w:rPr>
          <w:rFonts w:hint="eastAsia" w:ascii="宋体" w:hAnsi="宋体" w:cs="宋体"/>
          <w:color w:val="000000" w:themeColor="text1"/>
          <w:szCs w:val="21"/>
          <w:highlight w:val="none"/>
          <w14:textFill>
            <w14:solidFill>
              <w14:schemeClr w14:val="tx1"/>
            </w14:solidFill>
          </w14:textFill>
        </w:rPr>
        <w:t>分，扣至0分为止，得出经济分，精确到小数点后两位。</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45.</w:t>
      </w:r>
      <w:r>
        <w:rPr>
          <w:color w:val="000000" w:themeColor="text1"/>
          <w:sz w:val="21"/>
          <w:highlight w:val="none"/>
          <w14:textFill>
            <w14:solidFill>
              <w14:schemeClr w14:val="tx1"/>
            </w14:solidFill>
          </w14:textFill>
        </w:rPr>
        <w:t>4</w:t>
      </w:r>
      <w:r>
        <w:rPr>
          <w:rFonts w:hint="eastAsia"/>
          <w:color w:val="000000" w:themeColor="text1"/>
          <w:sz w:val="21"/>
          <w:highlight w:val="none"/>
          <w14:textFill>
            <w14:solidFill>
              <w14:schemeClr w14:val="tx1"/>
            </w14:solidFill>
          </w14:textFill>
        </w:rPr>
        <w:t xml:space="preserve">               修改类型：修改</w:t>
      </w:r>
    </w:p>
    <w:p>
      <w:pP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kern w:val="0"/>
          <w:szCs w:val="21"/>
          <w:highlight w:val="none"/>
          <w14:textFill>
            <w14:solidFill>
              <w14:schemeClr w14:val="tx1"/>
            </w14:solidFill>
          </w14:textFill>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12" w:lineRule="auto"/>
        <w:ind w:firstLine="413" w:firstLineChars="196"/>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：计算通过技术标有效性审查的投标人总得分。</w:t>
      </w:r>
      <w:r>
        <w:rPr>
          <w:rFonts w:hint="eastAsia" w:ascii="宋体" w:hAnsi="宋体" w:cs="宋体"/>
          <w:b/>
          <w:bCs/>
          <w:color w:val="000000" w:themeColor="text1"/>
          <w:szCs w:val="21"/>
          <w:highlight w:val="none"/>
          <w14:textFill>
            <w14:solidFill>
              <w14:schemeClr w14:val="tx1"/>
            </w14:solidFill>
          </w14:textFill>
        </w:rPr>
        <w:t>投标人总得分=技术得分（满分20分）＋经济得分（满分100分）×经济得分权重（80%）</w:t>
      </w:r>
      <w:r>
        <w:rPr>
          <w:rFonts w:hint="eastAsia" w:ascii="宋体" w:hAnsi="宋体" w:cs="宋体"/>
          <w:color w:val="000000" w:themeColor="text1"/>
          <w:szCs w:val="21"/>
          <w:highlight w:val="none"/>
          <w14:textFill>
            <w14:solidFill>
              <w14:schemeClr w14:val="tx1"/>
            </w14:solidFill>
          </w14:textFill>
        </w:rPr>
        <w:t>。技术、经济得分权重按投标须知前附表的规定执行。总得分四舍五入保留两位小数。总得分相同情况下的排序方法：总得分相同的，以技术标得分高的排前；总得分与技术标得分均相同的投标文件，以投标总报价较低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color w:val="000000" w:themeColor="text1"/>
          <w:kern w:val="0"/>
          <w:szCs w:val="21"/>
          <w:highlight w:val="none"/>
          <w14:textFill>
            <w14:solidFill>
              <w14:schemeClr w14:val="tx1"/>
            </w14:solidFill>
          </w14:textFill>
        </w:rPr>
        <w:t>。</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4</w:t>
      </w:r>
      <w:r>
        <w:rPr>
          <w:color w:val="000000" w:themeColor="text1"/>
          <w:sz w:val="21"/>
          <w:highlight w:val="none"/>
          <w14:textFill>
            <w14:solidFill>
              <w14:schemeClr w14:val="tx1"/>
            </w14:solidFill>
          </w14:textFill>
        </w:rPr>
        <w:t>8</w:t>
      </w:r>
      <w:r>
        <w:rPr>
          <w:rFonts w:hint="eastAsia"/>
          <w:color w:val="000000" w:themeColor="text1"/>
          <w:sz w:val="21"/>
          <w:highlight w:val="none"/>
          <w14:textFill>
            <w14:solidFill>
              <w14:schemeClr w14:val="tx1"/>
            </w14:solidFill>
          </w14:textFill>
        </w:rPr>
        <w:t xml:space="preserve">        修改类型：修改</w:t>
      </w:r>
    </w:p>
    <w:p>
      <w:pPr>
        <w:pBdr>
          <w:bottom w:val="single" w:color="auto" w:sz="6" w:space="1"/>
        </w:pBdr>
        <w:spacing w:line="312" w:lineRule="auto"/>
        <w:ind w:firstLine="424" w:firstLineChars="201"/>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color w:val="000000" w:themeColor="text1"/>
          <w:kern w:val="0"/>
          <w:szCs w:val="21"/>
          <w:highlight w:val="none"/>
          <w14:textFill>
            <w14:solidFill>
              <w14:schemeClr w14:val="tx1"/>
            </w14:solidFill>
          </w14:textFill>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kern w:val="0"/>
          <w:szCs w:val="21"/>
          <w:highlight w:val="none"/>
          <w14:textFill>
            <w14:solidFill>
              <w14:schemeClr w14:val="tx1"/>
            </w14:solidFill>
          </w14:textFill>
        </w:rPr>
        <w:t>评标委员会应在通过投标文件经济标有效性审查的投标人中，按步骤45.4确定的投标人排序，推荐前3名依次为第一中标候选人至第三中标候选人,并编制评标报告。</w:t>
      </w:r>
    </w:p>
    <w:p>
      <w:pPr>
        <w:pStyle w:val="34"/>
        <w:spacing w:line="312"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条款号：49 修改类型：修改</w:t>
      </w:r>
    </w:p>
    <w:p>
      <w:pPr>
        <w:spacing w:line="312" w:lineRule="auto"/>
        <w:ind w:firstLine="413"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49.若通过经济标有效性审查的投标人不足三家，应当依法重新招标。（当N个标段同时招标且不允许兼中时，若有效投标人不足N+2家，应当依法重新招标）</w:t>
      </w:r>
    </w:p>
    <w:p>
      <w:pPr>
        <w:pBdr>
          <w:bottom w:val="single" w:color="auto" w:sz="6" w:space="1"/>
        </w:pBdr>
        <w:spacing w:line="312" w:lineRule="auto"/>
        <w:ind w:firstLine="413"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bCs/>
          <w:color w:val="000000" w:themeColor="text1"/>
          <w:szCs w:val="21"/>
          <w:highlight w:val="none"/>
          <w:u w:val="single"/>
          <w14:textFill>
            <w14:solidFill>
              <w14:schemeClr w14:val="tx1"/>
            </w14:solidFill>
          </w14:textFill>
        </w:rPr>
        <w:t>49.若通过经济标有效性审查的投标人不足三家，应当依法重新招标。</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附表一《资格审查表》           修改类型：修改</w:t>
      </w:r>
    </w:p>
    <w:p>
      <w:pPr>
        <w:spacing w:line="312" w:lineRule="auto"/>
        <w:ind w:firstLine="424" w:firstLineChars="201"/>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详见本招标文件第二章附表一《资格审查表》</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附表二《技术标有效性审查表》      修改类型：修改</w:t>
      </w:r>
    </w:p>
    <w:p>
      <w:pPr>
        <w:pBdr>
          <w:bottom w:val="single" w:color="auto" w:sz="6" w:space="1"/>
        </w:pBdr>
        <w:spacing w:line="312" w:lineRule="auto"/>
        <w:ind w:firstLine="424" w:firstLineChars="201"/>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详见本招标文件第二章附表二《技术标有效性审查表》</w:t>
      </w:r>
    </w:p>
    <w:p>
      <w:pPr>
        <w:pStyle w:val="7"/>
        <w:spacing w:line="312" w:lineRule="auto"/>
        <w:ind w:firstLine="422"/>
        <w:rPr>
          <w:rFonts w:cs="宋体"/>
          <w:b w:val="0"/>
          <w:color w:val="000000" w:themeColor="text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附表三《经济标有效性审查表》           修改类型：修改</w:t>
      </w:r>
    </w:p>
    <w:p>
      <w:pP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详见本招标文件第二章附表三《经济标有效性审查表》</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 xml:space="preserve">条款号: 附表四《技术标详细审查评分表》         修改类型：修改  </w:t>
      </w:r>
    </w:p>
    <w:p>
      <w:pPr>
        <w:spacing w:line="312" w:lineRule="auto"/>
        <w:ind w:firstLine="424" w:firstLineChars="201"/>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详见最新版广州市建设工程施工公开招标项目招标文件范本（适用于资格后审综合评分法、经评审的最低投标价法的施工电子招标项目）GZZB2018-3</w:t>
      </w:r>
    </w:p>
    <w:p>
      <w:pPr>
        <w:pBdr>
          <w:bottom w:val="single" w:color="auto" w:sz="6" w:space="1"/>
        </w:pBd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现文：</w:t>
      </w:r>
      <w:r>
        <w:rPr>
          <w:rFonts w:hint="eastAsia" w:ascii="宋体" w:hAnsi="宋体" w:cs="宋体"/>
          <w:color w:val="000000" w:themeColor="text1"/>
          <w:szCs w:val="21"/>
          <w:highlight w:val="none"/>
          <w14:textFill>
            <w14:solidFill>
              <w14:schemeClr w14:val="tx1"/>
            </w14:solidFill>
          </w14:textFill>
        </w:rPr>
        <w:t>详见本招标文件第二章附表四《技术标详细审查评分表》</w:t>
      </w:r>
    </w:p>
    <w:p>
      <w:pPr>
        <w:pStyle w:val="7"/>
        <w:spacing w:line="312" w:lineRule="auto"/>
        <w:ind w:firstLine="422"/>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条款号: 附表五（适用于区间抽取法）《经济标评分表》        修改类型：删除</w:t>
      </w:r>
    </w:p>
    <w:p>
      <w:pPr>
        <w:pBdr>
          <w:bottom w:val="single" w:color="auto" w:sz="6" w:space="1"/>
        </w:pBdr>
        <w:spacing w:line="312" w:lineRule="auto"/>
        <w:ind w:firstLine="424" w:firstLineChars="20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原文：</w:t>
      </w:r>
      <w:r>
        <w:rPr>
          <w:rFonts w:hint="eastAsia" w:ascii="宋体" w:hAnsi="宋体" w:cs="宋体"/>
          <w:bCs/>
          <w:color w:val="000000" w:themeColor="text1"/>
          <w:szCs w:val="21"/>
          <w:highlight w:val="none"/>
          <w14:textFill>
            <w14:solidFill>
              <w14:schemeClr w14:val="tx1"/>
            </w14:solidFill>
          </w14:textFill>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color w:val="000000" w:themeColor="text1"/>
          <w:szCs w:val="21"/>
          <w:highlight w:val="none"/>
          <w14:textFill>
            <w14:solidFill>
              <w14:schemeClr w14:val="tx1"/>
            </w14:solidFill>
          </w14:textFill>
        </w:rPr>
      </w:pPr>
    </w:p>
    <w:p>
      <w:pPr>
        <w:spacing w:line="360" w:lineRule="auto"/>
        <w:ind w:firstLine="211" w:firstLineChars="1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注：以上修改，仅限于本范本中有可供选择条款的情形。</w:t>
      </w:r>
    </w:p>
    <w:p>
      <w:pPr>
        <w:spacing w:line="360" w:lineRule="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pPr>
        <w:pStyle w:val="6"/>
        <w:rPr>
          <w:color w:val="000000" w:themeColor="text1"/>
          <w:highlight w:val="none"/>
          <w14:textFill>
            <w14:solidFill>
              <w14:schemeClr w14:val="tx1"/>
            </w14:solidFill>
          </w14:textFill>
        </w:rPr>
      </w:pPr>
      <w:bookmarkStart w:id="20" w:name="_Toc2272556"/>
      <w:r>
        <w:rPr>
          <w:color w:val="000000" w:themeColor="text1"/>
          <w:highlight w:val="none"/>
          <w14:textFill>
            <w14:solidFill>
              <w14:schemeClr w14:val="tx1"/>
            </w14:solidFill>
          </w14:textFill>
        </w:rPr>
        <w:br w:type="page"/>
      </w:r>
    </w:p>
    <w:bookmarkEnd w:id="20"/>
    <w:p>
      <w:pPr>
        <w:pStyle w:val="6"/>
        <w:rPr>
          <w:color w:val="000000" w:themeColor="text1"/>
          <w:highlight w:val="none"/>
          <w14:textFill>
            <w14:solidFill>
              <w14:schemeClr w14:val="tx1"/>
            </w14:solidFill>
          </w14:textFill>
        </w:rPr>
      </w:pPr>
      <w:bookmarkStart w:id="21" w:name="_Toc115117424"/>
      <w:r>
        <w:rPr>
          <w:rFonts w:hint="eastAsia"/>
          <w:color w:val="000000" w:themeColor="text1"/>
          <w:highlight w:val="none"/>
          <w14:textFill>
            <w14:solidFill>
              <w14:schemeClr w14:val="tx1"/>
            </w14:solidFill>
          </w14:textFill>
        </w:rPr>
        <w:t>二、开标、评标及定标办法</w:t>
      </w:r>
      <w:r>
        <w:rPr>
          <w:rFonts w:hint="eastAsia"/>
          <w:color w:val="000000" w:themeColor="text1"/>
          <w:szCs w:val="30"/>
          <w:highlight w:val="none"/>
          <w14:textFill>
            <w14:solidFill>
              <w14:schemeClr w14:val="tx1"/>
            </w14:solidFill>
          </w14:textFill>
        </w:rPr>
        <w:t>通用条款</w:t>
      </w:r>
      <w:bookmarkEnd w:id="21"/>
    </w:p>
    <w:p>
      <w:pPr>
        <w:spacing w:before="156" w:beforeLines="50" w:after="156" w:afterLines="50"/>
        <w:jc w:val="center"/>
        <w:rPr>
          <w:b/>
          <w:color w:val="000000" w:themeColor="text1"/>
          <w:sz w:val="24"/>
          <w:szCs w:val="24"/>
          <w:highlight w:val="none"/>
          <w14:textFill>
            <w14:solidFill>
              <w14:schemeClr w14:val="tx1"/>
            </w14:solidFill>
          </w14:textFill>
        </w:rPr>
      </w:pPr>
      <w:bookmarkStart w:id="22" w:name="_Toc2272557"/>
      <w:bookmarkEnd w:id="22"/>
      <w:r>
        <w:rPr>
          <w:rFonts w:hint="eastAsia"/>
          <w:b/>
          <w:color w:val="000000" w:themeColor="text1"/>
          <w:sz w:val="24"/>
          <w:szCs w:val="24"/>
          <w:highlight w:val="none"/>
          <w14:textFill>
            <w14:solidFill>
              <w14:schemeClr w14:val="tx1"/>
            </w14:solidFill>
          </w14:textFill>
        </w:rPr>
        <w:t>（一）总则</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w:t>
      </w:r>
      <w:r>
        <w:rPr>
          <w:rFonts w:hint="eastAsia"/>
          <w:color w:val="000000" w:themeColor="text1"/>
          <w:highlight w:val="none"/>
          <w14:textFill>
            <w14:solidFill>
              <w14:schemeClr w14:val="tx1"/>
            </w14:solidFill>
          </w14:textFill>
        </w:rPr>
        <w:t>.开标、评标及定标所依据的规则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35.1</w:t>
      </w:r>
      <w:r>
        <w:rPr>
          <w:rFonts w:hint="eastAsia" w:ascii="宋体" w:hAnsi="宋体"/>
          <w:color w:val="000000" w:themeColor="text1"/>
          <w:sz w:val="24"/>
          <w:szCs w:val="24"/>
          <w:highlight w:val="none"/>
          <w14:textFill>
            <w14:solidFill>
              <w14:schemeClr w14:val="tx1"/>
            </w14:solidFill>
          </w14:textFill>
        </w:rPr>
        <w:t>《中华人民共和国招标投标法》；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35.2</w:t>
      </w:r>
      <w:r>
        <w:rPr>
          <w:rFonts w:hint="eastAsia" w:ascii="宋体" w:hAnsi="宋体"/>
          <w:color w:val="000000" w:themeColor="text1"/>
          <w:sz w:val="24"/>
          <w:szCs w:val="24"/>
          <w:highlight w:val="none"/>
          <w14:textFill>
            <w14:solidFill>
              <w14:schemeClr w14:val="tx1"/>
            </w14:solidFill>
          </w14:textFill>
        </w:rPr>
        <w:t>《中华人民共和国招标投标法实施条例》；</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35.3</w:t>
      </w:r>
      <w:r>
        <w:rPr>
          <w:rFonts w:hint="eastAsia" w:ascii="宋体" w:hAnsi="宋体"/>
          <w:color w:val="000000" w:themeColor="text1"/>
          <w:sz w:val="24"/>
          <w:szCs w:val="24"/>
          <w:highlight w:val="none"/>
          <w14:textFill>
            <w14:solidFill>
              <w14:schemeClr w14:val="tx1"/>
            </w14:solidFill>
          </w14:textFill>
        </w:rPr>
        <w:t>《评标委员会和评标方法暂行规定》（七部委第</w:t>
      </w: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35.4</w:t>
      </w:r>
      <w:r>
        <w:rPr>
          <w:rFonts w:hint="eastAsia" w:ascii="宋体" w:hAnsi="宋体"/>
          <w:color w:val="000000" w:themeColor="text1"/>
          <w:sz w:val="24"/>
          <w:szCs w:val="24"/>
          <w:highlight w:val="none"/>
          <w14:textFill>
            <w14:solidFill>
              <w14:schemeClr w14:val="tx1"/>
            </w14:solidFill>
          </w14:textFill>
        </w:rPr>
        <w:t>《工程建设项目施工招标投标办法》（七部委</w:t>
      </w:r>
      <w:r>
        <w:rPr>
          <w:rFonts w:ascii="宋体" w:hAnsi="宋体"/>
          <w:color w:val="000000" w:themeColor="text1"/>
          <w:sz w:val="24"/>
          <w:szCs w:val="24"/>
          <w:highlight w:val="none"/>
          <w14:textFill>
            <w14:solidFill>
              <w14:schemeClr w14:val="tx1"/>
            </w14:solidFill>
          </w14:textFill>
        </w:rPr>
        <w:t>2003</w:t>
      </w:r>
      <w:r>
        <w:rPr>
          <w:rFonts w:hint="eastAsia" w:ascii="宋体" w:hAnsi="宋体"/>
          <w:color w:val="000000" w:themeColor="text1"/>
          <w:sz w:val="24"/>
          <w:szCs w:val="24"/>
          <w:highlight w:val="none"/>
          <w14:textFill>
            <w14:solidFill>
              <w14:schemeClr w14:val="tx1"/>
            </w14:solidFill>
          </w14:textFill>
        </w:rPr>
        <w:t>年第</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号令）</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35.5</w:t>
      </w:r>
      <w:r>
        <w:rPr>
          <w:rFonts w:hint="eastAsia" w:ascii="宋体" w:hAnsi="宋体"/>
          <w:color w:val="000000" w:themeColor="text1"/>
          <w:sz w:val="24"/>
          <w:szCs w:val="24"/>
          <w:highlight w:val="none"/>
          <w14:textFill>
            <w14:solidFill>
              <w14:schemeClr w14:val="tx1"/>
            </w14:solidFill>
          </w14:textFill>
        </w:rPr>
        <w:t>《广东省实施〈中华人民共和国招标投标法〉办法》；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35.6</w:t>
      </w:r>
      <w:r>
        <w:rPr>
          <w:rFonts w:hint="eastAsia" w:ascii="宋体" w:hAnsi="宋体"/>
          <w:color w:val="000000" w:themeColor="text1"/>
          <w:sz w:val="24"/>
          <w:szCs w:val="24"/>
          <w:highlight w:val="none"/>
          <w14:textFill>
            <w14:solidFill>
              <w14:schemeClr w14:val="tx1"/>
            </w14:solidFill>
          </w14:textFill>
        </w:rPr>
        <w:t>《房屋建筑和市政基础设施工程施工招标投标管理办法》（建设部令第</w:t>
      </w:r>
      <w:r>
        <w:rPr>
          <w:rFonts w:ascii="宋体" w:hAnsi="宋体"/>
          <w:color w:val="000000" w:themeColor="text1"/>
          <w:sz w:val="24"/>
          <w:szCs w:val="24"/>
          <w:highlight w:val="none"/>
          <w14:textFill>
            <w14:solidFill>
              <w14:schemeClr w14:val="tx1"/>
            </w14:solidFill>
          </w14:textFill>
        </w:rPr>
        <w:t>89</w:t>
      </w:r>
      <w:r>
        <w:rPr>
          <w:rFonts w:hint="eastAsia" w:ascii="宋体" w:hAnsi="宋体"/>
          <w:color w:val="000000" w:themeColor="text1"/>
          <w:sz w:val="24"/>
          <w:szCs w:val="24"/>
          <w:highlight w:val="none"/>
          <w14:textFill>
            <w14:solidFill>
              <w14:schemeClr w14:val="tx1"/>
            </w14:solidFill>
          </w14:textFill>
        </w:rPr>
        <w:t>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35.7</w:t>
      </w:r>
      <w:r>
        <w:rPr>
          <w:rFonts w:hint="eastAsia" w:ascii="宋体" w:hAnsi="宋体"/>
          <w:color w:val="000000" w:themeColor="text1"/>
          <w:sz w:val="24"/>
          <w:szCs w:val="24"/>
          <w:highlight w:val="none"/>
          <w14:textFill>
            <w14:solidFill>
              <w14:schemeClr w14:val="tx1"/>
            </w14:solidFill>
          </w14:textFill>
        </w:rPr>
        <w:t>《广东省加强建设工程招标投标监督管理的若干规定》（粤发[2004]4号）；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8《广州市工程建设项目招标投标管理办法》（穗府办规〔2017〕5号）。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35.9本项目招标文件。</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36</w:t>
      </w:r>
      <w:r>
        <w:rPr>
          <w:rFonts w:hint="eastAsia"/>
          <w:color w:val="000000" w:themeColor="text1"/>
          <w:highlight w:val="none"/>
          <w14:textFill>
            <w14:solidFill>
              <w14:schemeClr w14:val="tx1"/>
            </w14:solidFill>
          </w14:textFill>
        </w:rPr>
        <w:t>.开标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36.1 </w:t>
      </w:r>
      <w:r>
        <w:rPr>
          <w:rFonts w:hint="eastAsia" w:ascii="宋体" w:hAnsi="宋体"/>
          <w:color w:val="000000" w:themeColor="text1"/>
          <w:sz w:val="24"/>
          <w:szCs w:val="24"/>
          <w:highlight w:val="none"/>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36.2</w:t>
      </w:r>
      <w:r>
        <w:rPr>
          <w:rFonts w:hint="eastAsia" w:ascii="宋体" w:hAnsi="宋体"/>
          <w:color w:val="000000" w:themeColor="text1"/>
          <w:sz w:val="24"/>
          <w:szCs w:val="24"/>
          <w:highlight w:val="none"/>
          <w14:textFill>
            <w14:solidFill>
              <w14:schemeClr w14:val="tx1"/>
            </w14:solidFill>
          </w14:textFill>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36.4若递交投标文件的投标人不足3家，则重新组织招标。（当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36.5按下列程序进行开标：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36.5.2备用光盘的读取按投标须知前附表第36项的规定执行；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36.5.4开标结束。</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36.7开标时，两个（含两个）以上的投标人加密打包投标文件电脑机器特征码一致的，不参与下一程序，并由评标委员会否决其投标。</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37</w:t>
      </w:r>
      <w:r>
        <w:rPr>
          <w:rFonts w:hint="eastAsia"/>
          <w:color w:val="000000" w:themeColor="text1"/>
          <w:highlight w:val="none"/>
          <w14:textFill>
            <w14:solidFill>
              <w14:schemeClr w14:val="tx1"/>
            </w14:solidFill>
          </w14:textFill>
        </w:rPr>
        <w:t>.评标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37.1</w:t>
      </w:r>
      <w:r>
        <w:rPr>
          <w:rFonts w:hint="eastAsia" w:ascii="宋体" w:hAnsi="宋体"/>
          <w:color w:val="000000" w:themeColor="text1"/>
          <w:sz w:val="24"/>
          <w:szCs w:val="24"/>
          <w:highlight w:val="none"/>
          <w14:textFill>
            <w14:solidFill>
              <w14:schemeClr w14:val="tx1"/>
            </w14:solidFill>
          </w14:textFill>
        </w:rPr>
        <w:t>评标委员会由招标人依法组建。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w:t>
      </w:r>
      <w:r>
        <w:rPr>
          <w:rFonts w:hint="eastAsia" w:ascii="宋体" w:hAnsi="宋体"/>
          <w:color w:val="000000" w:themeColor="text1"/>
          <w:sz w:val="24"/>
          <w:szCs w:val="24"/>
          <w:highlight w:val="none"/>
          <w14:textFill>
            <w14:solidFill>
              <w14:schemeClr w14:val="tx1"/>
            </w14:solidFill>
          </w14:textFill>
        </w:rPr>
        <w:t>评标委员会的职责及守则：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37.2.1</w:t>
      </w:r>
      <w:r>
        <w:rPr>
          <w:rFonts w:hint="eastAsia" w:ascii="宋体" w:hAnsi="宋体"/>
          <w:color w:val="000000" w:themeColor="text1"/>
          <w:sz w:val="24"/>
          <w:szCs w:val="24"/>
          <w:highlight w:val="none"/>
          <w14:textFill>
            <w14:solidFill>
              <w14:schemeClr w14:val="tx1"/>
            </w14:solidFill>
          </w14:textFill>
        </w:rPr>
        <w:t>根据评标细则，对</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szCs w:val="24"/>
          <w:highlight w:val="none"/>
          <w14:textFill>
            <w14:solidFill>
              <w14:schemeClr w14:val="tx1"/>
            </w14:solidFill>
          </w14:textFill>
        </w:rPr>
        <w:t>进行认真评审，完成评审报告；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37.2.2</w:t>
      </w:r>
      <w:r>
        <w:rPr>
          <w:rFonts w:hint="eastAsia" w:ascii="宋体" w:hAnsi="宋体"/>
          <w:color w:val="000000" w:themeColor="text1"/>
          <w:sz w:val="24"/>
          <w:szCs w:val="24"/>
          <w:highlight w:val="none"/>
          <w14:textFill>
            <w14:solidFill>
              <w14:schemeClr w14:val="tx1"/>
            </w14:solidFill>
          </w14:textFill>
        </w:rPr>
        <w:t>向招标人报告评审意见，推荐合格的中标候选人。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37.2.3</w:t>
      </w:r>
      <w:r>
        <w:rPr>
          <w:rFonts w:hint="eastAsia" w:ascii="宋体" w:hAnsi="宋体"/>
          <w:color w:val="000000" w:themeColor="text1"/>
          <w:sz w:val="24"/>
          <w:szCs w:val="24"/>
          <w:highlight w:val="none"/>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37.2.4</w:t>
      </w:r>
      <w:r>
        <w:rPr>
          <w:rFonts w:hint="eastAsia" w:ascii="宋体" w:hAnsi="宋体"/>
          <w:color w:val="000000" w:themeColor="text1"/>
          <w:sz w:val="24"/>
          <w:szCs w:val="24"/>
          <w:highlight w:val="none"/>
          <w14:textFill>
            <w14:solidFill>
              <w14:schemeClr w14:val="tx1"/>
            </w14:solidFill>
          </w14:textFill>
        </w:rPr>
        <w:t>全体参与评标人员：</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37.2.4.1 </w:t>
      </w:r>
      <w:r>
        <w:rPr>
          <w:rFonts w:hint="eastAsia" w:ascii="宋体" w:hAnsi="宋体"/>
          <w:color w:val="000000" w:themeColor="text1"/>
          <w:sz w:val="24"/>
          <w:szCs w:val="24"/>
          <w:highlight w:val="none"/>
          <w14:textFill>
            <w14:solidFill>
              <w14:schemeClr w14:val="tx1"/>
            </w14:solidFill>
          </w14:textFill>
        </w:rPr>
        <w:t>必须遵守评标纪律、不得泄密；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37.2.4.2 </w:t>
      </w:r>
      <w:r>
        <w:rPr>
          <w:rFonts w:hint="eastAsia" w:ascii="宋体" w:hAnsi="宋体"/>
          <w:color w:val="000000" w:themeColor="text1"/>
          <w:sz w:val="24"/>
          <w:szCs w:val="24"/>
          <w:highlight w:val="none"/>
          <w14:textFill>
            <w14:solidFill>
              <w14:schemeClr w14:val="tx1"/>
            </w14:solidFill>
          </w14:textFill>
        </w:rPr>
        <w:t>必须公正、不得循私；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37.2.4.3 </w:t>
      </w:r>
      <w:r>
        <w:rPr>
          <w:rFonts w:hint="eastAsia" w:ascii="宋体" w:hAnsi="宋体"/>
          <w:color w:val="000000" w:themeColor="text1"/>
          <w:sz w:val="24"/>
          <w:szCs w:val="24"/>
          <w:highlight w:val="none"/>
          <w14:textFill>
            <w14:solidFill>
              <w14:schemeClr w14:val="tx1"/>
            </w14:solidFill>
          </w14:textFill>
        </w:rPr>
        <w:t>必须科学、不得草率；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37.2.4.4 </w:t>
      </w:r>
      <w:r>
        <w:rPr>
          <w:rFonts w:hint="eastAsia" w:ascii="宋体" w:hAnsi="宋体"/>
          <w:color w:val="000000" w:themeColor="text1"/>
          <w:sz w:val="24"/>
          <w:szCs w:val="24"/>
          <w:highlight w:val="none"/>
          <w14:textFill>
            <w14:solidFill>
              <w14:schemeClr w14:val="tx1"/>
            </w14:solidFill>
          </w14:textFill>
        </w:rPr>
        <w:t>必须客观、不得带有成见；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37.2.4.5 </w:t>
      </w:r>
      <w:r>
        <w:rPr>
          <w:rFonts w:hint="eastAsia" w:ascii="宋体" w:hAnsi="宋体"/>
          <w:color w:val="000000" w:themeColor="text1"/>
          <w:sz w:val="24"/>
          <w:szCs w:val="24"/>
          <w:highlight w:val="none"/>
          <w14:textFill>
            <w14:solidFill>
              <w14:schemeClr w14:val="tx1"/>
            </w14:solidFill>
          </w14:textFill>
        </w:rPr>
        <w:t>必须平等、不得强加于人；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37.2.4.6 </w:t>
      </w:r>
      <w:r>
        <w:rPr>
          <w:rFonts w:hint="eastAsia" w:ascii="宋体" w:hAnsi="宋体"/>
          <w:color w:val="000000" w:themeColor="text1"/>
          <w:sz w:val="24"/>
          <w:szCs w:val="24"/>
          <w:highlight w:val="none"/>
          <w14:textFill>
            <w14:solidFill>
              <w14:schemeClr w14:val="tx1"/>
            </w14:solidFill>
          </w14:textFill>
        </w:rPr>
        <w:t>必须严谨、不得随意马虎。</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37.3 </w:t>
      </w:r>
      <w:r>
        <w:rPr>
          <w:rFonts w:hint="eastAsia" w:ascii="宋体" w:hAnsi="宋体"/>
          <w:color w:val="000000" w:themeColor="text1"/>
          <w:sz w:val="24"/>
          <w:szCs w:val="24"/>
          <w:highlight w:val="none"/>
          <w14:textFill>
            <w14:solidFill>
              <w14:schemeClr w14:val="tx1"/>
            </w14:solidFill>
          </w14:textFill>
        </w:rPr>
        <w:t>评标结束后，评标委员会递交评标报告并依法推荐中标候选人。</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38</w:t>
      </w:r>
      <w:r>
        <w:rPr>
          <w:rFonts w:hint="eastAsia"/>
          <w:color w:val="000000" w:themeColor="text1"/>
          <w:highlight w:val="none"/>
          <w14:textFill>
            <w14:solidFill>
              <w14:schemeClr w14:val="tx1"/>
            </w14:solidFill>
          </w14:textFill>
        </w:rPr>
        <w:t>.投标文件的澄清</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38.1</w:t>
      </w:r>
      <w:r>
        <w:rPr>
          <w:rFonts w:hint="eastAsia" w:ascii="宋体" w:hAnsi="宋体"/>
          <w:color w:val="000000" w:themeColor="text1"/>
          <w:sz w:val="24"/>
          <w:szCs w:val="24"/>
          <w:highlight w:val="none"/>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38.2 </w:t>
      </w:r>
      <w:r>
        <w:rPr>
          <w:rFonts w:hint="eastAsia" w:ascii="宋体" w:hAnsi="宋体"/>
          <w:color w:val="000000" w:themeColor="text1"/>
          <w:sz w:val="24"/>
          <w:szCs w:val="24"/>
          <w:highlight w:val="none"/>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38.3 </w:t>
      </w:r>
      <w:r>
        <w:rPr>
          <w:rFonts w:hint="eastAsia" w:ascii="宋体" w:hAnsi="宋体"/>
          <w:color w:val="000000" w:themeColor="text1"/>
          <w:sz w:val="24"/>
          <w:szCs w:val="24"/>
          <w:highlight w:val="none"/>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38.4</w:t>
      </w:r>
      <w:r>
        <w:rPr>
          <w:rFonts w:hint="eastAsia" w:ascii="宋体" w:hAnsi="宋体"/>
          <w:color w:val="000000" w:themeColor="text1"/>
          <w:sz w:val="24"/>
          <w:szCs w:val="24"/>
          <w:highlight w:val="none"/>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39</w:t>
      </w:r>
      <w:r>
        <w:rPr>
          <w:rFonts w:hint="eastAsia"/>
          <w:color w:val="000000" w:themeColor="text1"/>
          <w:highlight w:val="none"/>
          <w14:textFill>
            <w14:solidFill>
              <w14:schemeClr w14:val="tx1"/>
            </w14:solidFill>
          </w14:textFill>
        </w:rPr>
        <w:t>.定标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39.1 </w:t>
      </w:r>
      <w:r>
        <w:rPr>
          <w:rFonts w:hint="eastAsia" w:ascii="宋体" w:hAnsi="宋体"/>
          <w:color w:val="000000" w:themeColor="text1"/>
          <w:sz w:val="24"/>
          <w:szCs w:val="24"/>
          <w:highlight w:val="none"/>
          <w14:textFill>
            <w14:solidFill>
              <w14:schemeClr w14:val="tx1"/>
            </w14:solidFill>
          </w14:textFill>
        </w:rPr>
        <w:t>招标人根据评标委员会递交的评标报告，最终审定中标人。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39.2 </w:t>
      </w:r>
      <w:r>
        <w:rPr>
          <w:rFonts w:hint="eastAsia" w:ascii="宋体" w:hAnsi="宋体"/>
          <w:color w:val="000000" w:themeColor="text1"/>
          <w:sz w:val="24"/>
          <w:szCs w:val="24"/>
          <w:highlight w:val="none"/>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39.3</w:t>
      </w:r>
      <w:r>
        <w:rPr>
          <w:rFonts w:hint="eastAsia" w:ascii="宋体" w:hAnsi="宋体"/>
          <w:color w:val="000000" w:themeColor="text1"/>
          <w:sz w:val="24"/>
          <w:szCs w:val="24"/>
          <w:highlight w:val="none"/>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39.4</w:t>
      </w:r>
      <w:r>
        <w:rPr>
          <w:rFonts w:hint="eastAsia" w:ascii="宋体" w:hAnsi="宋体"/>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pPr>
        <w:spacing w:before="156" w:beforeLines="50" w:after="156" w:afterLines="50"/>
        <w:jc w:val="center"/>
        <w:rPr>
          <w:b/>
          <w:color w:val="000000" w:themeColor="text1"/>
          <w:sz w:val="24"/>
          <w:szCs w:val="24"/>
          <w:highlight w:val="none"/>
          <w14:textFill>
            <w14:solidFill>
              <w14:schemeClr w14:val="tx1"/>
            </w14:solidFill>
          </w14:textFill>
        </w:rPr>
      </w:pPr>
      <w:bookmarkStart w:id="23" w:name="_Toc2272558"/>
      <w:bookmarkEnd w:id="23"/>
      <w:r>
        <w:rPr>
          <w:rFonts w:hint="eastAsia"/>
          <w:b/>
          <w:color w:val="000000" w:themeColor="text1"/>
          <w:sz w:val="24"/>
          <w:szCs w:val="24"/>
          <w:highlight w:val="none"/>
          <w14:textFill>
            <w14:solidFill>
              <w14:schemeClr w14:val="tx1"/>
            </w14:solidFill>
          </w14:textFill>
        </w:rPr>
        <w:t>（二）开标评标办法程序和细则</w:t>
      </w:r>
    </w:p>
    <w:p>
      <w:pPr>
        <w:spacing w:line="360" w:lineRule="auto"/>
        <w:ind w:firstLine="480" w:firstLineChars="200"/>
        <w:rPr>
          <w:rFonts w:ascii="宋体" w:hAnsi="宋体"/>
          <w:dstrike/>
          <w:color w:val="000000" w:themeColor="text1"/>
          <w:sz w:val="24"/>
          <w:szCs w:val="24"/>
          <w:highlight w:val="none"/>
          <w14:textFill>
            <w14:solidFill>
              <w14:schemeClr w14:val="tx1"/>
            </w14:solidFill>
          </w14:textFill>
        </w:rPr>
      </w:pPr>
      <w:r>
        <w:rPr>
          <w:rFonts w:hint="eastAsia" w:ascii="宋体" w:hAnsi="宋体"/>
          <w:dstrike/>
          <w:color w:val="000000" w:themeColor="text1"/>
          <w:sz w:val="24"/>
          <w:szCs w:val="24"/>
          <w:highlight w:val="none"/>
          <w14:textFill>
            <w14:solidFill>
              <w14:schemeClr w14:val="tx1"/>
            </w14:solidFill>
          </w14:textFill>
        </w:rPr>
        <w:t>注：以下七种评标办法所述企业综合诚信评价分数即投标截止当日广州市工程招标代理行业协会网站上公布的企业综合诚信评价</w:t>
      </w:r>
      <w:r>
        <w:rPr>
          <w:rFonts w:ascii="宋体" w:hAnsi="宋体"/>
          <w:dstrike/>
          <w:color w:val="000000" w:themeColor="text1"/>
          <w:sz w:val="24"/>
          <w:szCs w:val="24"/>
          <w:highlight w:val="none"/>
          <w14:textFill>
            <w14:solidFill>
              <w14:schemeClr w14:val="tx1"/>
            </w14:solidFill>
          </w14:textFill>
        </w:rPr>
        <w:t>60</w:t>
      </w:r>
      <w:r>
        <w:rPr>
          <w:rFonts w:hint="eastAsia" w:ascii="宋体" w:hAnsi="宋体"/>
          <w:dstrike/>
          <w:color w:val="000000" w:themeColor="text1"/>
          <w:sz w:val="24"/>
          <w:szCs w:val="24"/>
          <w:highlight w:val="none"/>
          <w14:textFill>
            <w14:solidFill>
              <w14:schemeClr w14:val="tx1"/>
            </w14:solidFill>
          </w14:textFill>
        </w:rPr>
        <w:t>日诚信分。</w:t>
      </w:r>
    </w:p>
    <w:p>
      <w:pPr>
        <w:pStyle w:val="7"/>
        <w:ind w:firstLine="482"/>
        <w:jc w:val="center"/>
        <w:rPr>
          <w:color w:val="000000" w:themeColor="text1"/>
          <w:highlight w:val="none"/>
          <w14:textFill>
            <w14:solidFill>
              <w14:schemeClr w14:val="tx1"/>
            </w14:solidFill>
          </w14:textFill>
        </w:rPr>
      </w:pPr>
      <w:bookmarkStart w:id="24" w:name="_Toc2272564"/>
      <w:bookmarkEnd w:id="24"/>
      <w:r>
        <w:rPr>
          <w:rFonts w:hint="eastAsia"/>
          <w:color w:val="000000" w:themeColor="text1"/>
          <w:highlight w:val="none"/>
          <w14:textFill>
            <w14:solidFill>
              <w14:schemeClr w14:val="tx1"/>
            </w14:solidFill>
          </w14:textFill>
        </w:rPr>
        <w:t>可选办法七（适合综合评分法四，技术标与经济标同时开启）</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40．开标和评标程序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40.1技术标（含资格审查文件）与经济标投标文件同时公开开标；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40.2由评标委员会对所有已公开开标的投标人进行资格审查；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40.3技术标投标文件有效性审查；</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40.4技术标详细审查评分；</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40.5经济标详细审查评分；</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40.6评标委员会按照投标人总得分由高至低排序；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40.7经济标投标文件有效性审查；</w:t>
      </w:r>
    </w:p>
    <w:p>
      <w:pPr>
        <w:snapToGrid w:val="0"/>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40.8评标委员会按排序向招标人推荐中标候选人名单，并递交资格审查报告及评标报告。</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41．开标细则</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41.1开标由招标人主持；</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 细则</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41.2.2开标前，首先由招标人随机抽取确定该工程计算评标参考价的等分点值X。</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41.2.4按36.5.1的规定完成解密后，公布下列内容，并予以记录，记录提交评标委员会评审： </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41.2.4.1开标时，公布：a、投标人名称；b、</w:t>
      </w:r>
      <w:r>
        <w:rPr>
          <w:rFonts w:hint="eastAsia" w:ascii="宋体" w:hAnsi="宋体"/>
          <w:color w:val="000000" w:themeColor="text1"/>
          <w:sz w:val="24"/>
          <w:highlight w:val="none"/>
          <w14:textFill>
            <w14:solidFill>
              <w14:schemeClr w14:val="tx1"/>
            </w14:solidFill>
          </w14:textFill>
        </w:rPr>
        <w:t>投标文件</w:t>
      </w:r>
      <w:r>
        <w:rPr>
          <w:rFonts w:hint="eastAsia" w:ascii="宋体"/>
          <w:color w:val="000000" w:themeColor="text1"/>
          <w:sz w:val="24"/>
          <w:szCs w:val="24"/>
          <w:highlight w:val="none"/>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41.3招标人对开标过程进行记录，并存档备查，投标人在技术标开标记录上签字。</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41.4 招标人将上述符合要求的投标文件，送至评标委员会进行评审。</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 资格审查及评标细则</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42.1资格审查及评标均由招标人依法组建的评标委员会负责。</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42.2评标委员会的组成：方式。</w:t>
      </w:r>
    </w:p>
    <w:p>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方式一：评标委员会为综合评标委员会，负责资格审查及评标工作。</w:t>
      </w:r>
    </w:p>
    <w:p>
      <w:pPr>
        <w:pStyle w:val="34"/>
        <w:tabs>
          <w:tab w:val="left" w:pos="7380"/>
        </w:tabs>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方式二：评标委员会由技术评审组和经济评审组组成。其中：资格审查及技术评审由技术评标组负责，经济评审由经济评审组负责。</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43．投标人资格审查</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43.2汇总资格审查情况，编写资格审查报告。</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43.3资格审查不合格的投标文件不参加下一阶段的评标，不参与评标参考价的计算。</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43.6资格审查合格的投标人少于3名的（当N个标段同时招标且不允许兼中时，资格审查合格的投标人少于N+2名），则本项目招标失败。</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44．技术标评审</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45．经济标评审和得分汇总</w:t>
      </w:r>
    </w:p>
    <w:p>
      <w:pPr>
        <w:pStyle w:val="34"/>
        <w:tabs>
          <w:tab w:val="left" w:pos="7380"/>
        </w:tabs>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45.1若通过技术标有效性审查的投标人中所有投标报价均大于等于最高投标限价*D%（D的取值范围为[94,100],由招标人自主确定）的（具体金额为：元），则本项目招标失败，由招标人依法重新招标。</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45.2按方法计算评标参考价：</w:t>
      </w:r>
    </w:p>
    <w:p>
      <w:pPr>
        <w:widowControl/>
        <w:spacing w:line="360" w:lineRule="auto"/>
        <w:ind w:firstLine="482" w:firstLineChars="200"/>
        <w:rPr>
          <w:rFonts w:ascii="宋体" w:hAnsi="宋体"/>
          <w:b/>
          <w:bCs/>
          <w:color w:val="000000" w:themeColor="text1"/>
          <w:kern w:val="0"/>
          <w:sz w:val="24"/>
          <w:szCs w:val="24"/>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方法一：加权平均法</w:t>
      </w:r>
    </w:p>
    <w:p>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技术标或技术标加诚信得分（具体由招标人自定）前</w:t>
      </w:r>
      <w:r>
        <w:rPr>
          <w:rFonts w:ascii="宋体" w:hAnsi="宋体" w:cs="仿宋"/>
          <w:color w:val="000000" w:themeColor="text1"/>
          <w:sz w:val="24"/>
          <w:szCs w:val="24"/>
          <w:highlight w:val="none"/>
          <w14:textFill>
            <w14:solidFill>
              <w14:schemeClr w14:val="tx1"/>
            </w14:solidFill>
          </w14:textFill>
        </w:rPr>
        <w:t>N</w:t>
      </w:r>
      <w:r>
        <w:rPr>
          <w:rFonts w:hint="eastAsia" w:ascii="宋体" w:hAnsi="宋体" w:cs="仿宋"/>
          <w:color w:val="000000" w:themeColor="text1"/>
          <w:sz w:val="24"/>
          <w:szCs w:val="24"/>
          <w:highlight w:val="none"/>
          <w14:textFill>
            <w14:solidFill>
              <w14:schemeClr w14:val="tx1"/>
            </w14:solidFill>
          </w14:textFill>
        </w:rPr>
        <w:t>名（N≥5，具体由招标人自定）的经济报价加权平均，计算评标参考价。公式如下：</w:t>
      </w:r>
    </w:p>
    <w:p>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评标参考价</w:t>
      </w:r>
      <w:r>
        <w:rPr>
          <w:rFonts w:ascii="宋体" w:hAnsi="宋体" w:cs="仿宋"/>
          <w:color w:val="000000" w:themeColor="text1"/>
          <w:sz w:val="24"/>
          <w:szCs w:val="24"/>
          <w:highlight w:val="none"/>
          <w14:textFill>
            <w14:solidFill>
              <w14:schemeClr w14:val="tx1"/>
            </w14:solidFill>
          </w14:textFill>
        </w:rPr>
        <w:t>=</w:t>
      </w:r>
      <w:r>
        <w:rPr>
          <w:rFonts w:hint="eastAsia" w:ascii="宋体" w:hAnsi="宋体" w:cs="仿宋"/>
          <w:color w:val="000000" w:themeColor="text1"/>
          <w:sz w:val="24"/>
          <w:szCs w:val="24"/>
          <w:highlight w:val="none"/>
          <w14:textFill>
            <w14:solidFill>
              <w14:schemeClr w14:val="tx1"/>
            </w14:solidFill>
          </w14:textFill>
        </w:rPr>
        <w:t>Σ（投标人的投标报价</w:t>
      </w:r>
      <w:r>
        <w:rPr>
          <w:rFonts w:ascii="宋体" w:hAnsi="宋体" w:cs="仿宋"/>
          <w:color w:val="000000" w:themeColor="text1"/>
          <w:sz w:val="24"/>
          <w:szCs w:val="24"/>
          <w:highlight w:val="none"/>
          <w14:textFill>
            <w14:solidFill>
              <w14:schemeClr w14:val="tx1"/>
            </w14:solidFill>
          </w14:textFill>
        </w:rPr>
        <w:t>*</w:t>
      </w:r>
      <w:r>
        <w:rPr>
          <w:rFonts w:hint="eastAsia" w:ascii="宋体" w:hAnsi="宋体" w:cs="仿宋"/>
          <w:color w:val="000000" w:themeColor="text1"/>
          <w:sz w:val="24"/>
          <w:szCs w:val="24"/>
          <w:highlight w:val="none"/>
          <w14:textFill>
            <w14:solidFill>
              <w14:schemeClr w14:val="tx1"/>
            </w14:solidFill>
          </w14:textFill>
        </w:rPr>
        <w:t>报价权重）。</w:t>
      </w:r>
    </w:p>
    <w:p>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其中：报价权重的计算方法为：将</w:t>
      </w:r>
      <w:r>
        <w:rPr>
          <w:rFonts w:ascii="宋体" w:hAnsi="宋体" w:cs="仿宋"/>
          <w:color w:val="000000" w:themeColor="text1"/>
          <w:sz w:val="24"/>
          <w:szCs w:val="24"/>
          <w:highlight w:val="none"/>
          <w14:textFill>
            <w14:solidFill>
              <w14:schemeClr w14:val="tx1"/>
            </w14:solidFill>
          </w14:textFill>
        </w:rPr>
        <w:t>N</w:t>
      </w:r>
      <w:r>
        <w:rPr>
          <w:rFonts w:hint="eastAsia" w:ascii="宋体" w:hAnsi="宋体" w:cs="仿宋"/>
          <w:color w:val="000000" w:themeColor="text1"/>
          <w:sz w:val="24"/>
          <w:szCs w:val="24"/>
          <w:highlight w:val="none"/>
          <w14:textFill>
            <w14:solidFill>
              <w14:schemeClr w14:val="tx1"/>
            </w14:solidFill>
          </w14:textFill>
        </w:rPr>
        <w:t>名投标人按技术分由高至低进行排序，第一名投标人的权重为（</w:t>
      </w:r>
      <w:r>
        <w:rPr>
          <w:rFonts w:ascii="宋体" w:hAnsi="宋体" w:cs="仿宋"/>
          <w:color w:val="000000" w:themeColor="text1"/>
          <w:sz w:val="24"/>
          <w:szCs w:val="24"/>
          <w:highlight w:val="none"/>
          <w14:textFill>
            <w14:solidFill>
              <w14:schemeClr w14:val="tx1"/>
            </w14:solidFill>
          </w14:textFill>
        </w:rPr>
        <w:fldChar w:fldCharType="begin"/>
      </w:r>
      <w:r>
        <w:rPr>
          <w:rFonts w:ascii="宋体" w:hAnsi="宋体" w:cs="仿宋"/>
          <w:color w:val="000000" w:themeColor="text1"/>
          <w:sz w:val="24"/>
          <w:szCs w:val="24"/>
          <w:highlight w:val="none"/>
          <w14:textFill>
            <w14:solidFill>
              <w14:schemeClr w14:val="tx1"/>
            </w14:solidFill>
          </w14:textFill>
        </w:rPr>
        <w:instrText xml:space="preserve"> QUOTE </w:instrText>
      </w:r>
      <w:r>
        <w:rPr>
          <w:rFonts w:ascii="宋体" w:hAnsi="宋体"/>
          <w:color w:val="000000" w:themeColor="text1"/>
          <w:sz w:val="24"/>
          <w:szCs w:val="24"/>
          <w:highlight w:val="none"/>
          <w14:textFill>
            <w14:solidFill>
              <w14:schemeClr w14:val="tx1"/>
            </w14:solidFill>
          </w14:textFill>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color w:val="000000" w:themeColor="text1"/>
          <w:sz w:val="24"/>
          <w:szCs w:val="24"/>
          <w:highlight w:val="none"/>
          <w14:textFill>
            <w14:solidFill>
              <w14:schemeClr w14:val="tx1"/>
            </w14:solidFill>
          </w14:textFill>
        </w:rPr>
        <w:fldChar w:fldCharType="end"/>
      </w:r>
      <w:r>
        <w:rPr>
          <w:rFonts w:hint="eastAsia" w:ascii="宋体" w:hAnsi="宋体" w:cs="仿宋"/>
          <w:color w:val="000000" w:themeColor="text1"/>
          <w:sz w:val="24"/>
          <w:szCs w:val="24"/>
          <w:highlight w:val="none"/>
          <w14:textFill>
            <w14:solidFill>
              <w14:schemeClr w14:val="tx1"/>
            </w14:solidFill>
          </w14:textFill>
        </w:rPr>
        <w:t>），第二名投标人的权重为（</w:t>
      </w:r>
      <w:r>
        <w:rPr>
          <w:rFonts w:ascii="宋体" w:hAnsi="宋体" w:cs="仿宋"/>
          <w:color w:val="000000" w:themeColor="text1"/>
          <w:sz w:val="24"/>
          <w:szCs w:val="24"/>
          <w:highlight w:val="none"/>
          <w14:textFill>
            <w14:solidFill>
              <w14:schemeClr w14:val="tx1"/>
            </w14:solidFill>
          </w14:textFill>
        </w:rPr>
        <w:fldChar w:fldCharType="begin"/>
      </w:r>
      <w:r>
        <w:rPr>
          <w:rFonts w:ascii="宋体" w:hAnsi="宋体" w:cs="仿宋"/>
          <w:color w:val="000000" w:themeColor="text1"/>
          <w:sz w:val="24"/>
          <w:szCs w:val="24"/>
          <w:highlight w:val="none"/>
          <w14:textFill>
            <w14:solidFill>
              <w14:schemeClr w14:val="tx1"/>
            </w14:solidFill>
          </w14:textFill>
        </w:rPr>
        <w:instrText xml:space="preserve"> QUOTE </w:instrText>
      </w:r>
      <w:r>
        <w:rPr>
          <w:rFonts w:ascii="宋体" w:hAnsi="宋体"/>
          <w:color w:val="000000" w:themeColor="text1"/>
          <w:position w:val="-23"/>
          <w:sz w:val="24"/>
          <w:szCs w:val="24"/>
          <w:highlight w:val="none"/>
          <w14:textFill>
            <w14:solidFill>
              <w14:schemeClr w14:val="tx1"/>
            </w14:solidFill>
          </w14:textFill>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000000" w:themeColor="text1"/>
          <w:sz w:val="24"/>
          <w:szCs w:val="24"/>
          <w:highlight w:val="none"/>
          <w14:textFill>
            <w14:solidFill>
              <w14:schemeClr w14:val="tx1"/>
            </w14:solidFill>
          </w14:textFill>
        </w:rPr>
        <w:fldChar w:fldCharType="separate"/>
      </w:r>
      <w:r>
        <w:rPr>
          <w:rFonts w:ascii="宋体" w:hAnsi="宋体"/>
          <w:color w:val="000000" w:themeColor="text1"/>
          <w:position w:val="-23"/>
          <w:sz w:val="24"/>
          <w:szCs w:val="24"/>
          <w:highlight w:val="none"/>
          <w14:textFill>
            <w14:solidFill>
              <w14:schemeClr w14:val="tx1"/>
            </w14:solidFill>
          </w14:textFill>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000000" w:themeColor="text1"/>
          <w:sz w:val="24"/>
          <w:szCs w:val="24"/>
          <w:highlight w:val="none"/>
          <w14:textFill>
            <w14:solidFill>
              <w14:schemeClr w14:val="tx1"/>
            </w14:solidFill>
          </w14:textFill>
        </w:rPr>
        <w:fldChar w:fldCharType="end"/>
      </w:r>
      <w:r>
        <w:rPr>
          <w:rFonts w:hint="eastAsia" w:ascii="宋体" w:hAnsi="宋体" w:cs="仿宋"/>
          <w:color w:val="000000" w:themeColor="text1"/>
          <w:sz w:val="24"/>
          <w:szCs w:val="24"/>
          <w:highlight w:val="none"/>
          <w14:textFill>
            <w14:solidFill>
              <w14:schemeClr w14:val="tx1"/>
            </w14:solidFill>
          </w14:textFill>
        </w:rPr>
        <w:t>），以此类推，最后一名投标人的权重为（</w:t>
      </w:r>
      <w:r>
        <w:rPr>
          <w:rFonts w:ascii="宋体" w:hAnsi="宋体" w:cs="仿宋"/>
          <w:color w:val="000000" w:themeColor="text1"/>
          <w:sz w:val="24"/>
          <w:szCs w:val="24"/>
          <w:highlight w:val="none"/>
          <w14:textFill>
            <w14:solidFill>
              <w14:schemeClr w14:val="tx1"/>
            </w14:solidFill>
          </w14:textFill>
        </w:rPr>
        <w:fldChar w:fldCharType="begin"/>
      </w:r>
      <w:r>
        <w:rPr>
          <w:rFonts w:ascii="宋体" w:hAnsi="宋体" w:cs="仿宋"/>
          <w:color w:val="000000" w:themeColor="text1"/>
          <w:sz w:val="24"/>
          <w:szCs w:val="24"/>
          <w:highlight w:val="none"/>
          <w14:textFill>
            <w14:solidFill>
              <w14:schemeClr w14:val="tx1"/>
            </w14:solidFill>
          </w14:textFill>
        </w:rPr>
        <w:instrText xml:space="preserve"> QUOTE </w:instrText>
      </w:r>
      <w:r>
        <w:rPr>
          <w:rFonts w:ascii="宋体" w:hAnsi="宋体"/>
          <w:color w:val="000000" w:themeColor="text1"/>
          <w:position w:val="-23"/>
          <w:sz w:val="24"/>
          <w:szCs w:val="24"/>
          <w:highlight w:val="none"/>
          <w14:textFill>
            <w14:solidFill>
              <w14:schemeClr w14:val="tx1"/>
            </w14:solidFill>
          </w14:textFill>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000000" w:themeColor="text1"/>
          <w:sz w:val="24"/>
          <w:szCs w:val="24"/>
          <w:highlight w:val="none"/>
          <w14:textFill>
            <w14:solidFill>
              <w14:schemeClr w14:val="tx1"/>
            </w14:solidFill>
          </w14:textFill>
        </w:rPr>
        <w:fldChar w:fldCharType="separate"/>
      </w:r>
      <w:r>
        <w:rPr>
          <w:rFonts w:ascii="宋体" w:hAnsi="宋体"/>
          <w:color w:val="000000" w:themeColor="text1"/>
          <w:position w:val="-23"/>
          <w:sz w:val="24"/>
          <w:szCs w:val="24"/>
          <w:highlight w:val="none"/>
          <w14:textFill>
            <w14:solidFill>
              <w14:schemeClr w14:val="tx1"/>
            </w14:solidFill>
          </w14:textFill>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color w:val="000000" w:themeColor="text1"/>
          <w:sz w:val="24"/>
          <w:szCs w:val="24"/>
          <w:highlight w:val="none"/>
          <w14:textFill>
            <w14:solidFill>
              <w14:schemeClr w14:val="tx1"/>
            </w14:solidFill>
          </w14:textFill>
        </w:rPr>
        <w:fldChar w:fldCharType="end"/>
      </w:r>
      <w:r>
        <w:rPr>
          <w:rFonts w:hint="eastAsia" w:ascii="宋体" w:hAnsi="宋体" w:cs="仿宋"/>
          <w:color w:val="000000" w:themeColor="text1"/>
          <w:sz w:val="24"/>
          <w:szCs w:val="24"/>
          <w:highlight w:val="none"/>
          <w14:textFill>
            <w14:solidFill>
              <w14:schemeClr w14:val="tx1"/>
            </w14:solidFill>
          </w14:textFill>
        </w:rPr>
        <w:t>）。</w:t>
      </w:r>
    </w:p>
    <w:p>
      <w:pPr>
        <w:widowControl/>
        <w:spacing w:line="360" w:lineRule="auto"/>
        <w:ind w:firstLine="482" w:firstLineChars="200"/>
        <w:rPr>
          <w:rFonts w:ascii="宋体" w:hAnsi="宋体"/>
          <w:b/>
          <w:bCs/>
          <w:color w:val="000000" w:themeColor="text1"/>
          <w:kern w:val="0"/>
          <w:sz w:val="24"/>
          <w:szCs w:val="24"/>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方法二：区间抽取法</w:t>
      </w:r>
    </w:p>
    <w:p>
      <w:pPr>
        <w:widowControl/>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：为（最高投标限价</w:t>
      </w:r>
      <w:r>
        <w:rPr>
          <w:rFonts w:ascii="宋体" w:hAnsi="宋体" w:cs="仿宋"/>
          <w:color w:val="000000" w:themeColor="text1"/>
          <w:sz w:val="24"/>
          <w:szCs w:val="24"/>
          <w:highlight w:val="none"/>
          <w14:textFill>
            <w14:solidFill>
              <w14:schemeClr w14:val="tx1"/>
            </w14:solidFill>
          </w14:textFill>
        </w:rPr>
        <w:t>*D%</w:t>
      </w:r>
      <w:r>
        <w:rPr>
          <w:rFonts w:hint="eastAsia" w:ascii="宋体" w:hAnsi="宋体" w:cs="仿宋"/>
          <w:color w:val="000000" w:themeColor="text1"/>
          <w:sz w:val="24"/>
          <w:szCs w:val="24"/>
          <w:highlight w:val="none"/>
          <w14:textFill>
            <w14:solidFill>
              <w14:schemeClr w14:val="tx1"/>
            </w14:solidFill>
          </w14:textFill>
        </w:rPr>
        <w:t>）（</w:t>
      </w:r>
      <w:r>
        <w:rPr>
          <w:rFonts w:ascii="宋体" w:hAnsi="宋体" w:cs="仿宋"/>
          <w:color w:val="000000" w:themeColor="text1"/>
          <w:sz w:val="24"/>
          <w:szCs w:val="24"/>
          <w:highlight w:val="none"/>
          <w14:textFill>
            <w14:solidFill>
              <w14:schemeClr w14:val="tx1"/>
            </w14:solidFill>
          </w14:textFill>
        </w:rPr>
        <w:t>D</w:t>
      </w:r>
      <w:r>
        <w:rPr>
          <w:rFonts w:hint="eastAsia" w:ascii="宋体" w:hAnsi="宋体" w:cs="仿宋"/>
          <w:color w:val="000000" w:themeColor="text1"/>
          <w:sz w:val="24"/>
          <w:szCs w:val="24"/>
          <w:highlight w:val="none"/>
          <w14:textFill>
            <w14:solidFill>
              <w14:schemeClr w14:val="tx1"/>
            </w14:solidFill>
          </w14:textFill>
        </w:rPr>
        <w:t>的取值范围为</w:t>
      </w:r>
      <w:r>
        <w:rPr>
          <w:rFonts w:ascii="宋体" w:hAnsi="宋体" w:cs="仿宋"/>
          <w:color w:val="000000" w:themeColor="text1"/>
          <w:sz w:val="24"/>
          <w:szCs w:val="24"/>
          <w:highlight w:val="none"/>
          <w14:textFill>
            <w14:solidFill>
              <w14:schemeClr w14:val="tx1"/>
            </w14:solidFill>
          </w14:textFill>
        </w:rPr>
        <w:t>[94,100],</w:t>
      </w:r>
      <w:r>
        <w:rPr>
          <w:rFonts w:hint="eastAsia" w:ascii="宋体" w:hAnsi="宋体" w:cs="仿宋"/>
          <w:color w:val="000000" w:themeColor="text1"/>
          <w:sz w:val="24"/>
          <w:szCs w:val="24"/>
          <w:highlight w:val="none"/>
          <w14:textFill>
            <w14:solidFill>
              <w14:schemeClr w14:val="tx1"/>
            </w14:solidFill>
          </w14:textFill>
        </w:rPr>
        <w:t>由招标人自定）</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45.3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pPr>
        <w:pStyle w:val="34"/>
        <w:tabs>
          <w:tab w:val="left" w:pos="7380"/>
        </w:tabs>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45.4</w:t>
      </w:r>
      <w:r>
        <w:rPr>
          <w:rFonts w:hint="eastAsia" w:ascii="宋体"/>
          <w:color w:val="000000" w:themeColor="text1"/>
          <w:sz w:val="24"/>
          <w:szCs w:val="24"/>
          <w:highlight w:val="none"/>
          <w14:textFill>
            <w14:solidFill>
              <w14:schemeClr w14:val="tx1"/>
            </w14:solidFill>
          </w14:textFill>
        </w:rPr>
        <w:t>计算通过技术标有效性审查的投标人总得分。投标人总得分=（技术得分×技术得分权重</w:t>
      </w:r>
      <w:r>
        <w:rPr>
          <w:rFonts w:hint="eastAsia" w:ascii="宋体" w:cs="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经济得分×经济得分权重）×（1-综合诚信评价分数权重）</w:t>
      </w:r>
      <w:r>
        <w:rPr>
          <w:rFonts w:hint="eastAsia" w:ascii="宋体" w:cs="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综合诚信评价排名得分×综合诚信评价分数权重）。技术、经济得分权重按投标须知前附表的规定执行。总得分四舍五入保留两位小数。</w:t>
      </w:r>
    </w:p>
    <w:p>
      <w:pPr>
        <w:pStyle w:val="34"/>
        <w:tabs>
          <w:tab w:val="left" w:pos="7380"/>
        </w:tabs>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46.经济标的有效性审查</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6.2.1如果数字表示的金额和用文字表示的金额不一致时，应以文字表示的金额为准；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6.2.2经算术复核的投标人报价与其投标报价不一致时，按就低不就高原则确定其最终报价；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8.评标委员会应在通过投标文件经济标有效性审查的投标人中，按步骤45.4确定的投标人第二阶段排序，推荐前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名依次为第一中标候选人至第三中标候选人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并编制评标报告。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start="1"/>
          <w:cols w:space="425" w:num="1"/>
          <w:titlePg/>
          <w:docGrid w:type="lines" w:linePitch="312" w:charSpace="0"/>
        </w:sect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9.若通过经济标有效性审查的投标人不足三家，应当依法重新招标。（当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N+2</w:t>
      </w:r>
      <w:r>
        <w:rPr>
          <w:rFonts w:hint="eastAsia" w:ascii="宋体" w:hAnsi="宋体"/>
          <w:color w:val="000000" w:themeColor="text1"/>
          <w:sz w:val="24"/>
          <w:szCs w:val="24"/>
          <w:highlight w:val="none"/>
          <w14:textFill>
            <w14:solidFill>
              <w14:schemeClr w14:val="tx1"/>
            </w14:solidFill>
          </w14:textFill>
        </w:rPr>
        <w:t>家，应当依法重新招标）</w:t>
      </w:r>
    </w:p>
    <w:p>
      <w:pPr>
        <w:pStyle w:val="6"/>
        <w:jc w:val="left"/>
        <w:rPr>
          <w:color w:val="000000" w:themeColor="text1"/>
          <w:highlight w:val="none"/>
          <w14:textFill>
            <w14:solidFill>
              <w14:schemeClr w14:val="tx1"/>
            </w14:solidFill>
          </w14:textFill>
        </w:rPr>
      </w:pPr>
      <w:bookmarkStart w:id="25" w:name="_Toc115117425"/>
      <w:r>
        <w:rPr>
          <w:rFonts w:hint="eastAsia"/>
          <w:color w:val="000000" w:themeColor="text1"/>
          <w:highlight w:val="none"/>
          <w14:textFill>
            <w14:solidFill>
              <w14:schemeClr w14:val="tx1"/>
            </w14:solidFill>
          </w14:textFill>
        </w:rPr>
        <w:t xml:space="preserve">附表一 </w:t>
      </w:r>
      <w:bookmarkEnd w:id="25"/>
    </w:p>
    <w:p>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资格审查表</w:t>
      </w:r>
    </w:p>
    <w:p>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工程名称：</w:t>
      </w:r>
    </w:p>
    <w:tbl>
      <w:tblPr>
        <w:tblStyle w:val="36"/>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投标人均持有建设行政主管部门颁发的企业资质证书及安全生产许可证；投标人资质符合公告要求（</w:t>
            </w:r>
            <w:r>
              <w:rPr>
                <w:rFonts w:hint="eastAsia" w:ascii="宋体" w:hAnsi="宋体"/>
                <w:color w:val="000000" w:themeColor="text1"/>
                <w:szCs w:val="21"/>
                <w:highlight w:val="none"/>
                <w14:textFill>
                  <w14:solidFill>
                    <w14:schemeClr w14:val="tx1"/>
                  </w14:solidFill>
                </w14:textFill>
              </w:rPr>
              <w:t>投标人均持有建设行政主管部门颁发的企业资质证书（市政公用工程施工总承包三级或以上级别施工总承包资质）及安全生产许可证</w:t>
            </w:r>
            <w:r>
              <w:rPr>
                <w:rFonts w:hint="eastAsia" w:ascii="宋体" w:hAnsi="宋体" w:cs="宋体"/>
                <w:color w:val="000000" w:themeColor="text1"/>
                <w:szCs w:val="21"/>
                <w:highlight w:val="none"/>
                <w14:textFill>
                  <w14:solidFill>
                    <w14:schemeClr w14:val="tx1"/>
                  </w14:solidFill>
                </w14:textFill>
              </w:rPr>
              <w:t>）</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使用有效期内的注册建造师注册证书在广州市住建行业信用平台内上传件。</w:t>
            </w:r>
          </w:p>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持有项目负责人安全生产考核合格证（</w:t>
            </w:r>
            <w:r>
              <w:rPr>
                <w:rFonts w:ascii="宋体" w:hAnsi="宋体"/>
                <w:color w:val="000000" w:themeColor="text1"/>
                <w:szCs w:val="21"/>
                <w:highlight w:val="none"/>
                <w14:textFill>
                  <w14:solidFill>
                    <w14:schemeClr w14:val="tx1"/>
                  </w14:solidFill>
                </w14:textFill>
              </w:rPr>
              <w:t>B类）或</w:t>
            </w:r>
            <w:r>
              <w:rPr>
                <w:rFonts w:hint="eastAsia" w:ascii="宋体" w:hAnsi="宋体"/>
                <w:color w:val="000000" w:themeColor="text1"/>
                <w:szCs w:val="21"/>
                <w:highlight w:val="none"/>
                <w14:textFill>
                  <w14:solidFill>
                    <w14:schemeClr w14:val="tx1"/>
                  </w14:solidFill>
                </w14:textFill>
              </w:rPr>
              <w:t>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项目负责人安全生产考核合格证（</w:t>
            </w:r>
            <w:r>
              <w:rPr>
                <w:rFonts w:ascii="宋体" w:hAnsi="宋体"/>
                <w:color w:val="000000" w:themeColor="text1"/>
                <w:szCs w:val="21"/>
                <w:highlight w:val="none"/>
                <w14:textFill>
                  <w14:solidFill>
                    <w14:schemeClr w14:val="tx1"/>
                  </w14:solidFill>
                </w14:textFill>
              </w:rPr>
              <w:t>B</w:t>
            </w:r>
            <w:r>
              <w:rPr>
                <w:rFonts w:hint="eastAsia" w:ascii="宋体" w:hAnsi="宋体"/>
                <w:color w:val="000000" w:themeColor="text1"/>
                <w:szCs w:val="21"/>
                <w:highlight w:val="none"/>
                <w14:textFill>
                  <w14:solidFill>
                    <w14:schemeClr w14:val="tx1"/>
                  </w14:solidFill>
                </w14:textFill>
              </w:rPr>
              <w:t>类</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cs="宋体"/>
                <w:bCs/>
                <w:color w:val="000000" w:themeColor="text1"/>
                <w:szCs w:val="21"/>
                <w:highlight w:val="none"/>
                <w:u w:val="single"/>
                <w14:textFill>
                  <w14:solidFill>
                    <w14:schemeClr w14:val="tx1"/>
                  </w14:solidFill>
                </w14:textFill>
              </w:rPr>
              <w:t>拟委派技术负责人的职称证书清晰扫描件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专职安全员须具有安全生产考核合格证（</w:t>
            </w:r>
            <w:r>
              <w:rPr>
                <w:rFonts w:ascii="宋体" w:hAnsi="宋体" w:cs="宋体"/>
                <w:color w:val="000000" w:themeColor="text1"/>
                <w:szCs w:val="21"/>
                <w:highlight w:val="none"/>
                <w14:textFill>
                  <w14:solidFill>
                    <w14:schemeClr w14:val="tx1"/>
                  </w14:solidFill>
                </w14:textFill>
              </w:rPr>
              <w:t>C</w:t>
            </w:r>
            <w:r>
              <w:rPr>
                <w:rFonts w:hint="eastAsia" w:ascii="宋体" w:hAnsi="宋体"/>
                <w:color w:val="000000" w:themeColor="text1"/>
                <w:szCs w:val="21"/>
                <w:highlight w:val="none"/>
                <w14:textFill>
                  <w14:solidFill>
                    <w14:schemeClr w14:val="tx1"/>
                  </w14:solidFill>
                </w14:textFill>
              </w:rPr>
              <w:t>类</w:t>
            </w:r>
            <w:r>
              <w:rPr>
                <w:rFonts w:hint="eastAsia" w:ascii="宋体" w:hAnsi="宋体" w:cs="宋体"/>
                <w:color w:val="000000" w:themeColor="text1"/>
                <w:szCs w:val="21"/>
                <w:highlight w:val="none"/>
                <w14:textFill>
                  <w14:solidFill>
                    <w14:schemeClr w14:val="tx1"/>
                  </w14:solidFill>
                </w14:textFill>
              </w:rPr>
              <w:t>）或建筑施工企业专职安全生产管理人员安全生产考核合格证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专职安全员的安全生产考核合格证（C类）或建筑施工企业专职安全生产管理人员安全生产考核合格证（C3）在广州市住建行业信用管理平台内上传件；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关于联合体投标：</w:t>
            </w:r>
            <w:r>
              <w:rPr>
                <w:rFonts w:hint="eastAsia" w:ascii="宋体" w:hAnsi="宋体" w:cs="宋体"/>
                <w:color w:val="000000" w:themeColor="text1"/>
                <w:kern w:val="0"/>
                <w:szCs w:val="21"/>
                <w:highlight w:val="none"/>
                <w:u w:val="single"/>
                <w14:textFill>
                  <w14:solidFill>
                    <w14:schemeClr w14:val="tx1"/>
                  </w14:solidFill>
                </w14:textFill>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资格审查前，投标人须</w:t>
            </w:r>
            <w:r>
              <w:rPr>
                <w:rFonts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14:textFill>
                  <w14:solidFill>
                    <w14:schemeClr w14:val="tx1"/>
                  </w14:solidFill>
                </w14:textFill>
              </w:rPr>
              <w:t>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未被列入拖欠农民工工资失信联合惩戒对象名单</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highlight w:val="none"/>
                <w14:textFill>
                  <w14:solidFill>
                    <w14:schemeClr w14:val="tx1"/>
                  </w14:solidFill>
                </w14:textFill>
              </w:rPr>
            </w:pPr>
          </w:p>
        </w:tc>
      </w:tr>
    </w:tbl>
    <w:p>
      <w:pPr>
        <w:spacing w:line="480" w:lineRule="auto"/>
        <w:ind w:firstLine="470" w:firstLineChars="22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1、每一项目符合的打“○”，不符合的打“×”； </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2、若评委意见不一致时，则按少数服从多数的原则，作出评审结论。汇总后，出现一个“×”的结论为“不通过”。</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不得将</w:t>
      </w:r>
      <w:r>
        <w:rPr>
          <w:rFonts w:hint="eastAsia"/>
          <w:color w:val="000000" w:themeColor="text1"/>
          <w:highlight w:val="none"/>
          <w14:textFill>
            <w14:solidFill>
              <w14:schemeClr w14:val="tx1"/>
            </w14:solidFill>
          </w14:textFill>
        </w:rPr>
        <w:t>文件顺序、</w:t>
      </w:r>
      <w:r>
        <w:rPr>
          <w:color w:val="000000" w:themeColor="text1"/>
          <w:highlight w:val="none"/>
          <w14:textFill>
            <w14:solidFill>
              <w14:schemeClr w14:val="tx1"/>
            </w14:solidFill>
          </w14:textFill>
        </w:rPr>
        <w:t>明显的文字错误等列为否</w:t>
      </w:r>
      <w:r>
        <w:rPr>
          <w:rFonts w:hint="eastAsia"/>
          <w:color w:val="000000" w:themeColor="text1"/>
          <w:highlight w:val="none"/>
          <w14:textFill>
            <w14:solidFill>
              <w14:schemeClr w14:val="tx1"/>
            </w14:solidFill>
          </w14:textFill>
        </w:rPr>
        <w:t>决</w:t>
      </w:r>
      <w:r>
        <w:rPr>
          <w:color w:val="000000" w:themeColor="text1"/>
          <w:highlight w:val="none"/>
          <w14:textFill>
            <w14:solidFill>
              <w14:schemeClr w14:val="tx1"/>
            </w14:solidFill>
          </w14:textFill>
        </w:rPr>
        <w:t>投标的</w:t>
      </w:r>
      <w:r>
        <w:rPr>
          <w:rFonts w:hint="eastAsia"/>
          <w:color w:val="000000" w:themeColor="text1"/>
          <w:highlight w:val="none"/>
          <w14:textFill>
            <w14:solidFill>
              <w14:schemeClr w14:val="tx1"/>
            </w14:solidFill>
          </w14:textFill>
        </w:rPr>
        <w:t>情形。评委</w:t>
      </w:r>
      <w:r>
        <w:rPr>
          <w:color w:val="000000" w:themeColor="text1"/>
          <w:highlight w:val="none"/>
          <w14:textFill>
            <w14:solidFill>
              <w14:schemeClr w14:val="tx1"/>
            </w14:solidFill>
          </w14:textFill>
        </w:rPr>
        <w:t>发现</w:t>
      </w:r>
      <w:r>
        <w:rPr>
          <w:rFonts w:hint="eastAsia"/>
          <w:color w:val="000000" w:themeColor="text1"/>
          <w:highlight w:val="none"/>
          <w14:textFill>
            <w14:solidFill>
              <w14:schemeClr w14:val="tx1"/>
            </w14:solidFill>
          </w14:textFill>
        </w:rPr>
        <w:t>资格审查文件</w:t>
      </w:r>
      <w:r>
        <w:rPr>
          <w:color w:val="000000" w:themeColor="text1"/>
          <w:highlight w:val="none"/>
          <w14:textFill>
            <w14:solidFill>
              <w14:schemeClr w14:val="tx1"/>
            </w14:solidFill>
          </w14:textFill>
        </w:rPr>
        <w:t>中</w:t>
      </w:r>
      <w:r>
        <w:rPr>
          <w:rFonts w:hint="eastAsia"/>
          <w:color w:val="000000" w:themeColor="text1"/>
          <w:highlight w:val="none"/>
          <w14:textFill>
            <w14:solidFill>
              <w14:schemeClr w14:val="tx1"/>
            </w14:solidFill>
          </w14:textFill>
        </w:rPr>
        <w:t>含义不明确</w:t>
      </w:r>
      <w:r>
        <w:rPr>
          <w:color w:val="000000" w:themeColor="text1"/>
          <w:highlight w:val="none"/>
          <w14:textFill>
            <w14:solidFill>
              <w14:schemeClr w14:val="tx1"/>
            </w14:solidFill>
          </w14:textFill>
        </w:rPr>
        <w:t>、对同类问题表述不一致、有明显</w:t>
      </w:r>
      <w:r>
        <w:rPr>
          <w:rFonts w:hint="eastAsia"/>
          <w:color w:val="000000" w:themeColor="text1"/>
          <w:highlight w:val="none"/>
          <w14:textFill>
            <w14:solidFill>
              <w14:schemeClr w14:val="tx1"/>
            </w14:solidFill>
          </w14:textFill>
        </w:rPr>
        <w:t>文字</w:t>
      </w:r>
      <w:r>
        <w:rPr>
          <w:color w:val="000000" w:themeColor="text1"/>
          <w:highlight w:val="none"/>
          <w14:textFill>
            <w14:solidFill>
              <w14:schemeClr w14:val="tx1"/>
            </w14:solidFill>
          </w14:textFill>
        </w:rPr>
        <w:t>和计算错误的，应当</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投标人作必要的澄清、说明</w:t>
      </w:r>
      <w:r>
        <w:rPr>
          <w:rFonts w:hint="eastAsia"/>
          <w:color w:val="000000" w:themeColor="text1"/>
          <w:highlight w:val="none"/>
          <w14:textFill>
            <w14:solidFill>
              <w14:schemeClr w14:val="tx1"/>
            </w14:solidFill>
          </w14:textFill>
        </w:rPr>
        <w:t>后再判定投标人是否通过资格审查</w:t>
      </w:r>
      <w:r>
        <w:rPr>
          <w:color w:val="000000" w:themeColor="text1"/>
          <w:highlight w:val="none"/>
          <w14:textFill>
            <w14:solidFill>
              <w14:schemeClr w14:val="tx1"/>
            </w14:solidFill>
          </w14:textFill>
        </w:rPr>
        <w:t>，不得直接</w:t>
      </w:r>
      <w:r>
        <w:rPr>
          <w:rFonts w:hint="eastAsia"/>
          <w:color w:val="000000" w:themeColor="text1"/>
          <w:highlight w:val="none"/>
          <w14:textFill>
            <w14:solidFill>
              <w14:schemeClr w14:val="tx1"/>
            </w14:solidFill>
          </w14:textFill>
        </w:rPr>
        <w:t>认定其不通过资格审查。</w:t>
      </w:r>
    </w:p>
    <w:p>
      <w:pPr>
        <w:spacing w:line="360" w:lineRule="auto"/>
        <w:ind w:firstLine="459"/>
        <w:rPr>
          <w:color w:val="000000" w:themeColor="text1"/>
          <w:highlight w:val="none"/>
          <w14:textFill>
            <w14:solidFill>
              <w14:schemeClr w14:val="tx1"/>
            </w14:solidFill>
          </w14:textFill>
        </w:rPr>
        <w:sectPr>
          <w:endnotePr>
            <w:numFmt w:val="decimal"/>
          </w:endnotePr>
          <w:pgSz w:w="16838" w:h="11906" w:orient="landscape"/>
          <w:pgMar w:top="1418" w:right="1134" w:bottom="1418" w:left="1247" w:header="851" w:footer="907" w:gutter="0"/>
          <w:cols w:space="425" w:num="1"/>
          <w:titlePg/>
          <w:docGrid w:type="linesAndChars" w:linePitch="312" w:charSpace="0"/>
        </w:sectPr>
      </w:pPr>
      <w:r>
        <w:rPr>
          <w:rFonts w:hint="eastAsia"/>
          <w:color w:val="000000" w:themeColor="text1"/>
          <w:kern w:val="0"/>
          <w:szCs w:val="21"/>
          <w:highlight w:val="none"/>
          <w14:textFill>
            <w14:solidFill>
              <w14:schemeClr w14:val="tx1"/>
            </w14:solidFill>
          </w14:textFill>
        </w:rPr>
        <w:t>评委签名：                                                                        日期：</w:t>
      </w:r>
    </w:p>
    <w:p>
      <w:pPr>
        <w:pStyle w:val="6"/>
        <w:spacing w:before="0" w:beforeAutospacing="0" w:after="0" w:afterAutospacing="0"/>
        <w:jc w:val="left"/>
        <w:rPr>
          <w:color w:val="000000" w:themeColor="text1"/>
          <w:sz w:val="36"/>
          <w:szCs w:val="36"/>
          <w:highlight w:val="none"/>
          <w14:textFill>
            <w14:solidFill>
              <w14:schemeClr w14:val="tx1"/>
            </w14:solidFill>
          </w14:textFill>
        </w:rPr>
      </w:pPr>
      <w:bookmarkStart w:id="26" w:name="_Toc115117426"/>
      <w:r>
        <w:rPr>
          <w:rFonts w:hint="eastAsia"/>
          <w:color w:val="000000" w:themeColor="text1"/>
          <w:highlight w:val="none"/>
          <w14:textFill>
            <w14:solidFill>
              <w14:schemeClr w14:val="tx1"/>
            </w14:solidFill>
          </w14:textFill>
        </w:rPr>
        <w:t xml:space="preserve">附表二 </w:t>
      </w:r>
      <w:bookmarkEnd w:id="26"/>
      <w:r>
        <w:rPr>
          <w:rFonts w:hint="eastAsia"/>
          <w:color w:val="000000" w:themeColor="text1"/>
          <w:highlight w:val="none"/>
          <w14:textFill>
            <w14:solidFill>
              <w14:schemeClr w14:val="tx1"/>
            </w14:solidFill>
          </w14:textFill>
        </w:rPr>
        <w:t xml:space="preserve">                                 </w:t>
      </w:r>
      <w:r>
        <w:rPr>
          <w:rFonts w:hint="eastAsia"/>
          <w:color w:val="000000" w:themeColor="text1"/>
          <w:sz w:val="36"/>
          <w:szCs w:val="36"/>
          <w:highlight w:val="none"/>
          <w14:textFill>
            <w14:solidFill>
              <w14:schemeClr w14:val="tx1"/>
            </w14:solidFill>
          </w14:textFill>
        </w:rPr>
        <w:t>技术标有效性审查表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6"/>
        <w:tblW w:w="14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495"/>
        <w:gridCol w:w="1069"/>
        <w:gridCol w:w="118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0495"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6510" w:firstLineChars="3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p>
          <w:p>
            <w:pPr>
              <w:adjustRightInd w:val="0"/>
              <w:rPr>
                <w:rFonts w:ascii="宋体" w:hAnsi="宋体"/>
                <w:color w:val="000000" w:themeColor="text1"/>
                <w:szCs w:val="21"/>
                <w:highlight w:val="none"/>
                <w14:textFill>
                  <w14:solidFill>
                    <w14:schemeClr w14:val="tx1"/>
                  </w14:solidFill>
                </w14:textFill>
              </w:rPr>
            </w:pPr>
          </w:p>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《广州建设工程施工招标投标书》中填报的投标总工期不符合招标文件要求的；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《广州建设工程施工招标投标书》中填报的工程质量标准不符合招标文件要求的；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投标文件中没有有效的法定代表人证明书，或由委托代理人签署的投标文件中没有法定代表人授权书；</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投标文件未按规定的格式</w:t>
            </w:r>
            <w:r>
              <w:rPr>
                <w:rFonts w:hint="eastAsia" w:ascii="宋体" w:hAnsi="宋体" w:cs="宋体"/>
                <w:b/>
                <w:bCs/>
                <w:color w:val="000000" w:themeColor="text1"/>
                <w:szCs w:val="21"/>
                <w:highlight w:val="none"/>
                <w:u w:val="single"/>
                <w14:textFill>
                  <w14:solidFill>
                    <w14:schemeClr w14:val="tx1"/>
                  </w14:solidFill>
                </w14:textFill>
              </w:rPr>
              <w:t>（指</w:t>
            </w:r>
            <w:r>
              <w:rPr>
                <w:rFonts w:hint="eastAsia"/>
                <w:b/>
                <w:bCs/>
                <w:color w:val="000000" w:themeColor="text1"/>
                <w:highlight w:val="none"/>
                <w:u w:val="single"/>
                <w14:textFill>
                  <w14:solidFill>
                    <w14:schemeClr w14:val="tx1"/>
                  </w14:solidFill>
                </w14:textFill>
              </w:rPr>
              <w:t>“第四章投标文件格式”的格式二、格式六、格式七、格式九</w:t>
            </w:r>
            <w:r>
              <w:rPr>
                <w:rFonts w:hint="eastAsia" w:ascii="宋体" w:hAnsi="宋体" w:cs="宋体"/>
                <w:b/>
                <w:bCs/>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无《参与编制技术标投标文件人员名单》的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trike/>
                <w:color w:val="000000" w:themeColor="text1"/>
                <w:szCs w:val="21"/>
                <w:highlight w:val="none"/>
                <w14:textFill>
                  <w14:solidFill>
                    <w14:schemeClr w14:val="tx1"/>
                  </w14:solidFill>
                </w14:textFill>
              </w:rPr>
            </w:pPr>
            <w:r>
              <w:rPr>
                <w:rFonts w:ascii="宋体" w:hAnsi="宋体"/>
                <w:strike/>
                <w:color w:val="000000" w:themeColor="text1"/>
                <w:szCs w:val="21"/>
                <w:highlight w:val="none"/>
                <w14:textFill>
                  <w14:solidFill>
                    <w14:schemeClr w14:val="tx1"/>
                  </w14:solidFill>
                </w14:textFill>
              </w:rPr>
              <w:t>7</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000000" w:themeColor="text1"/>
                <w:szCs w:val="21"/>
                <w:highlight w:val="none"/>
                <w14:textFill>
                  <w14:solidFill>
                    <w14:schemeClr w14:val="tx1"/>
                  </w14:solidFill>
                </w14:textFill>
              </w:rPr>
            </w:pPr>
            <w:r>
              <w:rPr>
                <w:rFonts w:hint="eastAsia" w:ascii="宋体" w:hAnsi="宋体"/>
                <w:strike/>
                <w:color w:val="000000" w:themeColor="text1"/>
                <w:szCs w:val="21"/>
                <w:highlight w:val="none"/>
                <w14:textFill>
                  <w14:solidFill>
                    <w14:schemeClr w14:val="tx1"/>
                  </w14:solidFill>
                </w14:textFill>
              </w:rPr>
              <w:t>投标人未按要求提交投标保证金的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投标人与本项目其他投标人加密打包投标文件电脑机器特征码一致的(以广州公共资源交易中心交易平台评标系</w:t>
            </w:r>
          </w:p>
          <w:p>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统的检索信息为准)</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highlight w:val="none"/>
                <w14:textFill>
                  <w14:solidFill>
                    <w14:schemeClr w14:val="tx1"/>
                  </w14:solidFill>
                </w14:textFill>
              </w:rPr>
            </w:pPr>
          </w:p>
        </w:tc>
      </w:tr>
    </w:tbl>
    <w:p>
      <w:pPr>
        <w:pStyle w:val="2"/>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pPr>
        <w:pStyle w:val="2"/>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 xml:space="preserve"> 若出现评标委员会否决投标的，应在评标报告中载明否决投标的具体情形、原因</w:t>
      </w:r>
      <w:r>
        <w:rPr>
          <w:rFonts w:hint="eastAsia" w:hAnsi="宋体"/>
          <w:color w:val="000000" w:themeColor="text1"/>
          <w:szCs w:val="21"/>
          <w:highlight w:val="none"/>
          <w14:textFill>
            <w14:solidFill>
              <w14:schemeClr w14:val="tx1"/>
            </w14:solidFill>
          </w14:textFill>
        </w:rPr>
        <w:t>。</w:t>
      </w:r>
    </w:p>
    <w:p>
      <w:pPr>
        <w:pStyle w:val="2"/>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3.凡出现以上任何一项情形，结论均为无效，否则就为有效。</w:t>
      </w:r>
    </w:p>
    <w:p>
      <w:pPr>
        <w:pStyle w:val="2"/>
        <w:rPr>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4.如对本表中某种情形的评审意见不一致时，以评标委员会过半数成员的意见作为评标委员会对该情形的认定结论。</w:t>
      </w:r>
    </w:p>
    <w:p>
      <w:pPr>
        <w:spacing w:line="360" w:lineRule="auto"/>
        <w:ind w:firstLine="459"/>
        <w:rPr>
          <w:rFonts w:ascii="宋体" w:hAnsi="宋体" w:cs="仿宋_GB2312"/>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评委签名：                                                                        日期：</w:t>
      </w:r>
    </w:p>
    <w:p>
      <w:pPr>
        <w:pStyle w:val="7"/>
        <w:ind w:firstLine="0" w:firstLineChars="0"/>
        <w:rPr>
          <w:color w:val="000000" w:themeColor="text1"/>
          <w:highlight w:val="none"/>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425" w:num="1"/>
          <w:docGrid w:type="linesAndChars" w:linePitch="312" w:charSpace="0"/>
        </w:sectPr>
      </w:pPr>
    </w:p>
    <w:p>
      <w:pPr>
        <w:rPr>
          <w:b/>
          <w:color w:val="000000" w:themeColor="text1"/>
          <w:sz w:val="36"/>
          <w:szCs w:val="36"/>
          <w:highlight w:val="none"/>
          <w14:textFill>
            <w14:solidFill>
              <w14:schemeClr w14:val="tx1"/>
            </w14:solidFill>
          </w14:textFill>
        </w:rPr>
      </w:pPr>
      <w:bookmarkStart w:id="27" w:name="_Toc115117427"/>
      <w:r>
        <w:rPr>
          <w:rFonts w:hint="eastAsia"/>
          <w:b/>
          <w:bCs/>
          <w:color w:val="000000" w:themeColor="text1"/>
          <w:highlight w:val="none"/>
          <w14:textFill>
            <w14:solidFill>
              <w14:schemeClr w14:val="tx1"/>
            </w14:solidFill>
          </w14:textFill>
        </w:rPr>
        <w:t>附表三</w:t>
      </w:r>
      <w:r>
        <w:rPr>
          <w:rFonts w:hint="eastAsia"/>
          <w:color w:val="000000" w:themeColor="text1"/>
          <w:highlight w:val="none"/>
          <w14:textFill>
            <w14:solidFill>
              <w14:schemeClr w14:val="tx1"/>
            </w14:solidFill>
          </w14:textFill>
        </w:rPr>
        <w:t xml:space="preserve"> </w:t>
      </w:r>
      <w:bookmarkEnd w:id="27"/>
      <w:r>
        <w:rPr>
          <w:rFonts w:hint="eastAsia"/>
          <w:b/>
          <w:color w:val="000000" w:themeColor="text1"/>
          <w:sz w:val="36"/>
          <w:szCs w:val="36"/>
          <w:highlight w:val="none"/>
          <w14:textFill>
            <w14:solidFill>
              <w14:schemeClr w14:val="tx1"/>
            </w14:solidFill>
          </w14:textFill>
        </w:rPr>
        <w:t xml:space="preserve">                              经济标有效性审查表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6"/>
        <w:tblW w:w="14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19"/>
        <w:gridCol w:w="1069"/>
        <w:gridCol w:w="108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0719" w:type="dxa"/>
            <w:tcBorders>
              <w:top w:val="single" w:color="auto" w:sz="4" w:space="0"/>
              <w:left w:val="single" w:color="auto" w:sz="4" w:space="0"/>
              <w:bottom w:val="single" w:color="auto" w:sz="4" w:space="0"/>
              <w:right w:val="single" w:color="auto" w:sz="4" w:space="0"/>
              <w:tl2br w:val="single" w:color="auto" w:sz="4" w:space="0"/>
            </w:tcBorders>
          </w:tcPr>
          <w:p>
            <w:pPr>
              <w:ind w:firstLine="6090" w:firstLineChars="29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对同一招标项目出现两个或以上的投标报价，且没有申明哪个有效；</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投标总报价高于最高投标限价的；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107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000000" w:themeColor="text1"/>
                <w:szCs w:val="21"/>
                <w:highlight w:val="none"/>
                <w14:textFill>
                  <w14:solidFill>
                    <w14:schemeClr w14:val="tx1"/>
                  </w14:solidFill>
                </w14:textFill>
              </w:rPr>
            </w:pPr>
            <w:r>
              <w:rPr>
                <w:rFonts w:hint="eastAsia" w:cs="宋体"/>
                <w:color w:val="000000" w:themeColor="text1"/>
                <w:highlight w:val="none"/>
                <w:u w:val="single"/>
                <w14:textFill>
                  <w14:solidFill>
                    <w14:schemeClr w14:val="tx1"/>
                  </w14:solidFill>
                </w14:textFill>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算术复核后的投标报价与原投标报价相比存在</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或以上误差的；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投标文件未按规定的格式</w:t>
            </w:r>
            <w:r>
              <w:rPr>
                <w:rFonts w:hint="eastAsia" w:ascii="宋体" w:hAnsi="宋体" w:cs="宋体"/>
                <w:b/>
                <w:bCs/>
                <w:color w:val="000000" w:themeColor="text1"/>
                <w:szCs w:val="21"/>
                <w:highlight w:val="none"/>
                <w:u w:val="single"/>
                <w14:textFill>
                  <w14:solidFill>
                    <w14:schemeClr w14:val="tx1"/>
                  </w14:solidFill>
                </w14:textFill>
              </w:rPr>
              <w:t>（指</w:t>
            </w:r>
            <w:r>
              <w:rPr>
                <w:rFonts w:hint="eastAsia"/>
                <w:b/>
                <w:bCs/>
                <w:color w:val="000000" w:themeColor="text1"/>
                <w:highlight w:val="none"/>
                <w:u w:val="single"/>
                <w14:textFill>
                  <w14:solidFill>
                    <w14:schemeClr w14:val="tx1"/>
                  </w14:solidFill>
                </w14:textFill>
              </w:rPr>
              <w:t>“第四章投标文件格式”的格式十一、格式十二、格式十三</w:t>
            </w:r>
            <w:r>
              <w:rPr>
                <w:rFonts w:hint="eastAsia" w:ascii="宋体" w:hAnsi="宋体" w:cs="宋体"/>
                <w:b/>
                <w:bCs/>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不同投标人的投标报价中分部分项工程量清单综合单价相似度达到80%及以上的(以</w:t>
            </w:r>
            <w:r>
              <w:rPr>
                <w:rFonts w:hint="eastAsia" w:ascii="宋体" w:hAnsi="宋体" w:cs="宋体"/>
                <w:color w:val="000000" w:themeColor="text1"/>
                <w:szCs w:val="21"/>
                <w:highlight w:val="none"/>
                <w:u w:val="single"/>
                <w14:textFill>
                  <w14:solidFill>
                    <w14:schemeClr w14:val="tx1"/>
                  </w14:solidFill>
                </w14:textFill>
              </w:rPr>
              <w:t>广州公共资源交易中心</w:t>
            </w:r>
            <w:r>
              <w:rPr>
                <w:rFonts w:hint="eastAsia" w:ascii="宋体" w:hAnsi="宋体"/>
                <w:color w:val="000000" w:themeColor="text1"/>
                <w:szCs w:val="21"/>
                <w:highlight w:val="none"/>
                <w14:textFill>
                  <w14:solidFill>
                    <w14:schemeClr w14:val="tx1"/>
                  </w14:solidFill>
                </w14:textFill>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无《参与编制经济标投标文件人员名单》的；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无《对投标文件编制的承诺》的。</w:t>
            </w:r>
          </w:p>
        </w:tc>
        <w:tc>
          <w:tcPr>
            <w:tcW w:w="106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bl>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注：1.本表使用GZZB2018-3招标文件范本，与范本内容不同之处均以下划线标明。</w:t>
      </w:r>
    </w:p>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2.凡出现以上任何一项情形，结论均为无效，否则就为有效。</w:t>
      </w:r>
    </w:p>
    <w:p>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3.如对本表中某种情形的评审意见不一致时，以评标委员会过半数成员的意见作为评标委员会对该情形的认定结论。</w:t>
      </w:r>
    </w:p>
    <w:p>
      <w:pPr>
        <w:spacing w:line="360" w:lineRule="auto"/>
        <w:ind w:firstLine="459"/>
        <w:rPr>
          <w:color w:val="000000" w:themeColor="text1"/>
          <w:kern w:val="0"/>
          <w:szCs w:val="21"/>
          <w:highlight w:val="none"/>
          <w14:textFill>
            <w14:solidFill>
              <w14:schemeClr w14:val="tx1"/>
            </w14:solidFill>
          </w14:textFill>
        </w:rPr>
      </w:pPr>
      <w:bookmarkStart w:id="28" w:name="_Toc79144512"/>
      <w:r>
        <w:rPr>
          <w:rFonts w:hint="eastAsia"/>
          <w:color w:val="000000" w:themeColor="text1"/>
          <w:kern w:val="0"/>
          <w:szCs w:val="21"/>
          <w:highlight w:val="none"/>
          <w14:textFill>
            <w14:solidFill>
              <w14:schemeClr w14:val="tx1"/>
            </w14:solidFill>
          </w14:textFill>
        </w:rPr>
        <w:t>评委签名：                                                                        日期：</w:t>
      </w: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8"/>
    <w:p>
      <w:pPr>
        <w:tabs>
          <w:tab w:val="left" w:pos="567"/>
        </w:tabs>
        <w:spacing w:line="300" w:lineRule="exact"/>
        <w:ind w:left="424" w:hanging="424" w:hangingChars="202"/>
        <w:rPr>
          <w:rFonts w:ascii="宋体" w:hAnsi="宋体" w:cs="宋体"/>
          <w:color w:val="000000" w:themeColor="text1"/>
          <w:szCs w:val="21"/>
          <w:highlight w:val="none"/>
          <w14:textFill>
            <w14:solidFill>
              <w14:schemeClr w14:val="tx1"/>
            </w14:solidFill>
          </w14:textFill>
        </w:rPr>
      </w:pPr>
      <w:bookmarkStart w:id="29" w:name="_Toc115117429"/>
      <w:r>
        <w:rPr>
          <w:rFonts w:hint="eastAsia" w:ascii="宋体" w:hAnsi="宋体" w:cs="宋体"/>
          <w:color w:val="000000" w:themeColor="text1"/>
          <w:szCs w:val="21"/>
          <w:highlight w:val="none"/>
          <w14:textFill>
            <w14:solidFill>
              <w14:schemeClr w14:val="tx1"/>
            </w14:solidFill>
          </w14:textFill>
        </w:rPr>
        <w:t>附表四</w:t>
      </w:r>
    </w:p>
    <w:p>
      <w:pPr>
        <w:spacing w:line="400" w:lineRule="exact"/>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技术标详细审查评分表</w:t>
      </w:r>
    </w:p>
    <w:tbl>
      <w:tblPr>
        <w:tblStyle w:val="36"/>
        <w:tblW w:w="15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215"/>
        <w:gridCol w:w="840"/>
        <w:gridCol w:w="1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1215"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评分内容</w:t>
            </w:r>
          </w:p>
        </w:tc>
        <w:tc>
          <w:tcPr>
            <w:tcW w:w="84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分值</w:t>
            </w:r>
          </w:p>
        </w:tc>
        <w:tc>
          <w:tcPr>
            <w:tcW w:w="12259"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28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一、企业资信（6分）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工程业绩</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投标人自2020年1月1日至投标截止时间止，完成过质量合格且中标金额在580万元（或以上）的市政公用工程施工总承包业绩的，每项得0.1分；本项最高得1.2分。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84" w:type="dxa"/>
            <w:vMerge w:val="continue"/>
            <w:tcBorders>
              <w:left w:val="single" w:color="auto" w:sz="4" w:space="0"/>
              <w:right w:val="single" w:color="auto" w:sz="4" w:space="0"/>
            </w:tcBorders>
            <w:vAlign w:val="center"/>
          </w:tcPr>
          <w:p>
            <w:pPr>
              <w:widowControl/>
              <w:spacing w:before="100" w:beforeAutospacing="1" w:after="100" w:afterAutospacing="1" w:line="300" w:lineRule="exact"/>
              <w:jc w:val="center"/>
              <w:rPr>
                <w:rFonts w:ascii="宋体" w:hAnsi="宋体" w:cs="宋体"/>
                <w:color w:val="000000" w:themeColor="text1"/>
                <w:szCs w:val="2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企业研发能力</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投标人自2020年1月1日至投标截止时间止，获得过</w:t>
            </w:r>
            <w:r>
              <w:rPr>
                <w:rFonts w:hint="eastAsia"/>
                <w:color w:val="000000" w:themeColor="text1"/>
                <w:highlight w:val="none"/>
                <w:lang w:val="zh-CN"/>
                <w14:textFill>
                  <w14:solidFill>
                    <w14:schemeClr w14:val="tx1"/>
                  </w14:solidFill>
                </w14:textFill>
              </w:rPr>
              <w:t>市级</w:t>
            </w:r>
            <w:r>
              <w:rPr>
                <w:rFonts w:hint="eastAsia"/>
                <w:color w:val="000000" w:themeColor="text1"/>
                <w:highlight w:val="none"/>
                <w14:textFill>
                  <w14:solidFill>
                    <w14:schemeClr w14:val="tx1"/>
                  </w14:solidFill>
                </w14:textFill>
              </w:rPr>
              <w:t>或以上建设工程类科学技术奖证书的，每项得0.1分；本项最高得</w:t>
            </w:r>
            <w:r>
              <w:rPr>
                <w:rFonts w:hint="eastAsia" w:ascii="Times New Roman"/>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财务指标</w:t>
            </w: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（1）投标人近三年(2020年、2021年、2022年)的平均资产负债率在10%以下（不含10%）的，得1.2分；</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（2）投标人近三年(2020年、2021年、2022年)的平均资产负债率在20%以下（不含20%）的，得0.6分；</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（3）投标人近三年(2020年、2021年、2022年)的平均资产负债率在30%以下（不含30%）的，得0.3分；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第三方评价</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w:t>
            </w:r>
            <w:r>
              <w:rPr>
                <w:rFonts w:hint="eastAsia" w:ascii="宋体" w:hAnsi="宋体" w:cs="宋体"/>
                <w:color w:val="000000" w:themeColor="text1"/>
                <w:szCs w:val="21"/>
                <w:highlight w:val="none"/>
                <w14:textFill>
                  <w14:solidFill>
                    <w14:schemeClr w14:val="tx1"/>
                  </w14:solidFill>
                </w14:textFill>
              </w:rPr>
              <w:t>连续6年或以上（须包含2022年度）</w:t>
            </w:r>
            <w:r>
              <w:rPr>
                <w:rFonts w:hint="eastAsia" w:ascii="宋体" w:hAnsi="宋体" w:cs="宋体"/>
                <w:color w:val="000000" w:themeColor="text1"/>
                <w:highlight w:val="none"/>
                <w14:textFill>
                  <w14:solidFill>
                    <w14:schemeClr w14:val="tx1"/>
                  </w14:solidFill>
                </w14:textFill>
              </w:rPr>
              <w:t>获得“纳税信用 A 级”称号的</w:t>
            </w:r>
            <w:r>
              <w:rPr>
                <w:rFonts w:hint="eastAsia" w:ascii="宋体" w:hAnsi="宋体" w:cs="宋体"/>
                <w:color w:val="000000" w:themeColor="text1"/>
                <w:szCs w:val="21"/>
                <w:highlight w:val="none"/>
                <w14:textFill>
                  <w14:solidFill>
                    <w14:schemeClr w14:val="tx1"/>
                  </w14:solidFill>
                </w14:textFill>
              </w:rPr>
              <w:t>，得1.2分；</w:t>
            </w:r>
          </w:p>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（2）连续5年（须包含2022年度）</w:t>
            </w:r>
            <w:r>
              <w:rPr>
                <w:rFonts w:hint="eastAsia" w:ascii="宋体" w:hAnsi="宋体" w:cs="宋体"/>
                <w:color w:val="000000" w:themeColor="text1"/>
                <w:highlight w:val="none"/>
                <w14:textFill>
                  <w14:solidFill>
                    <w14:schemeClr w14:val="tx1"/>
                  </w14:solidFill>
                </w14:textFill>
              </w:rPr>
              <w:t>获得“纳税信用 A 级”称号的</w:t>
            </w:r>
            <w:r>
              <w:rPr>
                <w:rFonts w:hint="eastAsia" w:ascii="宋体" w:hAnsi="宋体" w:cs="宋体"/>
                <w:color w:val="000000" w:themeColor="text1"/>
                <w:szCs w:val="21"/>
                <w:highlight w:val="none"/>
                <w14:textFill>
                  <w14:solidFill>
                    <w14:schemeClr w14:val="tx1"/>
                  </w14:solidFill>
                </w14:textFill>
              </w:rPr>
              <w:t>，得0.6分；</w:t>
            </w:r>
          </w:p>
          <w:p>
            <w:pPr>
              <w:spacing w:line="30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（3）连续4年（须包含2022年度）</w:t>
            </w:r>
            <w:r>
              <w:rPr>
                <w:rFonts w:hint="eastAsia" w:ascii="宋体" w:hAnsi="宋体" w:cs="宋体"/>
                <w:color w:val="000000" w:themeColor="text1"/>
                <w:highlight w:val="none"/>
                <w14:textFill>
                  <w14:solidFill>
                    <w14:schemeClr w14:val="tx1"/>
                  </w14:solidFill>
                </w14:textFill>
              </w:rPr>
              <w:t>获得“纳税信用 A 级”称号的</w:t>
            </w:r>
            <w:r>
              <w:rPr>
                <w:rFonts w:hint="eastAsia" w:ascii="宋体" w:hAnsi="宋体" w:cs="宋体"/>
                <w:color w:val="000000" w:themeColor="text1"/>
                <w:szCs w:val="21"/>
                <w:highlight w:val="none"/>
                <w14:textFill>
                  <w14:solidFill>
                    <w14:schemeClr w14:val="tx1"/>
                  </w14:solidFill>
                </w14:textFill>
              </w:rPr>
              <w:t>，得0.3分；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工程奖项</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投标人自2020年1月1日至投标截止时间止，承建的市政工程项目获得过市级或以上工程质量奖项的每项得0.6分。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8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项目管理</w:t>
            </w:r>
          </w:p>
          <w:p>
            <w:pPr>
              <w:widowControl/>
              <w:spacing w:before="100" w:beforeAutospacing="1" w:after="100" w:afterAutospacing="1"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机构人员能力（14分）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技术负责人</w:t>
            </w:r>
          </w:p>
        </w:tc>
        <w:tc>
          <w:tcPr>
            <w:tcW w:w="840" w:type="dxa"/>
            <w:tcBorders>
              <w:top w:val="single" w:color="auto" w:sz="4" w:space="0"/>
              <w:left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12259" w:type="dxa"/>
            <w:tcBorders>
              <w:top w:val="single" w:color="auto" w:sz="4" w:space="0"/>
              <w:left w:val="single" w:color="auto" w:sz="4" w:space="0"/>
              <w:right w:val="single" w:color="auto" w:sz="4" w:space="0"/>
            </w:tcBorders>
            <w:vAlign w:val="center"/>
          </w:tcPr>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（1）技术负责人具有市政公用工程相关专业工程师或以上职称15年或以上得1分；10年（含10年）至14年得0.5分；10年以下得0.2分；本项最高得1分。</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（2）技术负责人作为主要完成人获得过省级或以上工程类工法证书的，每项得0.2分；本项最高得1分；</w:t>
            </w:r>
          </w:p>
          <w:p>
            <w:pPr>
              <w:spacing w:line="288" w:lineRule="auto"/>
              <w:jc w:val="left"/>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（3）技术负责人在2020年1月1日至投标截止时间止担任技术负责人完成过的市政工程项目获得过市级或以上工程质量奖项的，每个得0.5分；本项最高得1分。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质量负责人</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（1）质量负责人具备“质量员”证书得1分。</w:t>
            </w:r>
          </w:p>
          <w:p>
            <w:pPr>
              <w:spacing w:line="288" w:lineRule="auto"/>
              <w:jc w:val="left"/>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（2）质量负责人在2020年1月1日至投标截止时间止获得过市级或以上建设工程类科学技术奖个人奖项的，得1分</w:t>
            </w:r>
            <w:r>
              <w:rPr>
                <w:rFonts w:hint="eastAsia"/>
                <w:color w:val="000000" w:themeColor="text1"/>
                <w:highlight w:val="none"/>
                <w:lang w:val="zh-CN"/>
                <w14:textFill>
                  <w14:solidFill>
                    <w14:schemeClr w14:val="tx1"/>
                  </w14:solidFill>
                </w14:textFill>
              </w:rPr>
              <w:t>。</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（3）质量负责人在2020年1月1日至投标截止时间止担任质量负责人完成过的市政工程项目获得过市级或以上工程质量奖项的，得1分</w:t>
            </w:r>
            <w:r>
              <w:rPr>
                <w:rFonts w:hint="eastAsia"/>
                <w:color w:val="000000" w:themeColor="text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Borders>
              <w:left w:val="single" w:color="auto" w:sz="4" w:space="0"/>
              <w:right w:val="single" w:color="auto" w:sz="4" w:space="0"/>
            </w:tcBorders>
            <w:vAlign w:val="center"/>
          </w:tcPr>
          <w:p>
            <w:pPr>
              <w:spacing w:line="300" w:lineRule="exact"/>
              <w:jc w:val="left"/>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造价负责人</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（1）造价负责人具有注册造价工程师执业资格得1分。</w:t>
            </w:r>
          </w:p>
          <w:p>
            <w:pPr>
              <w:spacing w:line="288" w:lineRule="auto"/>
              <w:jc w:val="left"/>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（2）造价负责人在2020年1月1日至投标截止时间止获得过市级或以上建设工程类科学技术奖个人奖项的，得1分</w:t>
            </w:r>
            <w:r>
              <w:rPr>
                <w:rFonts w:hint="eastAsia"/>
                <w:color w:val="000000" w:themeColor="text1"/>
                <w:highlight w:val="none"/>
                <w:lang w:val="zh-CN"/>
                <w14:textFill>
                  <w14:solidFill>
                    <w14:schemeClr w14:val="tx1"/>
                  </w14:solidFill>
                </w14:textFill>
              </w:rPr>
              <w:t>。</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3</w:t>
            </w:r>
            <w:r>
              <w:rPr>
                <w:rFonts w:hint="eastAsia"/>
                <w:color w:val="000000" w:themeColor="text1"/>
                <w:highlight w:val="none"/>
                <w:lang w:val="zh-CN"/>
                <w14:textFill>
                  <w14:solidFill>
                    <w14:schemeClr w14:val="tx1"/>
                  </w14:solidFill>
                </w14:textFill>
              </w:rPr>
              <w:t>）造价</w:t>
            </w:r>
            <w:r>
              <w:rPr>
                <w:rFonts w:hint="eastAsia"/>
                <w:color w:val="000000" w:themeColor="text1"/>
                <w:highlight w:val="none"/>
                <w14:textFill>
                  <w14:solidFill>
                    <w14:schemeClr w14:val="tx1"/>
                  </w14:solidFill>
                </w14:textFill>
              </w:rPr>
              <w:t>负责人在2020年1月1日至投标截止时间止担任造价负责人完成过的市政工程项目获得过市级或以上工程质量奖项的，得1分</w:t>
            </w:r>
            <w:r>
              <w:rPr>
                <w:rFonts w:hint="eastAsia"/>
                <w:color w:val="000000" w:themeColor="text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284" w:type="dxa"/>
            <w:vMerge w:val="continue"/>
            <w:tcBorders>
              <w:left w:val="single" w:color="auto" w:sz="4" w:space="0"/>
              <w:right w:val="single" w:color="auto" w:sz="4" w:space="0"/>
            </w:tcBorders>
            <w:vAlign w:val="center"/>
          </w:tcPr>
          <w:p>
            <w:pPr>
              <w:pStyle w:val="127"/>
              <w:spacing w:line="300" w:lineRule="exact"/>
              <w:ind w:firstLine="400"/>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安全负责人</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（1）安全负责人具有注册安全工程师执业资格得1分。</w:t>
            </w:r>
          </w:p>
          <w:p>
            <w:pPr>
              <w:spacing w:line="288" w:lineRule="auto"/>
              <w:jc w:val="left"/>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（2）安全负责人在2020年1月1日至投标截止时间止获得过市级或以上建设工程类科学技术奖个人奖项的，得1分</w:t>
            </w:r>
            <w:r>
              <w:rPr>
                <w:rFonts w:hint="eastAsia"/>
                <w:color w:val="000000" w:themeColor="text1"/>
                <w:highlight w:val="none"/>
                <w:lang w:val="zh-CN"/>
                <w14:textFill>
                  <w14:solidFill>
                    <w14:schemeClr w14:val="tx1"/>
                  </w14:solidFill>
                </w14:textFill>
              </w:rPr>
              <w:t>。</w:t>
            </w:r>
          </w:p>
          <w:p>
            <w:pPr>
              <w:pStyle w:val="2"/>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3</w:t>
            </w:r>
            <w:r>
              <w:rPr>
                <w:rFonts w:hint="eastAsia"/>
                <w:color w:val="000000" w:themeColor="text1"/>
                <w:highlight w:val="none"/>
                <w:lang w:val="zh-CN"/>
                <w14:textFill>
                  <w14:solidFill>
                    <w14:schemeClr w14:val="tx1"/>
                  </w14:solidFill>
                </w14:textFill>
              </w:rPr>
              <w:t>）安全</w:t>
            </w:r>
            <w:r>
              <w:rPr>
                <w:rFonts w:hint="eastAsia"/>
                <w:color w:val="000000" w:themeColor="text1"/>
                <w:highlight w:val="none"/>
                <w14:textFill>
                  <w14:solidFill>
                    <w14:schemeClr w14:val="tx1"/>
                  </w14:solidFill>
                </w14:textFill>
              </w:rPr>
              <w:t>负责人在2020年1月1日至投标截止时间止担任</w:t>
            </w:r>
            <w:r>
              <w:rPr>
                <w:rFonts w:hint="eastAsia"/>
                <w:color w:val="000000" w:themeColor="text1"/>
                <w:highlight w:val="none"/>
                <w:lang w:val="zh-CN"/>
                <w14:textFill>
                  <w14:solidFill>
                    <w14:schemeClr w14:val="tx1"/>
                  </w14:solidFill>
                </w14:textFill>
              </w:rPr>
              <w:t>安全</w:t>
            </w:r>
            <w:r>
              <w:rPr>
                <w:rFonts w:hint="eastAsia"/>
                <w:color w:val="000000" w:themeColor="text1"/>
                <w:highlight w:val="none"/>
                <w14:textFill>
                  <w14:solidFill>
                    <w14:schemeClr w14:val="tx1"/>
                  </w14:solidFill>
                </w14:textFill>
              </w:rPr>
              <w:t>负责人完成过的市政工程项目获得过市级或以上工程质量奖项的，得1分</w:t>
            </w:r>
            <w:r>
              <w:rPr>
                <w:rFonts w:hint="eastAsia"/>
                <w:color w:val="000000" w:themeColor="text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284" w:type="dxa"/>
            <w:vMerge w:val="continue"/>
            <w:tcBorders>
              <w:left w:val="single" w:color="auto" w:sz="4" w:space="0"/>
              <w:right w:val="single" w:color="auto" w:sz="4" w:space="0"/>
            </w:tcBorders>
            <w:vAlign w:val="center"/>
          </w:tcPr>
          <w:p>
            <w:pPr>
              <w:pStyle w:val="127"/>
              <w:spacing w:line="300" w:lineRule="exact"/>
              <w:ind w:firstLine="400"/>
              <w:rPr>
                <w:rFonts w:ascii="宋体" w:hAnsi="宋体" w:cs="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其它人员</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1225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除技术负责人、质量负责人、安全负责人、造价负责人外，拟投入本项目的人员配置完善合理，关键技术工种能保证项目顺利实施，满足深化设计工作需求，保障项目质量、安全及周边环境等要求其中：</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（1）路桥高级工程师1人、给水排水工程师1人、建筑电气安装工程师、园林工程师、建筑工人实名制专管员1人。</w:t>
            </w:r>
          </w:p>
          <w:p>
            <w:pPr>
              <w:spacing w:line="288"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以上人员不得兼任，提供相关岗位证书，全部满足得2分，不满足不得分。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49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20分</w:t>
            </w:r>
          </w:p>
        </w:tc>
        <w:tc>
          <w:tcPr>
            <w:tcW w:w="122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Cs w:val="21"/>
                <w:highlight w:val="none"/>
                <w14:textFill>
                  <w14:solidFill>
                    <w14:schemeClr w14:val="tx1"/>
                  </w14:solidFill>
                </w14:textFill>
              </w:rPr>
            </w:pPr>
          </w:p>
        </w:tc>
      </w:tr>
    </w:tbl>
    <w:p>
      <w:p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numPr>
          <w:ilvl w:val="0"/>
          <w:numId w:val="3"/>
        </w:numPr>
        <w:spacing w:line="3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工程业绩：提供业绩的中标通知书（或免招标证明）、施工合同（仅需附协议书部分）、单位工程验收鉴定证书或合同工程完工验收鉴定书或工程竣工验收报告及其他补充（如需要）反映工程信息的相关证明材料扫描件。业绩金额以中标通知书为准，中标通知书上没有金额的，以施工合同（不含补充合同）为准，时间以单位工程验收鉴定证书或合同工程完工验收鉴定书或工程竣工验收报告等材料的日期为准。</w:t>
      </w:r>
    </w:p>
    <w:p>
      <w:pPr>
        <w:pStyle w:val="34"/>
        <w:ind w:left="21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企业研发能力：科学技术奖须提供证书扫描件、获奖公示网址；发证机构必须是政府部门或在中国社会组织公共服务平台查询到的组织方为有效（附网页信息打印件或网页信息截图），以获奖发证日期为准；不符合上述条件或未提供上述资料的不得分。</w:t>
      </w:r>
    </w:p>
    <w:p>
      <w:pPr>
        <w:pStyle w:val="34"/>
        <w:ind w:left="210" w:hanging="210" w:hangingChars="1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3.财务指标：依据根据提供完整的近三年</w:t>
      </w:r>
      <w:r>
        <w:rPr>
          <w:rFonts w:hint="eastAsia"/>
          <w:color w:val="000000" w:themeColor="text1"/>
          <w:highlight w:val="none"/>
          <w14:textFill>
            <w14:solidFill>
              <w14:schemeClr w14:val="tx1"/>
            </w14:solidFill>
          </w14:textFill>
        </w:rPr>
        <w:t>(2020年、2021年、2022年)</w:t>
      </w:r>
      <w:r>
        <w:rPr>
          <w:rFonts w:hint="eastAsia" w:ascii="宋体" w:hAnsi="宋体" w:cs="宋体"/>
          <w:color w:val="000000" w:themeColor="text1"/>
          <w:szCs w:val="21"/>
          <w:highlight w:val="none"/>
          <w14:textFill>
            <w14:solidFill>
              <w14:schemeClr w14:val="tx1"/>
            </w14:solidFill>
          </w14:textFill>
        </w:rPr>
        <w:t>经会计事务所审计的审计报告及附表（包括资产负债表、利润表、现金流量表、财务报表附注）复印件并加盖公章。如年度审计报告未经会计事务所审计或不符合上述情况的，则以0分计；资产负债率计算公式：资产负债率X=期（年）末负债总额/期（年）末资产总额×100%，不符合上述条件的不得分。</w:t>
      </w:r>
    </w:p>
    <w:p>
      <w:pPr>
        <w:pStyle w:val="34"/>
        <w:ind w:left="21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4.第三方评价：纳税信用 A 级称号以税务机关出具的证书为准，纳税信用A级只计算投标人自身（不计算投标人的分公司和子公司），投标人须提供税务机关出具的信用等级证书复印件并加盖投标人公章（不符合条件或无提交相关资料的不计分）。</w:t>
      </w:r>
    </w:p>
    <w:p>
      <w:pPr>
        <w:pStyle w:val="34"/>
        <w:ind w:left="21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工程奖项：需提供获奖证书扫描件，证书发证机构必须是政府部门或在中国社会组织政务服务平台查询到的组织方为有效（需提供网页信息截图）。同一项目获奖按最高级别奖项只计一次得分，时间以获奖证书发证日期为准。国家级工程质量奖项包括但不限于：中国建设工程鲁班奖（国家优质工程）、国家优质工程金质奖、国家优质工程奖（原国家优质工程银质奖）、中国土木工程詹天佑奖；省市级工程质量奖包括但不限于：相关行业协会颁发的省市建设工程优质工程奖、省市市政优良样板工程、省市建设工程质量奖、省建设工程金匠奖、土木工程詹天佑故乡杯；（各类技术创新QC成果及技术应用、工法、安全文明奖项、参建获奖均不得分），不符合上述条件的不得分。</w:t>
      </w:r>
    </w:p>
    <w:p>
      <w:pPr>
        <w:spacing w:line="300" w:lineRule="exact"/>
        <w:ind w:left="210" w:hanging="210" w:hanging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项目管理机构能力：技术负责人、质量负责人、安全负责人、造价负责人、其他人员须提供相关证书、身份证扫描件；职称年限以证书发证日期为准，执业年限以执业资格证发证日期为准。负责人担任对应职位完成过的工程项目的工程</w:t>
      </w:r>
      <w:r>
        <w:rPr>
          <w:rFonts w:hint="eastAsia" w:cs="宋体"/>
          <w:color w:val="000000" w:themeColor="text1"/>
          <w:kern w:val="0"/>
          <w:szCs w:val="21"/>
          <w:highlight w:val="none"/>
          <w14:textFill>
            <w14:solidFill>
              <w14:schemeClr w14:val="tx1"/>
            </w14:solidFill>
          </w14:textFill>
        </w:rPr>
        <w:t>质量</w:t>
      </w:r>
      <w:r>
        <w:rPr>
          <w:rFonts w:hint="eastAsia" w:ascii="宋体" w:hAnsi="宋体" w:cs="宋体"/>
          <w:color w:val="000000" w:themeColor="text1"/>
          <w:kern w:val="0"/>
          <w:szCs w:val="21"/>
          <w:highlight w:val="none"/>
          <w14:textFill>
            <w14:solidFill>
              <w14:schemeClr w14:val="tx1"/>
            </w14:solidFill>
          </w14:textFill>
        </w:rPr>
        <w:t>奖项需提交获奖证书扫描件及单位工程验收鉴定证书或合同工程完工验收鉴定书或工程竣工验收报告等），证明材料须明确显示该获奖的项目名称、相应负责人姓名担任职务等信息（如奖项证书无法证明对应专业负责人信息，则需在验收报告上体现对应专业负责人姓名及担任职务等信息）否则不作为负责人业绩奖项；时间以获奖发证日期为准，不符合上述条件的不得分。</w:t>
      </w:r>
    </w:p>
    <w:p>
      <w:pPr>
        <w:spacing w:line="300" w:lineRule="exact"/>
        <w:ind w:left="210" w:hanging="210" w:hanging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表中的人员均需按要求提交相应证件复印件、身份证复印件和在本投标单位近一个月（2023年9月）购买的社保缴纳证明材料并加盖公章。若提供在子公司购买的社保缴纳证明材料则不得分；未按要求提供完整相关资料的人员，该人员不作为评分依据)。</w:t>
      </w:r>
    </w:p>
    <w:p>
      <w:pPr>
        <w:spacing w:line="300" w:lineRule="exact"/>
        <w:ind w:left="210" w:hanging="210" w:hanging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8.所有评委分数汇总后去掉一个最高分和一个最低分的算术平均值为投标人的最终得分。分数出现小数点，保留小数点后二位小数，第三位小数四舍五入。</w:t>
      </w:r>
    </w:p>
    <w:p>
      <w:pPr>
        <w:spacing w:line="300" w:lineRule="exact"/>
        <w:rPr>
          <w:rFonts w:ascii="宋体" w:hAnsi="宋体" w:cs="宋体"/>
          <w:b/>
          <w:bCs/>
          <w:color w:val="000000" w:themeColor="text1"/>
          <w:kern w:val="0"/>
          <w:szCs w:val="21"/>
          <w:highlight w:val="none"/>
          <w14:textFill>
            <w14:solidFill>
              <w14:schemeClr w14:val="tx1"/>
            </w14:solidFill>
          </w14:textFill>
        </w:rPr>
      </w:pPr>
    </w:p>
    <w:p>
      <w:pPr>
        <w:spacing w:line="300" w:lineRule="exact"/>
        <w:rPr>
          <w:rFonts w:ascii="宋体" w:hAnsi="宋体" w:cs="宋体"/>
          <w:b/>
          <w:bCs/>
          <w:color w:val="000000" w:themeColor="text1"/>
          <w:kern w:val="0"/>
          <w:szCs w:val="21"/>
          <w:highlight w:val="none"/>
          <w14:textFill>
            <w14:solidFill>
              <w14:schemeClr w14:val="tx1"/>
            </w14:solidFill>
          </w14:textFill>
        </w:rPr>
      </w:pPr>
    </w:p>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评委签名：</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附表五 经济标评分表</w:t>
      </w:r>
      <w:bookmarkEnd w:id="29"/>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经济标评分表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ascii="宋体" w:hAnsi="宋体"/>
                <w:color w:val="000000" w:themeColor="text1"/>
                <w:szCs w:val="21"/>
                <w:highlight w:val="none"/>
                <w14:textFill>
                  <w14:solidFill>
                    <w14:schemeClr w14:val="tx1"/>
                  </w14:solidFill>
                </w14:textFill>
              </w:rPr>
              <w:t>PT</w:t>
            </w:r>
            <w:r>
              <w:rPr>
                <w:rFonts w:hint="eastAsia" w:ascii="宋体" w:hAnsi="宋体"/>
                <w:color w:val="000000" w:themeColor="text1"/>
                <w:szCs w:val="21"/>
                <w:highlight w:val="none"/>
                <w14:textFill>
                  <w14:solidFill>
                    <w14:schemeClr w14:val="tx1"/>
                  </w14:solidFill>
                </w14:textFill>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w:t>
            </w:r>
            <w:r>
              <w:rPr>
                <w:rFonts w:ascii="宋体" w:hAnsi="宋体"/>
                <w:color w:val="000000" w:themeColor="text1"/>
                <w:szCs w:val="21"/>
                <w:highlight w:val="none"/>
                <w14:textFill>
                  <w14:solidFill>
                    <w14:schemeClr w14:val="tx1"/>
                  </w14:solidFill>
                </w14:textFill>
              </w:rPr>
              <w:t>PT-PC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减分（</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得分</w:t>
            </w:r>
            <w:r>
              <w:rPr>
                <w:rFonts w:ascii="宋体" w:hAnsi="宋体"/>
                <w:color w:val="000000" w:themeColor="text1"/>
                <w:szCs w:val="21"/>
                <w:highlight w:val="none"/>
                <w14:textFill>
                  <w14:solidFill>
                    <w14:schemeClr w14:val="tx1"/>
                  </w14:solidFill>
                </w14:textFill>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bl>
    <w:p>
      <w:pPr>
        <w:spacing w:line="360" w:lineRule="auto"/>
        <w:ind w:firstLine="459"/>
        <w:rPr>
          <w:rFonts w:ascii="宋体" w:hAnsi="宋体" w:cs="仿宋_GB2312"/>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评委签名：                                                                        日期：</w:t>
      </w:r>
    </w:p>
    <w:p>
      <w:pPr>
        <w:rPr>
          <w:color w:val="000000" w:themeColor="text1"/>
          <w:szCs w:val="21"/>
          <w:highlight w:val="none"/>
          <w14:textFill>
            <w14:solidFill>
              <w14:schemeClr w14:val="tx1"/>
            </w14:solidFill>
          </w14:textFill>
        </w:rPr>
      </w:pPr>
    </w:p>
    <w:p>
      <w:pPr>
        <w:pStyle w:val="6"/>
        <w:jc w:val="left"/>
        <w:rPr>
          <w:color w:val="000000" w:themeColor="text1"/>
          <w:highlight w:val="none"/>
          <w14:textFill>
            <w14:solidFill>
              <w14:schemeClr w14:val="tx1"/>
            </w14:solidFill>
          </w14:textFill>
        </w:rPr>
      </w:pPr>
      <w:bookmarkStart w:id="30" w:name="_Toc115117430"/>
      <w:r>
        <w:rPr>
          <w:rFonts w:hint="eastAsia"/>
          <w:color w:val="000000" w:themeColor="text1"/>
          <w:highlight w:val="none"/>
          <w14:textFill>
            <w14:solidFill>
              <w14:schemeClr w14:val="tx1"/>
            </w14:solidFill>
          </w14:textFill>
        </w:rPr>
        <w:t>附表六 算术复核表</w:t>
      </w:r>
      <w:bookmarkEnd w:id="30"/>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算术复核表</w:t>
      </w:r>
    </w:p>
    <w:p>
      <w:pP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工程名称：</w:t>
      </w:r>
      <w:r>
        <w:rPr>
          <w:rFonts w:hint="eastAsia" w:ascii="宋体" w:hAnsi="宋体"/>
          <w:color w:val="000000" w:themeColor="text1"/>
          <w:kern w:val="0"/>
          <w:szCs w:val="21"/>
          <w:highlight w:val="none"/>
          <w14:textFill>
            <w14:solidFill>
              <w14:schemeClr w14:val="tx1"/>
            </w14:solidFill>
          </w14:textFill>
        </w:rPr>
        <w:t>投标人</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修正前投标</w:t>
            </w:r>
          </w:p>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ascii="宋体" w:hAnsi="宋体"/>
                <w:color w:val="000000" w:themeColor="text1"/>
                <w:kern w:val="0"/>
                <w:szCs w:val="21"/>
                <w:highlight w:val="none"/>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修正后投标</w:t>
            </w:r>
          </w:p>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ascii="宋体" w:hAnsi="宋体"/>
                <w:color w:val="000000" w:themeColor="text1"/>
                <w:kern w:val="0"/>
                <w:szCs w:val="21"/>
                <w:highlight w:val="none"/>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修正率</w:t>
            </w:r>
            <w:r>
              <w:rPr>
                <w:rFonts w:ascii="宋体" w:hAnsi="宋体"/>
                <w:color w:val="000000" w:themeColor="text1"/>
                <w:kern w:val="0"/>
                <w:szCs w:val="21"/>
                <w:highlight w:val="none"/>
                <w14:textFill>
                  <w14:solidFill>
                    <w14:schemeClr w14:val="tx1"/>
                  </w14:solidFill>
                </w14:textFill>
              </w:rPr>
              <w:br w:type="textWrapping"/>
            </w:r>
            <w:r>
              <w:rPr>
                <w:rFonts w:ascii="宋体" w:hAnsi="宋体"/>
                <w:color w:val="000000" w:themeColor="text1"/>
                <w:kern w:val="0"/>
                <w:szCs w:val="21"/>
                <w:highlight w:val="none"/>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当</w:t>
            </w:r>
            <w:r>
              <w:rPr>
                <w:rFonts w:ascii="宋体" w:hAnsi="宋体"/>
                <w:color w:val="000000" w:themeColor="text1"/>
                <w:kern w:val="0"/>
                <w:szCs w:val="21"/>
                <w:highlight w:val="none"/>
                <w14:textFill>
                  <w14:solidFill>
                    <w14:schemeClr w14:val="tx1"/>
                  </w14:solidFill>
                </w14:textFill>
              </w:rPr>
              <w:t>B&gt;A</w:t>
            </w:r>
            <w:r>
              <w:rPr>
                <w:rFonts w:hint="eastAsia" w:ascii="宋体" w:hAnsi="宋体"/>
                <w:color w:val="000000" w:themeColor="text1"/>
                <w:kern w:val="0"/>
                <w:szCs w:val="21"/>
                <w:highlight w:val="none"/>
                <w14:textFill>
                  <w14:solidFill>
                    <w14:schemeClr w14:val="tx1"/>
                  </w14:solidFill>
                </w14:textFill>
              </w:rPr>
              <w:t>时，修正后报价与原报价的差额；当</w:t>
            </w:r>
            <w:r>
              <w:rPr>
                <w:rFonts w:ascii="宋体" w:hAnsi="宋体"/>
                <w:color w:val="000000" w:themeColor="text1"/>
                <w:kern w:val="0"/>
                <w:szCs w:val="21"/>
                <w:highlight w:val="none"/>
                <w14:textFill>
                  <w14:solidFill>
                    <w14:schemeClr w14:val="tx1"/>
                  </w14:solidFill>
                </w14:textFill>
              </w:rPr>
              <w:t>B</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w:t>
            </w:r>
            <w:r>
              <w:rPr>
                <w:rFonts w:hint="eastAsia" w:ascii="宋体" w:hAnsi="宋体"/>
                <w:color w:val="000000" w:themeColor="text1"/>
                <w:kern w:val="0"/>
                <w:szCs w:val="21"/>
                <w:highlight w:val="none"/>
                <w14:textFill>
                  <w14:solidFill>
                    <w14:schemeClr w14:val="tx1"/>
                  </w14:solidFill>
                </w14:textFill>
              </w:rPr>
              <w:t>时</w:t>
            </w:r>
            <w:r>
              <w:rPr>
                <w:rFonts w:ascii="宋体" w:hAnsi="宋体"/>
                <w:color w:val="000000" w:themeColor="text1"/>
                <w:kern w:val="0"/>
                <w:szCs w:val="21"/>
                <w:highlight w:val="none"/>
                <w14:textFill>
                  <w14:solidFill>
                    <w14:schemeClr w14:val="tx1"/>
                  </w14:solidFill>
                </w14:textFill>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A=A</w:t>
            </w:r>
            <w:r>
              <w:rPr>
                <w:rFonts w:ascii="宋体" w:hAnsi="宋体"/>
                <w:color w:val="000000" w:themeColor="text1"/>
                <w:kern w:val="0"/>
                <w:szCs w:val="21"/>
                <w:highlight w:val="none"/>
                <w:vertAlign w:val="subscript"/>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+A</w:t>
            </w:r>
            <w:r>
              <w:rPr>
                <w:rFonts w:ascii="宋体" w:hAnsi="宋体"/>
                <w:color w:val="000000" w:themeColor="text1"/>
                <w:kern w:val="0"/>
                <w:szCs w:val="21"/>
                <w:highlight w:val="none"/>
                <w:vertAlign w:val="subscript"/>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An</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B=B</w:t>
            </w:r>
            <w:r>
              <w:rPr>
                <w:rFonts w:ascii="宋体" w:hAnsi="宋体"/>
                <w:color w:val="000000" w:themeColor="text1"/>
                <w:kern w:val="0"/>
                <w:szCs w:val="21"/>
                <w:highlight w:val="none"/>
                <w:vertAlign w:val="subscript"/>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+B</w:t>
            </w:r>
            <w:r>
              <w:rPr>
                <w:rFonts w:ascii="宋体" w:hAnsi="宋体"/>
                <w:color w:val="000000" w:themeColor="text1"/>
                <w:kern w:val="0"/>
                <w:szCs w:val="21"/>
                <w:highlight w:val="none"/>
                <w:vertAlign w:val="subscript"/>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Bn</w:t>
            </w:r>
          </w:p>
        </w:tc>
      </w:tr>
    </w:tbl>
    <w:p>
      <w:pPr>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修正原则：</w:t>
      </w:r>
      <w:r>
        <w:rPr>
          <w:rFonts w:hint="eastAsia"/>
          <w:color w:val="000000" w:themeColor="text1"/>
          <w:szCs w:val="21"/>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cs="宋体"/>
          <w:color w:val="000000" w:themeColor="text1"/>
          <w:kern w:val="0"/>
          <w:szCs w:val="21"/>
          <w:highlight w:val="none"/>
          <w14:textFill>
            <w14:solidFill>
              <w14:schemeClr w14:val="tx1"/>
            </w14:solidFill>
          </w14:textFill>
        </w:rPr>
        <w:tab/>
      </w:r>
    </w:p>
    <w:p>
      <w:pP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评委签名：</w:t>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rFonts w:hint="eastAsia"/>
          <w:color w:val="000000" w:themeColor="text1"/>
          <w:kern w:val="0"/>
          <w:szCs w:val="21"/>
          <w:highlight w:val="none"/>
          <w14:textFill>
            <w14:solidFill>
              <w14:schemeClr w14:val="tx1"/>
            </w14:solidFill>
          </w14:textFill>
        </w:rPr>
        <w:t>日期：</w:t>
      </w:r>
    </w:p>
    <w:p>
      <w:pPr>
        <w:rPr>
          <w:color w:val="000000" w:themeColor="text1"/>
          <w:highlight w:val="none"/>
          <w14:textFill>
            <w14:solidFill>
              <w14:schemeClr w14:val="tx1"/>
            </w14:solidFill>
          </w14:textFill>
        </w:rPr>
      </w:pPr>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算术复核表</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工程名称：</w:t>
      </w:r>
    </w:p>
    <w:tbl>
      <w:tblPr>
        <w:tblStyle w:val="3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原投标报价（</w:t>
            </w:r>
            <w:r>
              <w:rPr>
                <w:b/>
                <w:color w:val="000000" w:themeColor="text1"/>
                <w:sz w:val="28"/>
                <w:szCs w:val="28"/>
                <w:highlight w:val="none"/>
                <w14:textFill>
                  <w14:solidFill>
                    <w14:schemeClr w14:val="tx1"/>
                  </w14:solidFill>
                </w14:textFill>
              </w:rPr>
              <w:t>A</w:t>
            </w:r>
            <w:r>
              <w:rPr>
                <w:rFonts w:hint="eastAsia"/>
                <w:b/>
                <w:color w:val="000000" w:themeColor="text1"/>
                <w:sz w:val="28"/>
                <w:szCs w:val="28"/>
                <w:highlight w:val="none"/>
                <w14:textFill>
                  <w14:solidFill>
                    <w14:schemeClr w14:val="tx1"/>
                  </w14:solidFill>
                </w14:textFill>
              </w:rPr>
              <w:t>）</w:t>
            </w:r>
          </w:p>
        </w:tc>
        <w:tc>
          <w:tcPr>
            <w:tcW w:w="31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算数复核后投标报价（</w:t>
            </w:r>
            <w:r>
              <w:rPr>
                <w:b/>
                <w:color w:val="000000" w:themeColor="text1"/>
                <w:sz w:val="28"/>
                <w:szCs w:val="28"/>
                <w:highlight w:val="none"/>
                <w14:textFill>
                  <w14:solidFill>
                    <w14:schemeClr w14:val="tx1"/>
                  </w14:solidFill>
                </w14:textFill>
              </w:rPr>
              <w:t>B</w:t>
            </w:r>
            <w:r>
              <w:rPr>
                <w:rFonts w:hint="eastAsia"/>
                <w:b/>
                <w:color w:val="000000" w:themeColor="text1"/>
                <w:sz w:val="28"/>
                <w:szCs w:val="28"/>
                <w:highlight w:val="none"/>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误差率 （</w:t>
            </w:r>
            <w:r>
              <w:rPr>
                <w:b/>
                <w:color w:val="000000" w:themeColor="text1"/>
                <w:sz w:val="28"/>
                <w:szCs w:val="28"/>
                <w:highlight w:val="none"/>
                <w14:textFill>
                  <w14:solidFill>
                    <w14:schemeClr w14:val="tx1"/>
                  </w14:solidFill>
                </w14:textFill>
              </w:rPr>
              <w:t>r=|A-B|/A*100%</w:t>
            </w:r>
            <w:r>
              <w:rPr>
                <w:rFonts w:hint="eastAsia"/>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36"/>
                <w:szCs w:val="36"/>
                <w:highlight w:val="none"/>
                <w14:textFill>
                  <w14:solidFill>
                    <w14:schemeClr w14:val="tx1"/>
                  </w14:solidFill>
                </w14:textFill>
              </w:rPr>
            </w:pPr>
          </w:p>
        </w:tc>
      </w:tr>
    </w:tbl>
    <w:p>
      <w:pPr>
        <w:spacing w:line="360" w:lineRule="auto"/>
        <w:ind w:firstLine="459"/>
        <w:rPr>
          <w:rFonts w:ascii="宋体" w:hAnsi="宋体" w:cs="仿宋_GB2312"/>
          <w:color w:val="000000" w:themeColor="text1"/>
          <w:szCs w:val="21"/>
          <w:highlight w:val="none"/>
          <w14:textFill>
            <w14:solidFill>
              <w14:schemeClr w14:val="tx1"/>
            </w14:solidFill>
          </w14:textFill>
        </w:rPr>
      </w:pPr>
      <w:bookmarkStart w:id="31" w:name="_Toc2272566"/>
      <w:r>
        <w:rPr>
          <w:rFonts w:hint="eastAsia"/>
          <w:color w:val="000000" w:themeColor="text1"/>
          <w:kern w:val="0"/>
          <w:szCs w:val="21"/>
          <w:highlight w:val="none"/>
          <w14:textFill>
            <w14:solidFill>
              <w14:schemeClr w14:val="tx1"/>
            </w14:solidFill>
          </w14:textFill>
        </w:rPr>
        <w:t>评委签名：                                                                        日期：</w:t>
      </w:r>
    </w:p>
    <w:p>
      <w:pPr>
        <w:pStyle w:val="5"/>
        <w:rPr>
          <w:color w:val="000000" w:themeColor="text1"/>
          <w:highlight w:val="none"/>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p>
    <w:bookmarkEnd w:id="31"/>
    <w:p>
      <w:pPr>
        <w:pStyle w:val="5"/>
        <w:rPr>
          <w:color w:val="000000" w:themeColor="text1"/>
          <w:highlight w:val="none"/>
          <w14:textFill>
            <w14:solidFill>
              <w14:schemeClr w14:val="tx1"/>
            </w14:solidFill>
          </w14:textFill>
        </w:rPr>
      </w:pPr>
      <w:bookmarkStart w:id="32" w:name="_Toc115117431"/>
      <w:r>
        <w:rPr>
          <w:rFonts w:hint="eastAsia"/>
          <w:color w:val="000000" w:themeColor="text1"/>
          <w:highlight w:val="none"/>
          <w14:textFill>
            <w14:solidFill>
              <w14:schemeClr w14:val="tx1"/>
            </w14:solidFill>
          </w14:textFill>
        </w:rPr>
        <w:t>第三章合同条款</w:t>
      </w:r>
      <w:bookmarkEnd w:id="32"/>
    </w:p>
    <w:p>
      <w:pPr>
        <w:jc w:val="center"/>
        <w:rPr>
          <w:rFonts w:ascii="宋体"/>
          <w:b/>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（另册）</w:t>
      </w:r>
      <w:r>
        <w:rPr>
          <w:rFonts w:hint="eastAsia" w:ascii="宋体" w:hAnsi="宋体"/>
          <w:b/>
          <w:bCs/>
          <w:color w:val="000000" w:themeColor="text1"/>
          <w:sz w:val="28"/>
          <w:szCs w:val="28"/>
          <w:highlight w:val="none"/>
          <w14:textFill>
            <w14:solidFill>
              <w14:schemeClr w14:val="tx1"/>
            </w14:solidFill>
          </w14:textFill>
        </w:rPr>
        <w:t>最后以合同双方签订的为准。</w:t>
      </w:r>
    </w:p>
    <w:p>
      <w:pPr>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34"/>
        <w:spacing w:line="360" w:lineRule="auto"/>
        <w:rPr>
          <w:color w:val="000000" w:themeColor="text1"/>
          <w:sz w:val="24"/>
          <w:szCs w:val="24"/>
          <w:highlight w:val="none"/>
          <w14:textFill>
            <w14:solidFill>
              <w14:schemeClr w14:val="tx1"/>
            </w14:solidFill>
          </w14:textFill>
        </w:rPr>
      </w:pPr>
    </w:p>
    <w:p>
      <w:pPr>
        <w:pStyle w:val="2"/>
        <w:spacing w:line="360" w:lineRule="auto"/>
        <w:rPr>
          <w:color w:val="000000" w:themeColor="text1"/>
          <w:sz w:val="24"/>
          <w:szCs w:val="24"/>
          <w:highlight w:val="none"/>
          <w14:textFill>
            <w14:solidFill>
              <w14:schemeClr w14:val="tx1"/>
            </w14:solidFill>
          </w14:textFill>
        </w:rPr>
      </w:pPr>
    </w:p>
    <w:p>
      <w:pPr>
        <w:pStyle w:val="2"/>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5"/>
        <w:rPr>
          <w:color w:val="000000" w:themeColor="text1"/>
          <w:highlight w:val="none"/>
          <w14:textFill>
            <w14:solidFill>
              <w14:schemeClr w14:val="tx1"/>
            </w14:solidFill>
          </w14:textFill>
        </w:rPr>
      </w:pPr>
      <w:bookmarkStart w:id="33" w:name="_Toc2272567"/>
      <w:bookmarkEnd w:id="33"/>
      <w:bookmarkStart w:id="34" w:name="_Toc115117432"/>
      <w:r>
        <w:rPr>
          <w:rFonts w:hint="eastAsia"/>
          <w:color w:val="000000" w:themeColor="text1"/>
          <w:highlight w:val="none"/>
          <w14:textFill>
            <w14:solidFill>
              <w14:schemeClr w14:val="tx1"/>
            </w14:solidFill>
          </w14:textFill>
        </w:rPr>
        <w:t>第四章投标文件格式</w:t>
      </w:r>
      <w:bookmarkEnd w:id="34"/>
    </w:p>
    <w:p>
      <w:pPr>
        <w:pStyle w:val="6"/>
        <w:rPr>
          <w:color w:val="000000" w:themeColor="text1"/>
          <w:highlight w:val="none"/>
          <w14:textFill>
            <w14:solidFill>
              <w14:schemeClr w14:val="tx1"/>
            </w14:solidFill>
          </w14:textFill>
        </w:rPr>
      </w:pPr>
      <w:bookmarkStart w:id="35" w:name="_Toc79144517"/>
      <w:bookmarkEnd w:id="35"/>
      <w:bookmarkStart w:id="36" w:name="_Toc115117433"/>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技术标</w:t>
      </w:r>
      <w:r>
        <w:rPr>
          <w:color w:val="000000" w:themeColor="text1"/>
          <w:highlight w:val="none"/>
          <w14:textFill>
            <w14:solidFill>
              <w14:schemeClr w14:val="tx1"/>
            </w14:solidFill>
          </w14:textFill>
        </w:rPr>
        <w:t>投标文件格式</w:t>
      </w:r>
      <w:bookmarkEnd w:id="36"/>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pPr>
      <w:bookmarkStart w:id="37" w:name="_Toc32684"/>
      <w:bookmarkEnd w:id="37"/>
      <w:bookmarkStart w:id="38" w:name="_Toc13272"/>
      <w:bookmarkEnd w:id="38"/>
      <w:bookmarkStart w:id="39" w:name="_Toc16053"/>
      <w:bookmarkEnd w:id="39"/>
      <w:r>
        <w:rPr>
          <w:rFonts w:hint="eastAsia"/>
          <w:color w:val="000000" w:themeColor="text1"/>
          <w:highlight w:val="none"/>
          <w14:textFill>
            <w14:solidFill>
              <w14:schemeClr w14:val="tx1"/>
            </w14:solidFill>
          </w14:textFill>
        </w:rPr>
        <w:t>格式一：技术标封面</w:t>
      </w:r>
    </w:p>
    <w:p>
      <w:pPr>
        <w:rPr>
          <w:color w:val="000000" w:themeColor="text1"/>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jc w:val="center"/>
        <w:rPr>
          <w:rFonts w:ascii="宋体" w:hAnsi="宋体" w:cs="宋体"/>
          <w:snapToGrid w:val="0"/>
          <w:color w:val="000000" w:themeColor="text1"/>
          <w:spacing w:val="4"/>
          <w:kern w:val="0"/>
          <w:sz w:val="36"/>
          <w:szCs w:val="36"/>
          <w:highlight w:val="none"/>
          <w:u w:val="single"/>
          <w14:textFill>
            <w14:solidFill>
              <w14:schemeClr w14:val="tx1"/>
            </w14:solidFill>
          </w14:textFill>
        </w:rPr>
      </w:pPr>
      <w:r>
        <w:rPr>
          <w:rFonts w:hint="eastAsia" w:ascii="宋体" w:hAnsi="宋体" w:cs="宋体"/>
          <w:snapToGrid w:val="0"/>
          <w:color w:val="000000" w:themeColor="text1"/>
          <w:spacing w:val="4"/>
          <w:kern w:val="0"/>
          <w:sz w:val="36"/>
          <w:szCs w:val="36"/>
          <w:highlight w:val="none"/>
          <w:u w:val="single"/>
          <w14:textFill>
            <w14:solidFill>
              <w14:schemeClr w14:val="tx1"/>
            </w14:solidFill>
          </w14:textFill>
        </w:rPr>
        <w:t xml:space="preserve">[工程名称] </w:t>
      </w: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jc w:val="center"/>
        <w:rPr>
          <w:rFonts w:ascii="宋体" w:hAnsi="宋体" w:cs="宋体"/>
          <w:snapToGrid w:val="0"/>
          <w:color w:val="000000" w:themeColor="text1"/>
          <w:spacing w:val="4"/>
          <w:kern w:val="0"/>
          <w:sz w:val="84"/>
          <w:szCs w:val="84"/>
          <w:highlight w:val="none"/>
          <w14:textFill>
            <w14:solidFill>
              <w14:schemeClr w14:val="tx1"/>
            </w14:solidFill>
          </w14:textFill>
        </w:rPr>
      </w:pPr>
      <w:r>
        <w:rPr>
          <w:rFonts w:hint="eastAsia" w:ascii="宋体" w:hAnsi="宋体" w:cs="宋体"/>
          <w:snapToGrid w:val="0"/>
          <w:color w:val="000000" w:themeColor="text1"/>
          <w:spacing w:val="4"/>
          <w:kern w:val="0"/>
          <w:sz w:val="84"/>
          <w:szCs w:val="84"/>
          <w:highlight w:val="none"/>
          <w14:textFill>
            <w14:solidFill>
              <w14:schemeClr w14:val="tx1"/>
            </w14:solidFill>
          </w14:textFill>
        </w:rPr>
        <w:t>投标文件</w:t>
      </w: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jc w:val="center"/>
        <w:rPr>
          <w:rFonts w:ascii="宋体" w:hAnsi="宋体" w:cs="宋体"/>
          <w:snapToGrid w:val="0"/>
          <w:color w:val="000000" w:themeColor="text1"/>
          <w:spacing w:val="4"/>
          <w:kern w:val="0"/>
          <w:sz w:val="36"/>
          <w:szCs w:val="36"/>
          <w:highlight w:val="none"/>
          <w14:textFill>
            <w14:solidFill>
              <w14:schemeClr w14:val="tx1"/>
            </w14:solidFill>
          </w14:textFill>
        </w:rPr>
      </w:pPr>
      <w:r>
        <w:rPr>
          <w:rFonts w:hint="eastAsia" w:ascii="宋体" w:hAnsi="宋体" w:cs="宋体"/>
          <w:snapToGrid w:val="0"/>
          <w:color w:val="000000" w:themeColor="text1"/>
          <w:spacing w:val="4"/>
          <w:kern w:val="0"/>
          <w:sz w:val="36"/>
          <w:szCs w:val="36"/>
          <w:highlight w:val="none"/>
          <w14:textFill>
            <w14:solidFill>
              <w14:schemeClr w14:val="tx1"/>
            </w14:solidFill>
          </w14:textFill>
        </w:rPr>
        <w:t>第一册  【技术投标文件（含资格审查文件）】</w:t>
      </w: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616" w:firstLineChars="200"/>
        <w:jc w:val="left"/>
        <w:rPr>
          <w:rFonts w:ascii="宋体" w:hAnsi="宋体" w:cs="宋体"/>
          <w:snapToGrid w:val="0"/>
          <w:color w:val="000000" w:themeColor="text1"/>
          <w:spacing w:val="4"/>
          <w:kern w:val="0"/>
          <w:sz w:val="30"/>
          <w:szCs w:val="30"/>
          <w:highlight w:val="none"/>
          <w14:textFill>
            <w14:solidFill>
              <w14:schemeClr w14:val="tx1"/>
            </w14:solidFill>
          </w14:textFill>
        </w:rPr>
      </w:pPr>
      <w:r>
        <w:rPr>
          <w:rFonts w:hint="eastAsia" w:ascii="宋体" w:hAnsi="宋体" w:cs="宋体"/>
          <w:snapToGrid w:val="0"/>
          <w:color w:val="000000" w:themeColor="text1"/>
          <w:spacing w:val="4"/>
          <w:kern w:val="0"/>
          <w:sz w:val="30"/>
          <w:szCs w:val="30"/>
          <w:highlight w:val="none"/>
          <w14:textFill>
            <w14:solidFill>
              <w14:schemeClr w14:val="tx1"/>
            </w14:solidFill>
          </w14:textFill>
        </w:rPr>
        <w:t>投标人：</w:t>
      </w:r>
      <w:r>
        <w:rPr>
          <w:rFonts w:hint="eastAsia" w:ascii="宋体" w:hAnsi="宋体" w:cs="宋体"/>
          <w:snapToGrid w:val="0"/>
          <w:color w:val="000000" w:themeColor="text1"/>
          <w:spacing w:val="4"/>
          <w:kern w:val="0"/>
          <w:sz w:val="30"/>
          <w:szCs w:val="30"/>
          <w:highlight w:val="none"/>
          <w:u w:val="single"/>
          <w14:textFill>
            <w14:solidFill>
              <w14:schemeClr w14:val="tx1"/>
            </w14:solidFill>
          </w14:textFill>
        </w:rPr>
        <w:t xml:space="preserve">        （填写投标人名称）     （盖章）</w:t>
      </w:r>
    </w:p>
    <w:p>
      <w:pPr>
        <w:topLinePunct/>
        <w:adjustRightInd w:val="0"/>
        <w:snapToGrid w:val="0"/>
        <w:spacing w:line="360" w:lineRule="auto"/>
        <w:ind w:firstLine="616" w:firstLineChars="200"/>
        <w:jc w:val="left"/>
        <w:rPr>
          <w:rFonts w:ascii="宋体" w:hAnsi="宋体" w:cs="宋体"/>
          <w:snapToGrid w:val="0"/>
          <w:color w:val="000000" w:themeColor="text1"/>
          <w:spacing w:val="4"/>
          <w:kern w:val="0"/>
          <w:sz w:val="30"/>
          <w:szCs w:val="30"/>
          <w:highlight w:val="none"/>
          <w14:textFill>
            <w14:solidFill>
              <w14:schemeClr w14:val="tx1"/>
            </w14:solidFill>
          </w14:textFill>
        </w:rPr>
      </w:pPr>
      <w:r>
        <w:rPr>
          <w:rFonts w:hint="eastAsia" w:ascii="宋体" w:hAnsi="宋体" w:cs="宋体"/>
          <w:snapToGrid w:val="0"/>
          <w:color w:val="000000" w:themeColor="text1"/>
          <w:spacing w:val="4"/>
          <w:kern w:val="0"/>
          <w:sz w:val="30"/>
          <w:szCs w:val="30"/>
          <w:highlight w:val="none"/>
          <w14:textFill>
            <w14:solidFill>
              <w14:schemeClr w14:val="tx1"/>
            </w14:solidFill>
          </w14:textFill>
        </w:rPr>
        <w:t>法定代表人或其委托代理人：</w:t>
      </w:r>
      <w:r>
        <w:rPr>
          <w:rFonts w:hint="eastAsia" w:ascii="宋体" w:hAnsi="宋体" w:cs="宋体"/>
          <w:snapToGrid w:val="0"/>
          <w:color w:val="000000" w:themeColor="text1"/>
          <w:spacing w:val="4"/>
          <w:kern w:val="0"/>
          <w:sz w:val="30"/>
          <w:szCs w:val="30"/>
          <w:highlight w:val="none"/>
          <w:u w:val="single"/>
          <w14:textFill>
            <w14:solidFill>
              <w14:schemeClr w14:val="tx1"/>
            </w14:solidFill>
          </w14:textFill>
        </w:rPr>
        <w:t xml:space="preserve">          （签名或盖章）</w:t>
      </w:r>
    </w:p>
    <w:p>
      <w:pPr>
        <w:topLinePunct/>
        <w:adjustRightInd w:val="0"/>
        <w:snapToGrid w:val="0"/>
        <w:spacing w:line="360" w:lineRule="auto"/>
        <w:ind w:firstLine="616" w:firstLineChars="200"/>
        <w:jc w:val="left"/>
        <w:rPr>
          <w:rFonts w:ascii="宋体" w:hAnsi="宋体" w:cs="宋体"/>
          <w:snapToGrid w:val="0"/>
          <w:color w:val="000000" w:themeColor="text1"/>
          <w:spacing w:val="4"/>
          <w:kern w:val="0"/>
          <w:sz w:val="24"/>
          <w:szCs w:val="30"/>
          <w:highlight w:val="none"/>
          <w14:textFill>
            <w14:solidFill>
              <w14:schemeClr w14:val="tx1"/>
            </w14:solidFill>
          </w14:textFill>
        </w:rPr>
      </w:pPr>
      <w:r>
        <w:rPr>
          <w:rFonts w:hint="eastAsia" w:ascii="宋体" w:hAnsi="宋体" w:cs="宋体"/>
          <w:snapToGrid w:val="0"/>
          <w:color w:val="000000" w:themeColor="text1"/>
          <w:spacing w:val="4"/>
          <w:kern w:val="0"/>
          <w:sz w:val="30"/>
          <w:szCs w:val="30"/>
          <w:highlight w:val="none"/>
          <w14:textFill>
            <w14:solidFill>
              <w14:schemeClr w14:val="tx1"/>
            </w14:solidFill>
          </w14:textFill>
        </w:rPr>
        <w:t>日  期：</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pPr>
      <w:bookmarkStart w:id="40" w:name="_Toc79144518"/>
      <w:bookmarkEnd w:id="40"/>
      <w:bookmarkStart w:id="41" w:name="_Toc61541786"/>
      <w:bookmarkEnd w:id="41"/>
      <w:bookmarkStart w:id="42" w:name="_Toc60070621"/>
      <w:bookmarkEnd w:id="42"/>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格式二：</w:t>
      </w:r>
      <w:r>
        <w:rPr>
          <w:rFonts w:hint="eastAsia" w:cs="宋体"/>
          <w:snapToGrid w:val="0"/>
          <w:color w:val="000000" w:themeColor="text1"/>
          <w:spacing w:val="4"/>
          <w:kern w:val="0"/>
          <w:szCs w:val="24"/>
          <w:highlight w:val="none"/>
          <w14:textFill>
            <w14:solidFill>
              <w14:schemeClr w14:val="tx1"/>
            </w14:solidFill>
          </w14:textFill>
        </w:rPr>
        <w:t>广州建设工程施工招标投标书</w:t>
      </w:r>
    </w:p>
    <w:p>
      <w:pPr>
        <w:jc w:val="center"/>
        <w:rPr>
          <w:rFonts w:ascii="宋体" w:hAnsi="宋体" w:cs="宋体"/>
          <w:b/>
          <w:color w:val="000000" w:themeColor="text1"/>
          <w:sz w:val="36"/>
          <w:szCs w:val="36"/>
          <w:highlight w:val="none"/>
          <w14:textFill>
            <w14:solidFill>
              <w14:schemeClr w14:val="tx1"/>
            </w14:solidFill>
          </w14:textFill>
        </w:rPr>
      </w:pPr>
      <w:bookmarkStart w:id="43" w:name="_Toc58838587"/>
      <w:bookmarkEnd w:id="43"/>
      <w:r>
        <w:rPr>
          <w:rFonts w:hint="eastAsia" w:ascii="宋体" w:hAnsi="宋体" w:cs="宋体"/>
          <w:b/>
          <w:color w:val="000000" w:themeColor="text1"/>
          <w:sz w:val="36"/>
          <w:szCs w:val="36"/>
          <w:highlight w:val="none"/>
          <w14:textFill>
            <w14:solidFill>
              <w14:schemeClr w14:val="tx1"/>
            </w14:solidFill>
          </w14:textFill>
        </w:rPr>
        <w:t>广州建设工程施工招标投标书</w:t>
      </w:r>
    </w:p>
    <w:tbl>
      <w:tblPr>
        <w:tblStyle w:val="36"/>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投标总报价（元）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大写：</w:t>
            </w:r>
          </w:p>
          <w:p>
            <w:pPr>
              <w:autoSpaceDE w:val="0"/>
              <w:autoSpaceDN w:val="0"/>
              <w:adjustRightInd w:val="0"/>
              <w:spacing w:line="360" w:lineRule="auto"/>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其中：人工费（元）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大写：</w:t>
            </w:r>
          </w:p>
          <w:p>
            <w:pPr>
              <w:autoSpaceDE w:val="0"/>
              <w:autoSpaceDN w:val="0"/>
              <w:adjustRightInd w:val="0"/>
              <w:spacing w:line="360" w:lineRule="auto"/>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其中：绿色施工安全防护措施费（元）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大写：</w:t>
            </w:r>
          </w:p>
          <w:p>
            <w:pPr>
              <w:autoSpaceDE w:val="0"/>
              <w:autoSpaceDN w:val="0"/>
              <w:adjustRightInd w:val="0"/>
              <w:spacing w:line="360" w:lineRule="auto"/>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其中： 暂列金额</w:t>
            </w:r>
            <w:r>
              <w:rPr>
                <w:rFonts w:hint="eastAsia" w:ascii="宋体" w:hAnsi="宋体" w:cs="宋体"/>
                <w:color w:val="000000" w:themeColor="text1"/>
                <w:sz w:val="24"/>
                <w:szCs w:val="24"/>
                <w:highlight w:val="none"/>
                <w:lang w:val="zh-CN"/>
                <w14:textFill>
                  <w14:solidFill>
                    <w14:schemeClr w14:val="tx1"/>
                  </w14:solidFill>
                </w14:textFill>
              </w:rPr>
              <w:t>（元）</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大写：</w:t>
            </w:r>
          </w:p>
          <w:p>
            <w:pPr>
              <w:autoSpaceDE w:val="0"/>
              <w:autoSpaceDN w:val="0"/>
              <w:adjustRightInd w:val="0"/>
              <w:spacing w:line="360" w:lineRule="auto"/>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其中：专业工程暂估价</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大写：</w:t>
            </w:r>
          </w:p>
          <w:p>
            <w:pPr>
              <w:autoSpaceDE w:val="0"/>
              <w:autoSpaceDN w:val="0"/>
              <w:adjustRightInd w:val="0"/>
              <w:spacing w:line="360" w:lineRule="auto"/>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p>
            <w:pPr>
              <w:pStyle w:val="2"/>
              <w:rPr>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p>
            <w:pPr>
              <w:pStyle w:val="2"/>
              <w:rPr>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p>
            <w:pPr>
              <w:pStyle w:val="2"/>
              <w:rPr>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p>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p>
            <w:pPr>
              <w:pStyle w:val="2"/>
              <w:rPr>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p>
          <w:p>
            <w:pPr>
              <w:autoSpaceDE w:val="0"/>
              <w:autoSpaceDN w:val="0"/>
              <w:adjustRightInd w:val="0"/>
              <w:jc w:val="center"/>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p>
            <w:pPr>
              <w:pStyle w:val="2"/>
              <w:rPr>
                <w:color w:val="000000" w:themeColor="text1"/>
                <w:highlight w:val="none"/>
                <w:lang w:val="zh-CN"/>
                <w14:textFill>
                  <w14:solidFill>
                    <w14:schemeClr w14:val="tx1"/>
                  </w14:solidFill>
                </w14:textFill>
              </w:rPr>
            </w:pPr>
          </w:p>
        </w:tc>
      </w:tr>
    </w:tbl>
    <w:p>
      <w:pPr>
        <w:pStyle w:val="2"/>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pPr>
      <w:bookmarkStart w:id="44" w:name="_Toc442106472"/>
      <w:bookmarkEnd w:id="44"/>
      <w:bookmarkStart w:id="45" w:name="_Toc20777"/>
      <w:bookmarkEnd w:id="45"/>
      <w:bookmarkStart w:id="46" w:name="_Toc674"/>
      <w:bookmarkEnd w:id="46"/>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格式三：法定代表人证明书、法定代表人授权委托书</w:t>
      </w:r>
    </w:p>
    <w:p>
      <w:pPr>
        <w:pStyle w:val="13"/>
        <w:rPr>
          <w:color w:val="000000" w:themeColor="text1"/>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法定代表人证明书</w:t>
      </w:r>
    </w:p>
    <w:p>
      <w:pPr>
        <w:spacing w:line="360" w:lineRule="auto"/>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现任我单位</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有效期限：</w:t>
            </w:r>
            <w:r>
              <w:rPr>
                <w:rFonts w:hint="eastAsia" w:ascii="宋体" w:hAnsi="宋体" w:cs="宋体"/>
                <w:color w:val="000000" w:themeColor="text1"/>
                <w:sz w:val="24"/>
                <w:highlight w:val="none"/>
                <w:u w:val="single"/>
                <w14:textFill>
                  <w14:solidFill>
                    <w14:schemeClr w14:val="tx1"/>
                  </w14:solidFill>
                </w14:textFill>
              </w:rPr>
              <w:t>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附：法定代表人（负责人）性别：</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年龄：</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注册号码：</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企业类型：</w:t>
            </w:r>
            <w:r>
              <w:rPr>
                <w:rFonts w:hint="eastAsia" w:ascii="宋体" w:hAnsi="宋体" w:cs="宋体"/>
                <w:color w:val="000000" w:themeColor="text1"/>
                <w:sz w:val="24"/>
                <w:highlight w:val="none"/>
                <w:u w:val="single"/>
                <w14:textFill>
                  <w14:solidFill>
                    <w14:schemeClr w14:val="tx1"/>
                  </w14:solidFill>
                </w14:textFill>
              </w:rPr>
              <w:t>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经营范围：</w:t>
            </w:r>
            <w:r>
              <w:rPr>
                <w:rFonts w:hint="eastAsia" w:ascii="宋体" w:hAnsi="宋体" w:cs="宋体"/>
                <w:color w:val="000000" w:themeColor="text1"/>
                <w:sz w:val="24"/>
                <w:highlight w:val="none"/>
                <w:u w:val="single"/>
                <w14:textFill>
                  <w14:solidFill>
                    <w14:schemeClr w14:val="tx1"/>
                  </w14:solidFill>
                </w14:textFill>
              </w:rPr>
              <w:t>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　　　　　    年　月　　日</w:t>
            </w:r>
          </w:p>
        </w:tc>
      </w:tr>
    </w:tbl>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p>
    <w:p>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法定代表人授权委托书</w:t>
      </w:r>
    </w:p>
    <w:p>
      <w:pPr>
        <w:spacing w:line="360" w:lineRule="auto"/>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tbl>
      <w:tblPr>
        <w:tblStyle w:val="36"/>
        <w:tblW w:w="9287" w:type="dxa"/>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兹授权为我方委托代理人，其权限是：</w:t>
            </w:r>
            <w:r>
              <w:rPr>
                <w:rFonts w:hint="eastAsia" w:ascii="宋体" w:hAnsi="宋体" w:cs="宋体"/>
                <w:color w:val="000000" w:themeColor="text1"/>
                <w:sz w:val="24"/>
                <w:highlight w:val="none"/>
                <w:u w:val="single"/>
                <w14:textFill>
                  <w14:solidFill>
                    <w14:schemeClr w14:val="tx1"/>
                  </w14:solidFill>
                </w14:textFill>
              </w:rPr>
              <w:t>　　　　　　　　　　</w:t>
            </w:r>
          </w:p>
          <w:p>
            <w:pPr>
              <w:spacing w:line="360" w:lineRule="auto"/>
              <w:rPr>
                <w:rFonts w:ascii="宋体" w:hAnsi="宋体" w:cs="宋体"/>
                <w:color w:val="000000" w:themeColor="text1"/>
                <w:sz w:val="24"/>
                <w:highlight w:val="none"/>
                <w:u w:val="single"/>
                <w14:textFill>
                  <w14:solidFill>
                    <w14:schemeClr w14:val="tx1"/>
                  </w14:solidFill>
                </w14:textFill>
              </w:rPr>
            </w:pP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有效期限：</w:t>
            </w:r>
            <w:r>
              <w:rPr>
                <w:rFonts w:hint="eastAsia" w:ascii="宋体" w:hAnsi="宋体" w:cs="宋体"/>
                <w:color w:val="000000" w:themeColor="text1"/>
                <w:sz w:val="24"/>
                <w:highlight w:val="none"/>
                <w:u w:val="single"/>
                <w14:textFill>
                  <w14:solidFill>
                    <w14:schemeClr w14:val="tx1"/>
                  </w14:solidFill>
                </w14:textFill>
              </w:rPr>
              <w:t>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附：代理人性别：</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年龄：</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注册号码：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企业类型：</w:t>
            </w:r>
            <w:r>
              <w:rPr>
                <w:rFonts w:hint="eastAsia" w:ascii="宋体" w:hAnsi="宋体" w:cs="宋体"/>
                <w:color w:val="000000" w:themeColor="text1"/>
                <w:sz w:val="24"/>
                <w:highlight w:val="none"/>
                <w:u w:val="single"/>
                <w14:textFill>
                  <w14:solidFill>
                    <w14:schemeClr w14:val="tx1"/>
                  </w14:solidFill>
                </w14:textFill>
              </w:rPr>
              <w:t>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经营范围：</w:t>
            </w:r>
            <w:r>
              <w:rPr>
                <w:rFonts w:hint="eastAsia" w:ascii="宋体" w:hAnsi="宋体" w:cs="宋体"/>
                <w:color w:val="000000" w:themeColor="text1"/>
                <w:sz w:val="24"/>
                <w:highlight w:val="none"/>
                <w:u w:val="single"/>
                <w14:textFill>
                  <w14:solidFill>
                    <w14:schemeClr w14:val="tx1"/>
                  </w14:solidFill>
                </w14:textFill>
              </w:rPr>
              <w:t>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法定代表人（负责人）：（签名或盖章）</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授权单位：（盖章）</w:t>
            </w:r>
          </w:p>
          <w:p>
            <w:pPr>
              <w:spacing w:line="360" w:lineRule="auto"/>
              <w:ind w:firstLine="5880" w:firstLineChars="2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tc>
      </w:tr>
    </w:tbl>
    <w:p>
      <w:pPr>
        <w:spacing w:line="360" w:lineRule="auto"/>
        <w:rPr>
          <w:rFonts w:ascii="宋体" w:hAnsi="宋体" w:cs="宋体"/>
          <w:color w:val="000000" w:themeColor="text1"/>
          <w:sz w:val="24"/>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pPr>
      <w:bookmarkStart w:id="47" w:name="_Toc2272568"/>
      <w:bookmarkEnd w:id="47"/>
      <w:r>
        <w:rPr>
          <w:rFonts w:hint="eastAsia"/>
          <w:color w:val="000000" w:themeColor="text1"/>
          <w:highlight w:val="none"/>
          <w14:textFill>
            <w14:solidFill>
              <w14:schemeClr w14:val="tx1"/>
            </w14:solidFill>
          </w14:textFill>
        </w:rPr>
        <w:t>格式四：项目管理机构人员基本情况及业绩表</w:t>
      </w:r>
    </w:p>
    <w:p>
      <w:pPr>
        <w:pStyle w:val="119"/>
        <w:ind w:firstLine="723"/>
        <w:rPr>
          <w:rFonts w:eastAsia="宋体" w:cs="宋体"/>
          <w:color w:val="000000" w:themeColor="text1"/>
          <w:spacing w:val="0"/>
          <w:highlight w:val="none"/>
          <w14:textFill>
            <w14:solidFill>
              <w14:schemeClr w14:val="tx1"/>
            </w14:solidFill>
          </w14:textFill>
        </w:rPr>
      </w:pPr>
      <w:r>
        <w:rPr>
          <w:rFonts w:hint="eastAsia" w:eastAsia="宋体" w:cs="宋体"/>
          <w:color w:val="000000" w:themeColor="text1"/>
          <w:spacing w:val="0"/>
          <w:highlight w:val="none"/>
          <w14:textFill>
            <w14:solidFill>
              <w14:schemeClr w14:val="tx1"/>
            </w14:solidFill>
          </w14:textFill>
        </w:rPr>
        <w:t>项目管理机构人员基本情况及业绩表</w:t>
      </w:r>
    </w:p>
    <w:tbl>
      <w:tblPr>
        <w:tblStyle w:val="36"/>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r>
      <w:tr>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r>
      <w:tr>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p>
        </w:tc>
      </w:tr>
      <w:tr>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从业简历</w:t>
            </w:r>
          </w:p>
        </w:tc>
      </w:tr>
      <w:tr>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本人完成施工项目概况</w:t>
            </w:r>
          </w:p>
        </w:tc>
      </w:tr>
      <w:tr>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项目规模</w:t>
            </w:r>
          </w:p>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项目</w:t>
            </w:r>
          </w:p>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起止</w:t>
            </w:r>
          </w:p>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b/>
                <w:bCs/>
                <w:color w:val="000000" w:themeColor="text1"/>
                <w:kern w:val="28"/>
                <w:position w:val="-40"/>
                <w:szCs w:val="21"/>
                <w:highlight w:val="none"/>
                <w14:textFill>
                  <w14:solidFill>
                    <w14:schemeClr w14:val="tx1"/>
                  </w14:solidFill>
                </w14:textFill>
              </w:rPr>
            </w:pPr>
            <w:r>
              <w:rPr>
                <w:rFonts w:hint="eastAsia" w:ascii="宋体" w:hAnsi="宋体" w:cs="仿宋"/>
                <w:b/>
                <w:bCs/>
                <w:color w:val="000000" w:themeColor="text1"/>
                <w:kern w:val="28"/>
                <w:position w:val="-40"/>
                <w:szCs w:val="21"/>
                <w:highlight w:val="none"/>
                <w14:textFill>
                  <w14:solidFill>
                    <w14:schemeClr w14:val="tx1"/>
                  </w14:solidFill>
                </w14:textFill>
              </w:rPr>
              <w:t>完成项目的建筑业企业及资质等级</w:t>
            </w:r>
          </w:p>
        </w:tc>
      </w:tr>
      <w:tr>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r>
      <w:tr>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kern w:val="28"/>
                <w:position w:val="-40"/>
                <w:szCs w:val="21"/>
                <w:highlight w:val="none"/>
                <w14:textFill>
                  <w14:solidFill>
                    <w14:schemeClr w14:val="tx1"/>
                  </w14:solidFill>
                </w14:textFill>
              </w:rPr>
            </w:pPr>
          </w:p>
        </w:tc>
      </w:tr>
    </w:tbl>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pPr>
      <w:bookmarkStart w:id="48" w:name="_Toc79144523"/>
      <w:bookmarkEnd w:id="48"/>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格式五 ：</w:t>
      </w:r>
      <w:r>
        <w:rPr>
          <w:rFonts w:hint="eastAsia" w:cs="宋体"/>
          <w:bCs/>
          <w:color w:val="000000" w:themeColor="text1"/>
          <w:highlight w:val="none"/>
          <w:u w:val="single"/>
          <w14:textFill>
            <w14:solidFill>
              <w14:schemeClr w14:val="tx1"/>
            </w14:solidFill>
          </w14:textFill>
        </w:rPr>
        <w:t>企业业绩表</w:t>
      </w:r>
    </w:p>
    <w:p>
      <w:pPr>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企业业绩表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425"/>
        <w:gridCol w:w="1894"/>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23"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1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合同金额</w:t>
            </w: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完工时间</w:t>
            </w: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1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1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1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1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23"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1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bl>
    <w:p>
      <w:pPr>
        <w:tabs>
          <w:tab w:val="left" w:pos="720"/>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注：按《技术标详细审查评分表》要求提供相应证明资料。</w:t>
      </w:r>
    </w:p>
    <w:p>
      <w:pPr>
        <w:pStyle w:val="13"/>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120"/>
        <w:ind w:firstLine="3596" w:firstLineChars="1450"/>
        <w:rPr>
          <w:rFonts w:ascii="宋体" w:hAnsi="宋体"/>
          <w:color w:val="000000" w:themeColor="text1"/>
          <w:highlight w:val="none"/>
          <w14:textFill>
            <w14:solidFill>
              <w14:schemeClr w14:val="tx1"/>
            </w14:solidFill>
          </w14:textFill>
        </w:rPr>
      </w:pPr>
    </w:p>
    <w:p>
      <w:pPr>
        <w:pStyle w:val="120"/>
        <w:ind w:firstLine="3596" w:firstLineChars="1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　　（盖章）</w:t>
      </w:r>
    </w:p>
    <w:p>
      <w:pPr>
        <w:pStyle w:val="120"/>
        <w:ind w:firstLine="3596" w:firstLineChars="1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法定代表人或授权代理人(签字或盖章)：</w:t>
      </w:r>
    </w:p>
    <w:p>
      <w:pPr>
        <w:pStyle w:val="120"/>
        <w:ind w:firstLine="3596" w:firstLineChars="1450"/>
        <w:rPr>
          <w:rFonts w:ascii="宋体" w:hAnsi="宋体"/>
          <w:color w:val="000000" w:themeColor="text1"/>
          <w:highlight w:val="none"/>
          <w14:textFill>
            <w14:solidFill>
              <w14:schemeClr w14:val="tx1"/>
            </w14:solidFill>
          </w14:textFill>
        </w:rPr>
      </w:pPr>
      <w:bookmarkStart w:id="49" w:name="_Toc510963892"/>
      <w:bookmarkEnd w:id="49"/>
      <w:bookmarkStart w:id="50" w:name="_Toc532475362"/>
      <w:bookmarkEnd w:id="50"/>
      <w:bookmarkStart w:id="51" w:name="_Toc532475795"/>
      <w:bookmarkEnd w:id="51"/>
      <w:r>
        <w:rPr>
          <w:rFonts w:hint="eastAsia" w:ascii="宋体" w:hAnsi="宋体"/>
          <w:color w:val="000000" w:themeColor="text1"/>
          <w:highlight w:val="none"/>
          <w14:textFill>
            <w14:solidFill>
              <w14:schemeClr w14:val="tx1"/>
            </w14:solidFill>
          </w14:textFill>
        </w:rPr>
        <w:t>日   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7"/>
        <w:ind w:left="-3" w:leftChars="-187" w:hanging="390" w:hangingChars="1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格式六 ：投标函</w:t>
      </w:r>
    </w:p>
    <w:p>
      <w:pPr>
        <w:pStyle w:val="119"/>
        <w:ind w:firstLine="739"/>
        <w:rPr>
          <w:rFonts w:eastAsia="宋体" w:cs="宋体"/>
          <w:color w:val="000000" w:themeColor="text1"/>
          <w:highlight w:val="none"/>
          <w14:textFill>
            <w14:solidFill>
              <w14:schemeClr w14:val="tx1"/>
            </w14:solidFill>
          </w14:textFill>
        </w:rPr>
      </w:pPr>
      <w:r>
        <w:rPr>
          <w:rFonts w:hint="eastAsia" w:eastAsia="宋体" w:cs="宋体"/>
          <w:color w:val="000000" w:themeColor="text1"/>
          <w:highlight w:val="none"/>
          <w14:textFill>
            <w14:solidFill>
              <w14:schemeClr w14:val="tx1"/>
            </w14:solidFill>
          </w14:textFill>
        </w:rPr>
        <w:t>投 标 函</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i/>
          <w:iCs/>
          <w:color w:val="000000" w:themeColor="text1"/>
          <w:highlight w:val="none"/>
          <w:u w:val="single"/>
          <w14:textFill>
            <w14:solidFill>
              <w14:schemeClr w14:val="tx1"/>
            </w14:solidFill>
          </w14:textFill>
        </w:rPr>
        <w:t>（招标人名称）</w:t>
      </w:r>
      <w:r>
        <w:rPr>
          <w:rFonts w:hint="eastAsia" w:ascii="宋体" w:hAnsi="宋体" w:cs="宋体"/>
          <w:color w:val="000000" w:themeColor="text1"/>
          <w:highlight w:val="none"/>
          <w:u w:val="single"/>
          <w14:textFill>
            <w14:solidFill>
              <w14:schemeClr w14:val="tx1"/>
            </w14:solidFill>
          </w14:textFill>
        </w:rPr>
        <w:t xml:space="preserve"> </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1.根据招标人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i/>
          <w:iCs/>
          <w:color w:val="000000" w:themeColor="text1"/>
          <w:highlight w:val="none"/>
          <w:u w:val="single"/>
          <w14:textFill>
            <w14:solidFill>
              <w14:schemeClr w14:val="tx1"/>
            </w14:solidFill>
          </w14:textFill>
        </w:rPr>
        <w:t>（工程项目名称）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2.我方已详细审核全部招标文件，包括修改文件（如有时）及有关附件。</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3.如果我方中标，我方保证按照合同文件中规定的开工日期开始施工，并按规定的预计竣工日期完成和交付全部工程。</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pPr>
        <w:pStyle w:val="120"/>
        <w:ind w:firstLine="49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6.如果我方中标，我方将按照招标文件的规定，按时提交履约担保，以保障本项目优质、优价、按期、顺利完成。</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7.我方同意所提交的投标文件在招标文件投标须知中第15条规定的投标有效期内有效，在此期限届满之前，本投标书始终将对我方具有约束力，并随时接受中标。</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8.在合同协议书正式签署生效之前，本投标书连同你单位的中标通知书将构成我们双方之间共同遵守的文件，对双方具有约束力。</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9.随同本投标文件，我方已提交人民币</w:t>
      </w:r>
      <w:r>
        <w:rPr>
          <w:rFonts w:hint="eastAsia" w:ascii="宋体" w:hAnsi="宋体" w:cs="宋体"/>
          <w:color w:val="000000" w:themeColor="text1"/>
          <w:highlight w:val="none"/>
          <w:u w:val="single"/>
          <w14:textFill>
            <w14:solidFill>
              <w14:schemeClr w14:val="tx1"/>
            </w14:solidFill>
          </w14:textFill>
        </w:rPr>
        <w:t xml:space="preserve">           元</w:t>
      </w:r>
      <w:r>
        <w:rPr>
          <w:rFonts w:hint="eastAsia" w:ascii="宋体" w:hAnsi="宋体" w:cs="宋体"/>
          <w:color w:val="000000" w:themeColor="text1"/>
          <w:highlight w:val="none"/>
          <w14:textFill>
            <w14:solidFill>
              <w14:schemeClr w14:val="tx1"/>
            </w14:solidFill>
          </w14:textFill>
        </w:rPr>
        <w:t>的投标担保。如果我方在投标文件有效期内撤销投标文件；或在接到中标通知书后28天内未能或拒绝签订合同协议书；或未能按招标文件要求提交履约担保，投标保证金将不予退还，另选中标单位。</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10.我方理解，你单位不一定接受最低标价的投标或你单位接到的其它任何投标。同时也理解，你单位不负担我方的任何投标费用。</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 标 人：（盖章）</w:t>
      </w:r>
    </w:p>
    <w:p>
      <w:pPr>
        <w:pStyle w:val="120"/>
        <w:ind w:firstLine="4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法定代表人或授权代理人（签字或盖章）：</w:t>
      </w:r>
    </w:p>
    <w:p>
      <w:pPr>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    年    月    日</w:t>
      </w:r>
    </w:p>
    <w:p>
      <w:pPr>
        <w:pStyle w:val="13"/>
        <w:ind w:firstLine="0"/>
        <w:rPr>
          <w:rFonts w:ascii="宋体" w:hAnsi="宋体" w:cs="宋体"/>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2"/>
        <w:jc w:val="left"/>
        <w:rPr>
          <w:rFonts w:hAnsi="宋体"/>
          <w:b/>
          <w:color w:val="000000" w:themeColor="text1"/>
          <w:sz w:val="24"/>
          <w:szCs w:val="21"/>
          <w:highlight w:val="none"/>
          <w14:textFill>
            <w14:solidFill>
              <w14:schemeClr w14:val="tx1"/>
            </w14:solidFill>
          </w14:textFill>
        </w:rPr>
      </w:pPr>
      <w:bookmarkStart w:id="52" w:name="_Toc61541795"/>
      <w:bookmarkStart w:id="53" w:name="_Toc60070631"/>
      <w:bookmarkStart w:id="54" w:name="_Toc58838603"/>
      <w:r>
        <w:rPr>
          <w:rFonts w:hint="eastAsia" w:hAnsi="宋体"/>
          <w:b/>
          <w:color w:val="000000" w:themeColor="text1"/>
          <w:sz w:val="24"/>
          <w:szCs w:val="21"/>
          <w:highlight w:val="none"/>
          <w14:textFill>
            <w14:solidFill>
              <w14:schemeClr w14:val="tx1"/>
            </w14:solidFill>
          </w14:textFill>
        </w:rPr>
        <w:t>格式七 ：施工项目管理团队人员信息表</w:t>
      </w:r>
    </w:p>
    <w:p>
      <w:pPr>
        <w:widowControl/>
        <w:shd w:val="clear" w:color="auto" w:fill="FFFFFF"/>
        <w:spacing w:line="480" w:lineRule="exact"/>
        <w:ind w:firstLine="643" w:firstLineChars="200"/>
        <w:jc w:val="center"/>
        <w:rPr>
          <w:rFonts w:cs="宋体"/>
          <w:b/>
          <w:color w:val="000000" w:themeColor="text1"/>
          <w:kern w:val="0"/>
          <w:sz w:val="32"/>
          <w:szCs w:val="32"/>
          <w:highlight w:val="none"/>
          <w:lang w:bidi="ar"/>
          <w14:textFill>
            <w14:solidFill>
              <w14:schemeClr w14:val="tx1"/>
            </w14:solidFill>
          </w14:textFill>
        </w:rPr>
      </w:pPr>
      <w:r>
        <w:rPr>
          <w:rFonts w:hint="eastAsia" w:cs="宋体"/>
          <w:b/>
          <w:color w:val="000000" w:themeColor="text1"/>
          <w:kern w:val="0"/>
          <w:sz w:val="32"/>
          <w:szCs w:val="32"/>
          <w:highlight w:val="none"/>
          <w:lang w:bidi="ar"/>
          <w14:textFill>
            <w14:solidFill>
              <w14:schemeClr w14:val="tx1"/>
            </w14:solidFill>
          </w14:textFill>
        </w:rPr>
        <w:t>施工项目管理团队人员信息表</w:t>
      </w:r>
    </w:p>
    <w:p>
      <w:pPr>
        <w:widowControl/>
        <w:shd w:val="clear" w:color="auto" w:fill="FFFFFF"/>
        <w:ind w:firstLine="201" w:firstLineChars="200"/>
        <w:jc w:val="center"/>
        <w:rPr>
          <w:rFonts w:cs="宋体"/>
          <w:b/>
          <w:color w:val="000000" w:themeColor="text1"/>
          <w:kern w:val="0"/>
          <w:sz w:val="10"/>
          <w:szCs w:val="10"/>
          <w:highlight w:val="none"/>
          <w:lang w:bidi="ar"/>
          <w14:textFill>
            <w14:solidFill>
              <w14:schemeClr w14:val="tx1"/>
            </w14:solidFill>
          </w14:textFill>
        </w:rPr>
      </w:pPr>
    </w:p>
    <w:tbl>
      <w:tblPr>
        <w:tblStyle w:val="36"/>
        <w:tblW w:w="9038" w:type="dxa"/>
        <w:jc w:val="center"/>
        <w:tblLayout w:type="fixed"/>
        <w:tblCellMar>
          <w:top w:w="0" w:type="dxa"/>
          <w:left w:w="0" w:type="dxa"/>
          <w:bottom w:w="0" w:type="dxa"/>
          <w:right w:w="0" w:type="dxa"/>
        </w:tblCellMar>
      </w:tblPr>
      <w:tblGrid>
        <w:gridCol w:w="635"/>
        <w:gridCol w:w="1642"/>
        <w:gridCol w:w="2284"/>
        <w:gridCol w:w="1800"/>
        <w:gridCol w:w="2677"/>
      </w:tblGrid>
      <w:tr>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000000" w:themeColor="text1"/>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序号</w:t>
            </w:r>
          </w:p>
        </w:tc>
        <w:tc>
          <w:tcPr>
            <w:tcW w:w="1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000000" w:themeColor="text1"/>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姓名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000000" w:themeColor="text1"/>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岗位</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000000" w:themeColor="text1"/>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职称</w:t>
            </w:r>
          </w:p>
        </w:tc>
        <w:tc>
          <w:tcPr>
            <w:tcW w:w="2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000000" w:themeColor="text1"/>
                <w:szCs w:val="21"/>
                <w:highlight w:val="none"/>
                <w14:textFill>
                  <w14:solidFill>
                    <w14:schemeClr w14:val="tx1"/>
                  </w14:solidFill>
                </w14:textFill>
              </w:rPr>
            </w:pPr>
            <w:r>
              <w:rPr>
                <w:rFonts w:hint="eastAsia" w:cs="宋体"/>
                <w:b/>
                <w:color w:val="000000" w:themeColor="text1"/>
                <w:kern w:val="0"/>
                <w:szCs w:val="21"/>
                <w:highlight w:val="none"/>
                <w:lang w:bidi="ar"/>
                <w14:textFill>
                  <w14:solidFill>
                    <w14:schemeClr w14:val="tx1"/>
                  </w14:solidFill>
                </w14:textFill>
              </w:rPr>
              <w:t>职称证书或资格证书编号</w:t>
            </w: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技术负责人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质量负责人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安全负责人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造价负责人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5</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6</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6"/>
              <w:jc w:val="center"/>
              <w:rPr>
                <w:rFonts w:ascii="宋体" w:hAnsi="宋体" w:cs="宋体"/>
                <w:color w:val="000000" w:themeColor="text1"/>
                <w:szCs w:val="22"/>
                <w:highlight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7</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8</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3644" w:hRule="atLeast"/>
          <w:jc w:val="center"/>
        </w:trPr>
        <w:tc>
          <w:tcPr>
            <w:tcW w:w="90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136"/>
                <w:rFonts w:hint="default" w:ascii="宋体" w:hAnsi="宋体" w:eastAsia="宋体" w:cs="宋体"/>
                <w:color w:val="000000" w:themeColor="text1"/>
                <w:sz w:val="21"/>
                <w:szCs w:val="21"/>
                <w:highlight w:val="none"/>
                <w:lang w:bidi="ar"/>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备注：</w:t>
            </w:r>
          </w:p>
          <w:p>
            <w:pPr>
              <w:widowControl/>
              <w:jc w:val="left"/>
              <w:textAlignment w:val="center"/>
              <w:rPr>
                <w:rStyle w:val="136"/>
                <w:rFonts w:hint="default" w:ascii="宋体" w:hAnsi="宋体" w:eastAsia="宋体" w:cs="宋体"/>
                <w:color w:val="000000" w:themeColor="text1"/>
                <w:sz w:val="21"/>
                <w:szCs w:val="21"/>
                <w:highlight w:val="none"/>
                <w:lang w:bidi="ar"/>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1、“岗位”要求</w:t>
            </w:r>
            <w:r>
              <w:rPr>
                <w:rStyle w:val="116"/>
                <w:rFonts w:hint="default" w:cs="宋体"/>
                <w:color w:val="000000" w:themeColor="text1"/>
                <w:sz w:val="21"/>
                <w:szCs w:val="21"/>
                <w:highlight w:val="none"/>
                <w:lang w:bidi="ar"/>
                <w14:textFill>
                  <w14:solidFill>
                    <w14:schemeClr w14:val="tx1"/>
                  </w14:solidFill>
                </w14:textFill>
              </w:rPr>
              <w:t>（除项目负责人和专职安全员外）</w:t>
            </w:r>
            <w:r>
              <w:rPr>
                <w:rStyle w:val="136"/>
                <w:rFonts w:hint="default" w:ascii="宋体" w:hAnsi="宋体" w:eastAsia="宋体" w:cs="宋体"/>
                <w:color w:val="000000" w:themeColor="text1"/>
                <w:sz w:val="21"/>
                <w:szCs w:val="21"/>
                <w:highlight w:val="none"/>
                <w:lang w:bidi="ar"/>
                <w14:textFill>
                  <w14:solidFill>
                    <w14:schemeClr w14:val="tx1"/>
                  </w14:solidFill>
                </w14:textFill>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136"/>
                <w:rFonts w:hint="default" w:ascii="宋体" w:hAnsi="宋体" w:eastAsia="宋体" w:cs="宋体"/>
                <w:color w:val="000000" w:themeColor="text1"/>
                <w:sz w:val="21"/>
                <w:szCs w:val="21"/>
                <w:highlight w:val="none"/>
                <w:lang w:bidi="ar"/>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cs="宋体"/>
                <w:color w:val="000000" w:themeColor="text1"/>
                <w:szCs w:val="21"/>
                <w:highlight w:val="none"/>
                <w14:textFill>
                  <w14:solidFill>
                    <w14:schemeClr w14:val="tx1"/>
                  </w14:solidFill>
                </w14:textFill>
              </w:rPr>
            </w:pPr>
            <w:r>
              <w:rPr>
                <w:rStyle w:val="136"/>
                <w:rFonts w:hint="default" w:ascii="宋体" w:hAnsi="宋体" w:eastAsia="宋体" w:cs="宋体"/>
                <w:color w:val="000000" w:themeColor="text1"/>
                <w:sz w:val="21"/>
                <w:szCs w:val="21"/>
                <w:highlight w:val="none"/>
                <w:lang w:bidi="ar"/>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20"/>
        <w:ind w:firstLine="3161" w:firstLineChars="1450"/>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投标人：　　（盖章）</w:t>
      </w:r>
    </w:p>
    <w:p>
      <w:pPr>
        <w:pStyle w:val="120"/>
        <w:ind w:firstLine="3161" w:firstLineChars="1450"/>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法定代表人或授权代理人（签字或盖章）：</w:t>
      </w:r>
    </w:p>
    <w:p>
      <w:pPr>
        <w:ind w:right="42" w:rightChars="20" w:firstLine="3150" w:firstLineChars="1500"/>
        <w:jc w:val="left"/>
        <w:rPr>
          <w:rFonts w:cs="宋体"/>
          <w:bCs/>
          <w:color w:val="000000" w:themeColor="text1"/>
          <w:szCs w:val="24"/>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日   期：    年    月    日</w:t>
      </w:r>
    </w:p>
    <w:p>
      <w:pPr>
        <w:rPr>
          <w:rFonts w:hAnsi="宋体"/>
          <w:b/>
          <w:color w:val="000000" w:themeColor="text1"/>
          <w:sz w:val="24"/>
          <w:szCs w:val="21"/>
          <w:highlight w:val="none"/>
          <w14:textFill>
            <w14:solidFill>
              <w14:schemeClr w14:val="tx1"/>
            </w14:solidFill>
          </w14:textFill>
        </w:rPr>
      </w:pPr>
      <w:r>
        <w:rPr>
          <w:rFonts w:hint="eastAsia" w:hAnsi="宋体"/>
          <w:b/>
          <w:color w:val="000000" w:themeColor="text1"/>
          <w:sz w:val="24"/>
          <w:szCs w:val="21"/>
          <w:highlight w:val="none"/>
          <w14:textFill>
            <w14:solidFill>
              <w14:schemeClr w14:val="tx1"/>
            </w14:solidFill>
          </w14:textFill>
        </w:rPr>
        <w:br w:type="page"/>
      </w:r>
    </w:p>
    <w:p>
      <w:pPr>
        <w:pStyle w:val="2"/>
        <w:jc w:val="left"/>
        <w:rPr>
          <w:rFonts w:hAnsi="宋体"/>
          <w:b/>
          <w:color w:val="000000" w:themeColor="text1"/>
          <w:sz w:val="24"/>
          <w:szCs w:val="21"/>
          <w:highlight w:val="none"/>
          <w14:textFill>
            <w14:solidFill>
              <w14:schemeClr w14:val="tx1"/>
            </w14:solidFill>
          </w14:textFill>
        </w:rPr>
      </w:pPr>
      <w:r>
        <w:rPr>
          <w:rFonts w:hint="eastAsia" w:hAnsi="宋体"/>
          <w:b/>
          <w:color w:val="000000" w:themeColor="text1"/>
          <w:sz w:val="24"/>
          <w:szCs w:val="21"/>
          <w:highlight w:val="none"/>
          <w14:textFill>
            <w14:solidFill>
              <w14:schemeClr w14:val="tx1"/>
            </w14:solidFill>
          </w14:textFill>
        </w:rPr>
        <w:t>格式八 ：企业相关资料</w:t>
      </w:r>
    </w:p>
    <w:p>
      <w:pPr>
        <w:autoSpaceDE w:val="0"/>
        <w:autoSpaceDN w:val="0"/>
        <w:adjustRightInd w:val="0"/>
        <w:spacing w:line="360" w:lineRule="auto"/>
        <w:jc w:val="center"/>
        <w:rPr>
          <w:rFonts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企业相关资料</w:t>
      </w:r>
    </w:p>
    <w:p>
      <w:pPr>
        <w:autoSpaceDE w:val="0"/>
        <w:autoSpaceDN w:val="0"/>
        <w:adjustRightInd w:val="0"/>
        <w:spacing w:line="360" w:lineRule="auto"/>
        <w:rPr>
          <w:rFonts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(如有)</w:t>
      </w:r>
    </w:p>
    <w:p>
      <w:pPr>
        <w:autoSpaceDE w:val="0"/>
        <w:autoSpaceDN w:val="0"/>
        <w:adjustRightInd w:val="0"/>
        <w:spacing w:line="360" w:lineRule="auto"/>
        <w:rPr>
          <w:rFonts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注：</w:t>
      </w:r>
    </w:p>
    <w:p>
      <w:pPr>
        <w:autoSpaceDE w:val="0"/>
        <w:autoSpaceDN w:val="0"/>
        <w:adjustRightInd w:val="0"/>
        <w:spacing w:line="360" w:lineRule="auto"/>
        <w:rPr>
          <w:rFonts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1.企业类似工程业绩证明资料；</w:t>
      </w:r>
    </w:p>
    <w:p>
      <w:pPr>
        <w:autoSpaceDE w:val="0"/>
        <w:autoSpaceDN w:val="0"/>
        <w:adjustRightInd w:val="0"/>
        <w:spacing w:line="360" w:lineRule="auto"/>
        <w:rPr>
          <w:rFonts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2.工程奖项证明资料；</w:t>
      </w:r>
    </w:p>
    <w:p>
      <w:pPr>
        <w:autoSpaceDE w:val="0"/>
        <w:autoSpaceDN w:val="0"/>
        <w:adjustRightInd w:val="0"/>
        <w:spacing w:line="360" w:lineRule="auto"/>
        <w:rPr>
          <w:rFonts w:ascii="宋体" w:hAnsi="宋体" w:cs="宋体"/>
          <w:snapToGrid w:val="0"/>
          <w:color w:val="000000" w:themeColor="text1"/>
          <w:spacing w:val="4"/>
          <w:kern w:val="0"/>
          <w:sz w:val="24"/>
          <w:szCs w:val="24"/>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3.第三方评价证明资料；</w:t>
      </w:r>
    </w:p>
    <w:p>
      <w:pPr>
        <w:topLinePunct/>
        <w:adjustRightInd w:val="0"/>
        <w:snapToGrid w:val="0"/>
        <w:spacing w:line="360" w:lineRule="auto"/>
        <w:rPr>
          <w:rFonts w:ascii="宋体" w:hAnsi="宋体"/>
          <w:color w:val="000000" w:themeColor="text1"/>
          <w:kern w:val="0"/>
          <w:sz w:val="27"/>
          <w:szCs w:val="27"/>
          <w:highlight w:val="none"/>
          <w14:textFill>
            <w14:solidFill>
              <w14:schemeClr w14:val="tx1"/>
            </w14:solidFill>
          </w14:textFill>
        </w:rPr>
      </w:pPr>
      <w:r>
        <w:rPr>
          <w:rFonts w:hint="eastAsia" w:ascii="宋体" w:hAnsi="宋体" w:cs="宋体"/>
          <w:snapToGrid w:val="0"/>
          <w:color w:val="000000" w:themeColor="text1"/>
          <w:spacing w:val="4"/>
          <w:kern w:val="0"/>
          <w:sz w:val="24"/>
          <w:szCs w:val="24"/>
          <w:highlight w:val="none"/>
          <w14:textFill>
            <w14:solidFill>
              <w14:schemeClr w14:val="tx1"/>
            </w14:solidFill>
          </w14:textFill>
        </w:rPr>
        <w:t>4.其他投标人认为须提交的资料。</w:t>
      </w:r>
    </w:p>
    <w:p>
      <w:pPr>
        <w:rPr>
          <w:rFonts w:ascii="宋体" w:hAnsi="宋体"/>
          <w:color w:val="000000" w:themeColor="text1"/>
          <w:kern w:val="0"/>
          <w:sz w:val="27"/>
          <w:szCs w:val="27"/>
          <w:highlight w:val="none"/>
          <w14:textFill>
            <w14:solidFill>
              <w14:schemeClr w14:val="tx1"/>
            </w14:solidFill>
          </w14:textFill>
        </w:rPr>
      </w:pPr>
      <w:r>
        <w:rPr>
          <w:rFonts w:ascii="宋体" w:hAnsi="宋体"/>
          <w:color w:val="000000" w:themeColor="text1"/>
          <w:kern w:val="0"/>
          <w:sz w:val="27"/>
          <w:szCs w:val="27"/>
          <w:highlight w:val="none"/>
          <w14:textFill>
            <w14:solidFill>
              <w14:schemeClr w14:val="tx1"/>
            </w14:solidFill>
          </w14:textFill>
        </w:rPr>
        <w:br w:type="page"/>
      </w:r>
    </w:p>
    <w:bookmarkEnd w:id="52"/>
    <w:bookmarkEnd w:id="53"/>
    <w:bookmarkEnd w:id="54"/>
    <w:p>
      <w:pPr>
        <w:pStyle w:val="7"/>
        <w:ind w:firstLine="0" w:firstLineChars="0"/>
        <w:rPr>
          <w:color w:val="000000" w:themeColor="text1"/>
          <w:highlight w:val="none"/>
          <w14:textFill>
            <w14:solidFill>
              <w14:schemeClr w14:val="tx1"/>
            </w14:solidFill>
          </w14:textFill>
        </w:rPr>
      </w:pPr>
      <w:bookmarkStart w:id="55" w:name="_Toc79144527"/>
      <w:bookmarkEnd w:id="55"/>
      <w:r>
        <w:rPr>
          <w:rFonts w:hint="eastAsia"/>
          <w:color w:val="000000" w:themeColor="text1"/>
          <w:highlight w:val="none"/>
          <w14:textFill>
            <w14:solidFill>
              <w14:schemeClr w14:val="tx1"/>
            </w14:solidFill>
          </w14:textFill>
        </w:rPr>
        <w:t>格式九：参与编制技术标投标文件人员名单</w:t>
      </w:r>
    </w:p>
    <w:p>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000000" w:themeColor="text1"/>
                <w:szCs w:val="21"/>
                <w:highlight w:val="none"/>
                <w14:textFill>
                  <w14:solidFill>
                    <w14:schemeClr w14:val="tx1"/>
                  </w14:solidFill>
                </w14:textFill>
              </w:rPr>
            </w:pPr>
          </w:p>
        </w:tc>
      </w:tr>
    </w:tbl>
    <w:p>
      <w:pPr>
        <w:autoSpaceDE w:val="0"/>
        <w:autoSpaceDN w:val="0"/>
        <w:adjustRightInd w:val="0"/>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注：参与编制技术标书所有人员名单应包括如编制技术投标方案、负责清样校对、负责打印及复印等所有人员在内的人员名单。</w:t>
      </w:r>
    </w:p>
    <w:p>
      <w:pPr>
        <w:pStyle w:val="2"/>
        <w:rPr>
          <w:color w:val="000000" w:themeColor="text1"/>
          <w:highlight w:val="none"/>
          <w14:textFill>
            <w14:solidFill>
              <w14:schemeClr w14:val="tx1"/>
            </w14:solidFill>
          </w14:textFill>
        </w:rPr>
      </w:pPr>
    </w:p>
    <w:p>
      <w:pPr>
        <w:autoSpaceDE w:val="0"/>
        <w:autoSpaceDN w:val="0"/>
        <w:adjustRightInd w:val="0"/>
        <w:rPr>
          <w:bCs/>
          <w:color w:val="000000" w:themeColor="text1"/>
          <w:szCs w:val="21"/>
          <w:highlight w:val="none"/>
          <w14:textFill>
            <w14:solidFill>
              <w14:schemeClr w14:val="tx1"/>
            </w14:solidFill>
          </w14:textFill>
        </w:rPr>
      </w:pPr>
    </w:p>
    <w:p>
      <w:pPr>
        <w:tabs>
          <w:tab w:val="left" w:pos="720"/>
        </w:tabs>
        <w:snapToGrid w:val="0"/>
        <w:spacing w:line="360" w:lineRule="auto"/>
        <w:rPr>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bookmarkStart w:id="56" w:name="_Toc115117434"/>
      <w:r>
        <w:rPr>
          <w:rFonts w:hint="eastAsia"/>
          <w:color w:val="000000" w:themeColor="text1"/>
          <w:highlight w:val="none"/>
          <w14:textFill>
            <w14:solidFill>
              <w14:schemeClr w14:val="tx1"/>
            </w14:solidFill>
          </w14:textFill>
        </w:rPr>
        <w:br w:type="page"/>
      </w:r>
    </w:p>
    <w:p>
      <w:pPr>
        <w:pStyle w:val="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经济标投标文件格式</w:t>
      </w:r>
      <w:bookmarkEnd w:id="56"/>
    </w:p>
    <w:p>
      <w:pPr>
        <w:pStyle w:val="7"/>
        <w:ind w:left="-3" w:leftChars="-187" w:hanging="390" w:hangingChars="162"/>
        <w:rPr>
          <w:rFonts w:cs="宋体"/>
          <w:snapToGrid w:val="0"/>
          <w:color w:val="000000" w:themeColor="text1"/>
          <w:spacing w:val="4"/>
          <w:kern w:val="0"/>
          <w:szCs w:val="24"/>
          <w:highlight w:val="none"/>
          <w14:textFill>
            <w14:solidFill>
              <w14:schemeClr w14:val="tx1"/>
            </w14:solidFill>
          </w14:textFill>
        </w:rPr>
      </w:pPr>
      <w:bookmarkStart w:id="57" w:name="_Toc21759"/>
      <w:bookmarkEnd w:id="57"/>
      <w:bookmarkStart w:id="58" w:name="_Toc32339"/>
      <w:bookmarkEnd w:id="58"/>
      <w:r>
        <w:rPr>
          <w:rFonts w:hint="eastAsia"/>
          <w:color w:val="000000" w:themeColor="text1"/>
          <w:highlight w:val="none"/>
          <w14:textFill>
            <w14:solidFill>
              <w14:schemeClr w14:val="tx1"/>
            </w14:solidFill>
          </w14:textFill>
        </w:rPr>
        <w:t>格式十：经济标封面</w:t>
      </w: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jc w:val="center"/>
        <w:rPr>
          <w:rFonts w:ascii="宋体" w:hAnsi="宋体" w:cs="宋体"/>
          <w:snapToGrid w:val="0"/>
          <w:color w:val="000000" w:themeColor="text1"/>
          <w:spacing w:val="4"/>
          <w:kern w:val="0"/>
          <w:sz w:val="36"/>
          <w:szCs w:val="36"/>
          <w:highlight w:val="none"/>
          <w:u w:val="single"/>
          <w14:textFill>
            <w14:solidFill>
              <w14:schemeClr w14:val="tx1"/>
            </w14:solidFill>
          </w14:textFill>
        </w:rPr>
      </w:pPr>
      <w:r>
        <w:rPr>
          <w:rFonts w:hint="eastAsia" w:ascii="宋体" w:hAnsi="宋体" w:cs="宋体"/>
          <w:snapToGrid w:val="0"/>
          <w:color w:val="000000" w:themeColor="text1"/>
          <w:spacing w:val="4"/>
          <w:kern w:val="0"/>
          <w:sz w:val="36"/>
          <w:szCs w:val="36"/>
          <w:highlight w:val="none"/>
          <w:u w:val="single"/>
          <w14:textFill>
            <w14:solidFill>
              <w14:schemeClr w14:val="tx1"/>
            </w14:solidFill>
          </w14:textFill>
        </w:rPr>
        <w:t xml:space="preserve">[工程名称] </w:t>
      </w: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jc w:val="center"/>
        <w:rPr>
          <w:rFonts w:ascii="宋体" w:hAnsi="宋体" w:cs="宋体"/>
          <w:snapToGrid w:val="0"/>
          <w:color w:val="000000" w:themeColor="text1"/>
          <w:spacing w:val="4"/>
          <w:kern w:val="0"/>
          <w:sz w:val="84"/>
          <w:szCs w:val="84"/>
          <w:highlight w:val="none"/>
          <w14:textFill>
            <w14:solidFill>
              <w14:schemeClr w14:val="tx1"/>
            </w14:solidFill>
          </w14:textFill>
        </w:rPr>
      </w:pPr>
      <w:r>
        <w:rPr>
          <w:rFonts w:hint="eastAsia" w:ascii="宋体" w:hAnsi="宋体" w:cs="宋体"/>
          <w:snapToGrid w:val="0"/>
          <w:color w:val="000000" w:themeColor="text1"/>
          <w:spacing w:val="4"/>
          <w:kern w:val="0"/>
          <w:sz w:val="84"/>
          <w:szCs w:val="84"/>
          <w:highlight w:val="none"/>
          <w14:textFill>
            <w14:solidFill>
              <w14:schemeClr w14:val="tx1"/>
            </w14:solidFill>
          </w14:textFill>
        </w:rPr>
        <w:t>投标文件</w:t>
      </w:r>
    </w:p>
    <w:p>
      <w:pPr>
        <w:topLinePunct/>
        <w:adjustRightInd w:val="0"/>
        <w:snapToGrid w:val="0"/>
        <w:spacing w:line="360" w:lineRule="auto"/>
        <w:jc w:val="center"/>
        <w:rPr>
          <w:rFonts w:ascii="宋体" w:hAnsi="宋体" w:cs="宋体"/>
          <w:snapToGrid w:val="0"/>
          <w:color w:val="000000" w:themeColor="text1"/>
          <w:spacing w:val="4"/>
          <w:kern w:val="0"/>
          <w:sz w:val="36"/>
          <w:szCs w:val="36"/>
          <w:highlight w:val="none"/>
          <w14:textFill>
            <w14:solidFill>
              <w14:schemeClr w14:val="tx1"/>
            </w14:solidFill>
          </w14:textFill>
        </w:rPr>
      </w:pPr>
      <w:r>
        <w:rPr>
          <w:rFonts w:hint="eastAsia" w:ascii="宋体" w:hAnsi="宋体" w:cs="宋体"/>
          <w:snapToGrid w:val="0"/>
          <w:color w:val="000000" w:themeColor="text1"/>
          <w:spacing w:val="4"/>
          <w:kern w:val="0"/>
          <w:sz w:val="36"/>
          <w:szCs w:val="36"/>
          <w:highlight w:val="none"/>
          <w14:textFill>
            <w14:solidFill>
              <w14:schemeClr w14:val="tx1"/>
            </w14:solidFill>
          </w14:textFill>
        </w:rPr>
        <w:t>第二册 （经济投标文件）</w:t>
      </w: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pPr>
        <w:topLinePunct/>
        <w:adjustRightInd w:val="0"/>
        <w:snapToGrid w:val="0"/>
        <w:spacing w:line="360" w:lineRule="auto"/>
        <w:ind w:firstLine="616" w:firstLineChars="200"/>
        <w:jc w:val="left"/>
        <w:rPr>
          <w:rFonts w:ascii="宋体" w:hAnsi="宋体" w:cs="宋体"/>
          <w:snapToGrid w:val="0"/>
          <w:color w:val="000000" w:themeColor="text1"/>
          <w:spacing w:val="4"/>
          <w:kern w:val="0"/>
          <w:sz w:val="30"/>
          <w:szCs w:val="30"/>
          <w:highlight w:val="none"/>
          <w14:textFill>
            <w14:solidFill>
              <w14:schemeClr w14:val="tx1"/>
            </w14:solidFill>
          </w14:textFill>
        </w:rPr>
      </w:pPr>
      <w:r>
        <w:rPr>
          <w:rFonts w:hint="eastAsia" w:ascii="宋体" w:hAnsi="宋体" w:cs="宋体"/>
          <w:snapToGrid w:val="0"/>
          <w:color w:val="000000" w:themeColor="text1"/>
          <w:spacing w:val="4"/>
          <w:kern w:val="0"/>
          <w:sz w:val="30"/>
          <w:szCs w:val="30"/>
          <w:highlight w:val="none"/>
          <w14:textFill>
            <w14:solidFill>
              <w14:schemeClr w14:val="tx1"/>
            </w14:solidFill>
          </w14:textFill>
        </w:rPr>
        <w:t>投标人：</w:t>
      </w:r>
      <w:r>
        <w:rPr>
          <w:rFonts w:hint="eastAsia" w:ascii="宋体" w:hAnsi="宋体" w:cs="宋体"/>
          <w:snapToGrid w:val="0"/>
          <w:color w:val="000000" w:themeColor="text1"/>
          <w:spacing w:val="4"/>
          <w:kern w:val="0"/>
          <w:sz w:val="30"/>
          <w:szCs w:val="30"/>
          <w:highlight w:val="none"/>
          <w:u w:val="single"/>
          <w14:textFill>
            <w14:solidFill>
              <w14:schemeClr w14:val="tx1"/>
            </w14:solidFill>
          </w14:textFill>
        </w:rPr>
        <w:t xml:space="preserve">     （填写投标人名称）       （盖章）</w:t>
      </w:r>
    </w:p>
    <w:p>
      <w:pPr>
        <w:topLinePunct/>
        <w:adjustRightInd w:val="0"/>
        <w:snapToGrid w:val="0"/>
        <w:spacing w:line="360" w:lineRule="auto"/>
        <w:ind w:firstLine="616" w:firstLineChars="200"/>
        <w:jc w:val="left"/>
        <w:rPr>
          <w:rFonts w:ascii="宋体" w:hAnsi="宋体" w:cs="宋体"/>
          <w:snapToGrid w:val="0"/>
          <w:color w:val="000000" w:themeColor="text1"/>
          <w:spacing w:val="4"/>
          <w:kern w:val="0"/>
          <w:sz w:val="30"/>
          <w:szCs w:val="30"/>
          <w:highlight w:val="none"/>
          <w14:textFill>
            <w14:solidFill>
              <w14:schemeClr w14:val="tx1"/>
            </w14:solidFill>
          </w14:textFill>
        </w:rPr>
      </w:pPr>
      <w:r>
        <w:rPr>
          <w:rFonts w:hint="eastAsia" w:ascii="宋体" w:hAnsi="宋体" w:cs="宋体"/>
          <w:snapToGrid w:val="0"/>
          <w:color w:val="000000" w:themeColor="text1"/>
          <w:spacing w:val="4"/>
          <w:kern w:val="0"/>
          <w:sz w:val="30"/>
          <w:szCs w:val="30"/>
          <w:highlight w:val="none"/>
          <w14:textFill>
            <w14:solidFill>
              <w14:schemeClr w14:val="tx1"/>
            </w14:solidFill>
          </w14:textFill>
        </w:rPr>
        <w:t>法定代表人或其委托代理人：</w:t>
      </w:r>
      <w:r>
        <w:rPr>
          <w:rFonts w:hint="eastAsia" w:ascii="宋体" w:hAnsi="宋体" w:cs="宋体"/>
          <w:snapToGrid w:val="0"/>
          <w:color w:val="000000" w:themeColor="text1"/>
          <w:spacing w:val="4"/>
          <w:kern w:val="0"/>
          <w:sz w:val="30"/>
          <w:szCs w:val="30"/>
          <w:highlight w:val="none"/>
          <w:u w:val="single"/>
          <w14:textFill>
            <w14:solidFill>
              <w14:schemeClr w14:val="tx1"/>
            </w14:solidFill>
          </w14:textFill>
        </w:rPr>
        <w:t xml:space="preserve">           （签名或盖章）</w:t>
      </w:r>
    </w:p>
    <w:p>
      <w:pPr>
        <w:topLinePunct/>
        <w:adjustRightInd w:val="0"/>
        <w:snapToGrid w:val="0"/>
        <w:spacing w:line="360" w:lineRule="auto"/>
        <w:ind w:firstLine="616" w:firstLineChars="200"/>
        <w:jc w:val="left"/>
        <w:rPr>
          <w:rFonts w:ascii="宋体" w:hAnsi="宋体" w:cs="宋体"/>
          <w:snapToGrid w:val="0"/>
          <w:color w:val="000000" w:themeColor="text1"/>
          <w:spacing w:val="4"/>
          <w:kern w:val="0"/>
          <w:sz w:val="30"/>
          <w:szCs w:val="30"/>
          <w:highlight w:val="none"/>
          <w14:textFill>
            <w14:solidFill>
              <w14:schemeClr w14:val="tx1"/>
            </w14:solidFill>
          </w14:textFill>
        </w:rPr>
      </w:pPr>
      <w:r>
        <w:rPr>
          <w:rFonts w:hint="eastAsia" w:ascii="宋体" w:hAnsi="宋体" w:cs="宋体"/>
          <w:snapToGrid w:val="0"/>
          <w:color w:val="000000" w:themeColor="text1"/>
          <w:spacing w:val="4"/>
          <w:kern w:val="0"/>
          <w:sz w:val="30"/>
          <w:szCs w:val="30"/>
          <w:highlight w:val="none"/>
          <w14:textFill>
            <w14:solidFill>
              <w14:schemeClr w14:val="tx1"/>
            </w14:solidFill>
          </w14:textFill>
        </w:rPr>
        <w:t>日  期：</w:t>
      </w:r>
    </w:p>
    <w:p>
      <w:pPr>
        <w:rPr>
          <w:color w:val="000000" w:themeColor="text1"/>
          <w:highlight w:val="none"/>
          <w14:textFill>
            <w14:solidFill>
              <w14:schemeClr w14:val="tx1"/>
            </w14:solidFill>
          </w14:textFill>
        </w:rPr>
      </w:pPr>
    </w:p>
    <w:p>
      <w:pPr>
        <w:pStyle w:val="7"/>
        <w:ind w:left="-3" w:leftChars="-187" w:hanging="390" w:hangingChars="162"/>
        <w:rPr>
          <w:color w:val="000000" w:themeColor="text1"/>
          <w:highlight w:val="none"/>
          <w:lang w:val="zh-CN"/>
          <w14:textFill>
            <w14:solidFill>
              <w14:schemeClr w14:val="tx1"/>
            </w14:solidFill>
          </w14:textFill>
        </w:rPr>
      </w:pPr>
      <w:bookmarkStart w:id="59" w:name="_Toc58838605"/>
      <w:bookmarkEnd w:id="59"/>
      <w:bookmarkStart w:id="60" w:name="_Toc61541797"/>
      <w:bookmarkEnd w:id="60"/>
      <w:bookmarkStart w:id="61" w:name="_Toc6493862"/>
      <w:bookmarkEnd w:id="61"/>
      <w:bookmarkStart w:id="62" w:name="_Toc113276358"/>
      <w:bookmarkEnd w:id="62"/>
      <w:bookmarkStart w:id="63" w:name="_Toc60070633"/>
      <w:bookmarkEnd w:id="63"/>
      <w:r>
        <w:rPr>
          <w:rFonts w:hint="eastAsia"/>
          <w:color w:val="000000" w:themeColor="text1"/>
          <w:highlight w:val="none"/>
          <w14:textFill>
            <w14:solidFill>
              <w14:schemeClr w14:val="tx1"/>
            </w14:solidFill>
          </w14:textFill>
        </w:rPr>
        <w:t>格式十一：广州建设工程施工招标投标书（经济标）</w:t>
      </w:r>
    </w:p>
    <w:p>
      <w:pPr>
        <w:jc w:val="center"/>
        <w:rPr>
          <w:rFonts w:ascii="宋体" w:hAnsi="宋体" w:cs="宋体"/>
          <w:b/>
          <w:color w:val="000000" w:themeColor="text1"/>
          <w:sz w:val="36"/>
          <w:szCs w:val="36"/>
          <w:highlight w:val="none"/>
          <w14:textFill>
            <w14:solidFill>
              <w14:schemeClr w14:val="tx1"/>
            </w14:solidFill>
          </w14:textFill>
        </w:rPr>
      </w:pPr>
      <w:bookmarkStart w:id="64" w:name="_Toc58838606"/>
      <w:bookmarkEnd w:id="64"/>
      <w:r>
        <w:rPr>
          <w:rFonts w:hint="eastAsia" w:ascii="宋体" w:hAnsi="宋体" w:cs="宋体"/>
          <w:b/>
          <w:color w:val="000000" w:themeColor="text1"/>
          <w:sz w:val="36"/>
          <w:szCs w:val="36"/>
          <w:highlight w:val="none"/>
          <w14:textFill>
            <w14:solidFill>
              <w14:schemeClr w14:val="tx1"/>
            </w14:solidFill>
          </w14:textFill>
        </w:rPr>
        <w:t>广州建设工程施工招标投标书（经济标）</w:t>
      </w:r>
    </w:p>
    <w:tbl>
      <w:tblPr>
        <w:tblStyle w:val="3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其中：</w:t>
            </w:r>
            <w:r>
              <w:rPr>
                <w:rFonts w:hint="eastAsia" w:ascii="宋体" w:hAnsi="宋体" w:cs="宋体"/>
                <w:bCs/>
                <w:color w:val="000000" w:themeColor="text1"/>
                <w:sz w:val="24"/>
                <w:szCs w:val="24"/>
                <w:highlight w:val="none"/>
                <w:lang w:val="zh-CN"/>
                <w14:textFill>
                  <w14:solidFill>
                    <w14:schemeClr w14:val="tx1"/>
                  </w14:solidFill>
                </w14:textFill>
              </w:rPr>
              <w:t>人工费</w:t>
            </w:r>
            <w:r>
              <w:rPr>
                <w:rFonts w:hint="eastAsia" w:ascii="宋体" w:hAnsi="宋体" w:cs="宋体"/>
                <w:color w:val="000000" w:themeColor="text1"/>
                <w:sz w:val="24"/>
                <w:szCs w:val="24"/>
                <w:highlight w:val="none"/>
                <w:lang w:val="zh-CN"/>
                <w14:textFill>
                  <w14:solidFill>
                    <w14:schemeClr w14:val="tx1"/>
                  </w14:solidFill>
                </w14:textFill>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其中：</w:t>
            </w:r>
            <w:r>
              <w:rPr>
                <w:rFonts w:hint="eastAsia" w:ascii="宋体" w:hAnsi="宋体" w:cs="宋体"/>
                <w:color w:val="000000" w:themeColor="text1"/>
                <w:sz w:val="24"/>
                <w:szCs w:val="24"/>
                <w:highlight w:val="none"/>
                <w:lang w:val="zh-CN"/>
                <w14:textFill>
                  <w14:solidFill>
                    <w14:schemeClr w14:val="tx1"/>
                  </w14:solidFill>
                </w14:textFill>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投标总工期</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工程质量标准</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保修期限</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000000" w:themeColor="text1"/>
                <w:sz w:val="24"/>
                <w:szCs w:val="24"/>
                <w:highlight w:val="none"/>
                <w14:textFill>
                  <w14:solidFill>
                    <w14:schemeClr w14:val="tx1"/>
                  </w14:solidFill>
                </w14:textFill>
              </w:rPr>
            </w:pPr>
          </w:p>
        </w:tc>
      </w:tr>
    </w:tbl>
    <w:p>
      <w:pPr>
        <w:pStyle w:val="13"/>
        <w:rPr>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7"/>
        <w:ind w:left="-3" w:leftChars="-187" w:hanging="390" w:hangingChars="162"/>
        <w:rPr>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格式十二：参与编制经济标投标文件人员名单</w:t>
      </w:r>
    </w:p>
    <w:p>
      <w:pPr>
        <w:tabs>
          <w:tab w:val="left" w:pos="720"/>
        </w:tabs>
        <w:snapToGrid w:val="0"/>
        <w:spacing w:line="360" w:lineRule="auto"/>
        <w:rPr>
          <w:color w:val="000000" w:themeColor="text1"/>
          <w:sz w:val="24"/>
          <w:szCs w:val="24"/>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highlight w:val="none"/>
                <w14:textFill>
                  <w14:solidFill>
                    <w14:schemeClr w14:val="tx1"/>
                  </w14:solidFill>
                </w14:textFill>
              </w:rPr>
            </w:pPr>
          </w:p>
        </w:tc>
      </w:tr>
    </w:tbl>
    <w:p>
      <w:pPr>
        <w:tabs>
          <w:tab w:val="left" w:pos="720"/>
        </w:tabs>
        <w:snapToGrid w:val="0"/>
        <w:spacing w:line="360" w:lineRule="auto"/>
        <w:rPr>
          <w:color w:val="000000" w:themeColor="text1"/>
          <w:sz w:val="24"/>
          <w:szCs w:val="24"/>
          <w:highlight w:val="none"/>
          <w14:textFill>
            <w14:solidFill>
              <w14:schemeClr w14:val="tx1"/>
            </w14:solidFill>
          </w14:textFill>
        </w:rPr>
      </w:pPr>
    </w:p>
    <w:p>
      <w:pPr>
        <w:pStyle w:val="34"/>
        <w:spacing w:line="360" w:lineRule="auto"/>
        <w:ind w:left="-2" w:leftChars="-1" w:firstLine="367" w:firstLineChars="175"/>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34"/>
        <w:spacing w:line="360" w:lineRule="auto"/>
        <w:ind w:left="-2" w:leftChars="-1" w:firstLineChars="175"/>
        <w:jc w:val="center"/>
        <w:rPr>
          <w:color w:val="000000" w:themeColor="text1"/>
          <w:sz w:val="24"/>
          <w:szCs w:val="24"/>
          <w:highlight w:val="none"/>
          <w14:textFill>
            <w14:solidFill>
              <w14:schemeClr w14:val="tx1"/>
            </w14:solidFill>
          </w14:textFill>
        </w:rPr>
      </w:pPr>
    </w:p>
    <w:p>
      <w:pPr>
        <w:pStyle w:val="7"/>
        <w:ind w:left="-3" w:leftChars="-187" w:hanging="390" w:hangingChars="1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格式十三：对投标文件编制的承诺</w:t>
      </w:r>
    </w:p>
    <w:p>
      <w:pPr>
        <w:pStyle w:val="34"/>
        <w:spacing w:line="360" w:lineRule="auto"/>
        <w:ind w:firstLine="0"/>
        <w:jc w:val="center"/>
        <w:rPr>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对投标文件编制的承诺</w:t>
      </w:r>
    </w:p>
    <w:p>
      <w:pPr>
        <w:pStyle w:val="34"/>
        <w:spacing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本公司授权</w:t>
      </w:r>
      <w:r>
        <w:rPr>
          <w:rFonts w:hint="eastAsia" w:ascii="宋体" w:hAnsi="宋体"/>
          <w:color w:val="000000" w:themeColor="text1"/>
          <w:sz w:val="24"/>
          <w:szCs w:val="24"/>
          <w:highlight w:val="none"/>
          <w:u w:val="single"/>
          <w14:textFill>
            <w14:solidFill>
              <w14:schemeClr w14:val="tx1"/>
            </w14:solidFill>
          </w14:textFill>
        </w:rPr>
        <w:t xml:space="preserve">         （身份证号：               ）</w:t>
      </w:r>
      <w:r>
        <w:rPr>
          <w:rFonts w:hint="eastAsia" w:ascii="宋体" w:hAnsi="宋体"/>
          <w:color w:val="000000" w:themeColor="text1"/>
          <w:sz w:val="24"/>
          <w:szCs w:val="24"/>
          <w:highlight w:val="none"/>
          <w14:textFill>
            <w14:solidFill>
              <w14:schemeClr w14:val="tx1"/>
            </w14:solidFill>
          </w14:textFill>
        </w:rPr>
        <w:t>负责对投标文件的编制及内容进行解释、说明，并承诺以下事项：</w:t>
      </w:r>
    </w:p>
    <w:p>
      <w:pPr>
        <w:pStyle w:val="34"/>
        <w:spacing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1.被授权人清楚投标文件编制的具体情况，包括技术方案文件、工程量清单、以及投标文件的加密打包的理解；</w:t>
      </w:r>
    </w:p>
    <w:p>
      <w:pPr>
        <w:pStyle w:val="34"/>
        <w:spacing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2.在本项目开标至评标结束前，努力确保被授权人在项目评标所在地附近；</w:t>
      </w:r>
    </w:p>
    <w:p>
      <w:pPr>
        <w:pStyle w:val="34"/>
        <w:spacing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3.从评标委员会要求澄清起二小时内，被授权人应如实地书面澄清。</w:t>
      </w:r>
    </w:p>
    <w:p>
      <w:pPr>
        <w:pStyle w:val="34"/>
        <w:spacing w:line="360" w:lineRule="auto"/>
        <w:ind w:left="-2" w:leftChars="-1"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如由于未遵守上述承诺内容之一导致无法进行澄清的，我公司认可和接受评标委员会作出的评审结论。                                 </w:t>
      </w:r>
    </w:p>
    <w:p>
      <w:pPr>
        <w:pStyle w:val="34"/>
        <w:spacing w:line="360" w:lineRule="auto"/>
        <w:ind w:firstLine="360" w:firstLineChars="150"/>
        <w:rPr>
          <w:rFonts w:ascii="宋体" w:hAnsi="宋体"/>
          <w:color w:val="000000" w:themeColor="text1"/>
          <w:sz w:val="24"/>
          <w:szCs w:val="24"/>
          <w:highlight w:val="none"/>
          <w14:textFill>
            <w14:solidFill>
              <w14:schemeClr w14:val="tx1"/>
            </w14:solidFill>
          </w14:textFill>
        </w:rPr>
      </w:pPr>
    </w:p>
    <w:p>
      <w:pPr>
        <w:pStyle w:val="34"/>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附件：《投标文件编制情况》</w:t>
      </w:r>
    </w:p>
    <w:p>
      <w:pPr>
        <w:spacing w:line="360" w:lineRule="auto"/>
        <w:ind w:right="90" w:firstLine="3240" w:firstLineChars="135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投标人名称（盖法人公章）：</w:t>
      </w:r>
    </w:p>
    <w:p>
      <w:pPr>
        <w:spacing w:line="360" w:lineRule="auto"/>
        <w:ind w:firstLine="2160" w:firstLineChars="9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法定代表人或被授权人（签字或盖章）：</w:t>
      </w:r>
    </w:p>
    <w:p>
      <w:pPr>
        <w:spacing w:line="360" w:lineRule="auto"/>
        <w:ind w:firstLine="4440" w:firstLineChars="18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日期：      年   月   日 </w:t>
      </w:r>
    </w:p>
    <w:p>
      <w:pPr>
        <w:pStyle w:val="34"/>
        <w:spacing w:line="360" w:lineRule="auto"/>
        <w:ind w:firstLine="0"/>
        <w:rPr>
          <w:b/>
          <w:color w:val="000000" w:themeColor="text1"/>
          <w:sz w:val="32"/>
          <w:szCs w:val="32"/>
          <w:highlight w:val="none"/>
          <w14:textFill>
            <w14:solidFill>
              <w14:schemeClr w14:val="tx1"/>
            </w14:solidFill>
          </w14:textFill>
        </w:rPr>
      </w:pPr>
    </w:p>
    <w:p>
      <w:pPr>
        <w:pStyle w:val="34"/>
        <w:spacing w:line="360" w:lineRule="auto"/>
        <w:ind w:firstLine="643" w:firstLineChars="200"/>
        <w:jc w:val="center"/>
        <w:rPr>
          <w:color w:val="000000" w:themeColor="text1"/>
          <w:sz w:val="18"/>
          <w:szCs w:val="18"/>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投标文件编制情况</w:t>
      </w:r>
    </w:p>
    <w:p>
      <w:pPr>
        <w:pStyle w:val="34"/>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1.投标文件报价编制方式: □自行编制的，编制的负责人：</w:t>
      </w:r>
      <w:r>
        <w:rPr>
          <w:rFonts w:hint="eastAsia" w:ascii="宋体" w:hAnsi="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highlight w:val="none"/>
          <w14:textFill>
            <w14:solidFill>
              <w14:schemeClr w14:val="tx1"/>
            </w14:solidFill>
          </w14:textFill>
        </w:rPr>
        <w:t>。□委托编制的，受委托单位，编制的负责人：</w:t>
      </w:r>
      <w:r>
        <w:rPr>
          <w:rFonts w:hint="eastAsia" w:ascii="宋体" w:hAnsi="宋体"/>
          <w:color w:val="000000" w:themeColor="text1"/>
          <w:sz w:val="24"/>
          <w:szCs w:val="24"/>
          <w:highlight w:val="none"/>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highlight w:val="none"/>
          <w14:textFill>
            <w14:solidFill>
              <w14:schemeClr w14:val="tx1"/>
            </w14:solidFill>
          </w14:textFill>
        </w:rPr>
        <w:t>。</w:t>
      </w:r>
    </w:p>
    <w:p>
      <w:pPr>
        <w:pStyle w:val="34"/>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4"/>
              <w:spacing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投标文件加密打包的电脑     自有    □      外包    □     其他    □</w:t>
            </w:r>
          </w:p>
          <w:p>
            <w:pPr>
              <w:pStyle w:val="34"/>
              <w:spacing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电脑类型</w:t>
            </w:r>
          </w:p>
          <w:p>
            <w:pPr>
              <w:pStyle w:val="34"/>
              <w:spacing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电脑所属单位</w:t>
            </w:r>
          </w:p>
          <w:p>
            <w:pPr>
              <w:pStyle w:val="34"/>
              <w:spacing w:line="360" w:lineRule="auto"/>
              <w:ind w:firstLine="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电脑所在地址        （如××市××区(县) ××街（路）××号××大厦××房）</w:t>
            </w:r>
          </w:p>
        </w:tc>
      </w:tr>
    </w:tbl>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65" w:name="_Toc115117435"/>
      <w:r>
        <w:rPr>
          <w:rFonts w:hint="eastAsia"/>
          <w:color w:val="000000" w:themeColor="text1"/>
          <w:highlight w:val="none"/>
          <w14:textFill>
            <w14:solidFill>
              <w14:schemeClr w14:val="tx1"/>
            </w14:solidFill>
          </w14:textFill>
        </w:rPr>
        <w:t>第五章技术条件（工程建设标准）</w:t>
      </w:r>
      <w:bookmarkEnd w:id="65"/>
    </w:p>
    <w:p>
      <w:pPr>
        <w:spacing w:line="360" w:lineRule="auto"/>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本工程按照国家有关规定、规范进行施工、验收，具体以施工图纸及相关技术和验收标准、遵照招标人相关规定要求为准。</w:t>
      </w:r>
    </w:p>
    <w:p>
      <w:pPr>
        <w:spacing w:line="360" w:lineRule="auto"/>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本工程实施中采用的材料、设备与工艺，都必须符合上述标准、规范及设计文件的相应要求。</w:t>
      </w:r>
    </w:p>
    <w:p>
      <w:pPr>
        <w:spacing w:line="360" w:lineRule="auto"/>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本招标工程所说明的工程规范是以中国国家公布的所有现行规范及地方政府有关的现行规定，承包人须按此等规范执行。</w:t>
      </w:r>
    </w:p>
    <w:p>
      <w:pPr>
        <w:spacing w:line="360" w:lineRule="auto"/>
        <w:ind w:firstLine="480"/>
        <w:jc w:val="left"/>
        <w:rPr>
          <w:rFonts w:ascii="宋体" w:hAnsi="宋体"/>
          <w:color w:val="000000" w:themeColor="text1"/>
          <w:sz w:val="24"/>
          <w:szCs w:val="24"/>
          <w:highlight w:val="none"/>
          <w14:textFill>
            <w14:solidFill>
              <w14:schemeClr w14:val="tx1"/>
            </w14:solidFill>
          </w14:textFill>
        </w:rPr>
      </w:pPr>
      <w:bookmarkStart w:id="66" w:name="_Toc180499575"/>
      <w:bookmarkStart w:id="67" w:name="_Toc180500232"/>
      <w:bookmarkStart w:id="68" w:name="_Toc180547418"/>
      <w:r>
        <w:rPr>
          <w:rFonts w:hint="eastAsia" w:ascii="宋体" w:hAnsi="宋体"/>
          <w:color w:val="000000" w:themeColor="text1"/>
          <w:sz w:val="24"/>
          <w:szCs w:val="24"/>
          <w:highlight w:val="none"/>
          <w14:textFill>
            <w14:solidFill>
              <w14:schemeClr w14:val="tx1"/>
            </w14:solidFill>
          </w14:textFill>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66"/>
      <w:bookmarkEnd w:id="67"/>
      <w:bookmarkEnd w:id="68"/>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2"/>
        <w:rPr>
          <w:rFonts w:hAnsi="宋体" w:cs="宋体"/>
          <w:color w:val="000000" w:themeColor="text1"/>
          <w:sz w:val="24"/>
          <w:szCs w:val="24"/>
          <w:highlight w:val="none"/>
          <w14:textFill>
            <w14:solidFill>
              <w14:schemeClr w14:val="tx1"/>
            </w14:solidFill>
          </w14:textFill>
        </w:rPr>
      </w:pPr>
    </w:p>
    <w:p>
      <w:pPr>
        <w:pStyle w:val="5"/>
        <w:ind w:left="0"/>
        <w:rPr>
          <w:color w:val="000000" w:themeColor="text1"/>
          <w:highlight w:val="none"/>
          <w14:textFill>
            <w14:solidFill>
              <w14:schemeClr w14:val="tx1"/>
            </w14:solidFill>
          </w14:textFill>
        </w:rPr>
      </w:pPr>
      <w:bookmarkStart w:id="69" w:name="_Toc2272569"/>
      <w:bookmarkEnd w:id="69"/>
      <w:r>
        <w:rPr>
          <w:color w:val="000000" w:themeColor="text1"/>
          <w:highlight w:val="none"/>
          <w14:textFill>
            <w14:solidFill>
              <w14:schemeClr w14:val="tx1"/>
            </w14:solidFill>
          </w14:textFill>
        </w:rPr>
        <w:br w:type="page"/>
      </w:r>
      <w:bookmarkStart w:id="70" w:name="_Toc115117436"/>
      <w:r>
        <w:rPr>
          <w:rFonts w:hint="eastAsia"/>
          <w:color w:val="000000" w:themeColor="text1"/>
          <w:highlight w:val="none"/>
          <w14:textFill>
            <w14:solidFill>
              <w14:schemeClr w14:val="tx1"/>
            </w14:solidFill>
          </w14:textFill>
        </w:rPr>
        <w:t>第六章图纸及勘察资料</w:t>
      </w:r>
      <w:bookmarkEnd w:id="70"/>
    </w:p>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（另册）</w:t>
      </w:r>
    </w:p>
    <w:p>
      <w:pPr>
        <w:pStyle w:val="5"/>
        <w:ind w:left="0"/>
        <w:jc w:val="both"/>
        <w:rPr>
          <w:rFonts w:asci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ind w:left="0"/>
        <w:rPr>
          <w:color w:val="000000" w:themeColor="text1"/>
          <w:highlight w:val="none"/>
          <w14:textFill>
            <w14:solidFill>
              <w14:schemeClr w14:val="tx1"/>
            </w14:solidFill>
          </w14:textFill>
        </w:rPr>
      </w:pPr>
      <w:bookmarkStart w:id="71" w:name="_Toc2272570"/>
      <w:bookmarkEnd w:id="71"/>
      <w:bookmarkStart w:id="72" w:name="_Toc115117437"/>
      <w:r>
        <w:rPr>
          <w:rFonts w:hint="eastAsia"/>
          <w:color w:val="000000" w:themeColor="text1"/>
          <w:highlight w:val="none"/>
          <w14:textFill>
            <w14:solidFill>
              <w14:schemeClr w14:val="tx1"/>
            </w14:solidFill>
          </w14:textFill>
        </w:rPr>
        <w:t>第七章工程量清单</w:t>
      </w:r>
      <w:bookmarkEnd w:id="72"/>
    </w:p>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（另册</w:t>
      </w:r>
      <w:bookmarkStart w:id="73" w:name="_Toc2272571"/>
      <w:bookmarkEnd w:id="73"/>
      <w:bookmarkStart w:id="74" w:name="_Toc115117438"/>
      <w:r>
        <w:rPr>
          <w:rFonts w:hint="eastAsia" w:ascii="宋体" w:hAnsi="宋体"/>
          <w:color w:val="000000" w:themeColor="text1"/>
          <w:sz w:val="24"/>
          <w:szCs w:val="24"/>
          <w:highlight w:val="none"/>
          <w14:textFill>
            <w14:solidFill>
              <w14:schemeClr w14:val="tx1"/>
            </w14:solidFill>
          </w14:textFill>
        </w:rPr>
        <w:t>）</w:t>
      </w:r>
    </w:p>
    <w:p>
      <w:pPr>
        <w:pStyle w:val="5"/>
        <w:rPr>
          <w:color w:val="000000" w:themeColor="text1"/>
          <w:highlight w:val="none"/>
          <w14:textFill>
            <w14:solidFill>
              <w14:schemeClr w14:val="tx1"/>
            </w14:solidFill>
          </w14:textFill>
        </w:rPr>
      </w:pPr>
    </w:p>
    <w:p>
      <w:pPr>
        <w:pStyle w:val="5"/>
        <w:ind w:left="0"/>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第八章最高投标限价</w:t>
      </w:r>
      <w:bookmarkEnd w:id="74"/>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具体详见《最高投标限价公布函》。（另册）</w:t>
      </w:r>
    </w:p>
    <w:p>
      <w:pPr>
        <w:spacing w:line="360" w:lineRule="auto"/>
        <w:ind w:firstLine="480"/>
        <w:rPr>
          <w:rFonts w:ascii="宋体" w:hAnsi="宋体"/>
          <w:color w:val="000000" w:themeColor="text1"/>
          <w:sz w:val="24"/>
          <w:szCs w:val="24"/>
          <w:highlight w:val="none"/>
          <w:u w:val="single"/>
          <w14:textFill>
            <w14:solidFill>
              <w14:schemeClr w14:val="tx1"/>
            </w14:solidFill>
          </w14:textFill>
        </w:rPr>
      </w:pPr>
    </w:p>
    <w:p>
      <w:pPr>
        <w:spacing w:line="360" w:lineRule="auto"/>
        <w:ind w:firstLine="480"/>
        <w:rPr>
          <w:rFonts w:ascii="宋体" w:hAnsi="宋体"/>
          <w:color w:val="000000" w:themeColor="text1"/>
          <w:sz w:val="24"/>
          <w:szCs w:val="24"/>
          <w:highlight w:val="none"/>
          <w:u w:val="singl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24"/>
          <w:jc w:val="center"/>
        </w:pPr>
        <w:r>
          <w:fldChar w:fldCharType="begin"/>
        </w:r>
        <w:r>
          <w:instrText xml:space="preserve">PAGE   \* MERGEFORMAT</w:instrText>
        </w:r>
        <w:r>
          <w:fldChar w:fldCharType="separate"/>
        </w:r>
        <w:r>
          <w:rPr>
            <w:lang w:val="zh-CN"/>
          </w:rPr>
          <w:t>12</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24"/>
          <w:jc w:val="center"/>
        </w:pPr>
        <w:r>
          <w:fldChar w:fldCharType="begin"/>
        </w:r>
        <w:r>
          <w:instrText xml:space="preserve"> PAGE   \* MERGEFORMAT </w:instrText>
        </w:r>
        <w:r>
          <w:fldChar w:fldCharType="separate"/>
        </w:r>
        <w:r>
          <w:rPr>
            <w:lang w:val="zh-CN"/>
          </w:rPr>
          <w:t>47</w:t>
        </w:r>
        <w:r>
          <w:rPr>
            <w:lang w:val="zh-CN"/>
          </w:rPr>
          <w:fldChar w:fldCharType="end"/>
        </w:r>
      </w:p>
    </w:sdtContent>
  </w:sdt>
  <w:p>
    <w:pPr>
      <w:pStyle w:val="24"/>
      <w:rPr>
        <w:rStyle w:val="4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24"/>
          <w:jc w:val="center"/>
        </w:pPr>
        <w:r>
          <w:rPr>
            <w:rFonts w:hint="eastAsia"/>
          </w:rPr>
          <w:t>1</w:t>
        </w:r>
      </w:p>
    </w:sdtContent>
  </w:sdt>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72</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76</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8"/>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310E2651"/>
    <w:multiLevelType w:val="multilevel"/>
    <w:tmpl w:val="310E2651"/>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NjJiYTBjY2YzZGUzYjVlNjdiMTgzZjhlODY3NDkifQ=="/>
  </w:docVars>
  <w:rsids>
    <w:rsidRoot w:val="007B41BE"/>
    <w:rsid w:val="000074E4"/>
    <w:rsid w:val="00015DAD"/>
    <w:rsid w:val="000200EE"/>
    <w:rsid w:val="00021750"/>
    <w:rsid w:val="000311F2"/>
    <w:rsid w:val="0003686F"/>
    <w:rsid w:val="00036894"/>
    <w:rsid w:val="00040851"/>
    <w:rsid w:val="00041293"/>
    <w:rsid w:val="00045BCA"/>
    <w:rsid w:val="00055CB5"/>
    <w:rsid w:val="000575F8"/>
    <w:rsid w:val="00060036"/>
    <w:rsid w:val="00063BCD"/>
    <w:rsid w:val="00067567"/>
    <w:rsid w:val="00072B82"/>
    <w:rsid w:val="00072F72"/>
    <w:rsid w:val="00074E76"/>
    <w:rsid w:val="00077106"/>
    <w:rsid w:val="0008526D"/>
    <w:rsid w:val="00085906"/>
    <w:rsid w:val="0008728F"/>
    <w:rsid w:val="00087847"/>
    <w:rsid w:val="00090D8C"/>
    <w:rsid w:val="0009561D"/>
    <w:rsid w:val="00097E7B"/>
    <w:rsid w:val="000A1089"/>
    <w:rsid w:val="000A2AC7"/>
    <w:rsid w:val="000A62A8"/>
    <w:rsid w:val="000C1007"/>
    <w:rsid w:val="000C11E0"/>
    <w:rsid w:val="000C233E"/>
    <w:rsid w:val="000C2710"/>
    <w:rsid w:val="000C722B"/>
    <w:rsid w:val="000C7499"/>
    <w:rsid w:val="000D2542"/>
    <w:rsid w:val="000D396E"/>
    <w:rsid w:val="000D7190"/>
    <w:rsid w:val="000E4198"/>
    <w:rsid w:val="000F04D2"/>
    <w:rsid w:val="000F1678"/>
    <w:rsid w:val="000F5656"/>
    <w:rsid w:val="00101B2E"/>
    <w:rsid w:val="00103AC7"/>
    <w:rsid w:val="0011247B"/>
    <w:rsid w:val="00112C77"/>
    <w:rsid w:val="00113F39"/>
    <w:rsid w:val="001218A4"/>
    <w:rsid w:val="0012217C"/>
    <w:rsid w:val="001221D1"/>
    <w:rsid w:val="00123FED"/>
    <w:rsid w:val="00130E58"/>
    <w:rsid w:val="0013161C"/>
    <w:rsid w:val="00133FD1"/>
    <w:rsid w:val="00144550"/>
    <w:rsid w:val="001447E1"/>
    <w:rsid w:val="001533C8"/>
    <w:rsid w:val="00153EEE"/>
    <w:rsid w:val="00155CB4"/>
    <w:rsid w:val="00161E35"/>
    <w:rsid w:val="00163E1F"/>
    <w:rsid w:val="001642F8"/>
    <w:rsid w:val="00164421"/>
    <w:rsid w:val="00164748"/>
    <w:rsid w:val="001651D8"/>
    <w:rsid w:val="00170370"/>
    <w:rsid w:val="00175F08"/>
    <w:rsid w:val="001768BA"/>
    <w:rsid w:val="00181CAA"/>
    <w:rsid w:val="00182AE8"/>
    <w:rsid w:val="0018536E"/>
    <w:rsid w:val="00187A21"/>
    <w:rsid w:val="00196189"/>
    <w:rsid w:val="00196AD3"/>
    <w:rsid w:val="001A028E"/>
    <w:rsid w:val="001A06A5"/>
    <w:rsid w:val="001A1568"/>
    <w:rsid w:val="001A1F2C"/>
    <w:rsid w:val="001A44F5"/>
    <w:rsid w:val="001B0F25"/>
    <w:rsid w:val="001B478F"/>
    <w:rsid w:val="001B563D"/>
    <w:rsid w:val="001B6E03"/>
    <w:rsid w:val="001C7973"/>
    <w:rsid w:val="001D1910"/>
    <w:rsid w:val="001D618C"/>
    <w:rsid w:val="001E6581"/>
    <w:rsid w:val="001E6A6A"/>
    <w:rsid w:val="001F1347"/>
    <w:rsid w:val="001F137B"/>
    <w:rsid w:val="001F149B"/>
    <w:rsid w:val="001F579D"/>
    <w:rsid w:val="001F5BB1"/>
    <w:rsid w:val="001F615D"/>
    <w:rsid w:val="001F7846"/>
    <w:rsid w:val="00200540"/>
    <w:rsid w:val="00204625"/>
    <w:rsid w:val="00205692"/>
    <w:rsid w:val="00205C57"/>
    <w:rsid w:val="00206E6D"/>
    <w:rsid w:val="00213DD2"/>
    <w:rsid w:val="00221C2B"/>
    <w:rsid w:val="00223431"/>
    <w:rsid w:val="00223A7C"/>
    <w:rsid w:val="00225583"/>
    <w:rsid w:val="00225903"/>
    <w:rsid w:val="00227C77"/>
    <w:rsid w:val="00233FBE"/>
    <w:rsid w:val="00236C59"/>
    <w:rsid w:val="00243215"/>
    <w:rsid w:val="00244D69"/>
    <w:rsid w:val="00245C8B"/>
    <w:rsid w:val="0024638E"/>
    <w:rsid w:val="00247195"/>
    <w:rsid w:val="00250C6A"/>
    <w:rsid w:val="00250E7C"/>
    <w:rsid w:val="0025180B"/>
    <w:rsid w:val="002563F7"/>
    <w:rsid w:val="002604BC"/>
    <w:rsid w:val="00262055"/>
    <w:rsid w:val="00263F62"/>
    <w:rsid w:val="002647ED"/>
    <w:rsid w:val="00270C5A"/>
    <w:rsid w:val="00276DBE"/>
    <w:rsid w:val="002807FB"/>
    <w:rsid w:val="0028137B"/>
    <w:rsid w:val="002910CF"/>
    <w:rsid w:val="0029293A"/>
    <w:rsid w:val="002944B2"/>
    <w:rsid w:val="00294E74"/>
    <w:rsid w:val="002A14BA"/>
    <w:rsid w:val="002A269D"/>
    <w:rsid w:val="002A32AA"/>
    <w:rsid w:val="002A579E"/>
    <w:rsid w:val="002A7C0C"/>
    <w:rsid w:val="002B6096"/>
    <w:rsid w:val="002C1A59"/>
    <w:rsid w:val="002C2579"/>
    <w:rsid w:val="002C55C3"/>
    <w:rsid w:val="002C7B67"/>
    <w:rsid w:val="002D23BE"/>
    <w:rsid w:val="002D7B35"/>
    <w:rsid w:val="002D7CEC"/>
    <w:rsid w:val="002E082A"/>
    <w:rsid w:val="002E2DB4"/>
    <w:rsid w:val="002E3E42"/>
    <w:rsid w:val="002E589E"/>
    <w:rsid w:val="002E6D1B"/>
    <w:rsid w:val="002F467E"/>
    <w:rsid w:val="002F5A9D"/>
    <w:rsid w:val="002F600A"/>
    <w:rsid w:val="00300080"/>
    <w:rsid w:val="00304F31"/>
    <w:rsid w:val="00306124"/>
    <w:rsid w:val="00307FA8"/>
    <w:rsid w:val="00307FFE"/>
    <w:rsid w:val="003100EC"/>
    <w:rsid w:val="0031283F"/>
    <w:rsid w:val="003167D3"/>
    <w:rsid w:val="00316981"/>
    <w:rsid w:val="00317F0B"/>
    <w:rsid w:val="00321F29"/>
    <w:rsid w:val="003261B7"/>
    <w:rsid w:val="00326CB9"/>
    <w:rsid w:val="00327C8D"/>
    <w:rsid w:val="00330510"/>
    <w:rsid w:val="0033307D"/>
    <w:rsid w:val="0033355C"/>
    <w:rsid w:val="00335A96"/>
    <w:rsid w:val="00336735"/>
    <w:rsid w:val="00336AA3"/>
    <w:rsid w:val="0033726E"/>
    <w:rsid w:val="003423A2"/>
    <w:rsid w:val="0034387A"/>
    <w:rsid w:val="00343D88"/>
    <w:rsid w:val="00343E40"/>
    <w:rsid w:val="00344ABB"/>
    <w:rsid w:val="00345B2E"/>
    <w:rsid w:val="0034655B"/>
    <w:rsid w:val="0034695C"/>
    <w:rsid w:val="00346AB2"/>
    <w:rsid w:val="00350231"/>
    <w:rsid w:val="003520A0"/>
    <w:rsid w:val="0035291A"/>
    <w:rsid w:val="00357E62"/>
    <w:rsid w:val="00357FE6"/>
    <w:rsid w:val="00362102"/>
    <w:rsid w:val="00363675"/>
    <w:rsid w:val="00371E02"/>
    <w:rsid w:val="00372166"/>
    <w:rsid w:val="00372C2C"/>
    <w:rsid w:val="00380158"/>
    <w:rsid w:val="00380228"/>
    <w:rsid w:val="0038042D"/>
    <w:rsid w:val="003927AD"/>
    <w:rsid w:val="00394C2F"/>
    <w:rsid w:val="003977E1"/>
    <w:rsid w:val="003A1D23"/>
    <w:rsid w:val="003A5A5B"/>
    <w:rsid w:val="003A6423"/>
    <w:rsid w:val="003A754C"/>
    <w:rsid w:val="003A7871"/>
    <w:rsid w:val="003B2071"/>
    <w:rsid w:val="003B426C"/>
    <w:rsid w:val="003C73E9"/>
    <w:rsid w:val="003D1238"/>
    <w:rsid w:val="003D24DF"/>
    <w:rsid w:val="003D7295"/>
    <w:rsid w:val="003E2CEE"/>
    <w:rsid w:val="003E45B7"/>
    <w:rsid w:val="003E6B0F"/>
    <w:rsid w:val="00407241"/>
    <w:rsid w:val="00410A29"/>
    <w:rsid w:val="004161AC"/>
    <w:rsid w:val="00422D37"/>
    <w:rsid w:val="00433E85"/>
    <w:rsid w:val="004354D0"/>
    <w:rsid w:val="00435AEA"/>
    <w:rsid w:val="004370EC"/>
    <w:rsid w:val="004424B8"/>
    <w:rsid w:val="00443304"/>
    <w:rsid w:val="00445D04"/>
    <w:rsid w:val="00450C90"/>
    <w:rsid w:val="004540A3"/>
    <w:rsid w:val="00454CD2"/>
    <w:rsid w:val="00455071"/>
    <w:rsid w:val="00462E4E"/>
    <w:rsid w:val="004704DD"/>
    <w:rsid w:val="00472A60"/>
    <w:rsid w:val="00473C2F"/>
    <w:rsid w:val="0047462F"/>
    <w:rsid w:val="00481059"/>
    <w:rsid w:val="00482CB3"/>
    <w:rsid w:val="00484865"/>
    <w:rsid w:val="0048537E"/>
    <w:rsid w:val="0049334D"/>
    <w:rsid w:val="00494198"/>
    <w:rsid w:val="00496DF8"/>
    <w:rsid w:val="00497F3D"/>
    <w:rsid w:val="004A20E9"/>
    <w:rsid w:val="004A354F"/>
    <w:rsid w:val="004A4090"/>
    <w:rsid w:val="004B1F72"/>
    <w:rsid w:val="004B295D"/>
    <w:rsid w:val="004C23D1"/>
    <w:rsid w:val="004C333B"/>
    <w:rsid w:val="004C54A5"/>
    <w:rsid w:val="004C55C6"/>
    <w:rsid w:val="004C6199"/>
    <w:rsid w:val="004D0741"/>
    <w:rsid w:val="004D6316"/>
    <w:rsid w:val="004E3DCA"/>
    <w:rsid w:val="004F38F3"/>
    <w:rsid w:val="004F4569"/>
    <w:rsid w:val="00501AC3"/>
    <w:rsid w:val="00502826"/>
    <w:rsid w:val="0050500A"/>
    <w:rsid w:val="005052E5"/>
    <w:rsid w:val="00512942"/>
    <w:rsid w:val="0051581C"/>
    <w:rsid w:val="00515D46"/>
    <w:rsid w:val="005171F8"/>
    <w:rsid w:val="005176A2"/>
    <w:rsid w:val="0052380E"/>
    <w:rsid w:val="005262BC"/>
    <w:rsid w:val="00526AA2"/>
    <w:rsid w:val="00535C0C"/>
    <w:rsid w:val="00553761"/>
    <w:rsid w:val="00553A32"/>
    <w:rsid w:val="005547C2"/>
    <w:rsid w:val="00555C17"/>
    <w:rsid w:val="00556A89"/>
    <w:rsid w:val="00564AE0"/>
    <w:rsid w:val="00565B76"/>
    <w:rsid w:val="00565CE4"/>
    <w:rsid w:val="0056789A"/>
    <w:rsid w:val="005704B8"/>
    <w:rsid w:val="00571664"/>
    <w:rsid w:val="005722AF"/>
    <w:rsid w:val="00572B10"/>
    <w:rsid w:val="00574F8D"/>
    <w:rsid w:val="005775A0"/>
    <w:rsid w:val="00581AB8"/>
    <w:rsid w:val="005866FB"/>
    <w:rsid w:val="00595028"/>
    <w:rsid w:val="005A6667"/>
    <w:rsid w:val="005A7236"/>
    <w:rsid w:val="005B0D9A"/>
    <w:rsid w:val="005B65DD"/>
    <w:rsid w:val="005B7504"/>
    <w:rsid w:val="005B7F03"/>
    <w:rsid w:val="005C212B"/>
    <w:rsid w:val="005E0C5D"/>
    <w:rsid w:val="005E1B21"/>
    <w:rsid w:val="005E1F42"/>
    <w:rsid w:val="005E3743"/>
    <w:rsid w:val="005F0CE0"/>
    <w:rsid w:val="005F499A"/>
    <w:rsid w:val="005F6F7D"/>
    <w:rsid w:val="0060081E"/>
    <w:rsid w:val="006036EF"/>
    <w:rsid w:val="00604988"/>
    <w:rsid w:val="00607598"/>
    <w:rsid w:val="006102B3"/>
    <w:rsid w:val="00610B2E"/>
    <w:rsid w:val="00613D5E"/>
    <w:rsid w:val="0061704C"/>
    <w:rsid w:val="0061713D"/>
    <w:rsid w:val="00617937"/>
    <w:rsid w:val="00625964"/>
    <w:rsid w:val="00635845"/>
    <w:rsid w:val="0063588A"/>
    <w:rsid w:val="0064370C"/>
    <w:rsid w:val="00643BD8"/>
    <w:rsid w:val="006456F6"/>
    <w:rsid w:val="00652660"/>
    <w:rsid w:val="00653C8E"/>
    <w:rsid w:val="006554C7"/>
    <w:rsid w:val="00663926"/>
    <w:rsid w:val="00667E3B"/>
    <w:rsid w:val="00670AF4"/>
    <w:rsid w:val="0067256E"/>
    <w:rsid w:val="00673B83"/>
    <w:rsid w:val="00680BFD"/>
    <w:rsid w:val="00680F1A"/>
    <w:rsid w:val="00682AC5"/>
    <w:rsid w:val="0068323F"/>
    <w:rsid w:val="00684357"/>
    <w:rsid w:val="00684B52"/>
    <w:rsid w:val="0068670A"/>
    <w:rsid w:val="006A6782"/>
    <w:rsid w:val="006B1FDF"/>
    <w:rsid w:val="006B3A48"/>
    <w:rsid w:val="006B3DA4"/>
    <w:rsid w:val="006B6B0D"/>
    <w:rsid w:val="006C5202"/>
    <w:rsid w:val="006C64E6"/>
    <w:rsid w:val="006D091B"/>
    <w:rsid w:val="006E0BFC"/>
    <w:rsid w:val="006E1BFB"/>
    <w:rsid w:val="006E235E"/>
    <w:rsid w:val="006E24EE"/>
    <w:rsid w:val="006E40FB"/>
    <w:rsid w:val="006E5769"/>
    <w:rsid w:val="006E596C"/>
    <w:rsid w:val="006E6623"/>
    <w:rsid w:val="006E7E06"/>
    <w:rsid w:val="006F0066"/>
    <w:rsid w:val="006F11CD"/>
    <w:rsid w:val="006F3576"/>
    <w:rsid w:val="006F4666"/>
    <w:rsid w:val="006F64F4"/>
    <w:rsid w:val="0070196D"/>
    <w:rsid w:val="00702C10"/>
    <w:rsid w:val="00703AD7"/>
    <w:rsid w:val="00705C62"/>
    <w:rsid w:val="00706286"/>
    <w:rsid w:val="007219BF"/>
    <w:rsid w:val="00722ABB"/>
    <w:rsid w:val="007236E6"/>
    <w:rsid w:val="00723EE5"/>
    <w:rsid w:val="00724B83"/>
    <w:rsid w:val="007320F2"/>
    <w:rsid w:val="00732291"/>
    <w:rsid w:val="0073229B"/>
    <w:rsid w:val="0073530F"/>
    <w:rsid w:val="00742B51"/>
    <w:rsid w:val="00744066"/>
    <w:rsid w:val="007444FA"/>
    <w:rsid w:val="0074661E"/>
    <w:rsid w:val="007475C9"/>
    <w:rsid w:val="007505F6"/>
    <w:rsid w:val="007524CE"/>
    <w:rsid w:val="007531CD"/>
    <w:rsid w:val="00757B9E"/>
    <w:rsid w:val="007609C8"/>
    <w:rsid w:val="00763881"/>
    <w:rsid w:val="00771D7F"/>
    <w:rsid w:val="00772060"/>
    <w:rsid w:val="00773BE7"/>
    <w:rsid w:val="00776379"/>
    <w:rsid w:val="007801D2"/>
    <w:rsid w:val="00780ADB"/>
    <w:rsid w:val="00780EC8"/>
    <w:rsid w:val="007830A7"/>
    <w:rsid w:val="007830F9"/>
    <w:rsid w:val="00784FBC"/>
    <w:rsid w:val="00785599"/>
    <w:rsid w:val="00790CE3"/>
    <w:rsid w:val="00792E5A"/>
    <w:rsid w:val="00793476"/>
    <w:rsid w:val="007939B3"/>
    <w:rsid w:val="007A1AF2"/>
    <w:rsid w:val="007A1D58"/>
    <w:rsid w:val="007B1583"/>
    <w:rsid w:val="007B1729"/>
    <w:rsid w:val="007B308D"/>
    <w:rsid w:val="007B41BE"/>
    <w:rsid w:val="007B4D18"/>
    <w:rsid w:val="007C018A"/>
    <w:rsid w:val="007C0F0F"/>
    <w:rsid w:val="007C4209"/>
    <w:rsid w:val="007C4D40"/>
    <w:rsid w:val="007D3367"/>
    <w:rsid w:val="007D470C"/>
    <w:rsid w:val="007D6D06"/>
    <w:rsid w:val="007D6F25"/>
    <w:rsid w:val="007E0316"/>
    <w:rsid w:val="007E10AB"/>
    <w:rsid w:val="007E2AA3"/>
    <w:rsid w:val="007E4434"/>
    <w:rsid w:val="007F3F7D"/>
    <w:rsid w:val="00801A00"/>
    <w:rsid w:val="0080294C"/>
    <w:rsid w:val="00803929"/>
    <w:rsid w:val="00804CBF"/>
    <w:rsid w:val="008151C6"/>
    <w:rsid w:val="0081688D"/>
    <w:rsid w:val="00816DB6"/>
    <w:rsid w:val="00822822"/>
    <w:rsid w:val="008237DF"/>
    <w:rsid w:val="00826AB3"/>
    <w:rsid w:val="008305D4"/>
    <w:rsid w:val="00830AEF"/>
    <w:rsid w:val="0083284B"/>
    <w:rsid w:val="00834B56"/>
    <w:rsid w:val="00835C9E"/>
    <w:rsid w:val="00842AFA"/>
    <w:rsid w:val="00844C02"/>
    <w:rsid w:val="00847123"/>
    <w:rsid w:val="00850163"/>
    <w:rsid w:val="00850640"/>
    <w:rsid w:val="0085099D"/>
    <w:rsid w:val="00853811"/>
    <w:rsid w:val="00854045"/>
    <w:rsid w:val="008571A2"/>
    <w:rsid w:val="00862269"/>
    <w:rsid w:val="00862620"/>
    <w:rsid w:val="008628FB"/>
    <w:rsid w:val="00867D52"/>
    <w:rsid w:val="00870F46"/>
    <w:rsid w:val="00871B67"/>
    <w:rsid w:val="00871EB8"/>
    <w:rsid w:val="00880C48"/>
    <w:rsid w:val="00883169"/>
    <w:rsid w:val="00884BFD"/>
    <w:rsid w:val="00887C1D"/>
    <w:rsid w:val="00894522"/>
    <w:rsid w:val="00894C0A"/>
    <w:rsid w:val="008A3D3E"/>
    <w:rsid w:val="008A6F61"/>
    <w:rsid w:val="008A7A70"/>
    <w:rsid w:val="008B0A38"/>
    <w:rsid w:val="008B207F"/>
    <w:rsid w:val="008B423F"/>
    <w:rsid w:val="008C0156"/>
    <w:rsid w:val="008C0B87"/>
    <w:rsid w:val="008C1E6C"/>
    <w:rsid w:val="008D2515"/>
    <w:rsid w:val="008D7A1A"/>
    <w:rsid w:val="008E4AD1"/>
    <w:rsid w:val="008E7032"/>
    <w:rsid w:val="008F0F40"/>
    <w:rsid w:val="008F30D8"/>
    <w:rsid w:val="008F3C51"/>
    <w:rsid w:val="008F4731"/>
    <w:rsid w:val="009135F3"/>
    <w:rsid w:val="0091516D"/>
    <w:rsid w:val="00916602"/>
    <w:rsid w:val="00920E49"/>
    <w:rsid w:val="00925369"/>
    <w:rsid w:val="00926B18"/>
    <w:rsid w:val="009318CC"/>
    <w:rsid w:val="009361DF"/>
    <w:rsid w:val="00952E33"/>
    <w:rsid w:val="00956610"/>
    <w:rsid w:val="009705E6"/>
    <w:rsid w:val="00971A76"/>
    <w:rsid w:val="00974948"/>
    <w:rsid w:val="00974E6A"/>
    <w:rsid w:val="00977A02"/>
    <w:rsid w:val="00982111"/>
    <w:rsid w:val="009850C7"/>
    <w:rsid w:val="00986158"/>
    <w:rsid w:val="00987448"/>
    <w:rsid w:val="00987790"/>
    <w:rsid w:val="009877BB"/>
    <w:rsid w:val="00991949"/>
    <w:rsid w:val="00994ABB"/>
    <w:rsid w:val="0099692F"/>
    <w:rsid w:val="00997ECA"/>
    <w:rsid w:val="009A08FD"/>
    <w:rsid w:val="009A2225"/>
    <w:rsid w:val="009A3155"/>
    <w:rsid w:val="009A6336"/>
    <w:rsid w:val="009A6B2B"/>
    <w:rsid w:val="009A704D"/>
    <w:rsid w:val="009A77E7"/>
    <w:rsid w:val="009A7B57"/>
    <w:rsid w:val="009C14B5"/>
    <w:rsid w:val="009C2CC8"/>
    <w:rsid w:val="009C3090"/>
    <w:rsid w:val="009C322A"/>
    <w:rsid w:val="009C438A"/>
    <w:rsid w:val="009D289E"/>
    <w:rsid w:val="009D4267"/>
    <w:rsid w:val="009D59EB"/>
    <w:rsid w:val="009D70A8"/>
    <w:rsid w:val="009E02DA"/>
    <w:rsid w:val="009E2072"/>
    <w:rsid w:val="009F0BA7"/>
    <w:rsid w:val="009F266D"/>
    <w:rsid w:val="009F63F0"/>
    <w:rsid w:val="00A01DC4"/>
    <w:rsid w:val="00A02D6E"/>
    <w:rsid w:val="00A0387A"/>
    <w:rsid w:val="00A0619D"/>
    <w:rsid w:val="00A13369"/>
    <w:rsid w:val="00A14E3F"/>
    <w:rsid w:val="00A20AF3"/>
    <w:rsid w:val="00A2299A"/>
    <w:rsid w:val="00A23546"/>
    <w:rsid w:val="00A23787"/>
    <w:rsid w:val="00A2579D"/>
    <w:rsid w:val="00A25E62"/>
    <w:rsid w:val="00A27A95"/>
    <w:rsid w:val="00A328BC"/>
    <w:rsid w:val="00A33C3D"/>
    <w:rsid w:val="00A35E85"/>
    <w:rsid w:val="00A3685C"/>
    <w:rsid w:val="00A429B9"/>
    <w:rsid w:val="00A42D7A"/>
    <w:rsid w:val="00A43D00"/>
    <w:rsid w:val="00A47563"/>
    <w:rsid w:val="00A50D34"/>
    <w:rsid w:val="00A51556"/>
    <w:rsid w:val="00A52B9E"/>
    <w:rsid w:val="00A54020"/>
    <w:rsid w:val="00A55BA9"/>
    <w:rsid w:val="00A61B2C"/>
    <w:rsid w:val="00A641BF"/>
    <w:rsid w:val="00A64E29"/>
    <w:rsid w:val="00A668AE"/>
    <w:rsid w:val="00A7320B"/>
    <w:rsid w:val="00A74613"/>
    <w:rsid w:val="00A76360"/>
    <w:rsid w:val="00A805C5"/>
    <w:rsid w:val="00A82AD9"/>
    <w:rsid w:val="00A83BD5"/>
    <w:rsid w:val="00A8552D"/>
    <w:rsid w:val="00A85D53"/>
    <w:rsid w:val="00A90834"/>
    <w:rsid w:val="00A92346"/>
    <w:rsid w:val="00A94F43"/>
    <w:rsid w:val="00A951DF"/>
    <w:rsid w:val="00A96AF6"/>
    <w:rsid w:val="00AA0B5A"/>
    <w:rsid w:val="00AB1F7A"/>
    <w:rsid w:val="00AB39E3"/>
    <w:rsid w:val="00AB4520"/>
    <w:rsid w:val="00AB57CE"/>
    <w:rsid w:val="00AC0EEB"/>
    <w:rsid w:val="00AC3399"/>
    <w:rsid w:val="00AC4F76"/>
    <w:rsid w:val="00AC67E7"/>
    <w:rsid w:val="00AC7D3A"/>
    <w:rsid w:val="00AC7F0E"/>
    <w:rsid w:val="00AD2C19"/>
    <w:rsid w:val="00AD2EEF"/>
    <w:rsid w:val="00AD3DEE"/>
    <w:rsid w:val="00AD6716"/>
    <w:rsid w:val="00AE02FA"/>
    <w:rsid w:val="00AE16C8"/>
    <w:rsid w:val="00AE188C"/>
    <w:rsid w:val="00AE30DC"/>
    <w:rsid w:val="00AE772A"/>
    <w:rsid w:val="00AE7F8A"/>
    <w:rsid w:val="00AF012E"/>
    <w:rsid w:val="00AF1DDF"/>
    <w:rsid w:val="00AF67DF"/>
    <w:rsid w:val="00B00744"/>
    <w:rsid w:val="00B01552"/>
    <w:rsid w:val="00B036FD"/>
    <w:rsid w:val="00B0530A"/>
    <w:rsid w:val="00B07064"/>
    <w:rsid w:val="00B11623"/>
    <w:rsid w:val="00B20093"/>
    <w:rsid w:val="00B2150E"/>
    <w:rsid w:val="00B237F1"/>
    <w:rsid w:val="00B23ADE"/>
    <w:rsid w:val="00B25EB7"/>
    <w:rsid w:val="00B26494"/>
    <w:rsid w:val="00B317CD"/>
    <w:rsid w:val="00B325A7"/>
    <w:rsid w:val="00B426A6"/>
    <w:rsid w:val="00B43C32"/>
    <w:rsid w:val="00B45041"/>
    <w:rsid w:val="00B5114B"/>
    <w:rsid w:val="00B554D7"/>
    <w:rsid w:val="00B55989"/>
    <w:rsid w:val="00B561DB"/>
    <w:rsid w:val="00B56ABC"/>
    <w:rsid w:val="00B63389"/>
    <w:rsid w:val="00B64CD7"/>
    <w:rsid w:val="00B65F1A"/>
    <w:rsid w:val="00B704B0"/>
    <w:rsid w:val="00B71DD7"/>
    <w:rsid w:val="00B75896"/>
    <w:rsid w:val="00B76486"/>
    <w:rsid w:val="00B76562"/>
    <w:rsid w:val="00B8137E"/>
    <w:rsid w:val="00B8144B"/>
    <w:rsid w:val="00B82A77"/>
    <w:rsid w:val="00B84305"/>
    <w:rsid w:val="00B85A5C"/>
    <w:rsid w:val="00B918D2"/>
    <w:rsid w:val="00B91AF0"/>
    <w:rsid w:val="00BA68B6"/>
    <w:rsid w:val="00BB106D"/>
    <w:rsid w:val="00BB255F"/>
    <w:rsid w:val="00BB38A1"/>
    <w:rsid w:val="00BB442F"/>
    <w:rsid w:val="00BB64D8"/>
    <w:rsid w:val="00BB6C54"/>
    <w:rsid w:val="00BB7923"/>
    <w:rsid w:val="00BC1A44"/>
    <w:rsid w:val="00BC3AD2"/>
    <w:rsid w:val="00BC42A8"/>
    <w:rsid w:val="00BC70B6"/>
    <w:rsid w:val="00BC7B91"/>
    <w:rsid w:val="00BD0830"/>
    <w:rsid w:val="00BD18C3"/>
    <w:rsid w:val="00BD2BB7"/>
    <w:rsid w:val="00BD6CD3"/>
    <w:rsid w:val="00BE0C68"/>
    <w:rsid w:val="00BE1732"/>
    <w:rsid w:val="00BE216D"/>
    <w:rsid w:val="00BE560F"/>
    <w:rsid w:val="00BF080B"/>
    <w:rsid w:val="00BF6F86"/>
    <w:rsid w:val="00BF7653"/>
    <w:rsid w:val="00C00E83"/>
    <w:rsid w:val="00C0123B"/>
    <w:rsid w:val="00C04954"/>
    <w:rsid w:val="00C0756F"/>
    <w:rsid w:val="00C104AC"/>
    <w:rsid w:val="00C22329"/>
    <w:rsid w:val="00C24862"/>
    <w:rsid w:val="00C267C0"/>
    <w:rsid w:val="00C30457"/>
    <w:rsid w:val="00C32C1E"/>
    <w:rsid w:val="00C408D3"/>
    <w:rsid w:val="00C420B6"/>
    <w:rsid w:val="00C51033"/>
    <w:rsid w:val="00C552E4"/>
    <w:rsid w:val="00C557C4"/>
    <w:rsid w:val="00C62470"/>
    <w:rsid w:val="00C64342"/>
    <w:rsid w:val="00C64ACE"/>
    <w:rsid w:val="00C701CD"/>
    <w:rsid w:val="00C74243"/>
    <w:rsid w:val="00C745A2"/>
    <w:rsid w:val="00C74BDC"/>
    <w:rsid w:val="00C76431"/>
    <w:rsid w:val="00C8049B"/>
    <w:rsid w:val="00C81F53"/>
    <w:rsid w:val="00C82C8A"/>
    <w:rsid w:val="00C84265"/>
    <w:rsid w:val="00C84EAD"/>
    <w:rsid w:val="00C903F1"/>
    <w:rsid w:val="00C90C90"/>
    <w:rsid w:val="00C9460C"/>
    <w:rsid w:val="00C95481"/>
    <w:rsid w:val="00C95799"/>
    <w:rsid w:val="00C96884"/>
    <w:rsid w:val="00CA43F5"/>
    <w:rsid w:val="00CA4E47"/>
    <w:rsid w:val="00CB4A6D"/>
    <w:rsid w:val="00CB7C89"/>
    <w:rsid w:val="00CC2B27"/>
    <w:rsid w:val="00CC6AE6"/>
    <w:rsid w:val="00CD156B"/>
    <w:rsid w:val="00CD3951"/>
    <w:rsid w:val="00CD54D0"/>
    <w:rsid w:val="00CE278E"/>
    <w:rsid w:val="00CE3E8B"/>
    <w:rsid w:val="00CE48E9"/>
    <w:rsid w:val="00CE4913"/>
    <w:rsid w:val="00CE78A7"/>
    <w:rsid w:val="00CF0E9A"/>
    <w:rsid w:val="00CF1B52"/>
    <w:rsid w:val="00CF253C"/>
    <w:rsid w:val="00CF4633"/>
    <w:rsid w:val="00D03A51"/>
    <w:rsid w:val="00D07E85"/>
    <w:rsid w:val="00D20732"/>
    <w:rsid w:val="00D218D8"/>
    <w:rsid w:val="00D2323C"/>
    <w:rsid w:val="00D25398"/>
    <w:rsid w:val="00D30828"/>
    <w:rsid w:val="00D32C81"/>
    <w:rsid w:val="00D34C50"/>
    <w:rsid w:val="00D35149"/>
    <w:rsid w:val="00D354BD"/>
    <w:rsid w:val="00D3674E"/>
    <w:rsid w:val="00D368BF"/>
    <w:rsid w:val="00D368CD"/>
    <w:rsid w:val="00D40C41"/>
    <w:rsid w:val="00D40DD0"/>
    <w:rsid w:val="00D44C57"/>
    <w:rsid w:val="00D45494"/>
    <w:rsid w:val="00D54CC0"/>
    <w:rsid w:val="00D56ED3"/>
    <w:rsid w:val="00D603B6"/>
    <w:rsid w:val="00D635C5"/>
    <w:rsid w:val="00D663A9"/>
    <w:rsid w:val="00D70CD8"/>
    <w:rsid w:val="00D722EE"/>
    <w:rsid w:val="00D72460"/>
    <w:rsid w:val="00D72E18"/>
    <w:rsid w:val="00D75B45"/>
    <w:rsid w:val="00D75D9B"/>
    <w:rsid w:val="00D75F6F"/>
    <w:rsid w:val="00D801D5"/>
    <w:rsid w:val="00D81163"/>
    <w:rsid w:val="00D84E64"/>
    <w:rsid w:val="00D90E6F"/>
    <w:rsid w:val="00D9292B"/>
    <w:rsid w:val="00D92CBC"/>
    <w:rsid w:val="00D93E70"/>
    <w:rsid w:val="00D94594"/>
    <w:rsid w:val="00D94D88"/>
    <w:rsid w:val="00D952A6"/>
    <w:rsid w:val="00DA0F87"/>
    <w:rsid w:val="00DA61F6"/>
    <w:rsid w:val="00DB3988"/>
    <w:rsid w:val="00DB78CE"/>
    <w:rsid w:val="00DC0FA3"/>
    <w:rsid w:val="00DC1908"/>
    <w:rsid w:val="00DC3029"/>
    <w:rsid w:val="00DC4654"/>
    <w:rsid w:val="00DC4816"/>
    <w:rsid w:val="00DC5940"/>
    <w:rsid w:val="00DD027A"/>
    <w:rsid w:val="00DD0B1E"/>
    <w:rsid w:val="00DD1D56"/>
    <w:rsid w:val="00DD4924"/>
    <w:rsid w:val="00DD621D"/>
    <w:rsid w:val="00DE441D"/>
    <w:rsid w:val="00DE45EF"/>
    <w:rsid w:val="00DE504F"/>
    <w:rsid w:val="00DF1C88"/>
    <w:rsid w:val="00DF2660"/>
    <w:rsid w:val="00DF2CC6"/>
    <w:rsid w:val="00DF54D3"/>
    <w:rsid w:val="00DF6D73"/>
    <w:rsid w:val="00E05BB3"/>
    <w:rsid w:val="00E05C80"/>
    <w:rsid w:val="00E10704"/>
    <w:rsid w:val="00E10AC0"/>
    <w:rsid w:val="00E124B4"/>
    <w:rsid w:val="00E12D9B"/>
    <w:rsid w:val="00E16592"/>
    <w:rsid w:val="00E16FB2"/>
    <w:rsid w:val="00E22EAB"/>
    <w:rsid w:val="00E23023"/>
    <w:rsid w:val="00E30792"/>
    <w:rsid w:val="00E33DCC"/>
    <w:rsid w:val="00E342BB"/>
    <w:rsid w:val="00E457F6"/>
    <w:rsid w:val="00E47794"/>
    <w:rsid w:val="00E47F2C"/>
    <w:rsid w:val="00E54065"/>
    <w:rsid w:val="00E550B6"/>
    <w:rsid w:val="00E5511B"/>
    <w:rsid w:val="00E61A3D"/>
    <w:rsid w:val="00E638F3"/>
    <w:rsid w:val="00E63FA3"/>
    <w:rsid w:val="00E64C5B"/>
    <w:rsid w:val="00E6570E"/>
    <w:rsid w:val="00E65A91"/>
    <w:rsid w:val="00E8077A"/>
    <w:rsid w:val="00E86EA4"/>
    <w:rsid w:val="00E96D9D"/>
    <w:rsid w:val="00EA2121"/>
    <w:rsid w:val="00EA2810"/>
    <w:rsid w:val="00EA2F93"/>
    <w:rsid w:val="00EB06C7"/>
    <w:rsid w:val="00EB6530"/>
    <w:rsid w:val="00EB6655"/>
    <w:rsid w:val="00EB668B"/>
    <w:rsid w:val="00EC014E"/>
    <w:rsid w:val="00EC05D2"/>
    <w:rsid w:val="00EC08A5"/>
    <w:rsid w:val="00EC7582"/>
    <w:rsid w:val="00EC7B11"/>
    <w:rsid w:val="00ED0EF6"/>
    <w:rsid w:val="00ED1CDA"/>
    <w:rsid w:val="00ED68AD"/>
    <w:rsid w:val="00EE1661"/>
    <w:rsid w:val="00EE341F"/>
    <w:rsid w:val="00EE5A5F"/>
    <w:rsid w:val="00EE5F7D"/>
    <w:rsid w:val="00EE7161"/>
    <w:rsid w:val="00EE734E"/>
    <w:rsid w:val="00EF1AEF"/>
    <w:rsid w:val="00EF76F3"/>
    <w:rsid w:val="00EF796C"/>
    <w:rsid w:val="00F004B2"/>
    <w:rsid w:val="00F026D3"/>
    <w:rsid w:val="00F0331E"/>
    <w:rsid w:val="00F0712E"/>
    <w:rsid w:val="00F0779F"/>
    <w:rsid w:val="00F1644C"/>
    <w:rsid w:val="00F1721F"/>
    <w:rsid w:val="00F173F1"/>
    <w:rsid w:val="00F35E7E"/>
    <w:rsid w:val="00F40301"/>
    <w:rsid w:val="00F40373"/>
    <w:rsid w:val="00F41771"/>
    <w:rsid w:val="00F43D6C"/>
    <w:rsid w:val="00F452F7"/>
    <w:rsid w:val="00F4553E"/>
    <w:rsid w:val="00F51A83"/>
    <w:rsid w:val="00F527B9"/>
    <w:rsid w:val="00F57554"/>
    <w:rsid w:val="00F611A7"/>
    <w:rsid w:val="00F6370B"/>
    <w:rsid w:val="00F654D1"/>
    <w:rsid w:val="00F71B0F"/>
    <w:rsid w:val="00F7243B"/>
    <w:rsid w:val="00F72A25"/>
    <w:rsid w:val="00F73908"/>
    <w:rsid w:val="00F755FE"/>
    <w:rsid w:val="00F81D6A"/>
    <w:rsid w:val="00F839D2"/>
    <w:rsid w:val="00F845A1"/>
    <w:rsid w:val="00F86660"/>
    <w:rsid w:val="00F9128D"/>
    <w:rsid w:val="00F9404A"/>
    <w:rsid w:val="00F94E2A"/>
    <w:rsid w:val="00FA2E9F"/>
    <w:rsid w:val="00FA5926"/>
    <w:rsid w:val="00FB24F8"/>
    <w:rsid w:val="00FB3C32"/>
    <w:rsid w:val="00FB5202"/>
    <w:rsid w:val="00FB558D"/>
    <w:rsid w:val="00FC1498"/>
    <w:rsid w:val="00FC1F5C"/>
    <w:rsid w:val="00FC5596"/>
    <w:rsid w:val="00FC61F0"/>
    <w:rsid w:val="00FC7D1E"/>
    <w:rsid w:val="00FD202E"/>
    <w:rsid w:val="00FD31E3"/>
    <w:rsid w:val="00FD34D1"/>
    <w:rsid w:val="00FD3CBE"/>
    <w:rsid w:val="00FD5B55"/>
    <w:rsid w:val="00FE22BA"/>
    <w:rsid w:val="00FE2803"/>
    <w:rsid w:val="00FE5334"/>
    <w:rsid w:val="00FF67C7"/>
    <w:rsid w:val="00FF6CD5"/>
    <w:rsid w:val="017A2467"/>
    <w:rsid w:val="01C141A2"/>
    <w:rsid w:val="021878F5"/>
    <w:rsid w:val="030D7FB6"/>
    <w:rsid w:val="032D057A"/>
    <w:rsid w:val="03C27D17"/>
    <w:rsid w:val="04292C1E"/>
    <w:rsid w:val="045F1E48"/>
    <w:rsid w:val="04763EE5"/>
    <w:rsid w:val="04D415AB"/>
    <w:rsid w:val="04E156D1"/>
    <w:rsid w:val="04EB042F"/>
    <w:rsid w:val="050C7081"/>
    <w:rsid w:val="05196C9E"/>
    <w:rsid w:val="0545425D"/>
    <w:rsid w:val="05935ABA"/>
    <w:rsid w:val="05F21F93"/>
    <w:rsid w:val="061D4FBD"/>
    <w:rsid w:val="067750A1"/>
    <w:rsid w:val="06FB7444"/>
    <w:rsid w:val="0715238B"/>
    <w:rsid w:val="072F44E3"/>
    <w:rsid w:val="074D330C"/>
    <w:rsid w:val="075E7878"/>
    <w:rsid w:val="07671DE5"/>
    <w:rsid w:val="077E558A"/>
    <w:rsid w:val="07A62D33"/>
    <w:rsid w:val="07BB4D21"/>
    <w:rsid w:val="07E42121"/>
    <w:rsid w:val="08003C5A"/>
    <w:rsid w:val="082462FE"/>
    <w:rsid w:val="08471E20"/>
    <w:rsid w:val="08B7697D"/>
    <w:rsid w:val="08D91018"/>
    <w:rsid w:val="09561076"/>
    <w:rsid w:val="09726BD2"/>
    <w:rsid w:val="098C2FDE"/>
    <w:rsid w:val="09A46B4A"/>
    <w:rsid w:val="09F33618"/>
    <w:rsid w:val="0A635F77"/>
    <w:rsid w:val="0AB55D42"/>
    <w:rsid w:val="0B2A1542"/>
    <w:rsid w:val="0B794947"/>
    <w:rsid w:val="0B9B3F10"/>
    <w:rsid w:val="0BDE4D19"/>
    <w:rsid w:val="0C2F32F7"/>
    <w:rsid w:val="0C866C92"/>
    <w:rsid w:val="0CA338CD"/>
    <w:rsid w:val="0CE20369"/>
    <w:rsid w:val="0D141379"/>
    <w:rsid w:val="0D17533F"/>
    <w:rsid w:val="0D4A6AF5"/>
    <w:rsid w:val="0D5746B6"/>
    <w:rsid w:val="0D7C44C4"/>
    <w:rsid w:val="0D8D4779"/>
    <w:rsid w:val="0DF5231E"/>
    <w:rsid w:val="0EC32FEE"/>
    <w:rsid w:val="0F566DED"/>
    <w:rsid w:val="0F6D274E"/>
    <w:rsid w:val="0F7C285A"/>
    <w:rsid w:val="0F7E4AB5"/>
    <w:rsid w:val="0F87702F"/>
    <w:rsid w:val="0FEF45D8"/>
    <w:rsid w:val="105323D2"/>
    <w:rsid w:val="10665B14"/>
    <w:rsid w:val="113E36DF"/>
    <w:rsid w:val="11E8746F"/>
    <w:rsid w:val="126A5F98"/>
    <w:rsid w:val="13017E15"/>
    <w:rsid w:val="13214181"/>
    <w:rsid w:val="13E33058"/>
    <w:rsid w:val="13FE217D"/>
    <w:rsid w:val="14C44E29"/>
    <w:rsid w:val="14D34591"/>
    <w:rsid w:val="14EA24B1"/>
    <w:rsid w:val="14EF6F90"/>
    <w:rsid w:val="14FF228F"/>
    <w:rsid w:val="155757C5"/>
    <w:rsid w:val="157D7BD6"/>
    <w:rsid w:val="15C011DA"/>
    <w:rsid w:val="15DB785B"/>
    <w:rsid w:val="15EE036C"/>
    <w:rsid w:val="16DF442B"/>
    <w:rsid w:val="17190E2C"/>
    <w:rsid w:val="171E4C85"/>
    <w:rsid w:val="175D15F5"/>
    <w:rsid w:val="17F95F17"/>
    <w:rsid w:val="18151F96"/>
    <w:rsid w:val="181C07FE"/>
    <w:rsid w:val="183E673F"/>
    <w:rsid w:val="185A794E"/>
    <w:rsid w:val="189503C0"/>
    <w:rsid w:val="18A46A48"/>
    <w:rsid w:val="18AA5735"/>
    <w:rsid w:val="18AE5DCD"/>
    <w:rsid w:val="18B93205"/>
    <w:rsid w:val="19117F30"/>
    <w:rsid w:val="1A2F4635"/>
    <w:rsid w:val="1A7F5449"/>
    <w:rsid w:val="1AD03189"/>
    <w:rsid w:val="1AD73281"/>
    <w:rsid w:val="1B506E9C"/>
    <w:rsid w:val="1B835430"/>
    <w:rsid w:val="1BF91C77"/>
    <w:rsid w:val="1C631B69"/>
    <w:rsid w:val="1C7821C5"/>
    <w:rsid w:val="1CF071D4"/>
    <w:rsid w:val="1D044A59"/>
    <w:rsid w:val="1D8C43FC"/>
    <w:rsid w:val="1DE03FF3"/>
    <w:rsid w:val="1DE35AF0"/>
    <w:rsid w:val="1E486D96"/>
    <w:rsid w:val="1EA36E9F"/>
    <w:rsid w:val="1EB24686"/>
    <w:rsid w:val="1EBA5A37"/>
    <w:rsid w:val="1EDB2E6A"/>
    <w:rsid w:val="1F784B5D"/>
    <w:rsid w:val="1F8B3EF6"/>
    <w:rsid w:val="1F9D6372"/>
    <w:rsid w:val="1FA37E2C"/>
    <w:rsid w:val="1FD004F5"/>
    <w:rsid w:val="1FEF0F3A"/>
    <w:rsid w:val="20070AFB"/>
    <w:rsid w:val="2009466C"/>
    <w:rsid w:val="20735A50"/>
    <w:rsid w:val="20B727FE"/>
    <w:rsid w:val="20C90B34"/>
    <w:rsid w:val="20F41822"/>
    <w:rsid w:val="210B41FD"/>
    <w:rsid w:val="2128525E"/>
    <w:rsid w:val="21E4693B"/>
    <w:rsid w:val="21F02F14"/>
    <w:rsid w:val="22774200"/>
    <w:rsid w:val="22E70030"/>
    <w:rsid w:val="23492BDA"/>
    <w:rsid w:val="23982F2B"/>
    <w:rsid w:val="239A5ECC"/>
    <w:rsid w:val="23B343B6"/>
    <w:rsid w:val="24343749"/>
    <w:rsid w:val="24A972CC"/>
    <w:rsid w:val="24E1641D"/>
    <w:rsid w:val="252E5396"/>
    <w:rsid w:val="2555007A"/>
    <w:rsid w:val="257A33DD"/>
    <w:rsid w:val="26E64106"/>
    <w:rsid w:val="27763CFA"/>
    <w:rsid w:val="279D2044"/>
    <w:rsid w:val="27A30FEA"/>
    <w:rsid w:val="27BD3816"/>
    <w:rsid w:val="281954EB"/>
    <w:rsid w:val="28294FE4"/>
    <w:rsid w:val="285B1784"/>
    <w:rsid w:val="28694B8B"/>
    <w:rsid w:val="28790229"/>
    <w:rsid w:val="287D15A4"/>
    <w:rsid w:val="288F79AE"/>
    <w:rsid w:val="28B76D66"/>
    <w:rsid w:val="294C203B"/>
    <w:rsid w:val="299A34A9"/>
    <w:rsid w:val="29D0120B"/>
    <w:rsid w:val="2A094D9D"/>
    <w:rsid w:val="2A307F85"/>
    <w:rsid w:val="2A3A581F"/>
    <w:rsid w:val="2A880A7B"/>
    <w:rsid w:val="2AA26C6A"/>
    <w:rsid w:val="2B084FE7"/>
    <w:rsid w:val="2B3F4423"/>
    <w:rsid w:val="2CAC3151"/>
    <w:rsid w:val="2CC678AB"/>
    <w:rsid w:val="2D43291C"/>
    <w:rsid w:val="2D8D44A8"/>
    <w:rsid w:val="2DC4660F"/>
    <w:rsid w:val="2DF20ED7"/>
    <w:rsid w:val="2E0B79C6"/>
    <w:rsid w:val="2EA1408C"/>
    <w:rsid w:val="2F1B1FE6"/>
    <w:rsid w:val="2F8A4B43"/>
    <w:rsid w:val="2FAF02C5"/>
    <w:rsid w:val="2FB8593D"/>
    <w:rsid w:val="2FC7009B"/>
    <w:rsid w:val="301461DC"/>
    <w:rsid w:val="30997F39"/>
    <w:rsid w:val="30A33D81"/>
    <w:rsid w:val="312406A1"/>
    <w:rsid w:val="312D4B28"/>
    <w:rsid w:val="31602125"/>
    <w:rsid w:val="318E4E10"/>
    <w:rsid w:val="31A86C68"/>
    <w:rsid w:val="31B5220F"/>
    <w:rsid w:val="31F97A8E"/>
    <w:rsid w:val="31FC79E7"/>
    <w:rsid w:val="326241AF"/>
    <w:rsid w:val="32715C70"/>
    <w:rsid w:val="32BA0F6E"/>
    <w:rsid w:val="32BF3509"/>
    <w:rsid w:val="33E631DF"/>
    <w:rsid w:val="33E91263"/>
    <w:rsid w:val="33FC4FDA"/>
    <w:rsid w:val="341E1E5F"/>
    <w:rsid w:val="34580D8D"/>
    <w:rsid w:val="34C5219B"/>
    <w:rsid w:val="34C76988"/>
    <w:rsid w:val="351129B0"/>
    <w:rsid w:val="35163A7E"/>
    <w:rsid w:val="36273724"/>
    <w:rsid w:val="363F7384"/>
    <w:rsid w:val="36415851"/>
    <w:rsid w:val="36A64E33"/>
    <w:rsid w:val="36B75CA4"/>
    <w:rsid w:val="37502B7F"/>
    <w:rsid w:val="37511204"/>
    <w:rsid w:val="375D203C"/>
    <w:rsid w:val="379E5EB0"/>
    <w:rsid w:val="38026A6F"/>
    <w:rsid w:val="380E20F9"/>
    <w:rsid w:val="381F3D8E"/>
    <w:rsid w:val="382D5843"/>
    <w:rsid w:val="383C5560"/>
    <w:rsid w:val="386B1A1E"/>
    <w:rsid w:val="38D757B3"/>
    <w:rsid w:val="38E053F0"/>
    <w:rsid w:val="39902D77"/>
    <w:rsid w:val="39AA3054"/>
    <w:rsid w:val="39B16EF2"/>
    <w:rsid w:val="39C15447"/>
    <w:rsid w:val="39DA3FF3"/>
    <w:rsid w:val="3A064C87"/>
    <w:rsid w:val="3A646A35"/>
    <w:rsid w:val="3AA44217"/>
    <w:rsid w:val="3B5A363D"/>
    <w:rsid w:val="3BAE40AD"/>
    <w:rsid w:val="3C0C6B6C"/>
    <w:rsid w:val="3C222DB6"/>
    <w:rsid w:val="3C5378D5"/>
    <w:rsid w:val="3C9C5E11"/>
    <w:rsid w:val="3CA65B5E"/>
    <w:rsid w:val="3D3659E4"/>
    <w:rsid w:val="3D60411F"/>
    <w:rsid w:val="3D8D4B54"/>
    <w:rsid w:val="3DB42BA6"/>
    <w:rsid w:val="3DC506AF"/>
    <w:rsid w:val="3E524823"/>
    <w:rsid w:val="3EAC237F"/>
    <w:rsid w:val="3F116827"/>
    <w:rsid w:val="3F6A17C0"/>
    <w:rsid w:val="3F725A04"/>
    <w:rsid w:val="3F9D1D4A"/>
    <w:rsid w:val="3FA602DD"/>
    <w:rsid w:val="400976D3"/>
    <w:rsid w:val="40383591"/>
    <w:rsid w:val="407C658D"/>
    <w:rsid w:val="408A3E42"/>
    <w:rsid w:val="40955117"/>
    <w:rsid w:val="40DC3D2E"/>
    <w:rsid w:val="41443566"/>
    <w:rsid w:val="41547773"/>
    <w:rsid w:val="417C5FA7"/>
    <w:rsid w:val="41E657FF"/>
    <w:rsid w:val="42135F24"/>
    <w:rsid w:val="428E1E1E"/>
    <w:rsid w:val="42E36523"/>
    <w:rsid w:val="42FB2906"/>
    <w:rsid w:val="430613E3"/>
    <w:rsid w:val="43252C5A"/>
    <w:rsid w:val="43430E5B"/>
    <w:rsid w:val="436F2E1C"/>
    <w:rsid w:val="43717DB0"/>
    <w:rsid w:val="43907716"/>
    <w:rsid w:val="44073F74"/>
    <w:rsid w:val="440D22C5"/>
    <w:rsid w:val="44893B2C"/>
    <w:rsid w:val="44C168B5"/>
    <w:rsid w:val="44F524A9"/>
    <w:rsid w:val="4523004F"/>
    <w:rsid w:val="45455BD4"/>
    <w:rsid w:val="45797A33"/>
    <w:rsid w:val="46BE4F54"/>
    <w:rsid w:val="46E60D0D"/>
    <w:rsid w:val="471C20E2"/>
    <w:rsid w:val="47795069"/>
    <w:rsid w:val="47A6353A"/>
    <w:rsid w:val="47F40BE4"/>
    <w:rsid w:val="48436D42"/>
    <w:rsid w:val="48523C0A"/>
    <w:rsid w:val="4856518C"/>
    <w:rsid w:val="486A157C"/>
    <w:rsid w:val="49035E1A"/>
    <w:rsid w:val="494871CB"/>
    <w:rsid w:val="49AB29E8"/>
    <w:rsid w:val="4A394D65"/>
    <w:rsid w:val="4A5E6CED"/>
    <w:rsid w:val="4A9430EC"/>
    <w:rsid w:val="4ACC4C41"/>
    <w:rsid w:val="4AE94F1B"/>
    <w:rsid w:val="4B3F6B82"/>
    <w:rsid w:val="4B6B7860"/>
    <w:rsid w:val="4B9B111C"/>
    <w:rsid w:val="4BB55D35"/>
    <w:rsid w:val="4C38395F"/>
    <w:rsid w:val="4C7A063F"/>
    <w:rsid w:val="4CB17402"/>
    <w:rsid w:val="4CCE5420"/>
    <w:rsid w:val="4CD970BA"/>
    <w:rsid w:val="4D302F78"/>
    <w:rsid w:val="4DFF248B"/>
    <w:rsid w:val="4E5D3ACD"/>
    <w:rsid w:val="4E6C325B"/>
    <w:rsid w:val="4E7E3F10"/>
    <w:rsid w:val="4EC65936"/>
    <w:rsid w:val="4ED21621"/>
    <w:rsid w:val="4EF23735"/>
    <w:rsid w:val="4F545038"/>
    <w:rsid w:val="4F5849BE"/>
    <w:rsid w:val="501E7652"/>
    <w:rsid w:val="502B2D68"/>
    <w:rsid w:val="5032028D"/>
    <w:rsid w:val="50631FDA"/>
    <w:rsid w:val="50A1368B"/>
    <w:rsid w:val="50A32F39"/>
    <w:rsid w:val="51405AB3"/>
    <w:rsid w:val="52B43844"/>
    <w:rsid w:val="52C52155"/>
    <w:rsid w:val="52DC416C"/>
    <w:rsid w:val="53045149"/>
    <w:rsid w:val="53634BDE"/>
    <w:rsid w:val="53B13EB4"/>
    <w:rsid w:val="53F92C98"/>
    <w:rsid w:val="54053811"/>
    <w:rsid w:val="5474139C"/>
    <w:rsid w:val="54744033"/>
    <w:rsid w:val="5486504B"/>
    <w:rsid w:val="54B01F13"/>
    <w:rsid w:val="54E96E17"/>
    <w:rsid w:val="551E7032"/>
    <w:rsid w:val="5597669C"/>
    <w:rsid w:val="55EC3BE6"/>
    <w:rsid w:val="55FF59F9"/>
    <w:rsid w:val="561D185F"/>
    <w:rsid w:val="56635487"/>
    <w:rsid w:val="56690780"/>
    <w:rsid w:val="56CA56C3"/>
    <w:rsid w:val="56E21A48"/>
    <w:rsid w:val="57376D96"/>
    <w:rsid w:val="5750710D"/>
    <w:rsid w:val="57CB65E9"/>
    <w:rsid w:val="582619E7"/>
    <w:rsid w:val="584B550F"/>
    <w:rsid w:val="585B5F8C"/>
    <w:rsid w:val="58861056"/>
    <w:rsid w:val="589F54EC"/>
    <w:rsid w:val="593B4E2B"/>
    <w:rsid w:val="596445E0"/>
    <w:rsid w:val="59797D22"/>
    <w:rsid w:val="59964B3E"/>
    <w:rsid w:val="59C9560C"/>
    <w:rsid w:val="5A5654C0"/>
    <w:rsid w:val="5AF076BC"/>
    <w:rsid w:val="5B131A50"/>
    <w:rsid w:val="5B310EEC"/>
    <w:rsid w:val="5BB96F6B"/>
    <w:rsid w:val="5C083248"/>
    <w:rsid w:val="5C9C4E60"/>
    <w:rsid w:val="5CD70054"/>
    <w:rsid w:val="5CDF456F"/>
    <w:rsid w:val="5D572C78"/>
    <w:rsid w:val="5DDB3DE9"/>
    <w:rsid w:val="5E4D2B46"/>
    <w:rsid w:val="5E792B51"/>
    <w:rsid w:val="5EBA601D"/>
    <w:rsid w:val="5EC22DDD"/>
    <w:rsid w:val="5EC25A09"/>
    <w:rsid w:val="5EDE6B45"/>
    <w:rsid w:val="5F345AE7"/>
    <w:rsid w:val="5F4B72E8"/>
    <w:rsid w:val="5FB124E3"/>
    <w:rsid w:val="606A75CF"/>
    <w:rsid w:val="60B81318"/>
    <w:rsid w:val="60D97040"/>
    <w:rsid w:val="60FD73A5"/>
    <w:rsid w:val="616A6747"/>
    <w:rsid w:val="618A39AC"/>
    <w:rsid w:val="62020EC8"/>
    <w:rsid w:val="622C274E"/>
    <w:rsid w:val="623B7475"/>
    <w:rsid w:val="62C5122B"/>
    <w:rsid w:val="63367C3C"/>
    <w:rsid w:val="63483AFA"/>
    <w:rsid w:val="637200B7"/>
    <w:rsid w:val="63FC0E86"/>
    <w:rsid w:val="64432611"/>
    <w:rsid w:val="6453045E"/>
    <w:rsid w:val="64C06852"/>
    <w:rsid w:val="650563DC"/>
    <w:rsid w:val="65331F49"/>
    <w:rsid w:val="653505E7"/>
    <w:rsid w:val="653B778C"/>
    <w:rsid w:val="66001977"/>
    <w:rsid w:val="665C2ACE"/>
    <w:rsid w:val="66EF1291"/>
    <w:rsid w:val="68152516"/>
    <w:rsid w:val="685A73A3"/>
    <w:rsid w:val="68774F7F"/>
    <w:rsid w:val="68F82B5D"/>
    <w:rsid w:val="69865FB5"/>
    <w:rsid w:val="69A753F0"/>
    <w:rsid w:val="69AE677E"/>
    <w:rsid w:val="69FC19EA"/>
    <w:rsid w:val="6A3041B7"/>
    <w:rsid w:val="6A360124"/>
    <w:rsid w:val="6ACC2E43"/>
    <w:rsid w:val="6AD84B9A"/>
    <w:rsid w:val="6BCC261F"/>
    <w:rsid w:val="6BE4064C"/>
    <w:rsid w:val="6BFB3B13"/>
    <w:rsid w:val="6C7621DF"/>
    <w:rsid w:val="6C787452"/>
    <w:rsid w:val="6CBD10DF"/>
    <w:rsid w:val="6CDE17A2"/>
    <w:rsid w:val="6CEF4F0F"/>
    <w:rsid w:val="6D001702"/>
    <w:rsid w:val="6D08089B"/>
    <w:rsid w:val="6D317097"/>
    <w:rsid w:val="6DAA7B81"/>
    <w:rsid w:val="6DAB59DE"/>
    <w:rsid w:val="6DB024FC"/>
    <w:rsid w:val="6DE948B7"/>
    <w:rsid w:val="6E573BA4"/>
    <w:rsid w:val="6E6C508C"/>
    <w:rsid w:val="6E6D03FE"/>
    <w:rsid w:val="6E812667"/>
    <w:rsid w:val="6EF0269B"/>
    <w:rsid w:val="6F937017"/>
    <w:rsid w:val="6F9E7295"/>
    <w:rsid w:val="6FB912E0"/>
    <w:rsid w:val="6FE04A26"/>
    <w:rsid w:val="6FEB42EB"/>
    <w:rsid w:val="709D2356"/>
    <w:rsid w:val="70D11404"/>
    <w:rsid w:val="715D4BA3"/>
    <w:rsid w:val="71902C0D"/>
    <w:rsid w:val="71A92CC7"/>
    <w:rsid w:val="71AA3891"/>
    <w:rsid w:val="71B7157E"/>
    <w:rsid w:val="73261A7B"/>
    <w:rsid w:val="733B651C"/>
    <w:rsid w:val="73565609"/>
    <w:rsid w:val="739F1F42"/>
    <w:rsid w:val="73AB1F81"/>
    <w:rsid w:val="73BB0752"/>
    <w:rsid w:val="73CC483B"/>
    <w:rsid w:val="73CD3FDE"/>
    <w:rsid w:val="73DA6C90"/>
    <w:rsid w:val="73EF080F"/>
    <w:rsid w:val="748367B7"/>
    <w:rsid w:val="748A4189"/>
    <w:rsid w:val="74A75050"/>
    <w:rsid w:val="74CB36A7"/>
    <w:rsid w:val="74FF55A4"/>
    <w:rsid w:val="75975C48"/>
    <w:rsid w:val="762F6E99"/>
    <w:rsid w:val="76363379"/>
    <w:rsid w:val="76544B8E"/>
    <w:rsid w:val="76C61E58"/>
    <w:rsid w:val="76CC6E4A"/>
    <w:rsid w:val="76F459ED"/>
    <w:rsid w:val="77004681"/>
    <w:rsid w:val="771E2277"/>
    <w:rsid w:val="77FC2DAB"/>
    <w:rsid w:val="784442A1"/>
    <w:rsid w:val="784D43EA"/>
    <w:rsid w:val="786B0225"/>
    <w:rsid w:val="78A4106E"/>
    <w:rsid w:val="78A771BA"/>
    <w:rsid w:val="78B446BC"/>
    <w:rsid w:val="78B55C83"/>
    <w:rsid w:val="792615E4"/>
    <w:rsid w:val="792627D5"/>
    <w:rsid w:val="7A1D390B"/>
    <w:rsid w:val="7A6F2ADF"/>
    <w:rsid w:val="7A9705A2"/>
    <w:rsid w:val="7ADC31A8"/>
    <w:rsid w:val="7B210CDA"/>
    <w:rsid w:val="7B3B1D75"/>
    <w:rsid w:val="7B3C0116"/>
    <w:rsid w:val="7BC711A1"/>
    <w:rsid w:val="7C3B4091"/>
    <w:rsid w:val="7CC27488"/>
    <w:rsid w:val="7D1C13E8"/>
    <w:rsid w:val="7D1F57D0"/>
    <w:rsid w:val="7D6C6217"/>
    <w:rsid w:val="7DA210B4"/>
    <w:rsid w:val="7DD50E79"/>
    <w:rsid w:val="7DDE695C"/>
    <w:rsid w:val="7E5F7EB8"/>
    <w:rsid w:val="7E8B5B16"/>
    <w:rsid w:val="7E981082"/>
    <w:rsid w:val="7EA8756A"/>
    <w:rsid w:val="7EAC6A6C"/>
    <w:rsid w:val="7EAF0B77"/>
    <w:rsid w:val="7EBC1269"/>
    <w:rsid w:val="7F005A4D"/>
    <w:rsid w:val="7F8042C1"/>
    <w:rsid w:val="7FB77874"/>
    <w:rsid w:val="7FBD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50"/>
    <w:qFormat/>
    <w:uiPriority w:val="0"/>
    <w:pPr>
      <w:keepNext/>
      <w:keepLines/>
      <w:spacing w:after="120" w:line="360" w:lineRule="auto"/>
      <w:outlineLvl w:val="0"/>
    </w:pPr>
    <w:rPr>
      <w:kern w:val="44"/>
      <w:sz w:val="28"/>
      <w:szCs w:val="28"/>
    </w:rPr>
  </w:style>
  <w:style w:type="paragraph" w:styleId="5">
    <w:name w:val="heading 2"/>
    <w:basedOn w:val="1"/>
    <w:next w:val="1"/>
    <w:link w:val="6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60"/>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6"/>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7"/>
    <w:qFormat/>
    <w:uiPriority w:val="0"/>
    <w:pPr>
      <w:spacing w:line="240" w:lineRule="exact"/>
      <w:outlineLvl w:val="4"/>
    </w:pPr>
  </w:style>
  <w:style w:type="paragraph" w:styleId="9">
    <w:name w:val="heading 6"/>
    <w:basedOn w:val="1"/>
    <w:next w:val="1"/>
    <w:link w:val="6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9"/>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70"/>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71"/>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5"/>
    <w:qFormat/>
    <w:uiPriority w:val="0"/>
    <w:rPr>
      <w:rFonts w:ascii="宋体" w:hAnsi="Courier New"/>
      <w:szCs w:val="20"/>
    </w:rPr>
  </w:style>
  <w:style w:type="paragraph" w:styleId="4">
    <w:name w:val="Title"/>
    <w:basedOn w:val="1"/>
    <w:link w:val="73"/>
    <w:qFormat/>
    <w:uiPriority w:val="0"/>
    <w:pPr>
      <w:spacing w:before="120" w:after="60"/>
      <w:jc w:val="center"/>
    </w:pPr>
    <w:rPr>
      <w:rFonts w:ascii="Arial" w:hAnsi="Arial"/>
      <w:b/>
      <w:sz w:val="44"/>
      <w:szCs w:val="20"/>
    </w:rPr>
  </w:style>
  <w:style w:type="paragraph" w:styleId="13">
    <w:name w:val="Normal Indent"/>
    <w:basedOn w:val="1"/>
    <w:link w:val="125"/>
    <w:qFormat/>
    <w:uiPriority w:val="0"/>
    <w:pPr>
      <w:ind w:firstLine="420"/>
    </w:pPr>
    <w:rPr>
      <w:rFonts w:ascii="Times New Roman" w:hAnsi="Times New Roman"/>
      <w:szCs w:val="20"/>
    </w:rPr>
  </w:style>
  <w:style w:type="paragraph" w:styleId="14">
    <w:name w:val="Document Map"/>
    <w:basedOn w:val="1"/>
    <w:link w:val="83"/>
    <w:qFormat/>
    <w:uiPriority w:val="0"/>
    <w:pPr>
      <w:shd w:val="clear" w:color="auto" w:fill="000080"/>
    </w:pPr>
    <w:rPr>
      <w:rFonts w:ascii="Times New Roman" w:hAnsi="Times New Roman"/>
      <w:szCs w:val="20"/>
    </w:rPr>
  </w:style>
  <w:style w:type="paragraph" w:styleId="15">
    <w:name w:val="annotation text"/>
    <w:basedOn w:val="1"/>
    <w:link w:val="109"/>
    <w:qFormat/>
    <w:uiPriority w:val="0"/>
    <w:pPr>
      <w:spacing w:line="360" w:lineRule="auto"/>
      <w:ind w:firstLine="523" w:firstLineChars="218"/>
      <w:jc w:val="left"/>
    </w:pPr>
    <w:rPr>
      <w:rFonts w:ascii="宋体" w:hAnsi="宋体"/>
      <w:sz w:val="24"/>
      <w:szCs w:val="24"/>
    </w:rPr>
  </w:style>
  <w:style w:type="paragraph" w:styleId="16">
    <w:name w:val="Body Text"/>
    <w:basedOn w:val="1"/>
    <w:next w:val="1"/>
    <w:link w:val="75"/>
    <w:qFormat/>
    <w:uiPriority w:val="0"/>
    <w:pPr>
      <w:spacing w:after="120"/>
    </w:pPr>
    <w:rPr>
      <w:rFonts w:ascii="Times New Roman" w:hAnsi="Times New Roman"/>
      <w:szCs w:val="20"/>
    </w:rPr>
  </w:style>
  <w:style w:type="paragraph" w:styleId="17">
    <w:name w:val="Body Text Indent"/>
    <w:basedOn w:val="1"/>
    <w:next w:val="18"/>
    <w:link w:val="81"/>
    <w:qFormat/>
    <w:uiPriority w:val="0"/>
    <w:pPr>
      <w:ind w:firstLine="570"/>
    </w:pPr>
    <w:rPr>
      <w:rFonts w:ascii="Times New Roman" w:hAnsi="Times New Roman"/>
      <w:sz w:val="28"/>
      <w:szCs w:val="20"/>
    </w:rPr>
  </w:style>
  <w:style w:type="paragraph" w:styleId="18">
    <w:name w:val="envelope return"/>
    <w:basedOn w:val="1"/>
    <w:qFormat/>
    <w:uiPriority w:val="0"/>
    <w:pPr>
      <w:snapToGrid w:val="0"/>
    </w:pPr>
    <w:rPr>
      <w:rFonts w:ascii="Arial" w:hAnsi="Arial"/>
      <w:szCs w:val="24"/>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9"/>
    <w:qFormat/>
    <w:uiPriority w:val="0"/>
    <w:rPr>
      <w:rFonts w:ascii="Times New Roman" w:hAnsi="Times New Roman"/>
      <w:szCs w:val="20"/>
    </w:rPr>
  </w:style>
  <w:style w:type="paragraph" w:styleId="21">
    <w:name w:val="Body Text Indent 2"/>
    <w:basedOn w:val="1"/>
    <w:link w:val="87"/>
    <w:qFormat/>
    <w:uiPriority w:val="0"/>
    <w:pPr>
      <w:spacing w:line="400" w:lineRule="exact"/>
      <w:ind w:left="425"/>
    </w:pPr>
    <w:rPr>
      <w:rFonts w:ascii="Times New Roman" w:hAnsi="Times New Roman"/>
      <w:color w:val="000000"/>
      <w:sz w:val="24"/>
      <w:szCs w:val="20"/>
    </w:rPr>
  </w:style>
  <w:style w:type="paragraph" w:styleId="22">
    <w:name w:val="endnote text"/>
    <w:basedOn w:val="1"/>
    <w:link w:val="96"/>
    <w:qFormat/>
    <w:uiPriority w:val="0"/>
    <w:pPr>
      <w:snapToGrid w:val="0"/>
      <w:jc w:val="left"/>
    </w:pPr>
    <w:rPr>
      <w:rFonts w:ascii="Times New Roman" w:hAnsi="Times New Roman"/>
      <w:szCs w:val="20"/>
    </w:rPr>
  </w:style>
  <w:style w:type="paragraph" w:styleId="23">
    <w:name w:val="Balloon Text"/>
    <w:basedOn w:val="1"/>
    <w:link w:val="106"/>
    <w:qFormat/>
    <w:uiPriority w:val="0"/>
    <w:rPr>
      <w:rFonts w:ascii="Times New Roman" w:hAnsi="Times New Roman"/>
      <w:sz w:val="18"/>
      <w:szCs w:val="18"/>
    </w:rPr>
  </w:style>
  <w:style w:type="paragraph" w:styleId="24">
    <w:name w:val="footer"/>
    <w:basedOn w:val="1"/>
    <w:link w:val="64"/>
    <w:unhideWhenUsed/>
    <w:qFormat/>
    <w:uiPriority w:val="99"/>
    <w:pPr>
      <w:tabs>
        <w:tab w:val="center" w:pos="4153"/>
        <w:tab w:val="right" w:pos="8306"/>
      </w:tabs>
      <w:snapToGrid w:val="0"/>
      <w:jc w:val="left"/>
    </w:pPr>
    <w:rPr>
      <w:sz w:val="18"/>
      <w:szCs w:val="18"/>
    </w:rPr>
  </w:style>
  <w:style w:type="paragraph" w:styleId="25">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1"/>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3"/>
    <w:qFormat/>
    <w:uiPriority w:val="0"/>
    <w:rPr>
      <w:rFonts w:ascii="宋体" w:hAnsi="宋体"/>
      <w:szCs w:val="24"/>
      <w:u w:val="single"/>
    </w:rPr>
  </w:style>
  <w:style w:type="paragraph" w:styleId="31">
    <w:name w:val="Normal (Web)"/>
    <w:basedOn w:val="1"/>
    <w:unhideWhenUsed/>
    <w:qFormat/>
    <w:uiPriority w:val="99"/>
    <w:pPr>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5"/>
    <w:next w:val="15"/>
    <w:link w:val="113"/>
    <w:qFormat/>
    <w:uiPriority w:val="0"/>
    <w:rPr>
      <w:b/>
      <w:bCs/>
    </w:rPr>
  </w:style>
  <w:style w:type="paragraph" w:styleId="34">
    <w:name w:val="Body Text First Indent"/>
    <w:basedOn w:val="1"/>
    <w:link w:val="77"/>
    <w:qFormat/>
    <w:uiPriority w:val="0"/>
    <w:pPr>
      <w:ind w:firstLine="420"/>
    </w:pPr>
  </w:style>
  <w:style w:type="paragraph" w:styleId="35">
    <w:name w:val="Body Text First Indent 2"/>
    <w:basedOn w:val="17"/>
    <w:semiHidden/>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TML Definition"/>
    <w:basedOn w:val="38"/>
    <w:semiHidden/>
    <w:unhideWhenUsed/>
    <w:qFormat/>
    <w:uiPriority w:val="99"/>
    <w:rPr>
      <w:i/>
      <w:iCs/>
    </w:rPr>
  </w:style>
  <w:style w:type="character" w:styleId="44">
    <w:name w:val="Hyperlink"/>
    <w:basedOn w:val="38"/>
    <w:qFormat/>
    <w:uiPriority w:val="99"/>
    <w:rPr>
      <w:color w:val="0000FF"/>
      <w:u w:val="single"/>
    </w:rPr>
  </w:style>
  <w:style w:type="character" w:styleId="45">
    <w:name w:val="HTML Code"/>
    <w:basedOn w:val="38"/>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styleId="48">
    <w:name w:val="HTML Keyboard"/>
    <w:basedOn w:val="38"/>
    <w:semiHidden/>
    <w:unhideWhenUsed/>
    <w:qFormat/>
    <w:uiPriority w:val="99"/>
    <w:rPr>
      <w:rFonts w:ascii="Consolas" w:hAnsi="Consolas" w:eastAsia="Consolas" w:cs="Consolas"/>
      <w:color w:val="FFFFFF"/>
      <w:sz w:val="21"/>
      <w:szCs w:val="21"/>
      <w:shd w:val="clear" w:color="auto" w:fill="333333"/>
    </w:rPr>
  </w:style>
  <w:style w:type="character" w:styleId="49">
    <w:name w:val="HTML Sample"/>
    <w:basedOn w:val="38"/>
    <w:semiHidden/>
    <w:unhideWhenUsed/>
    <w:qFormat/>
    <w:uiPriority w:val="99"/>
    <w:rPr>
      <w:rFonts w:hint="default" w:ascii="Consolas" w:hAnsi="Consolas" w:eastAsia="Consolas" w:cs="Consolas"/>
      <w:sz w:val="21"/>
      <w:szCs w:val="21"/>
    </w:rPr>
  </w:style>
  <w:style w:type="character" w:customStyle="1" w:styleId="50">
    <w:name w:val="标题 1 Char"/>
    <w:link w:val="3"/>
    <w:qFormat/>
    <w:uiPriority w:val="0"/>
    <w:rPr>
      <w:rFonts w:ascii="Arial" w:hAnsi="Arial" w:eastAsia="宋体"/>
      <w:b/>
      <w:kern w:val="44"/>
      <w:sz w:val="28"/>
      <w:szCs w:val="28"/>
    </w:rPr>
  </w:style>
  <w:style w:type="character" w:customStyle="1" w:styleId="51">
    <w:name w:val="标题 1 字符"/>
    <w:qFormat/>
    <w:uiPriority w:val="9"/>
    <w:rPr>
      <w:rFonts w:ascii="Calibri" w:hAnsi="Calibri" w:eastAsia="宋体" w:cs="Times New Roman"/>
      <w:b/>
      <w:bCs/>
      <w:kern w:val="44"/>
      <w:sz w:val="44"/>
      <w:szCs w:val="44"/>
    </w:rPr>
  </w:style>
  <w:style w:type="character" w:customStyle="1" w:styleId="52">
    <w:name w:val="标题 2 字符"/>
    <w:semiHidden/>
    <w:qFormat/>
    <w:uiPriority w:val="9"/>
    <w:rPr>
      <w:rFonts w:ascii="等线 Light" w:hAnsi="等线 Light" w:eastAsia="等线 Light" w:cs="Times New Roman"/>
      <w:b/>
      <w:bCs/>
      <w:sz w:val="32"/>
      <w:szCs w:val="32"/>
    </w:rPr>
  </w:style>
  <w:style w:type="character" w:customStyle="1" w:styleId="53">
    <w:name w:val="标题 3 字符"/>
    <w:semiHidden/>
    <w:qFormat/>
    <w:uiPriority w:val="9"/>
    <w:rPr>
      <w:rFonts w:ascii="Calibri" w:hAnsi="Calibri" w:eastAsia="宋体" w:cs="Times New Roman"/>
      <w:b/>
      <w:bCs/>
      <w:sz w:val="32"/>
      <w:szCs w:val="32"/>
    </w:rPr>
  </w:style>
  <w:style w:type="character" w:customStyle="1" w:styleId="54">
    <w:name w:val="标题 4 字符"/>
    <w:semiHidden/>
    <w:qFormat/>
    <w:uiPriority w:val="9"/>
    <w:rPr>
      <w:rFonts w:ascii="等线 Light" w:hAnsi="等线 Light" w:eastAsia="等线 Light" w:cs="Times New Roman"/>
      <w:b/>
      <w:bCs/>
      <w:sz w:val="28"/>
      <w:szCs w:val="28"/>
    </w:rPr>
  </w:style>
  <w:style w:type="character" w:customStyle="1" w:styleId="55">
    <w:name w:val="标题 5 字符"/>
    <w:semiHidden/>
    <w:qFormat/>
    <w:uiPriority w:val="9"/>
    <w:rPr>
      <w:rFonts w:ascii="Calibri" w:hAnsi="Calibri" w:eastAsia="宋体" w:cs="Times New Roman"/>
      <w:b/>
      <w:bCs/>
      <w:sz w:val="28"/>
      <w:szCs w:val="28"/>
    </w:rPr>
  </w:style>
  <w:style w:type="character" w:customStyle="1" w:styleId="56">
    <w:name w:val="标题 6 字符"/>
    <w:semiHidden/>
    <w:qFormat/>
    <w:uiPriority w:val="9"/>
    <w:rPr>
      <w:rFonts w:ascii="等线 Light" w:hAnsi="等线 Light" w:eastAsia="等线 Light" w:cs="Times New Roman"/>
      <w:b/>
      <w:bCs/>
      <w:sz w:val="24"/>
      <w:szCs w:val="24"/>
    </w:rPr>
  </w:style>
  <w:style w:type="character" w:customStyle="1" w:styleId="57">
    <w:name w:val="标题 7 字符"/>
    <w:semiHidden/>
    <w:qFormat/>
    <w:uiPriority w:val="9"/>
    <w:rPr>
      <w:rFonts w:ascii="Calibri" w:hAnsi="Calibri" w:eastAsia="宋体" w:cs="Times New Roman"/>
      <w:b/>
      <w:bCs/>
      <w:sz w:val="24"/>
      <w:szCs w:val="24"/>
    </w:rPr>
  </w:style>
  <w:style w:type="character" w:customStyle="1" w:styleId="58">
    <w:name w:val="标题 8 字符"/>
    <w:semiHidden/>
    <w:qFormat/>
    <w:uiPriority w:val="9"/>
    <w:rPr>
      <w:rFonts w:ascii="等线 Light" w:hAnsi="等线 Light" w:eastAsia="等线 Light" w:cs="Times New Roman"/>
      <w:sz w:val="24"/>
      <w:szCs w:val="24"/>
    </w:rPr>
  </w:style>
  <w:style w:type="character" w:customStyle="1" w:styleId="59">
    <w:name w:val="标题 9 字符"/>
    <w:semiHidden/>
    <w:qFormat/>
    <w:uiPriority w:val="9"/>
    <w:rPr>
      <w:rFonts w:ascii="等线 Light" w:hAnsi="等线 Light" w:eastAsia="等线 Light" w:cs="Times New Roman"/>
      <w:szCs w:val="21"/>
    </w:rPr>
  </w:style>
  <w:style w:type="character" w:customStyle="1" w:styleId="60">
    <w:name w:val="标题 3 Char"/>
    <w:link w:val="6"/>
    <w:qFormat/>
    <w:uiPriority w:val="0"/>
    <w:rPr>
      <w:rFonts w:ascii="宋体" w:hAnsi="宋体" w:eastAsia="宋体" w:cs="宋体"/>
      <w:b/>
      <w:sz w:val="24"/>
      <w:szCs w:val="27"/>
    </w:rPr>
  </w:style>
  <w:style w:type="character" w:customStyle="1" w:styleId="61">
    <w:name w:val="页眉 字符"/>
    <w:semiHidden/>
    <w:qFormat/>
    <w:uiPriority w:val="99"/>
    <w:rPr>
      <w:rFonts w:ascii="Calibri" w:hAnsi="Calibri" w:eastAsia="宋体" w:cs="Times New Roman"/>
      <w:sz w:val="18"/>
      <w:szCs w:val="18"/>
    </w:rPr>
  </w:style>
  <w:style w:type="character" w:customStyle="1" w:styleId="62">
    <w:name w:val="页眉 Char"/>
    <w:link w:val="25"/>
    <w:qFormat/>
    <w:uiPriority w:val="99"/>
    <w:rPr>
      <w:rFonts w:ascii="Calibri" w:hAnsi="Calibri" w:eastAsia="宋体" w:cs="Times New Roman"/>
      <w:sz w:val="18"/>
      <w:szCs w:val="18"/>
    </w:rPr>
  </w:style>
  <w:style w:type="character" w:customStyle="1" w:styleId="63">
    <w:name w:val="页脚 字符"/>
    <w:qFormat/>
    <w:uiPriority w:val="99"/>
    <w:rPr>
      <w:rFonts w:ascii="Calibri" w:hAnsi="Calibri" w:eastAsia="宋体" w:cs="Times New Roman"/>
      <w:sz w:val="18"/>
      <w:szCs w:val="18"/>
    </w:rPr>
  </w:style>
  <w:style w:type="character" w:customStyle="1" w:styleId="64">
    <w:name w:val="页脚 Char"/>
    <w:link w:val="24"/>
    <w:qFormat/>
    <w:uiPriority w:val="99"/>
    <w:rPr>
      <w:rFonts w:ascii="Calibri" w:hAnsi="Calibri" w:eastAsia="宋体" w:cs="Times New Roman"/>
      <w:sz w:val="18"/>
      <w:szCs w:val="18"/>
    </w:rPr>
  </w:style>
  <w:style w:type="character" w:customStyle="1" w:styleId="65">
    <w:name w:val="标题 2 Char"/>
    <w:link w:val="5"/>
    <w:qFormat/>
    <w:uiPriority w:val="0"/>
    <w:rPr>
      <w:rFonts w:ascii="Arial" w:hAnsi="Arial" w:eastAsia="宋体" w:cs="Times New Roman"/>
      <w:b/>
      <w:color w:val="000000"/>
      <w:sz w:val="24"/>
      <w:szCs w:val="24"/>
    </w:rPr>
  </w:style>
  <w:style w:type="character" w:customStyle="1" w:styleId="66">
    <w:name w:val="标题 4 Char"/>
    <w:link w:val="7"/>
    <w:qFormat/>
    <w:uiPriority w:val="0"/>
    <w:rPr>
      <w:rFonts w:ascii="宋体" w:hAnsi="宋体" w:eastAsia="宋体"/>
      <w:b/>
      <w:color w:val="000000"/>
      <w:kern w:val="2"/>
      <w:sz w:val="24"/>
      <w:szCs w:val="21"/>
    </w:rPr>
  </w:style>
  <w:style w:type="character" w:customStyle="1" w:styleId="67">
    <w:name w:val="标题 5 Char"/>
    <w:link w:val="8"/>
    <w:qFormat/>
    <w:uiPriority w:val="0"/>
    <w:rPr>
      <w:rFonts w:ascii="Arial" w:hAnsi="Arial" w:eastAsia="宋体" w:cs="Times New Roman"/>
      <w:color w:val="000000"/>
      <w:szCs w:val="21"/>
    </w:rPr>
  </w:style>
  <w:style w:type="character" w:customStyle="1" w:styleId="68">
    <w:name w:val="标题 6 Char"/>
    <w:link w:val="9"/>
    <w:qFormat/>
    <w:uiPriority w:val="0"/>
    <w:rPr>
      <w:rFonts w:ascii="Arial" w:hAnsi="Arial" w:eastAsia="黑体" w:cs="Times New Roman"/>
      <w:b/>
      <w:bCs/>
      <w:sz w:val="24"/>
      <w:szCs w:val="24"/>
    </w:rPr>
  </w:style>
  <w:style w:type="character" w:customStyle="1" w:styleId="69">
    <w:name w:val="标题 7 Char"/>
    <w:link w:val="10"/>
    <w:qFormat/>
    <w:uiPriority w:val="0"/>
    <w:rPr>
      <w:rFonts w:ascii="Times New Roman" w:hAnsi="Times New Roman" w:eastAsia="宋体" w:cs="Times New Roman"/>
      <w:b/>
      <w:sz w:val="24"/>
      <w:szCs w:val="20"/>
    </w:rPr>
  </w:style>
  <w:style w:type="character" w:customStyle="1" w:styleId="70">
    <w:name w:val="标题 8 Char"/>
    <w:link w:val="11"/>
    <w:qFormat/>
    <w:uiPriority w:val="0"/>
    <w:rPr>
      <w:rFonts w:ascii="Arial" w:hAnsi="Arial" w:eastAsia="黑体" w:cs="Times New Roman"/>
      <w:sz w:val="24"/>
      <w:szCs w:val="20"/>
    </w:rPr>
  </w:style>
  <w:style w:type="character" w:customStyle="1" w:styleId="71">
    <w:name w:val="标题 9 Char"/>
    <w:link w:val="12"/>
    <w:qFormat/>
    <w:uiPriority w:val="0"/>
    <w:rPr>
      <w:rFonts w:ascii="Arial" w:hAnsi="Arial" w:eastAsia="黑体" w:cs="Times New Roman"/>
      <w:szCs w:val="20"/>
    </w:rPr>
  </w:style>
  <w:style w:type="character" w:customStyle="1" w:styleId="72">
    <w:name w:val="标题 字符"/>
    <w:qFormat/>
    <w:uiPriority w:val="10"/>
    <w:rPr>
      <w:rFonts w:ascii="等线 Light" w:hAnsi="等线 Light" w:eastAsia="等线 Light" w:cs="Times New Roman"/>
      <w:b/>
      <w:bCs/>
      <w:sz w:val="32"/>
      <w:szCs w:val="32"/>
    </w:rPr>
  </w:style>
  <w:style w:type="character" w:customStyle="1" w:styleId="73">
    <w:name w:val="标题 Char"/>
    <w:link w:val="4"/>
    <w:qFormat/>
    <w:uiPriority w:val="0"/>
    <w:rPr>
      <w:rFonts w:ascii="Arial" w:hAnsi="Arial" w:eastAsia="宋体" w:cs="Times New Roman"/>
      <w:b/>
      <w:sz w:val="44"/>
      <w:szCs w:val="20"/>
    </w:rPr>
  </w:style>
  <w:style w:type="character" w:customStyle="1" w:styleId="74">
    <w:name w:val="正文文本 字符"/>
    <w:semiHidden/>
    <w:qFormat/>
    <w:uiPriority w:val="99"/>
    <w:rPr>
      <w:rFonts w:ascii="Calibri" w:hAnsi="Calibri" w:eastAsia="宋体" w:cs="Times New Roman"/>
    </w:rPr>
  </w:style>
  <w:style w:type="character" w:customStyle="1" w:styleId="75">
    <w:name w:val="正文文本 Char"/>
    <w:link w:val="16"/>
    <w:qFormat/>
    <w:uiPriority w:val="0"/>
    <w:rPr>
      <w:rFonts w:ascii="Times New Roman" w:hAnsi="Times New Roman" w:eastAsia="宋体" w:cs="Times New Roman"/>
      <w:szCs w:val="20"/>
    </w:rPr>
  </w:style>
  <w:style w:type="character" w:customStyle="1" w:styleId="76">
    <w:name w:val="正文首行缩进 字符"/>
    <w:basedOn w:val="74"/>
    <w:semiHidden/>
    <w:qFormat/>
    <w:uiPriority w:val="99"/>
    <w:rPr>
      <w:rFonts w:ascii="Calibri" w:hAnsi="Calibri" w:eastAsia="宋体" w:cs="Times New Roman"/>
    </w:rPr>
  </w:style>
  <w:style w:type="character" w:customStyle="1" w:styleId="77">
    <w:name w:val="正文首行缩进 Char"/>
    <w:link w:val="34"/>
    <w:qFormat/>
    <w:uiPriority w:val="0"/>
  </w:style>
  <w:style w:type="character" w:customStyle="1" w:styleId="78">
    <w:name w:val="日期 字符"/>
    <w:semiHidden/>
    <w:qFormat/>
    <w:uiPriority w:val="99"/>
    <w:rPr>
      <w:rFonts w:ascii="Calibri" w:hAnsi="Calibri" w:eastAsia="宋体" w:cs="Times New Roman"/>
    </w:rPr>
  </w:style>
  <w:style w:type="character" w:customStyle="1" w:styleId="79">
    <w:name w:val="日期 Char"/>
    <w:link w:val="20"/>
    <w:qFormat/>
    <w:uiPriority w:val="0"/>
    <w:rPr>
      <w:rFonts w:ascii="Times New Roman" w:hAnsi="Times New Roman" w:eastAsia="宋体" w:cs="Times New Roman"/>
      <w:szCs w:val="20"/>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正文文本缩进 Char"/>
    <w:link w:val="17"/>
    <w:qFormat/>
    <w:uiPriority w:val="0"/>
    <w:rPr>
      <w:rFonts w:ascii="Times New Roman" w:hAnsi="Times New Roman" w:eastAsia="宋体" w:cs="Times New Roman"/>
      <w:sz w:val="28"/>
      <w:szCs w:val="20"/>
    </w:rPr>
  </w:style>
  <w:style w:type="character" w:customStyle="1" w:styleId="82">
    <w:name w:val="文档结构图 字符"/>
    <w:semiHidden/>
    <w:qFormat/>
    <w:uiPriority w:val="99"/>
    <w:rPr>
      <w:rFonts w:ascii="Microsoft YaHei UI" w:hAnsi="Calibri" w:eastAsia="Microsoft YaHei UI" w:cs="Times New Roman"/>
      <w:sz w:val="18"/>
      <w:szCs w:val="18"/>
    </w:rPr>
  </w:style>
  <w:style w:type="character" w:customStyle="1" w:styleId="83">
    <w:name w:val="文档结构图 Char"/>
    <w:link w:val="14"/>
    <w:qFormat/>
    <w:uiPriority w:val="0"/>
    <w:rPr>
      <w:rFonts w:ascii="Times New Roman" w:hAnsi="Times New Roman" w:eastAsia="宋体" w:cs="Times New Roman"/>
      <w:szCs w:val="20"/>
      <w:shd w:val="clear" w:color="auto" w:fill="000080"/>
    </w:rPr>
  </w:style>
  <w:style w:type="character" w:customStyle="1" w:styleId="84">
    <w:name w:val="纯文本 字符"/>
    <w:qFormat/>
    <w:uiPriority w:val="0"/>
    <w:rPr>
      <w:rFonts w:ascii="等线" w:hAnsi="Courier New" w:cs="Courier New"/>
    </w:rPr>
  </w:style>
  <w:style w:type="character" w:customStyle="1" w:styleId="85">
    <w:name w:val="纯文本 Char"/>
    <w:link w:val="2"/>
    <w:qFormat/>
    <w:uiPriority w:val="0"/>
    <w:rPr>
      <w:rFonts w:ascii="宋体" w:hAnsi="Courier New" w:eastAsia="宋体" w:cs="Times New Roman"/>
      <w:szCs w:val="20"/>
    </w:rPr>
  </w:style>
  <w:style w:type="character" w:customStyle="1" w:styleId="86">
    <w:name w:val="正文文本缩进 2 字符"/>
    <w:semiHidden/>
    <w:qFormat/>
    <w:uiPriority w:val="99"/>
    <w:rPr>
      <w:rFonts w:ascii="Calibri" w:hAnsi="Calibri" w:eastAsia="宋体" w:cs="Times New Roman"/>
    </w:rPr>
  </w:style>
  <w:style w:type="character" w:customStyle="1" w:styleId="87">
    <w:name w:val="正文文本缩进 2 Char"/>
    <w:link w:val="21"/>
    <w:qFormat/>
    <w:uiPriority w:val="0"/>
    <w:rPr>
      <w:rFonts w:ascii="Times New Roman" w:hAnsi="Times New Roman" w:eastAsia="宋体" w:cs="Times New Roman"/>
      <w:color w:val="000000"/>
      <w:sz w:val="24"/>
      <w:szCs w:val="20"/>
    </w:rPr>
  </w:style>
  <w:style w:type="character" w:customStyle="1" w:styleId="88">
    <w:name w:val="正文文本缩进 3 字符"/>
    <w:semiHidden/>
    <w:qFormat/>
    <w:uiPriority w:val="99"/>
    <w:rPr>
      <w:rFonts w:ascii="Calibri" w:hAnsi="Calibri" w:eastAsia="宋体" w:cs="Times New Roman"/>
      <w:sz w:val="16"/>
      <w:szCs w:val="16"/>
    </w:rPr>
  </w:style>
  <w:style w:type="character" w:customStyle="1" w:styleId="89">
    <w:name w:val="正文文本缩进 3 Char"/>
    <w:link w:val="28"/>
    <w:qFormat/>
    <w:uiPriority w:val="0"/>
    <w:rPr>
      <w:rFonts w:ascii="Times New Roman" w:hAnsi="Times New Roman" w:eastAsia="宋体" w:cs="Times New Roman"/>
      <w:color w:val="000000"/>
      <w:sz w:val="24"/>
      <w:szCs w:val="20"/>
    </w:rPr>
  </w:style>
  <w:style w:type="paragraph" w:customStyle="1" w:styleId="9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1">
    <w:name w:val="_Style 69"/>
    <w:qFormat/>
    <w:uiPriority w:val="0"/>
    <w:rPr>
      <w:rFonts w:ascii="等线" w:hAnsi="等线" w:eastAsia="等线" w:cs="Times New Roman"/>
      <w:lang w:val="en-US" w:eastAsia="zh-CN" w:bidi="ar-SA"/>
    </w:rPr>
  </w:style>
  <w:style w:type="character" w:customStyle="1" w:styleId="92">
    <w:name w:val="正文文本 2 字符"/>
    <w:semiHidden/>
    <w:qFormat/>
    <w:uiPriority w:val="99"/>
    <w:rPr>
      <w:rFonts w:ascii="Calibri" w:hAnsi="Calibri" w:eastAsia="宋体" w:cs="Times New Roman"/>
    </w:rPr>
  </w:style>
  <w:style w:type="character" w:customStyle="1" w:styleId="93">
    <w:name w:val="正文文本 2 Char"/>
    <w:link w:val="30"/>
    <w:qFormat/>
    <w:uiPriority w:val="0"/>
    <w:rPr>
      <w:rFonts w:ascii="宋体" w:hAnsi="宋体" w:eastAsia="宋体" w:cs="Times New Roman"/>
      <w:szCs w:val="24"/>
      <w:u w:val="single"/>
    </w:rPr>
  </w:style>
  <w:style w:type="paragraph" w:customStyle="1" w:styleId="94">
    <w:name w:val="表头"/>
    <w:basedOn w:val="1"/>
    <w:qFormat/>
    <w:uiPriority w:val="0"/>
    <w:pPr>
      <w:spacing w:line="360" w:lineRule="auto"/>
      <w:jc w:val="center"/>
    </w:pPr>
    <w:rPr>
      <w:rFonts w:ascii="黑体" w:hAnsi="Times New Roman" w:eastAsia="黑体"/>
      <w:kern w:val="0"/>
      <w:sz w:val="24"/>
      <w:szCs w:val="20"/>
    </w:rPr>
  </w:style>
  <w:style w:type="character" w:customStyle="1" w:styleId="95">
    <w:name w:val="尾注文本 字符"/>
    <w:semiHidden/>
    <w:qFormat/>
    <w:uiPriority w:val="99"/>
    <w:rPr>
      <w:rFonts w:ascii="Calibri" w:hAnsi="Calibri" w:eastAsia="宋体" w:cs="Times New Roman"/>
    </w:rPr>
  </w:style>
  <w:style w:type="character" w:customStyle="1" w:styleId="96">
    <w:name w:val="尾注文本 Char"/>
    <w:link w:val="22"/>
    <w:qFormat/>
    <w:uiPriority w:val="0"/>
    <w:rPr>
      <w:rFonts w:ascii="Times New Roman" w:hAnsi="Times New Roman" w:eastAsia="宋体" w:cs="Times New Roman"/>
      <w:szCs w:val="20"/>
    </w:rPr>
  </w:style>
  <w:style w:type="paragraph" w:customStyle="1" w:styleId="97">
    <w:name w:val="Char"/>
    <w:basedOn w:val="1"/>
    <w:qFormat/>
    <w:uiPriority w:val="0"/>
    <w:rPr>
      <w:rFonts w:ascii="Tahoma" w:hAnsi="Tahoma"/>
      <w:sz w:val="24"/>
      <w:szCs w:val="20"/>
    </w:rPr>
  </w:style>
  <w:style w:type="paragraph" w:customStyle="1" w:styleId="98">
    <w:name w:val="Char1"/>
    <w:basedOn w:val="1"/>
    <w:qFormat/>
    <w:uiPriority w:val="0"/>
    <w:pPr>
      <w:numPr>
        <w:ilvl w:val="0"/>
        <w:numId w:val="2"/>
      </w:numPr>
    </w:pPr>
    <w:rPr>
      <w:rFonts w:ascii="Times New Roman" w:hAnsi="Times New Roman"/>
      <w:sz w:val="24"/>
      <w:szCs w:val="24"/>
    </w:rPr>
  </w:style>
  <w:style w:type="paragraph" w:customStyle="1" w:styleId="99">
    <w:name w:val="公文抬头"/>
    <w:basedOn w:val="13"/>
    <w:qFormat/>
    <w:uiPriority w:val="0"/>
    <w:pPr>
      <w:ind w:firstLine="0"/>
    </w:pPr>
    <w:rPr>
      <w:rFonts w:ascii="仿宋_GB2312" w:eastAsia="仿宋_GB2312"/>
      <w:sz w:val="30"/>
      <w:szCs w:val="24"/>
    </w:rPr>
  </w:style>
  <w:style w:type="paragraph" w:customStyle="1" w:styleId="100">
    <w:name w:val="Char Char Char1 Char"/>
    <w:basedOn w:val="14"/>
    <w:qFormat/>
    <w:uiPriority w:val="0"/>
    <w:rPr>
      <w:rFonts w:ascii="Tahoma" w:hAnsi="Tahoma"/>
      <w:sz w:val="24"/>
      <w:szCs w:val="24"/>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3">
    <w:name w:val="发文落款"/>
    <w:basedOn w:val="101"/>
    <w:qFormat/>
    <w:uiPriority w:val="0"/>
    <w:pPr>
      <w:ind w:left="4094" w:right="607" w:firstLine="0"/>
      <w:jc w:val="center"/>
    </w:pPr>
  </w:style>
  <w:style w:type="paragraph" w:customStyle="1" w:styleId="104">
    <w:name w:val="Char Char Char Char"/>
    <w:basedOn w:val="1"/>
    <w:qFormat/>
    <w:uiPriority w:val="0"/>
    <w:rPr>
      <w:rFonts w:ascii="Times New Roman" w:hAnsi="Times New Roman"/>
      <w:sz w:val="30"/>
      <w:szCs w:val="24"/>
    </w:rPr>
  </w:style>
  <w:style w:type="character" w:customStyle="1" w:styleId="105">
    <w:name w:val="批注框文本 字符"/>
    <w:semiHidden/>
    <w:qFormat/>
    <w:uiPriority w:val="99"/>
    <w:rPr>
      <w:rFonts w:ascii="Calibri" w:hAnsi="Calibri" w:eastAsia="宋体" w:cs="Times New Roman"/>
      <w:sz w:val="18"/>
      <w:szCs w:val="18"/>
    </w:rPr>
  </w:style>
  <w:style w:type="character" w:customStyle="1" w:styleId="106">
    <w:name w:val="批注框文本 Char"/>
    <w:link w:val="23"/>
    <w:qFormat/>
    <w:uiPriority w:val="0"/>
    <w:rPr>
      <w:rFonts w:ascii="Times New Roman" w:hAnsi="Times New Roman" w:eastAsia="宋体" w:cs="Times New Roman"/>
      <w:sz w:val="18"/>
      <w:szCs w:val="18"/>
    </w:rPr>
  </w:style>
  <w:style w:type="paragraph" w:customStyle="1" w:styleId="107">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8">
    <w:name w:val="批注文字 字符"/>
    <w:semiHidden/>
    <w:qFormat/>
    <w:uiPriority w:val="99"/>
    <w:rPr>
      <w:rFonts w:ascii="Calibri" w:hAnsi="Calibri" w:eastAsia="宋体" w:cs="Times New Roman"/>
    </w:rPr>
  </w:style>
  <w:style w:type="character" w:customStyle="1" w:styleId="109">
    <w:name w:val="批注文字 Char"/>
    <w:link w:val="15"/>
    <w:qFormat/>
    <w:uiPriority w:val="0"/>
    <w:rPr>
      <w:rFonts w:ascii="宋体" w:hAnsi="宋体" w:eastAsia="宋体" w:cs="Times New Roman"/>
      <w:sz w:val="24"/>
      <w:szCs w:val="24"/>
    </w:rPr>
  </w:style>
  <w:style w:type="character" w:customStyle="1" w:styleId="110">
    <w:name w:val="脚注文本 字符"/>
    <w:semiHidden/>
    <w:qFormat/>
    <w:uiPriority w:val="99"/>
    <w:rPr>
      <w:rFonts w:ascii="Calibri" w:hAnsi="Calibri" w:eastAsia="宋体" w:cs="Times New Roman"/>
      <w:sz w:val="18"/>
      <w:szCs w:val="18"/>
    </w:rPr>
  </w:style>
  <w:style w:type="character" w:customStyle="1" w:styleId="111">
    <w:name w:val="脚注文本 Char"/>
    <w:link w:val="27"/>
    <w:qFormat/>
    <w:uiPriority w:val="0"/>
    <w:rPr>
      <w:rFonts w:ascii="宋体" w:hAnsi="宋体" w:eastAsia="宋体" w:cs="Times New Roman"/>
      <w:sz w:val="18"/>
      <w:szCs w:val="18"/>
    </w:rPr>
  </w:style>
  <w:style w:type="character" w:customStyle="1" w:styleId="112">
    <w:name w:val="批注主题 字符"/>
    <w:semiHidden/>
    <w:qFormat/>
    <w:uiPriority w:val="99"/>
    <w:rPr>
      <w:rFonts w:ascii="Calibri" w:hAnsi="Calibri" w:eastAsia="宋体" w:cs="Times New Roman"/>
      <w:b/>
      <w:bCs/>
    </w:rPr>
  </w:style>
  <w:style w:type="character" w:customStyle="1" w:styleId="113">
    <w:name w:val="批注主题 Char"/>
    <w:link w:val="33"/>
    <w:qFormat/>
    <w:uiPriority w:val="0"/>
    <w:rPr>
      <w:rFonts w:ascii="宋体" w:hAnsi="宋体" w:eastAsia="宋体" w:cs="Times New Roman"/>
      <w:b/>
      <w:bCs/>
      <w:sz w:val="24"/>
      <w:szCs w:val="24"/>
    </w:rPr>
  </w:style>
  <w:style w:type="paragraph" w:styleId="114">
    <w:name w:val="List Paragraph"/>
    <w:basedOn w:val="1"/>
    <w:qFormat/>
    <w:uiPriority w:val="34"/>
    <w:pPr>
      <w:ind w:firstLine="420" w:firstLineChars="200"/>
    </w:pPr>
    <w:rPr>
      <w:rFonts w:ascii="Times New Roman" w:hAnsi="Times New Roman"/>
      <w:szCs w:val="20"/>
    </w:rPr>
  </w:style>
  <w:style w:type="paragraph" w:customStyle="1" w:styleId="115">
    <w:name w:val="修订1"/>
    <w:semiHidden/>
    <w:qFormat/>
    <w:uiPriority w:val="99"/>
    <w:rPr>
      <w:rFonts w:ascii="Times New Roman" w:hAnsi="Times New Roman" w:eastAsia="宋体" w:cs="Times New Roman"/>
      <w:kern w:val="2"/>
      <w:sz w:val="21"/>
      <w:lang w:val="en-US" w:eastAsia="zh-CN" w:bidi="ar-SA"/>
    </w:rPr>
  </w:style>
  <w:style w:type="character" w:customStyle="1" w:styleId="116">
    <w:name w:val="font11"/>
    <w:qFormat/>
    <w:uiPriority w:val="0"/>
    <w:rPr>
      <w:rFonts w:hint="eastAsia" w:ascii="宋体" w:hAnsi="宋体" w:eastAsia="宋体"/>
      <w:color w:val="000000"/>
      <w:sz w:val="24"/>
      <w:szCs w:val="24"/>
      <w:u w:val="single"/>
    </w:rPr>
  </w:style>
  <w:style w:type="paragraph" w:customStyle="1" w:styleId="117">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8">
    <w:name w:val="正文文本缩进 New New"/>
    <w:basedOn w:val="1"/>
    <w:qFormat/>
    <w:uiPriority w:val="0"/>
    <w:pPr>
      <w:spacing w:after="120"/>
      <w:ind w:left="420" w:leftChars="200"/>
    </w:pPr>
    <w:rPr>
      <w:rFonts w:ascii="Times New Roman" w:eastAsia="楷体_GB2312"/>
      <w:szCs w:val="20"/>
    </w:rPr>
  </w:style>
  <w:style w:type="paragraph" w:customStyle="1" w:styleId="119">
    <w:name w:val="正题"/>
    <w:basedOn w:val="120"/>
    <w:qFormat/>
    <w:uiPriority w:val="0"/>
    <w:pPr>
      <w:jc w:val="center"/>
    </w:pPr>
    <w:rPr>
      <w:rFonts w:ascii="宋体" w:hAnsi="宋体" w:eastAsia="黑体" w:cstheme="minorBidi"/>
      <w:b/>
      <w:sz w:val="36"/>
      <w:szCs w:val="36"/>
    </w:rPr>
  </w:style>
  <w:style w:type="paragraph" w:customStyle="1" w:styleId="120">
    <w:name w:val="文一"/>
    <w:link w:val="123"/>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21">
    <w:name w:val="No Spacing"/>
    <w:link w:val="122"/>
    <w:qFormat/>
    <w:uiPriority w:val="1"/>
    <w:rPr>
      <w:rFonts w:asciiTheme="minorHAnsi" w:hAnsiTheme="minorHAnsi" w:eastAsiaTheme="minorEastAsia" w:cstheme="minorBidi"/>
      <w:sz w:val="22"/>
      <w:szCs w:val="22"/>
      <w:lang w:val="en-US" w:eastAsia="zh-CN" w:bidi="ar-SA"/>
    </w:rPr>
  </w:style>
  <w:style w:type="character" w:customStyle="1" w:styleId="122">
    <w:name w:val="无间隔 Char"/>
    <w:basedOn w:val="38"/>
    <w:link w:val="121"/>
    <w:qFormat/>
    <w:uiPriority w:val="1"/>
    <w:rPr>
      <w:rFonts w:asciiTheme="minorHAnsi" w:hAnsiTheme="minorHAnsi" w:eastAsiaTheme="minorEastAsia" w:cstheme="minorBidi"/>
      <w:sz w:val="22"/>
      <w:szCs w:val="22"/>
    </w:rPr>
  </w:style>
  <w:style w:type="character" w:customStyle="1" w:styleId="123">
    <w:name w:val="文一 Char"/>
    <w:link w:val="120"/>
    <w:qFormat/>
    <w:uiPriority w:val="0"/>
    <w:rPr>
      <w:rFonts w:ascii="Calibri" w:hAnsi="Calibri" w:eastAsia="宋体"/>
      <w:snapToGrid w:val="0"/>
      <w:spacing w:val="4"/>
      <w:sz w:val="24"/>
      <w:szCs w:val="24"/>
    </w:rPr>
  </w:style>
  <w:style w:type="paragraph" w:customStyle="1" w:styleId="124">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5">
    <w:name w:val="正文缩进 Char"/>
    <w:link w:val="13"/>
    <w:qFormat/>
    <w:uiPriority w:val="0"/>
    <w:rPr>
      <w:rFonts w:ascii="Times New Roman" w:hAnsi="Times New Roman" w:eastAsia="宋体"/>
      <w:kern w:val="2"/>
      <w:sz w:val="21"/>
    </w:rPr>
  </w:style>
  <w:style w:type="paragraph" w:customStyle="1" w:styleId="126">
    <w:name w:val="正文 New New"/>
    <w:basedOn w:val="1"/>
    <w:qFormat/>
    <w:uiPriority w:val="0"/>
    <w:rPr>
      <w:rFonts w:ascii="Times New Roman" w:hAnsi="Times New Roman" w:eastAsia="楷体_GB2312" w:cs="宋体"/>
      <w:szCs w:val="21"/>
    </w:rPr>
  </w:style>
  <w:style w:type="paragraph" w:customStyle="1" w:styleId="127">
    <w:name w:val="_Style 3"/>
    <w:qFormat/>
    <w:uiPriority w:val="0"/>
    <w:pPr>
      <w:widowControl w:val="0"/>
      <w:jc w:val="both"/>
    </w:pPr>
    <w:rPr>
      <w:rFonts w:ascii="等线" w:hAnsi="等线" w:eastAsia="等线" w:cs="Times New Roman"/>
      <w:kern w:val="2"/>
      <w:sz w:val="21"/>
      <w:szCs w:val="22"/>
      <w:lang w:val="en-US" w:eastAsia="zh-CN" w:bidi="ar-SA"/>
    </w:rPr>
  </w:style>
  <w:style w:type="character" w:customStyle="1" w:styleId="128">
    <w:name w:val="未处理的提及1"/>
    <w:basedOn w:val="38"/>
    <w:semiHidden/>
    <w:unhideWhenUsed/>
    <w:qFormat/>
    <w:uiPriority w:val="99"/>
    <w:rPr>
      <w:color w:val="605E5C"/>
      <w:shd w:val="clear" w:color="auto" w:fill="E1DFDD"/>
    </w:rPr>
  </w:style>
  <w:style w:type="character" w:customStyle="1" w:styleId="129">
    <w:name w:val="username"/>
    <w:basedOn w:val="38"/>
    <w:qFormat/>
    <w:uiPriority w:val="0"/>
  </w:style>
  <w:style w:type="character" w:customStyle="1" w:styleId="130">
    <w:name w:val="title26"/>
    <w:basedOn w:val="38"/>
    <w:qFormat/>
    <w:uiPriority w:val="0"/>
  </w:style>
  <w:style w:type="character" w:customStyle="1" w:styleId="131">
    <w:name w:val="title21"/>
    <w:basedOn w:val="38"/>
    <w:qFormat/>
    <w:uiPriority w:val="0"/>
  </w:style>
  <w:style w:type="paragraph" w:customStyle="1" w:styleId="132">
    <w:name w:val="章节三"/>
    <w:basedOn w:val="120"/>
    <w:qFormat/>
    <w:uiPriority w:val="0"/>
    <w:pPr>
      <w:spacing w:beforeLines="50" w:afterLines="50" w:line="240" w:lineRule="auto"/>
      <w:ind w:firstLine="0" w:firstLineChars="0"/>
      <w:jc w:val="left"/>
      <w:outlineLvl w:val="2"/>
    </w:pPr>
    <w:rPr>
      <w:rFonts w:ascii="黑体" w:hAnsi="宋体" w:eastAsia="黑体"/>
      <w:b/>
    </w:rPr>
  </w:style>
  <w:style w:type="character" w:customStyle="1" w:styleId="133">
    <w:name w:val="未处理的提及2"/>
    <w:basedOn w:val="38"/>
    <w:semiHidden/>
    <w:unhideWhenUsed/>
    <w:qFormat/>
    <w:uiPriority w:val="99"/>
    <w:rPr>
      <w:color w:val="605E5C"/>
      <w:shd w:val="clear" w:color="auto" w:fill="E1DFDD"/>
    </w:rPr>
  </w:style>
  <w:style w:type="paragraph" w:customStyle="1" w:styleId="134">
    <w:name w:val="Table Paragraph"/>
    <w:basedOn w:val="1"/>
    <w:unhideWhenUsed/>
    <w:qFormat/>
    <w:uiPriority w:val="1"/>
    <w:rPr>
      <w:sz w:val="24"/>
      <w:szCs w:val="24"/>
    </w:rPr>
  </w:style>
  <w:style w:type="paragraph" w:customStyle="1" w:styleId="135">
    <w:name w:val="修订2"/>
    <w:hidden/>
    <w:semiHidden/>
    <w:qFormat/>
    <w:uiPriority w:val="99"/>
    <w:rPr>
      <w:rFonts w:ascii="Calibri" w:hAnsi="Calibri" w:eastAsia="宋体" w:cs="Times New Roman"/>
      <w:kern w:val="2"/>
      <w:sz w:val="21"/>
      <w:szCs w:val="22"/>
      <w:lang w:val="en-US" w:eastAsia="zh-CN" w:bidi="ar-SA"/>
    </w:rPr>
  </w:style>
  <w:style w:type="character" w:customStyle="1" w:styleId="136">
    <w:name w:val="font01"/>
    <w:qFormat/>
    <w:uiPriority w:val="0"/>
    <w:rPr>
      <w:rFonts w:hint="eastAsia" w:ascii="仿宋" w:hAnsi="仿宋" w:eastAsia="仿宋" w:cs="仿宋"/>
      <w:color w:val="000000"/>
      <w:sz w:val="28"/>
      <w:szCs w:val="28"/>
      <w:u w:val="none"/>
    </w:rPr>
  </w:style>
  <w:style w:type="character" w:customStyle="1" w:styleId="137">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3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30D2-C95A-49C1-AEFD-E1E731859F2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74</Pages>
  <Words>42972</Words>
  <Characters>7978</Characters>
  <Lines>66</Lines>
  <Paragraphs>101</Paragraphs>
  <TotalTime>0</TotalTime>
  <ScaleCrop>false</ScaleCrop>
  <LinksUpToDate>false</LinksUpToDate>
  <CharactersWithSpaces>50849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2022-09-26T09:44:00Z</dcterms:created>
  <dc:creator>Administrator</dc:creator>
  <cp:lastModifiedBy>.Y</cp:lastModifiedBy>
  <cp:lastPrinted>2023-07-21T07:32:00Z</cp:lastPrinted>
  <dcterms:modified xsi:type="dcterms:W3CDTF">2023-10-20T09:12:53Z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AC9EE97B70FA406C92AB6698A0AFA5D1_13</vt:lpwstr>
  </property>
</Properties>
</file>