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wordWrap w:val="0"/>
        <w:spacing w:line="360" w:lineRule="auto"/>
        <w:ind w:right="420"/>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lang w:val="en-US" w:eastAsia="zh-CN"/>
          <w14:textFill>
            <w14:solidFill>
              <w14:schemeClr w14:val="tx1"/>
            </w14:solidFill>
          </w14:textFill>
        </w:rPr>
        <w:t>（）95</w:t>
      </w:r>
      <w:r>
        <w:rPr>
          <w:rFonts w:hint="eastAsia" w:hAnsi="宋体" w:cs="宋体"/>
          <w:color w:val="000000" w:themeColor="text1"/>
          <w:szCs w:val="21"/>
          <w:highlight w:val="none"/>
          <w14:textFill>
            <w14:solidFill>
              <w14:schemeClr w14:val="tx1"/>
            </w14:solidFill>
          </w14:textFill>
        </w:rPr>
        <w:t>合同编号：</w:t>
      </w:r>
      <w:r>
        <w:rPr>
          <w:rFonts w:hint="eastAsia"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 xml:space="preserve"> </w:t>
      </w:r>
    </w:p>
    <w:p>
      <w:pPr>
        <w:pStyle w:val="20"/>
        <w:spacing w:line="360" w:lineRule="auto"/>
        <w:rPr>
          <w:rFonts w:hint="eastAsia" w:hAnsi="宋体" w:cs="宋体"/>
          <w:color w:val="000000" w:themeColor="text1"/>
          <w:sz w:val="28"/>
          <w:szCs w:val="28"/>
          <w:highlight w:val="none"/>
          <w14:textFill>
            <w14:solidFill>
              <w14:schemeClr w14:val="tx1"/>
            </w14:solidFill>
          </w14:textFill>
        </w:rPr>
      </w:pPr>
    </w:p>
    <w:p>
      <w:pPr>
        <w:pStyle w:val="20"/>
        <w:spacing w:line="360" w:lineRule="auto"/>
        <w:jc w:val="center"/>
        <w:rPr>
          <w:rFonts w:hint="eastAsia" w:hAnsi="宋体" w:cs="宋体"/>
          <w:color w:val="000000" w:themeColor="text1"/>
          <w:sz w:val="28"/>
          <w:szCs w:val="28"/>
          <w:highlight w:val="none"/>
          <w14:textFill>
            <w14:solidFill>
              <w14:schemeClr w14:val="tx1"/>
            </w14:solidFill>
          </w14:textFill>
        </w:rPr>
      </w:pPr>
    </w:p>
    <w:p>
      <w:pPr>
        <w:pStyle w:val="20"/>
        <w:spacing w:line="360" w:lineRule="auto"/>
        <w:jc w:val="center"/>
        <w:rPr>
          <w:rFonts w:hint="eastAsia" w:ascii="黑体" w:hAnsi="宋体" w:eastAsia="黑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黑体" w:hAnsi="宋体" w:eastAsia="黑体" w:cs="宋体"/>
          <w:b/>
          <w:color w:val="000000" w:themeColor="text1"/>
          <w:sz w:val="44"/>
          <w:szCs w:val="44"/>
          <w:highlight w:val="none"/>
          <w14:textFill>
            <w14:solidFill>
              <w14:schemeClr w14:val="tx1"/>
            </w14:solidFill>
          </w14:textFill>
        </w:rPr>
      </w:pPr>
    </w:p>
    <w:p>
      <w:pPr>
        <w:pStyle w:val="20"/>
        <w:spacing w:line="360" w:lineRule="auto"/>
        <w:jc w:val="center"/>
        <w:rPr>
          <w:rFonts w:hint="eastAsia" w:ascii="黑体" w:hAnsi="宋体" w:eastAsia="黑体" w:cs="宋体"/>
          <w:b/>
          <w:color w:val="000000" w:themeColor="text1"/>
          <w:sz w:val="44"/>
          <w:szCs w:val="44"/>
          <w:highlight w:val="none"/>
          <w14:textFill>
            <w14:solidFill>
              <w14:schemeClr w14:val="tx1"/>
            </w14:solidFill>
          </w14:textFill>
        </w:rPr>
      </w:pPr>
      <w:r>
        <w:rPr>
          <w:rFonts w:hint="eastAsia" w:ascii="黑体" w:hAnsi="宋体" w:eastAsia="黑体" w:cs="宋体"/>
          <w:b/>
          <w:color w:val="000000" w:themeColor="text1"/>
          <w:sz w:val="44"/>
          <w:szCs w:val="44"/>
          <w:highlight w:val="none"/>
          <w14:textFill>
            <w14:solidFill>
              <w14:schemeClr w14:val="tx1"/>
            </w14:solidFill>
          </w14:textFill>
        </w:rPr>
        <w:t>广州市市政建设（供排水部分）工程</w:t>
      </w:r>
    </w:p>
    <w:p>
      <w:pPr>
        <w:pStyle w:val="20"/>
        <w:spacing w:line="360" w:lineRule="auto"/>
        <w:jc w:val="center"/>
        <w:rPr>
          <w:rFonts w:hint="eastAsia" w:ascii="黑体" w:hAnsi="宋体" w:eastAsia="黑体" w:cs="宋体"/>
          <w:b/>
          <w:color w:val="000000" w:themeColor="text1"/>
          <w:sz w:val="44"/>
          <w:szCs w:val="44"/>
          <w:highlight w:val="none"/>
          <w14:textFill>
            <w14:solidFill>
              <w14:schemeClr w14:val="tx1"/>
            </w14:solidFill>
          </w14:textFill>
        </w:rPr>
      </w:pPr>
      <w:r>
        <w:rPr>
          <w:rFonts w:hint="eastAsia" w:ascii="黑体" w:hAnsi="宋体" w:eastAsia="黑体" w:cs="宋体"/>
          <w:b/>
          <w:color w:val="000000" w:themeColor="text1"/>
          <w:sz w:val="44"/>
          <w:szCs w:val="44"/>
          <w:highlight w:val="none"/>
          <w:lang w:eastAsia="zh-CN"/>
          <w14:textFill>
            <w14:solidFill>
              <w14:schemeClr w14:val="tx1"/>
            </w14:solidFill>
          </w14:textFill>
        </w:rPr>
        <w:t>施工图设计及施工总承包（EPC）</w:t>
      </w:r>
      <w:r>
        <w:rPr>
          <w:rFonts w:hint="eastAsia" w:ascii="黑体" w:hAnsi="宋体" w:eastAsia="黑体" w:cs="宋体"/>
          <w:b/>
          <w:color w:val="000000" w:themeColor="text1"/>
          <w:sz w:val="44"/>
          <w:szCs w:val="44"/>
          <w:highlight w:val="none"/>
          <w14:textFill>
            <w14:solidFill>
              <w14:schemeClr w14:val="tx1"/>
            </w14:solidFill>
          </w14:textFill>
        </w:rPr>
        <w:t>合同</w:t>
      </w:r>
    </w:p>
    <w:p>
      <w:pPr>
        <w:pStyle w:val="20"/>
        <w:snapToGrid w:val="0"/>
        <w:jc w:val="center"/>
        <w:rPr>
          <w:rFonts w:hint="eastAsia" w:hAnsi="宋体" w:cs="宋体"/>
          <w:color w:val="000000" w:themeColor="text1"/>
          <w:sz w:val="28"/>
          <w:szCs w:val="28"/>
          <w:highlight w:val="none"/>
          <w14:textFill>
            <w14:solidFill>
              <w14:schemeClr w14:val="tx1"/>
            </w14:solidFill>
          </w14:textFill>
        </w:rPr>
      </w:pPr>
    </w:p>
    <w:p>
      <w:pPr>
        <w:pStyle w:val="20"/>
        <w:snapToGrid w:val="0"/>
        <w:jc w:val="center"/>
        <w:rPr>
          <w:rFonts w:hint="eastAsia" w:hAnsi="宋体" w:cs="宋体"/>
          <w:color w:val="000000" w:themeColor="text1"/>
          <w:sz w:val="28"/>
          <w:szCs w:val="28"/>
          <w:highlight w:val="none"/>
          <w14:textFill>
            <w14:solidFill>
              <w14:schemeClr w14:val="tx1"/>
            </w14:solidFill>
          </w14:textFill>
        </w:rPr>
      </w:pPr>
    </w:p>
    <w:p>
      <w:pPr>
        <w:pStyle w:val="20"/>
        <w:snapToGrid w:val="0"/>
        <w:jc w:val="center"/>
        <w:rPr>
          <w:rFonts w:hint="eastAsia" w:hAnsi="宋体" w:cs="宋体"/>
          <w:color w:val="000000" w:themeColor="text1"/>
          <w:sz w:val="28"/>
          <w:szCs w:val="28"/>
          <w:highlight w:val="none"/>
          <w14:textFill>
            <w14:solidFill>
              <w14:schemeClr w14:val="tx1"/>
            </w14:solidFill>
          </w14:textFill>
        </w:rPr>
      </w:pPr>
    </w:p>
    <w:p>
      <w:pPr>
        <w:pStyle w:val="20"/>
        <w:snapToGrid w:val="0"/>
        <w:rPr>
          <w:rFonts w:hint="eastAsia" w:hAnsi="宋体" w:cs="宋体"/>
          <w:color w:val="000000" w:themeColor="text1"/>
          <w:sz w:val="28"/>
          <w:szCs w:val="28"/>
          <w:highlight w:val="none"/>
          <w14:textFill>
            <w14:solidFill>
              <w14:schemeClr w14:val="tx1"/>
            </w14:solidFill>
          </w14:textFill>
        </w:rPr>
      </w:pPr>
    </w:p>
    <w:p>
      <w:pPr>
        <w:pStyle w:val="20"/>
        <w:spacing w:line="360" w:lineRule="auto"/>
        <w:rPr>
          <w:rFonts w:hint="eastAsia" w:hAnsi="宋体" w:cs="宋体"/>
          <w:color w:val="000000" w:themeColor="text1"/>
          <w:highlight w:val="none"/>
          <w14:textFill>
            <w14:solidFill>
              <w14:schemeClr w14:val="tx1"/>
            </w14:solidFill>
          </w14:textFill>
        </w:rPr>
      </w:pPr>
    </w:p>
    <w:p>
      <w:pPr>
        <w:pStyle w:val="20"/>
        <w:spacing w:line="360" w:lineRule="auto"/>
        <w:rPr>
          <w:rFonts w:hint="eastAsia" w:hAnsi="宋体" w:cs="宋体"/>
          <w:color w:val="000000" w:themeColor="text1"/>
          <w:highlight w:val="none"/>
          <w14:textFill>
            <w14:solidFill>
              <w14:schemeClr w14:val="tx1"/>
            </w14:solidFill>
          </w14:textFill>
        </w:rPr>
      </w:pPr>
    </w:p>
    <w:p>
      <w:pPr>
        <w:pStyle w:val="20"/>
        <w:tabs>
          <w:tab w:val="left" w:pos="3256"/>
        </w:tabs>
        <w:spacing w:line="360" w:lineRule="auto"/>
        <w:rPr>
          <w:rFonts w:hint="eastAsia" w:hAnsi="宋体" w:cs="宋体"/>
          <w:color w:val="000000" w:themeColor="text1"/>
          <w:sz w:val="28"/>
          <w:szCs w:val="28"/>
          <w:highlight w:val="none"/>
          <w14:textFill>
            <w14:solidFill>
              <w14:schemeClr w14:val="tx1"/>
            </w14:solidFill>
          </w14:textFill>
        </w:rPr>
      </w:pPr>
      <w:r>
        <w:rPr>
          <w:rFonts w:hAnsi="宋体" w:cs="宋体"/>
          <w:color w:val="000000" w:themeColor="text1"/>
          <w:sz w:val="28"/>
          <w:szCs w:val="28"/>
          <w:highlight w:val="none"/>
          <w14:textFill>
            <w14:solidFill>
              <w14:schemeClr w14:val="tx1"/>
            </w14:solidFill>
          </w14:textFill>
        </w:rPr>
        <w:tab/>
      </w:r>
    </w:p>
    <w:p>
      <w:pPr>
        <w:pStyle w:val="20"/>
        <w:spacing w:line="360" w:lineRule="auto"/>
        <w:rPr>
          <w:rFonts w:hint="eastAsia" w:hAnsi="宋体" w:cs="宋体"/>
          <w:color w:val="000000" w:themeColor="text1"/>
          <w:sz w:val="28"/>
          <w:szCs w:val="28"/>
          <w:highlight w:val="none"/>
          <w14:textFill>
            <w14:solidFill>
              <w14:schemeClr w14:val="tx1"/>
            </w14:solidFill>
          </w14:textFill>
        </w:rPr>
      </w:pPr>
    </w:p>
    <w:p>
      <w:pPr>
        <w:pStyle w:val="20"/>
        <w:spacing w:line="360" w:lineRule="auto"/>
        <w:rPr>
          <w:rFonts w:hint="eastAsia" w:hAnsi="宋体" w:cs="宋体"/>
          <w:color w:val="000000" w:themeColor="text1"/>
          <w:sz w:val="28"/>
          <w:szCs w:val="28"/>
          <w:highlight w:val="none"/>
          <w14:textFill>
            <w14:solidFill>
              <w14:schemeClr w14:val="tx1"/>
            </w14:solidFill>
          </w14:textFill>
        </w:rPr>
      </w:pPr>
    </w:p>
    <w:p>
      <w:pPr>
        <w:pStyle w:val="20"/>
        <w:spacing w:line="360" w:lineRule="auto"/>
        <w:rPr>
          <w:rFonts w:hint="eastAsia" w:hAnsi="宋体" w:cs="宋体"/>
          <w:color w:val="000000" w:themeColor="text1"/>
          <w:sz w:val="28"/>
          <w:szCs w:val="28"/>
          <w:highlight w:val="none"/>
          <w:u w:val="singl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工程名称：</w:t>
      </w:r>
      <w:r>
        <w:rPr>
          <w:rFonts w:hint="eastAsia" w:hAnsi="宋体" w:cs="宋体"/>
          <w:color w:val="000000" w:themeColor="text1"/>
          <w:sz w:val="28"/>
          <w:szCs w:val="28"/>
          <w:highlight w:val="none"/>
          <w:u w:val="single"/>
          <w14:textFill>
            <w14:solidFill>
              <w14:schemeClr w14:val="tx1"/>
            </w14:solidFill>
          </w14:textFill>
        </w:rPr>
        <w:t xml:space="preserve">                           </w:t>
      </w:r>
    </w:p>
    <w:p>
      <w:pPr>
        <w:pStyle w:val="20"/>
        <w:spacing w:line="360" w:lineRule="auto"/>
        <w:ind w:left="1400" w:hanging="1400" w:hangingChars="500"/>
        <w:rPr>
          <w:rFonts w:hint="eastAsia"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工程地点：</w:t>
      </w:r>
      <w:r>
        <w:rPr>
          <w:rFonts w:hint="eastAsia" w:hAnsi="宋体" w:cs="宋体"/>
          <w:color w:val="000000" w:themeColor="text1"/>
          <w:sz w:val="28"/>
          <w:szCs w:val="28"/>
          <w:highlight w:val="none"/>
          <w:u w:val="single"/>
          <w14:textFill>
            <w14:solidFill>
              <w14:schemeClr w14:val="tx1"/>
            </w14:solidFill>
          </w14:textFill>
        </w:rPr>
        <w:t xml:space="preserve">                           </w:t>
      </w:r>
    </w:p>
    <w:p>
      <w:pPr>
        <w:pStyle w:val="20"/>
        <w:spacing w:line="360" w:lineRule="auto"/>
        <w:rPr>
          <w:rFonts w:hint="eastAsia"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发 包 人：</w:t>
      </w:r>
      <w:r>
        <w:rPr>
          <w:rFonts w:hint="eastAsia" w:hAnsi="宋体" w:cs="宋体"/>
          <w:color w:val="000000" w:themeColor="text1"/>
          <w:sz w:val="28"/>
          <w:szCs w:val="28"/>
          <w:highlight w:val="none"/>
          <w:u w:val="single"/>
          <w14:textFill>
            <w14:solidFill>
              <w14:schemeClr w14:val="tx1"/>
            </w14:solidFill>
          </w14:textFill>
        </w:rPr>
        <w:t xml:space="preserve">广州市番禺区水务工程建管中心（广州市番禺区水旱灾害防御中心） </w:t>
      </w:r>
    </w:p>
    <w:p>
      <w:pPr>
        <w:pStyle w:val="20"/>
        <w:spacing w:line="360" w:lineRule="auto"/>
        <w:rPr>
          <w:rFonts w:hint="eastAsia"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承 包 人：</w:t>
      </w:r>
      <w:r>
        <w:rPr>
          <w:rFonts w:hint="eastAsia" w:hAnsi="宋体" w:cs="宋体"/>
          <w:color w:val="000000" w:themeColor="text1"/>
          <w:sz w:val="28"/>
          <w:szCs w:val="28"/>
          <w:highlight w:val="none"/>
          <w:u w:val="single"/>
          <w14:textFill>
            <w14:solidFill>
              <w14:schemeClr w14:val="tx1"/>
            </w14:solidFill>
          </w14:textFill>
        </w:rPr>
        <w:t xml:space="preserve">                           </w:t>
      </w:r>
      <w:r>
        <w:rPr>
          <w:rFonts w:hint="eastAsia" w:hAnsi="宋体" w:cs="宋体"/>
          <w:color w:val="000000" w:themeColor="text1"/>
          <w:sz w:val="28"/>
          <w:szCs w:val="28"/>
          <w:highlight w:val="none"/>
          <w14:textFill>
            <w14:solidFill>
              <w14:schemeClr w14:val="tx1"/>
            </w14:solidFill>
          </w14:textFill>
        </w:rPr>
        <w:t xml:space="preserve"> </w:t>
      </w:r>
    </w:p>
    <w:p>
      <w:pPr>
        <w:pStyle w:val="20"/>
        <w:spacing w:line="360" w:lineRule="auto"/>
        <w:rPr>
          <w:rFonts w:hint="eastAsia" w:hAnsi="宋体" w:cs="宋体"/>
          <w:color w:val="000000" w:themeColor="text1"/>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 xml:space="preserve">     </w:t>
      </w:r>
    </w:p>
    <w:p>
      <w:pPr>
        <w:spacing w:line="400" w:lineRule="exact"/>
        <w:rPr>
          <w:color w:val="000000" w:themeColor="text1"/>
          <w:highlight w:val="none"/>
          <w14:textFill>
            <w14:solidFill>
              <w14:schemeClr w14:val="tx1"/>
            </w14:solidFill>
          </w14:textFill>
        </w:rPr>
        <w:sectPr>
          <w:footerReference r:id="rId6" w:type="first"/>
          <w:headerReference r:id="rId3" w:type="default"/>
          <w:footerReference r:id="rId4" w:type="default"/>
          <w:footerReference r:id="rId5" w:type="even"/>
          <w:pgSz w:w="11899" w:h="16840"/>
          <w:pgMar w:top="1440" w:right="1797" w:bottom="1440" w:left="1797" w:header="720" w:footer="3020" w:gutter="0"/>
          <w:pgNumType w:fmt="decimal" w:start="1"/>
          <w:cols w:space="720" w:num="1"/>
          <w:titlePg/>
        </w:sectPr>
      </w:pPr>
      <w:bookmarkStart w:id="2040" w:name="_GoBack"/>
      <w:bookmarkEnd w:id="2040"/>
    </w:p>
    <w:p>
      <w:pPr>
        <w:spacing w:before="240" w:beforeLines="100" w:after="240" w:afterLines="100" w:line="360" w:lineRule="auto"/>
        <w:jc w:val="center"/>
        <w:rPr>
          <w:rFonts w:hint="eastAsia" w:eastAsia="宋体"/>
          <w:color w:val="000000" w:themeColor="text1"/>
          <w:spacing w:val="10"/>
          <w:sz w:val="24"/>
          <w:szCs w:val="44"/>
          <w:highlight w:val="none"/>
          <w:lang w:eastAsia="zh-CN"/>
          <w14:textFill>
            <w14:solidFill>
              <w14:schemeClr w14:val="tx1"/>
            </w14:solidFill>
          </w14:textFill>
        </w:rPr>
      </w:pPr>
      <w:r>
        <w:rPr>
          <w:rFonts w:hint="eastAsia"/>
          <w:color w:val="000000" w:themeColor="text1"/>
          <w:spacing w:val="10"/>
          <w:sz w:val="24"/>
          <w:szCs w:val="44"/>
          <w:highlight w:val="none"/>
          <w14:textFill>
            <w14:solidFill>
              <w14:schemeClr w14:val="tx1"/>
            </w14:solidFill>
          </w14:textFill>
        </w:rPr>
        <w:t>目　录</w:t>
      </w:r>
    </w:p>
    <w:p>
      <w:pPr>
        <w:pStyle w:val="19"/>
        <w:tabs>
          <w:tab w:val="right" w:leader="dot" w:pos="8305"/>
        </w:tabs>
        <w:rPr>
          <w:color w:val="000000" w:themeColor="text1"/>
          <w:highlight w:val="none"/>
          <w14:textFill>
            <w14:solidFill>
              <w14:schemeClr w14:val="tx1"/>
            </w14:solidFill>
          </w14:textFill>
        </w:rPr>
      </w:pPr>
      <w:r>
        <w:rPr>
          <w:b/>
          <w:bCs/>
          <w:caps/>
          <w:color w:val="000000" w:themeColor="text1"/>
          <w:spacing w:val="10"/>
          <w:sz w:val="24"/>
          <w:highlight w:val="none"/>
          <w14:textFill>
            <w14:solidFill>
              <w14:schemeClr w14:val="tx1"/>
            </w14:solidFill>
          </w14:textFill>
        </w:rPr>
        <w:fldChar w:fldCharType="begin"/>
      </w:r>
      <w:r>
        <w:rPr>
          <w:b/>
          <w:bCs/>
          <w:caps/>
          <w:color w:val="000000" w:themeColor="text1"/>
          <w:spacing w:val="10"/>
          <w:sz w:val="24"/>
          <w:highlight w:val="none"/>
          <w14:textFill>
            <w14:solidFill>
              <w14:schemeClr w14:val="tx1"/>
            </w14:solidFill>
          </w14:textFill>
        </w:rPr>
        <w:instrText xml:space="preserve"> TOC \o "1-3" \h \z \u </w:instrText>
      </w:r>
      <w:r>
        <w:rPr>
          <w:b/>
          <w:bCs/>
          <w:caps/>
          <w:color w:val="000000" w:themeColor="text1"/>
          <w:spacing w:val="10"/>
          <w:sz w:val="24"/>
          <w:highlight w:val="none"/>
          <w14:textFill>
            <w14:solidFill>
              <w14:schemeClr w14:val="tx1"/>
            </w14:solidFill>
          </w14:textFill>
        </w:rPr>
        <w:fldChar w:fldCharType="separate"/>
      </w:r>
    </w:p>
    <w:p>
      <w:pPr>
        <w:pStyle w:val="26"/>
        <w:rPr>
          <w:rFonts w:hint="eastAsia" w:ascii="宋体" w:hAnsi="宋体" w:eastAsia="宋体" w:cs="宋体"/>
          <w:b w:val="0"/>
          <w:bCs w:val="0"/>
          <w:i w:val="0"/>
          <w:iCs w:val="0"/>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spacing w:val="10"/>
          <w:highlight w:val="none"/>
          <w14:textFill>
            <w14:solidFill>
              <w14:schemeClr w14:val="tx1"/>
            </w14:solidFill>
          </w14:textFill>
        </w:rPr>
        <w:instrText xml:space="preserve"> HYPERLINK \l _Toc15455 </w:instrTex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szCs w:val="32"/>
          <w:highlight w:val="none"/>
          <w14:textFill>
            <w14:solidFill>
              <w14:schemeClr w14:val="tx1"/>
            </w14:solidFill>
          </w14:textFill>
        </w:rPr>
        <w:t>第一部分  合同协议书</w:t>
      </w:r>
      <w:r>
        <w:rPr>
          <w:rFonts w:hint="eastAsia" w:ascii="宋体" w:hAnsi="宋体" w:eastAsia="宋体" w:cs="宋体"/>
          <w:b w:val="0"/>
          <w:bCs w:val="0"/>
          <w:i w:val="0"/>
          <w:iCs w:val="0"/>
          <w:color w:val="000000" w:themeColor="text1"/>
          <w:highlight w:val="none"/>
          <w14:textFill>
            <w14:solidFill>
              <w14:schemeClr w14:val="tx1"/>
            </w14:solidFill>
          </w14:textFill>
        </w:rPr>
        <w:tab/>
      </w:r>
      <w:r>
        <w:rPr>
          <w:rFonts w:hint="eastAsia" w:ascii="宋体" w:hAnsi="宋体" w:eastAsia="宋体" w:cs="宋体"/>
          <w:b w:val="0"/>
          <w:bCs w:val="0"/>
          <w:i w:val="0"/>
          <w:iCs w:val="0"/>
          <w:color w:val="000000" w:themeColor="text1"/>
          <w:highlight w:val="none"/>
          <w:lang w:val="en-US" w:eastAsia="zh-CN"/>
          <w14:textFill>
            <w14:solidFill>
              <w14:schemeClr w14:val="tx1"/>
            </w14:solidFill>
          </w14:textFill>
        </w:rPr>
        <w:t>8</w: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end"/>
      </w:r>
    </w:p>
    <w:p>
      <w:pPr>
        <w:pStyle w:val="26"/>
        <w:tabs>
          <w:tab w:val="right" w:leader="dot" w:pos="8305"/>
          <w:tab w:val="clear" w:pos="8316"/>
        </w:tabs>
        <w:ind w:firstLine="880" w:firstLineChars="400"/>
        <w:rPr>
          <w:rFonts w:hint="eastAsia" w:ascii="宋体" w:hAnsi="宋体" w:eastAsia="宋体" w:cs="宋体"/>
          <w:b w:val="0"/>
          <w:bCs w:val="0"/>
          <w:i w:val="0"/>
          <w:iCs w:val="0"/>
          <w:color w:val="000000" w:themeColor="text1"/>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spacing w:val="10"/>
          <w:highlight w:val="none"/>
          <w14:textFill>
            <w14:solidFill>
              <w14:schemeClr w14:val="tx1"/>
            </w14:solidFill>
          </w14:textFill>
        </w:rPr>
        <w:instrText xml:space="preserve"> HYPERLINK \l _Toc3303 </w:instrTex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szCs w:val="32"/>
          <w:highlight w:val="none"/>
          <w14:textFill>
            <w14:solidFill>
              <w14:schemeClr w14:val="tx1"/>
            </w14:solidFill>
          </w14:textFill>
        </w:rPr>
        <w:t>第二部分 建设工程设计合同条款</w:t>
      </w:r>
      <w:r>
        <w:rPr>
          <w:rFonts w:hint="eastAsia" w:ascii="宋体" w:hAnsi="宋体" w:eastAsia="宋体" w:cs="宋体"/>
          <w:b w:val="0"/>
          <w:bCs w:val="0"/>
          <w:i w:val="0"/>
          <w:iCs w:val="0"/>
          <w:color w:val="000000" w:themeColor="text1"/>
          <w:highlight w:val="none"/>
          <w14:textFill>
            <w14:solidFill>
              <w14:schemeClr w14:val="tx1"/>
            </w14:solidFill>
          </w14:textFill>
        </w:rPr>
        <w:tab/>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highlight w:val="none"/>
          <w14:textFill>
            <w14:solidFill>
              <w14:schemeClr w14:val="tx1"/>
            </w14:solidFill>
          </w14:textFill>
        </w:rPr>
        <w:instrText xml:space="preserve"> PAGEREF _Toc3303 \h </w:instrTex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highlight w:val="none"/>
          <w14:textFill>
            <w14:solidFill>
              <w14:schemeClr w14:val="tx1"/>
            </w14:solidFill>
          </w14:textFill>
        </w:rPr>
        <w:t>16</w: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end"/>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b w:val="0"/>
          <w:bCs w:val="0"/>
          <w:i w:val="0"/>
          <w:iCs w:val="0"/>
          <w:color w:val="000000" w:themeColor="text1"/>
          <w:spacing w:val="10"/>
          <w:highlight w:val="none"/>
          <w:lang w:val="en-US" w:eastAsia="zh-CN"/>
          <w14:textFill>
            <w14:solidFill>
              <w14:schemeClr w14:val="tx1"/>
            </w14:solidFill>
          </w14:textFill>
        </w:rPr>
        <w:t xml:space="preserve"> </w:t>
      </w:r>
    </w:p>
    <w:p>
      <w:pPr>
        <w:pStyle w:val="26"/>
        <w:tabs>
          <w:tab w:val="right" w:leader="dot" w:pos="8305"/>
          <w:tab w:val="clear" w:pos="8316"/>
        </w:tabs>
        <w:rPr>
          <w:rFonts w:hint="eastAsia" w:ascii="宋体" w:hAnsi="宋体" w:eastAsia="宋体" w:cs="宋体"/>
          <w:b w:val="0"/>
          <w:bCs w:val="0"/>
          <w:i w:val="0"/>
          <w:iCs w:val="0"/>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spacing w:val="10"/>
          <w:highlight w:val="none"/>
          <w14:textFill>
            <w14:solidFill>
              <w14:schemeClr w14:val="tx1"/>
            </w14:solidFill>
          </w14:textFill>
        </w:rPr>
        <w:instrText xml:space="preserve"> HYPERLINK \l _Toc2908 </w:instrTex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szCs w:val="32"/>
          <w:highlight w:val="none"/>
          <w:lang w:val="en-US" w:eastAsia="zh-CN"/>
          <w14:textFill>
            <w14:solidFill>
              <w14:schemeClr w14:val="tx1"/>
            </w14:solidFill>
          </w14:textFill>
        </w:rPr>
        <w:t xml:space="preserve">第三部分  </w:t>
      </w:r>
      <w:r>
        <w:rPr>
          <w:rFonts w:hint="eastAsia" w:ascii="宋体" w:hAnsi="宋体" w:eastAsia="宋体" w:cs="宋体"/>
          <w:b w:val="0"/>
          <w:bCs w:val="0"/>
          <w:i w:val="0"/>
          <w:iCs w:val="0"/>
          <w:color w:val="000000" w:themeColor="text1"/>
          <w:szCs w:val="32"/>
          <w:highlight w:val="none"/>
          <w14:textFill>
            <w14:solidFill>
              <w14:schemeClr w14:val="tx1"/>
            </w14:solidFill>
          </w14:textFill>
        </w:rPr>
        <w:t>工程施工</w:t>
      </w:r>
      <w:r>
        <w:rPr>
          <w:rFonts w:hint="eastAsia" w:ascii="宋体" w:hAnsi="宋体" w:eastAsia="宋体" w:cs="宋体"/>
          <w:b w:val="0"/>
          <w:bCs w:val="0"/>
          <w:i w:val="0"/>
          <w:iCs w:val="0"/>
          <w:color w:val="000000" w:themeColor="text1"/>
          <w:szCs w:val="32"/>
          <w:highlight w:val="none"/>
          <w:lang w:val="en-US" w:eastAsia="zh-CN"/>
          <w14:textFill>
            <w14:solidFill>
              <w14:schemeClr w14:val="tx1"/>
            </w14:solidFill>
          </w14:textFill>
        </w:rPr>
        <w:t>总承包</w:t>
      </w:r>
      <w:r>
        <w:rPr>
          <w:rFonts w:hint="eastAsia" w:ascii="宋体" w:hAnsi="宋体" w:eastAsia="宋体" w:cs="宋体"/>
          <w:b w:val="0"/>
          <w:bCs w:val="0"/>
          <w:i w:val="0"/>
          <w:iCs w:val="0"/>
          <w:color w:val="000000" w:themeColor="text1"/>
          <w:szCs w:val="32"/>
          <w:highlight w:val="none"/>
          <w14:textFill>
            <w14:solidFill>
              <w14:schemeClr w14:val="tx1"/>
            </w14:solidFill>
          </w14:textFill>
        </w:rPr>
        <w:t>合同条款</w:t>
      </w:r>
      <w:r>
        <w:rPr>
          <w:rFonts w:hint="eastAsia" w:ascii="宋体" w:hAnsi="宋体" w:eastAsia="宋体" w:cs="宋体"/>
          <w:b w:val="0"/>
          <w:bCs w:val="0"/>
          <w:i w:val="0"/>
          <w:iCs w:val="0"/>
          <w:color w:val="000000" w:themeColor="text1"/>
          <w:highlight w:val="none"/>
          <w14:textFill>
            <w14:solidFill>
              <w14:schemeClr w14:val="tx1"/>
            </w14:solidFill>
          </w14:textFill>
        </w:rPr>
        <w:tab/>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highlight w:val="none"/>
          <w14:textFill>
            <w14:solidFill>
              <w14:schemeClr w14:val="tx1"/>
            </w14:solidFill>
          </w14:textFill>
        </w:rPr>
        <w:instrText xml:space="preserve"> PAGEREF _Toc2908 \h </w:instrTex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highlight w:val="none"/>
          <w14:textFill>
            <w14:solidFill>
              <w14:schemeClr w14:val="tx1"/>
            </w14:solidFill>
          </w14:textFill>
        </w:rPr>
        <w:t>37</w: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end"/>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end"/>
      </w:r>
    </w:p>
    <w:p>
      <w:pPr>
        <w:pStyle w:val="26"/>
        <w:tabs>
          <w:tab w:val="right" w:leader="dot" w:pos="8305"/>
          <w:tab w:val="clear" w:pos="8316"/>
        </w:tabs>
        <w:rPr>
          <w:rFonts w:hint="eastAsia" w:ascii="宋体" w:hAnsi="宋体" w:eastAsia="宋体" w:cs="宋体"/>
          <w:b w:val="0"/>
          <w:bCs w:val="0"/>
          <w:i w:val="0"/>
          <w:iCs w:val="0"/>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spacing w:val="10"/>
          <w:highlight w:val="none"/>
          <w14:textFill>
            <w14:solidFill>
              <w14:schemeClr w14:val="tx1"/>
            </w14:solidFill>
          </w14:textFill>
        </w:rPr>
        <w:instrText xml:space="preserve"> HYPERLINK \l _Toc8655 </w:instrTex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szCs w:val="32"/>
          <w:highlight w:val="none"/>
          <w14:textFill>
            <w14:solidFill>
              <w14:schemeClr w14:val="tx1"/>
            </w14:solidFill>
          </w14:textFill>
        </w:rPr>
        <w:t>通用合同条款</w:t>
      </w:r>
      <w:r>
        <w:rPr>
          <w:rFonts w:hint="eastAsia" w:ascii="宋体" w:hAnsi="宋体" w:eastAsia="宋体" w:cs="宋体"/>
          <w:b w:val="0"/>
          <w:bCs w:val="0"/>
          <w:i w:val="0"/>
          <w:iCs w:val="0"/>
          <w:color w:val="000000" w:themeColor="text1"/>
          <w:highlight w:val="none"/>
          <w14:textFill>
            <w14:solidFill>
              <w14:schemeClr w14:val="tx1"/>
            </w14:solidFill>
          </w14:textFill>
        </w:rPr>
        <w:tab/>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highlight w:val="none"/>
          <w14:textFill>
            <w14:solidFill>
              <w14:schemeClr w14:val="tx1"/>
            </w14:solidFill>
          </w14:textFill>
        </w:rPr>
        <w:instrText xml:space="preserve"> PAGEREF _Toc8655 \h </w:instrTex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highlight w:val="none"/>
          <w14:textFill>
            <w14:solidFill>
              <w14:schemeClr w14:val="tx1"/>
            </w14:solidFill>
          </w14:textFill>
        </w:rPr>
        <w:t>37</w: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end"/>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_Toc16737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 一般约定</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_Toc16737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_Toc5720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 词语定义</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_Toc5720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_Toc10017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 语言文字</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_Toc10017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 法律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_Toc14238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1.4 合同文件的优先顺序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_Toc14238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_Toc30863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 合同协议书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_Toc30863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_Toc13037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1.6 图纸和承包人文件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_Toc13037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_Toc18221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 联络</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_Toc18221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_Toc20368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 转让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_Toc20368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_Toc31091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 严禁贿赂</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_Toc31091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_Toc15195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1.10 化石、文物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_Toc15195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_Toc23776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1.11 专利技术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_Toc23776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_Toc4295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1.12 图纸和文件的保密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_Toc4295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 发包人义务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_Toc19367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 遵守法律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_Toc19367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_Toc6744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2.2 发出开工通知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_Toc6744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_Toc24714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 提供施工场地</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_Toc24714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_Toc32654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2.4 协助承包人办理证件和批件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_Toc32654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_Toc29796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2.5 组织设计交底</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_Toc29796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_Toc27693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2.6 支付合同价款</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_Toc27693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_Toc24103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2.7 组织竣工验收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_Toc24103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_Toc10156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2.8 其他义务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_Toc10156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_Toc10865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 监理人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_Toc10865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_Toc2836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3.1 监理人的职责和权力</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_Toc2836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_Toc22919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3.2 总监理工程师</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_Toc22919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_Toc23432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3.3 监理人员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_Toc23432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_Toc4649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3.4 监理人的指示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_Toc4649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_Toc27211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3.5 商定或确定</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_Toc27211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_Toc6149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 承包人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_Toc6149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_Toc11746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4.1 承包人的一般义务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_Toc11746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_Toc2778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4.2 履约担保</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_Toc2778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_Toc25912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4.3 分包</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_Toc25912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_Toc23424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4.4 联合体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_Toc23424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_Toc7407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4.5 承包人项目经理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_Toc7407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_Toc3704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4.6 承包人人员的管理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_Toc3704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_Toc28749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4.7 撤换承包人项目经理和其他人员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_Toc28749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_Toc24495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4.8 保障承包人人员的合法权益</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_Toc24495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_Toc27226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4.9 工程价款应专款专用</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_Toc27226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_Toc14739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4.10 承包人现场查勘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_Toc14739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_Toc20782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4.11 不利物质条件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_Toc20782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_Toc16821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 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_Toc16821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_Toc13448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5.1 承包人提供的材料和工程设备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_Toc13448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_Toc3975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5.2 发包人提供的材料和工程设备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_Toc3975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_Toc8726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5.3 材料和工程设备专用于合同工程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_Toc3975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_Toc1526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5.4 禁止使用不合格的材料和工程设备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_Toc3975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_Toc13600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 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_Toc20211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6.1 承包人提供的施工设备和临时设施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_Toc9335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6.2 发包人提供的施工设备和临时设施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_Toc12328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6.3 要求承包人增加或更换施工设备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_Toc18635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6.4 施工设备和临时设施专用于合同工程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_Toc27244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 交通运输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_Toc9952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7.1 道路通行权和场外设施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_Toc13600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_Toc8621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7.2 场内施工道路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_Toc9272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7.3 场外交通</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_Toc31090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7.4 超大件和超重件的运输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7.5 道路和桥梁的损坏责任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_Toc12832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7.6 水路和航空运输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_Toc23140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 测量放线</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_Toc29113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8.1 施工控制网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_Toc8621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_Toc13870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8.2 施工测量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_Toc6168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8.3 基准资料错误的责任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_Toc22574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8.4 监理人使用施工控制网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_Toc19294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 施工安全、治安保卫和环境保护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_Toc26791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9.1 发包人的施工安全责任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_Toc14515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9.2 承包人的施工安全责任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5</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3</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_Toc27531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9.3 治安保卫</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5</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3</w:t>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_Toc23040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9.4 环境保护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_Toc23040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_Toc27092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9.5 事故处理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_Toc27092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_Toc6185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 进度计划</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_Toc6185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_Toc25961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10.1 合同进度计划</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_Toc25961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_Toc24543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10.2 合同进度计划的修订</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_Toc24543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_Toc18700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 开工和竣工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_Toc18700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_Toc7400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11.1 开工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_Toc7400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_Toc1005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11.2 竣工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_Toc1005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_Toc19586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11.3 发包人的工期延误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_Toc19586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_Toc32586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11.4 异常恶劣的气候条件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_Toc32586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_Toc28937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11.5 承包人的工期延误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_Toc28937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_Toc11894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11.6 工期提前</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_Toc11894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_Toc27489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12. 暂停施工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_Toc27489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_Toc3447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12.1 承包人暂停施工的责任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_Toc3447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_Toc13154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12.2 发包人暂停施工的责任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_Toc13154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_Toc6406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12.3 监理人暂停施工指示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_Toc6406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_Toc11803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12.4 暂停施工后的复工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_Toc11803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_Toc11031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12.5 暂停施工持续56天以上</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_Toc11031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_Toc5512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13. 工程质量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_Toc5512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_Toc26877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13.1 工程质量要求</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_Toc26877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_Toc9393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13.2 承包人的质量管理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_Toc9393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_Toc17413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13.3 承包人的质量检查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_Toc17413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_Toc20651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13.4 监理人的质量检查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_Toc20651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_Toc1288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13.5 工程隐蔽部位覆盖前的检查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_Toc1288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_Toc19064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13.6 清除不合格工程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_Toc19064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_Toc15936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14. 试验和检验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_Toc19064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_Toc5002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14.1 材料、工程设备和工程的试验和检验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_Toc19064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_Toc19196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14.2 现场材料试验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_Toc19196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_Toc25386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14.3 现场工艺试验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_Toc25386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_Toc29120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15. 变更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_Toc29120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_Toc18571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15.1 变更的范围和内容</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_Toc18571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_Toc25781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15.2 变更权</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_Toc25781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_Toc30214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15.3 变更程序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_Toc30214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_Toc31319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15.4 变更的估价原则</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_Toc31319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_Toc18311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15.5 承包人的合理化建议</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_Toc18311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_Toc2234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15.6 暂列金额</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_Toc2234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_Toc25926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15.7 计日工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_Toc25926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_Toc24550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15.8 暂估价</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_Toc24550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_Toc1044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16. 价格调整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_Toc1044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_Toc8356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16.1 物价波动引起的价格调整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_Toc8356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_Toc3793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16.2 法律变化引起的价格调整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_Toc3793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_Toc16800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17. 计量与支付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_Toc16800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_Toc5724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17.1 计量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_Toc5724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_Toc24860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17.2 预付款</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_Toc24860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_Toc13488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17.3 工程进度付款</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_Toc13488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_Toc12903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17.4 质量保证金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_Toc12903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_Toc21528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17.5 竣工结算</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_Toc21528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_Toc20980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17.6 最终结清</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_Toc20980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_Toc21832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18. 竣工验收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_Toc20980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_Toc9095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18.1 竣工验收的含义</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_Toc20980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18.2 竣工验收申请报告</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_Toc840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_Toc19194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18.3 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_Toc840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_Toc11193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18.4 单位工程验收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_Toc11193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_Toc23530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18.5 施工期运行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_Toc11193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_Toc9787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18.6 试运行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_Toc11193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18.7 竣工清场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_Toc11256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18.8 施工队伍的撤离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_Toc4355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19. 缺陷责任与保修责任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_Toc10407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19.1 缺陷责任期的起算时间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_Toc18910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19.2 缺陷责任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_Toc14464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19.3 缺陷责任期的延长</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_Toc5557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19.4 进一步试验和试运行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_Toc25337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19.5 承包人的进入权</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_Toc27640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19.6 缺陷责任期终止证书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_Toc24645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19.7 保修责任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_Toc28784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20. 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_Toc26602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20.1 工程保险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_Toc14464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_Toc31742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20.2 人员工伤事故的保险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_Toc14570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20.3 人身意外伤害险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_Toc7325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20.4 第三者责任险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_Toc20563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20.5 其他保险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_Toc20020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20.6 对各项保险的一般要求</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_Toc10547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21. 不可抗力</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_Toc10547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_Toc31548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21.1 不可抗力的确认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_Toc10547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_Toc31042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21.2 不可抗力的通知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_Toc10547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_Toc2881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21.3 不可抗力后果及其处理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_Toc14269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22. 违约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_Toc14027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22.1 承包人违约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_Toc26701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22.2 发包人违约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_Toc26701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_Toc21300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22.3 第三人造成的违约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7</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_Toc12781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23. 索赔</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_Toc12781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_Toc7786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23.1 承包人索赔的提出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_Toc7786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_Toc18982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23.2 承包人索赔处理程序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_Toc18982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_Toc4548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23.3 承包人提出索赔的期限</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_Toc4548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_Toc16166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23.4 发包人的索赔</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_Toc16166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_Toc15422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24. 争议的解决</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_Toc15422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_Toc16240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24.1 争议的解决方式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_Toc16240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_Toc26588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24.2 友好解决</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_Toc26588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_Toc13375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24.3 争议评审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_Toc13375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26"/>
        <w:tabs>
          <w:tab w:val="right" w:leader="dot" w:pos="8305"/>
          <w:tab w:val="clear" w:pos="8316"/>
        </w:tabs>
        <w:rPr>
          <w:rFonts w:hint="eastAsia" w:ascii="宋体" w:hAnsi="宋体" w:eastAsia="宋体" w:cs="宋体"/>
          <w:b w:val="0"/>
          <w:bCs w:val="0"/>
          <w:i w:val="0"/>
          <w:iCs w:val="0"/>
          <w:color w:val="000000" w:themeColor="text1"/>
          <w:highlight w:val="none"/>
          <w14:textFill>
            <w14:solidFill>
              <w14:schemeClr w14:val="tx1"/>
            </w14:solidFill>
          </w14:textFill>
        </w:rPr>
      </w:pP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spacing w:val="10"/>
          <w:highlight w:val="none"/>
          <w14:textFill>
            <w14:solidFill>
              <w14:schemeClr w14:val="tx1"/>
            </w14:solidFill>
          </w14:textFill>
        </w:rPr>
        <w:instrText xml:space="preserve"> HYPERLINK \l _Toc11027 </w:instrText>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szCs w:val="32"/>
          <w:highlight w:val="none"/>
          <w14:textFill>
            <w14:solidFill>
              <w14:schemeClr w14:val="tx1"/>
            </w14:solidFill>
          </w14:textFill>
        </w:rPr>
        <w:t>第</w:t>
      </w:r>
      <w:r>
        <w:rPr>
          <w:rFonts w:hint="eastAsia" w:ascii="宋体" w:hAnsi="宋体" w:eastAsia="宋体" w:cs="宋体"/>
          <w:b w:val="0"/>
          <w:bCs w:val="0"/>
          <w:i w:val="0"/>
          <w:iCs w:val="0"/>
          <w:color w:val="000000" w:themeColor="text1"/>
          <w:szCs w:val="32"/>
          <w:highlight w:val="none"/>
          <w:lang w:val="en-US" w:eastAsia="zh-CN"/>
          <w14:textFill>
            <w14:solidFill>
              <w14:schemeClr w14:val="tx1"/>
            </w14:solidFill>
          </w14:textFill>
        </w:rPr>
        <w:t>四</w:t>
      </w:r>
      <w:r>
        <w:rPr>
          <w:rFonts w:hint="eastAsia" w:ascii="宋体" w:hAnsi="宋体" w:eastAsia="宋体" w:cs="宋体"/>
          <w:b w:val="0"/>
          <w:bCs w:val="0"/>
          <w:i w:val="0"/>
          <w:iCs w:val="0"/>
          <w:color w:val="000000" w:themeColor="text1"/>
          <w:szCs w:val="32"/>
          <w:highlight w:val="none"/>
          <w14:textFill>
            <w14:solidFill>
              <w14:schemeClr w14:val="tx1"/>
            </w14:solidFill>
          </w14:textFill>
        </w:rPr>
        <w:t>部分    专用合同条款</w:t>
      </w:r>
      <w:r>
        <w:rPr>
          <w:rFonts w:hint="eastAsia" w:ascii="宋体" w:hAnsi="宋体" w:eastAsia="宋体" w:cs="宋体"/>
          <w:b w:val="0"/>
          <w:bCs w:val="0"/>
          <w:i w:val="0"/>
          <w:iCs w:val="0"/>
          <w:color w:val="000000" w:themeColor="text1"/>
          <w:highlight w:val="none"/>
          <w14:textFill>
            <w14:solidFill>
              <w14:schemeClr w14:val="tx1"/>
            </w14:solidFill>
          </w14:textFill>
        </w:rPr>
        <w:tab/>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begin"/>
      </w:r>
      <w:r>
        <w:rPr>
          <w:rFonts w:hint="eastAsia" w:ascii="宋体" w:hAnsi="宋体" w:eastAsia="宋体" w:cs="宋体"/>
          <w:b w:val="0"/>
          <w:bCs w:val="0"/>
          <w:i w:val="0"/>
          <w:iCs w:val="0"/>
          <w:color w:val="000000" w:themeColor="text1"/>
          <w:highlight w:val="none"/>
          <w14:textFill>
            <w14:solidFill>
              <w14:schemeClr w14:val="tx1"/>
            </w14:solidFill>
          </w14:textFill>
        </w:rPr>
        <w:instrText xml:space="preserve"> PAGEREF _Toc11027 \h </w:instrTex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separate"/>
      </w:r>
      <w:r>
        <w:rPr>
          <w:rFonts w:hint="eastAsia" w:ascii="宋体" w:hAnsi="宋体" w:eastAsia="宋体" w:cs="宋体"/>
          <w:b w:val="0"/>
          <w:bCs w:val="0"/>
          <w:i w:val="0"/>
          <w:iCs w:val="0"/>
          <w:color w:val="000000" w:themeColor="text1"/>
          <w:highlight w:val="none"/>
          <w14:textFill>
            <w14:solidFill>
              <w14:schemeClr w14:val="tx1"/>
            </w14:solidFill>
          </w14:textFill>
        </w:rPr>
        <w:t>83</w:t>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end"/>
      </w:r>
      <w:r>
        <w:rPr>
          <w:rFonts w:hint="eastAsia" w:ascii="宋体" w:hAnsi="宋体" w:eastAsia="宋体" w:cs="宋体"/>
          <w:b w:val="0"/>
          <w:bCs w:val="0"/>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_Toc27601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 一般约定</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_Toc27601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_Toc20055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1.1词语定义</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_Toc20055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ind w:left="0" w:firstLine="440" w:firstLineChars="200"/>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_Toc22024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1.3法律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_Toc22024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_Toc8987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1.4合同文件的优先顺序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_Toc8987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_Toc22240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1.5合同协议书</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_Toc22240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_Toc4546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strike w:val="0"/>
          <w:color w:val="000000" w:themeColor="text1"/>
          <w:szCs w:val="24"/>
          <w:highlight w:val="none"/>
          <w14:textFill>
            <w14:solidFill>
              <w14:schemeClr w14:val="tx1"/>
            </w14:solidFill>
          </w14:textFill>
        </w:rPr>
        <w:t>1.6图纸和承包人文件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_Toc4546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_Toc10493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1.7联络</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_Toc10493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_Toc27738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2. 发包人义务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_Toc27738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_Toc9478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2.3提供施工场地</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_Toc9478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_Toc22760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2.5组织设计交底</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_Toc22760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_Toc12548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2.8其他义务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_Toc12548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_Toc25880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3. 监理人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_Toc3217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3.1监理人的职责和权力</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_Toc8250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3.2总监理工程师 （另详本项目《委托监理合同》）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_Toc1903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3.3监理人员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_Toc27121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3.4监理人的指示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_Toc15866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3.6监理人的宽恕</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_Toc25880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_Toc17249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4. 承包人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_Toc17249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_Toc4629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4.1承包人的一般义务</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_Toc17249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ind w:left="0" w:firstLine="440" w:firstLineChars="200"/>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_Toc19137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4.2履约担保及工程管理保证金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_Toc19137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_Toc13492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4.3分包</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_Toc13492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_Toc28270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4.5承包人项目经理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_Toc28270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_Toc31311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4.7 撤换承包人项目经理和其他人员</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_Toc31311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_Toc9455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4.8 保障承包人人员的合法权益</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_Toc9455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_Toc3579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4.9 工程价款应专款专用</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_Toc3579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_Toc23808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5. 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_Toc23808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_Toc17058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5.1承包人提供的材料和工程设备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_Toc17058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ind w:left="0" w:firstLine="440" w:firstLineChars="200"/>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_Toc22850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5.2发包人提供的材料和工程设备</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_Toc22850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_Toc22276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6. 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_Toc22276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_Toc18508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6.1承包人提供的施工设备和临时设施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_Toc18508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_Toc1084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6.2发包人提供的施工设备和临时设施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_Toc1084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_Toc29377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6.4施工设备和临时设施专用于合同工程</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_Toc29377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_Toc2848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7. 交通运输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_Toc30058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7.1道路通行权和场外设施</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_Toc16074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7.2场内施工道路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_Toc8864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7.4超大件和超重件的运输</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30"/>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_Toc27952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8. 测量放线</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_Toc18810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8.1施工控制网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30"/>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_Toc26140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9. 施工安全、治安保卫和环境保护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lang w:val="en-US" w:eastAsia="zh-CN"/>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_Toc2918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9.2承包人的施工安全责任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lang w:val="en-US" w:eastAsia="zh-CN"/>
          <w14:textFill>
            <w14:solidFill>
              <w14:schemeClr w14:val="tx1"/>
            </w14:solidFill>
          </w14:textFill>
        </w:rPr>
        <w:t>9</w:t>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lang w:val="en-US" w:eastAsia="zh-CN"/>
          <w14:textFill>
            <w14:solidFill>
              <w14:schemeClr w14:val="tx1"/>
            </w14:solidFill>
          </w14:textFill>
        </w:rPr>
        <w:t>9</w:t>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_Toc15080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9.3治安保卫</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_Toc15080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_Toc23405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9.4环境保护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_Toc23405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_Toc1325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 进度计划</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_Toc1325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_Toc23732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10.1合同进度计划</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_Toc23732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_Toc13243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10.2合同进度计划的修订</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_Toc13243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_Toc16893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 开工和竣工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_Toc16893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_Toc6303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11.3发包人的工期延误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_Toc6303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102</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_Toc7731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11.4异常恶劣的气候条件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_Toc7731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_Toc2044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11.5承包人的工期延误</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_Toc2044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_Toc22081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11.6工期提前</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_Toc22081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_Toc5888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12. 暂停施工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_Toc5888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_Toc9931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12.1承包人暂停施工的责任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_Toc9931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_Toc17220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12.2发包人暂停施工的责任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_Toc17220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_Toc1151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12.4暂停施工后的复工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_Toc1151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_Toc20045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13. 工程质量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_Toc20045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_Toc5142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13.2承包人的质量管理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_Toc5142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_Toc13843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13.3承包人的质量检查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_Toc13843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_Toc8001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13.4监理人的质量检查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_Toc8001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_Toc15028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13.5工程隐蔽部位覆盖前的检查</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_Toc15028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_Toc22036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13.7质量争议</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_Toc22036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_Toc8890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14. 试验和检验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_Toc8890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_Toc26795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14.1 材料、工程设备和工程的试验和检验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_Toc26795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_Toc15006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15. 变更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_Toc15006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_Toc8992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15.1　变更的范围和内容</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_Toc8992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_Toc12664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15.2变更权</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_Toc12664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_Toc17931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15.3变更程序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_Toc17931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_Toc17389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15.4变更的估价原则</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_Toc17389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109</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_Toc26658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15.5承包人的合理化建议</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_Toc26658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_Toc28643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15.8暂估价（本工程无）</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_Toc28643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_Toc20914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16.1物价波动引起的价格调整：无</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_Toc20914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_Toc32386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16.2 法律变化引起的价格调整</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_Toc32386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110</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_Toc2311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17. 计量与支付</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_Toc2311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_Toc24457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17.1计量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_Toc24457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_Toc16131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17.2预付款</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_Toc16131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_Toc26627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17.3工程进度付款</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_Toc26627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111</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_Toc1390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17.4质量保证金</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_Toc1390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113</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_Toc22488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17.5竣工结算</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_Toc22488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114</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_Toc17609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17.6最终结清</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_Toc17609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_Toc25819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18. 竣工验收</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_Toc25819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_Toc16187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18.2竣工验收申请报告</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_Toc16187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_Toc462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18.3验收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_Toc462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115</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_Toc25218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18.5施工期运行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_Toc25218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_Toc5075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18.6试运行</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_Toc5075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_Toc24454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18.7竣工清场</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_Toc24454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_Toc4009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18.8施工队伍的撤离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_Toc4009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_Toc28414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18.9中间验收</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_Toc28414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116</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_Toc17782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19. 缺陷责任与保修责任</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_Toc17782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_Toc22932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19.7保修责任</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_Toc22932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_Toc14295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20. 保险</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_Toc14295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_Toc27050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20.1工程保险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_Toc27050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_Toc22800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20.4第三者责任险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_Toc22800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_Toc31790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20.5其他保险</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_Toc31790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117</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_Toc32525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20.6对各项保险的一般要求</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_Toc32525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ind w:left="0" w:firstLine="22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_Toc11294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21.不可抗力</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_Toc11294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_Toc559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21.1不可抗力的确认</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_Toc559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i w:val="0"/>
          <w:iCs w:val="0"/>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_Toc31437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21.3不可抗力后果及其处理</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_Toc31437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30"/>
        <w:tabs>
          <w:tab w:val="right" w:leader="dot" w:pos="8305"/>
        </w:tabs>
        <w:ind w:left="0" w:firstLine="22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_Toc11594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24.争议的解决</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_Toc11594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19"/>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iCs w:val="0"/>
          <w:color w:val="000000" w:themeColor="text1"/>
          <w:spacing w:val="10"/>
          <w:highlight w:val="none"/>
          <w14:textFill>
            <w14:solidFill>
              <w14:schemeClr w14:val="tx1"/>
            </w14:solidFill>
          </w14:textFill>
        </w:rPr>
        <w:fldChar w:fldCharType="begin"/>
      </w:r>
      <w:r>
        <w:rPr>
          <w:rFonts w:hint="eastAsia" w:ascii="宋体" w:hAnsi="宋体" w:eastAsia="宋体" w:cs="宋体"/>
          <w:i w:val="0"/>
          <w:iCs w:val="0"/>
          <w:color w:val="000000" w:themeColor="text1"/>
          <w:spacing w:val="10"/>
          <w:highlight w:val="none"/>
          <w14:textFill>
            <w14:solidFill>
              <w14:schemeClr w14:val="tx1"/>
            </w14:solidFill>
          </w14:textFill>
        </w:rPr>
        <w:instrText xml:space="preserve"> HYPERLINK \l _Toc31718 </w:instrText>
      </w:r>
      <w:r>
        <w:rPr>
          <w:rFonts w:hint="eastAsia" w:ascii="宋体" w:hAnsi="宋体" w:eastAsia="宋体" w:cs="宋体"/>
          <w:i w:val="0"/>
          <w:iCs w:val="0"/>
          <w:color w:val="000000" w:themeColor="text1"/>
          <w:spacing w:val="10"/>
          <w:highlight w:val="none"/>
          <w14:textFill>
            <w14:solidFill>
              <w14:schemeClr w14:val="tx1"/>
            </w14:solidFill>
          </w14:textFill>
        </w:rPr>
        <w:fldChar w:fldCharType="separate"/>
      </w:r>
      <w:r>
        <w:rPr>
          <w:rFonts w:hint="eastAsia" w:ascii="宋体" w:hAnsi="宋体" w:eastAsia="宋体" w:cs="宋体"/>
          <w:i w:val="0"/>
          <w:iCs w:val="0"/>
          <w:color w:val="000000" w:themeColor="text1"/>
          <w:szCs w:val="24"/>
          <w:highlight w:val="none"/>
          <w14:textFill>
            <w14:solidFill>
              <w14:schemeClr w14:val="tx1"/>
            </w14:solidFill>
          </w14:textFill>
        </w:rPr>
        <w:t>24.1争议的解决方式</w:t>
      </w:r>
      <w:r>
        <w:rPr>
          <w:rFonts w:hint="eastAsia" w:ascii="宋体" w:hAnsi="宋体" w:eastAsia="宋体" w:cs="宋体"/>
          <w:i w:val="0"/>
          <w:iCs w:val="0"/>
          <w:color w:val="000000" w:themeColor="text1"/>
          <w:highlight w:val="none"/>
          <w14:textFill>
            <w14:solidFill>
              <w14:schemeClr w14:val="tx1"/>
            </w14:solidFill>
          </w14:textFill>
        </w:rPr>
        <w:tab/>
      </w:r>
      <w:r>
        <w:rPr>
          <w:rFonts w:hint="eastAsia" w:ascii="宋体" w:hAnsi="宋体" w:eastAsia="宋体" w:cs="宋体"/>
          <w:i w:val="0"/>
          <w:iCs w:val="0"/>
          <w:color w:val="000000" w:themeColor="text1"/>
          <w:highlight w:val="none"/>
          <w14:textFill>
            <w14:solidFill>
              <w14:schemeClr w14:val="tx1"/>
            </w14:solidFill>
          </w14:textFill>
        </w:rPr>
        <w:fldChar w:fldCharType="begin"/>
      </w:r>
      <w:r>
        <w:rPr>
          <w:rFonts w:hint="eastAsia" w:ascii="宋体" w:hAnsi="宋体" w:eastAsia="宋体" w:cs="宋体"/>
          <w:i w:val="0"/>
          <w:iCs w:val="0"/>
          <w:color w:val="000000" w:themeColor="text1"/>
          <w:highlight w:val="none"/>
          <w14:textFill>
            <w14:solidFill>
              <w14:schemeClr w14:val="tx1"/>
            </w14:solidFill>
          </w14:textFill>
        </w:rPr>
        <w:instrText xml:space="preserve"> PAGEREF _Toc31718 \h </w:instrText>
      </w:r>
      <w:r>
        <w:rPr>
          <w:rFonts w:hint="eastAsia" w:ascii="宋体" w:hAnsi="宋体" w:eastAsia="宋体" w:cs="宋体"/>
          <w:i w:val="0"/>
          <w:iCs w:val="0"/>
          <w:color w:val="000000" w:themeColor="text1"/>
          <w:highlight w:val="none"/>
          <w14:textFill>
            <w14:solidFill>
              <w14:schemeClr w14:val="tx1"/>
            </w14:solidFill>
          </w14:textFill>
        </w:rPr>
        <w:fldChar w:fldCharType="separate"/>
      </w:r>
      <w:r>
        <w:rPr>
          <w:rFonts w:hint="eastAsia" w:ascii="宋体" w:hAnsi="宋体" w:eastAsia="宋体" w:cs="宋体"/>
          <w:i w:val="0"/>
          <w:iCs w:val="0"/>
          <w:color w:val="000000" w:themeColor="text1"/>
          <w:highlight w:val="none"/>
          <w14:textFill>
            <w14:solidFill>
              <w14:schemeClr w14:val="tx1"/>
            </w14:solidFill>
          </w14:textFill>
        </w:rPr>
        <w:t>118</w:t>
      </w:r>
      <w:r>
        <w:rPr>
          <w:rFonts w:hint="eastAsia" w:ascii="宋体" w:hAnsi="宋体" w:eastAsia="宋体" w:cs="宋体"/>
          <w:i w:val="0"/>
          <w:iCs w:val="0"/>
          <w:color w:val="000000" w:themeColor="text1"/>
          <w:highlight w:val="none"/>
          <w14:textFill>
            <w14:solidFill>
              <w14:schemeClr w14:val="tx1"/>
            </w14:solidFill>
          </w14:textFill>
        </w:rPr>
        <w:fldChar w:fldCharType="end"/>
      </w:r>
      <w:r>
        <w:rPr>
          <w:rFonts w:hint="eastAsia" w:ascii="宋体" w:hAnsi="宋体" w:eastAsia="宋体" w:cs="宋体"/>
          <w:i w:val="0"/>
          <w:iCs w:val="0"/>
          <w:color w:val="000000" w:themeColor="text1"/>
          <w:spacing w:val="10"/>
          <w:highlight w:val="none"/>
          <w14:textFill>
            <w14:solidFill>
              <w14:schemeClr w14:val="tx1"/>
            </w14:solidFill>
          </w14:textFill>
        </w:rPr>
        <w:fldChar w:fldCharType="end"/>
      </w:r>
    </w:p>
    <w:p>
      <w:pPr>
        <w:pStyle w:val="26"/>
        <w:tabs>
          <w:tab w:val="right" w:leader="dot" w:pos="8305"/>
          <w:tab w:val="clear" w:pos="8316"/>
        </w:tabs>
        <w:rPr>
          <w:rFonts w:hint="eastAsia" w:ascii="宋体" w:hAnsi="宋体" w:eastAsia="宋体" w:cs="宋体"/>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spacing w:val="10"/>
          <w:highlight w:val="none"/>
          <w14:textFill>
            <w14:solidFill>
              <w14:schemeClr w14:val="tx1"/>
            </w14:solidFill>
          </w14:textFill>
        </w:rPr>
        <w:fldChar w:fldCharType="begin"/>
      </w:r>
      <w:r>
        <w:rPr>
          <w:rFonts w:hint="eastAsia" w:ascii="宋体" w:hAnsi="宋体" w:eastAsia="宋体" w:cs="宋体"/>
          <w:b w:val="0"/>
          <w:bCs w:val="0"/>
          <w:color w:val="000000" w:themeColor="text1"/>
          <w:spacing w:val="10"/>
          <w:highlight w:val="none"/>
          <w14:textFill>
            <w14:solidFill>
              <w14:schemeClr w14:val="tx1"/>
            </w14:solidFill>
          </w14:textFill>
        </w:rPr>
        <w:instrText xml:space="preserve"> HYPERLINK \l _Toc9528 </w:instrText>
      </w:r>
      <w:r>
        <w:rPr>
          <w:rFonts w:hint="eastAsia" w:ascii="宋体" w:hAnsi="宋体" w:eastAsia="宋体" w:cs="宋体"/>
          <w:b w:val="0"/>
          <w:bCs w:val="0"/>
          <w:color w:val="000000" w:themeColor="text1"/>
          <w:spacing w:val="10"/>
          <w:highlight w:val="none"/>
          <w14:textFill>
            <w14:solidFill>
              <w14:schemeClr w14:val="tx1"/>
            </w14:solidFill>
          </w14:textFill>
        </w:rPr>
        <w:fldChar w:fldCharType="separate"/>
      </w:r>
      <w:r>
        <w:rPr>
          <w:rFonts w:hint="eastAsia" w:ascii="宋体" w:hAnsi="宋体" w:eastAsia="宋体" w:cs="宋体"/>
          <w:b w:val="0"/>
          <w:bCs w:val="0"/>
          <w:color w:val="000000" w:themeColor="text1"/>
          <w:szCs w:val="32"/>
          <w:highlight w:val="none"/>
          <w14:textFill>
            <w14:solidFill>
              <w14:schemeClr w14:val="tx1"/>
            </w14:solidFill>
          </w14:textFill>
        </w:rPr>
        <w:t>第</w:t>
      </w:r>
      <w:r>
        <w:rPr>
          <w:rFonts w:hint="eastAsia" w:ascii="宋体" w:hAnsi="宋体" w:eastAsia="宋体" w:cs="宋体"/>
          <w:b w:val="0"/>
          <w:bCs w:val="0"/>
          <w:color w:val="000000" w:themeColor="text1"/>
          <w:szCs w:val="32"/>
          <w:highlight w:val="none"/>
          <w:lang w:val="en-US" w:eastAsia="zh-CN"/>
          <w14:textFill>
            <w14:solidFill>
              <w14:schemeClr w14:val="tx1"/>
            </w14:solidFill>
          </w14:textFill>
        </w:rPr>
        <w:t>五</w:t>
      </w:r>
      <w:r>
        <w:rPr>
          <w:rFonts w:hint="eastAsia" w:ascii="宋体" w:hAnsi="宋体" w:eastAsia="宋体" w:cs="宋体"/>
          <w:b w:val="0"/>
          <w:bCs w:val="0"/>
          <w:color w:val="000000" w:themeColor="text1"/>
          <w:szCs w:val="32"/>
          <w:highlight w:val="none"/>
          <w14:textFill>
            <w14:solidFill>
              <w14:schemeClr w14:val="tx1"/>
            </w14:solidFill>
          </w14:textFill>
        </w:rPr>
        <w:t>部分   合同附件格式</w:t>
      </w:r>
      <w:r>
        <w:rPr>
          <w:rFonts w:hint="eastAsia" w:ascii="宋体" w:hAnsi="宋体" w:eastAsia="宋体" w:cs="宋体"/>
          <w:b w:val="0"/>
          <w:bCs w:val="0"/>
          <w:color w:val="000000" w:themeColor="text1"/>
          <w:highlight w:val="none"/>
          <w14:textFill>
            <w14:solidFill>
              <w14:schemeClr w14:val="tx1"/>
            </w14:solidFill>
          </w14:textFill>
        </w:rPr>
        <w:tab/>
      </w: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color w:val="000000" w:themeColor="text1"/>
          <w:highlight w:val="none"/>
          <w14:textFill>
            <w14:solidFill>
              <w14:schemeClr w14:val="tx1"/>
            </w14:solidFill>
          </w14:textFill>
        </w:rPr>
        <w:instrText xml:space="preserve"> PAGEREF _Toc9528 \h </w:instrText>
      </w:r>
      <w:r>
        <w:rPr>
          <w:rFonts w:hint="eastAsia" w:ascii="宋体" w:hAnsi="宋体" w:eastAsia="宋体" w:cs="宋体"/>
          <w:b w:val="0"/>
          <w:bCs w:val="0"/>
          <w:color w:val="000000" w:themeColor="text1"/>
          <w:highlight w:val="none"/>
          <w14:textFill>
            <w14:solidFill>
              <w14:schemeClr w14:val="tx1"/>
            </w14:solidFill>
          </w14:textFill>
        </w:rPr>
        <w:fldChar w:fldCharType="separate"/>
      </w:r>
      <w:r>
        <w:rPr>
          <w:rFonts w:hint="eastAsia" w:ascii="宋体" w:hAnsi="宋体" w:eastAsia="宋体" w:cs="宋体"/>
          <w:b w:val="0"/>
          <w:bCs w:val="0"/>
          <w:color w:val="000000" w:themeColor="text1"/>
          <w:highlight w:val="none"/>
          <w14:textFill>
            <w14:solidFill>
              <w14:schemeClr w14:val="tx1"/>
            </w14:solidFill>
          </w14:textFill>
        </w:rPr>
        <w:t>119</w:t>
      </w:r>
      <w:r>
        <w:rPr>
          <w:rFonts w:hint="eastAsia" w:ascii="宋体" w:hAnsi="宋体" w:eastAsia="宋体" w:cs="宋体"/>
          <w:b w:val="0"/>
          <w:bCs w:val="0"/>
          <w:color w:val="000000" w:themeColor="text1"/>
          <w:highlight w:val="none"/>
          <w14:textFill>
            <w14:solidFill>
              <w14:schemeClr w14:val="tx1"/>
            </w14:solidFill>
          </w14:textFill>
        </w:rPr>
        <w:fldChar w:fldCharType="end"/>
      </w:r>
      <w:r>
        <w:rPr>
          <w:rFonts w:hint="eastAsia" w:ascii="宋体" w:hAnsi="宋体" w:eastAsia="宋体" w:cs="宋体"/>
          <w:b w:val="0"/>
          <w:bCs w:val="0"/>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_Toc32576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附件一：承包人提供的材料和工程设备一览表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_Toc32576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119</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_Toc28385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附件二：发包人提供的材料和工程设备一览表（本工程不采用此表）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_Toc28385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120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_Toc26556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附件三：预付款担保格式（建议格式，最终以担保银行格式为准）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_Toc26556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121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_Toc8995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附件四：履约担保格式（建议格式，最终以银行格式为准）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_Toc8995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123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_Toc18297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附件五：质量保修书格式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_Toc18297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125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_Toc15751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附件六：廉政责任书格式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_Toc15751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128</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_Toc15895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附件七：安全生产和文明施工管理协议书格式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_Toc15895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132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_Toc26832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附件八：《番禺区财政性投资建设项目工程变更管理规定》</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_Toc26832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137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_Toc3882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附件九：财政投资评审结算送审资料列表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_Toc3882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165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_Toc29822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szCs w:val="28"/>
          <w:highlight w:val="none"/>
          <w14:textFill>
            <w14:solidFill>
              <w14:schemeClr w14:val="tx1"/>
            </w14:solidFill>
          </w14:textFill>
        </w:rPr>
        <w:t>附件十：工程结算送审资料要求</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_Toc29822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167</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_Toc9870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附件十一：广州市建委关于加强市政重点工程文明施工管理的通知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_Toc9870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169</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_Toc26790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附件十二：关于加强市政重点工程文明施工管理的通知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_Toc26790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172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_Toc24116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附件十三：中标通知书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_Toc24116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174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_Toc15357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附件十四：施工管理及处罚条例</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_Toc15357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175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_Toc20852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附件十五：通信联系方式格式</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_Toc20852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181</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_Toc1547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附件十六：工程技术标准</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_Toc1547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182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_Toc17669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附件十七</w:t>
      </w:r>
      <w:r>
        <w:rPr>
          <w:rFonts w:hint="eastAsia" w:ascii="宋体" w:hAnsi="宋体" w:eastAsia="宋体" w:cs="宋体"/>
          <w:snapToGrid w:val="0"/>
          <w:color w:val="000000" w:themeColor="text1"/>
          <w:kern w:val="0"/>
          <w:highlight w:val="none"/>
          <w14:textFill>
            <w14:solidFill>
              <w14:schemeClr w14:val="tx1"/>
            </w14:solidFill>
          </w14:textFill>
        </w:rPr>
        <w:t>：</w:t>
      </w:r>
      <w:r>
        <w:rPr>
          <w:rFonts w:hint="eastAsia" w:ascii="宋体" w:hAnsi="宋体" w:eastAsia="宋体" w:cs="宋体"/>
          <w:snapToGrid w:val="0"/>
          <w:color w:val="000000" w:themeColor="text1"/>
          <w:kern w:val="0"/>
          <w:szCs w:val="28"/>
          <w:highlight w:val="none"/>
          <w14:textFill>
            <w14:solidFill>
              <w14:schemeClr w14:val="tx1"/>
            </w14:solidFill>
          </w14:textFill>
        </w:rPr>
        <w:t>工程结算工作协议书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_Toc17669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189</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_Toc32459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附件十八：本工程的主要管理和技术人员情况表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_Toc32459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192</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_Toc1675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附件十九：遵守《施工总承包单位安全总责承诺书》的承诺书</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_Toc1675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193</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_Toc17539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附件二十：承包人承揽工程项目一览表（本工程不需要本表）</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_Toc17539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194</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ind w:left="199" w:leftChars="95"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_Toc28064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bCs w:val="0"/>
          <w:color w:val="000000" w:themeColor="text1"/>
          <w:kern w:val="0"/>
          <w:szCs w:val="24"/>
          <w:highlight w:val="none"/>
          <w14:textFill>
            <w14:solidFill>
              <w14:schemeClr w14:val="tx1"/>
            </w14:solidFill>
          </w14:textFill>
        </w:rPr>
        <w:t>附件二十一： 广州市住房和城乡建设委员会关于印发建设工程扬尘防治“6个100%” 管理标准细化措施的通知</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_Toc28064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195</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val="0"/>
          <w:color w:val="000000" w:themeColor="text1"/>
          <w:kern w:val="0"/>
          <w:szCs w:val="28"/>
          <w:highlight w:val="none"/>
          <w14:textFill>
            <w14:solidFill>
              <w14:schemeClr w14:val="tx1"/>
            </w14:solidFill>
          </w14:textFill>
        </w:rPr>
        <w:t>附件二十二</w:t>
      </w:r>
      <w:r>
        <w:rPr>
          <w:rFonts w:hint="eastAsia" w:ascii="宋体" w:hAnsi="宋体" w:eastAsia="宋体" w:cs="宋体"/>
          <w:bCs w:val="0"/>
          <w:color w:val="000000" w:themeColor="text1"/>
          <w:kern w:val="0"/>
          <w:szCs w:val="28"/>
          <w:highlight w:val="none"/>
          <w:lang w:eastAsia="zh-CN"/>
          <w14:textFill>
            <w14:solidFill>
              <w14:schemeClr w14:val="tx1"/>
            </w14:solidFill>
          </w14:textFill>
        </w:rPr>
        <w:t>：</w:t>
      </w: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_Toc10660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bCs w:val="0"/>
          <w:color w:val="000000" w:themeColor="text1"/>
          <w:kern w:val="0"/>
          <w:szCs w:val="28"/>
          <w:highlight w:val="none"/>
          <w14:textFill>
            <w14:solidFill>
              <w14:schemeClr w14:val="tx1"/>
            </w14:solidFill>
          </w14:textFill>
        </w:rPr>
        <w:t>番禺区水务工程参建单位管理人员考核要求</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_Toc10660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210</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pStyle w:val="30"/>
        <w:tabs>
          <w:tab w:val="right" w:leader="dot" w:pos="8305"/>
        </w:tabs>
        <w:ind w:left="0" w:firstLine="220"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highlight w:val="none"/>
          <w14:textFill>
            <w14:solidFill>
              <w14:schemeClr w14:val="tx1"/>
            </w14:solidFill>
          </w14:textFill>
        </w:rPr>
        <w:fldChar w:fldCharType="begin"/>
      </w:r>
      <w:r>
        <w:rPr>
          <w:rFonts w:hint="eastAsia" w:ascii="宋体" w:hAnsi="宋体" w:eastAsia="宋体" w:cs="宋体"/>
          <w:color w:val="000000" w:themeColor="text1"/>
          <w:spacing w:val="10"/>
          <w:highlight w:val="none"/>
          <w14:textFill>
            <w14:solidFill>
              <w14:schemeClr w14:val="tx1"/>
            </w14:solidFill>
          </w14:textFill>
        </w:rPr>
        <w:instrText xml:space="preserve"> HYPERLINK \l _Toc18831 </w:instrText>
      </w:r>
      <w:r>
        <w:rPr>
          <w:rFonts w:hint="eastAsia" w:ascii="宋体" w:hAnsi="宋体" w:eastAsia="宋体" w:cs="宋体"/>
          <w:color w:val="000000" w:themeColor="text1"/>
          <w:spacing w:val="10"/>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附件二十</w:t>
      </w:r>
      <w:r>
        <w:rPr>
          <w:rFonts w:hint="eastAsia" w:ascii="宋体" w:hAnsi="宋体" w:eastAsia="宋体" w:cs="宋体"/>
          <w:color w:val="000000" w:themeColor="text1"/>
          <w:highlight w:val="none"/>
          <w:lang w:val="en-US" w:eastAsia="zh-CN"/>
          <w14:textFill>
            <w14:solidFill>
              <w14:schemeClr w14:val="tx1"/>
            </w14:solidFill>
          </w14:textFill>
        </w:rPr>
        <w:t>三：</w:t>
      </w:r>
      <w:r>
        <w:rPr>
          <w:rFonts w:hint="eastAsia" w:ascii="宋体" w:hAnsi="宋体" w:eastAsia="宋体" w:cs="宋体"/>
          <w:bCs w:val="0"/>
          <w:color w:val="000000" w:themeColor="text1"/>
          <w:kern w:val="0"/>
          <w:szCs w:val="28"/>
          <w:highlight w:val="none"/>
          <w14:textFill>
            <w14:solidFill>
              <w14:schemeClr w14:val="tx1"/>
            </w14:solidFill>
          </w14:textFill>
        </w:rPr>
        <w:t>番禺区村居雨污分流工程绩效考核指引</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PAGEREF _Toc18831 \h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219</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spacing w:val="10"/>
          <w:highlight w:val="none"/>
          <w14:textFill>
            <w14:solidFill>
              <w14:schemeClr w14:val="tx1"/>
            </w14:solidFill>
          </w14:textFill>
        </w:rPr>
        <w:fldChar w:fldCharType="end"/>
      </w:r>
    </w:p>
    <w:p>
      <w:pPr>
        <w:spacing w:before="240" w:beforeLines="100" w:after="240" w:afterLines="100" w:line="360" w:lineRule="auto"/>
        <w:jc w:val="distribute"/>
        <w:outlineLvl w:val="2"/>
        <w:rPr>
          <w:color w:val="000000" w:themeColor="text1"/>
          <w:sz w:val="24"/>
          <w:highlight w:val="none"/>
          <w14:textFill>
            <w14:solidFill>
              <w14:schemeClr w14:val="tx1"/>
            </w14:solidFill>
          </w14:textFill>
        </w:rPr>
        <w:sectPr>
          <w:footerReference r:id="rId7" w:type="default"/>
          <w:pgSz w:w="11899" w:h="16840"/>
          <w:pgMar w:top="1440" w:right="1797" w:bottom="1440" w:left="1797" w:header="720" w:footer="1062" w:gutter="0"/>
          <w:pgNumType w:fmt="decimal"/>
          <w:cols w:space="720" w:num="1"/>
        </w:sectPr>
      </w:pPr>
      <w:r>
        <w:rPr>
          <w:color w:val="000000" w:themeColor="text1"/>
          <w:spacing w:val="10"/>
          <w:sz w:val="24"/>
          <w:highlight w:val="none"/>
          <w14:textFill>
            <w14:solidFill>
              <w14:schemeClr w14:val="tx1"/>
            </w14:solidFill>
          </w14:textFill>
        </w:rPr>
        <w:fldChar w:fldCharType="end"/>
      </w:r>
      <w:bookmarkStart w:id="0" w:name="_Toc4780"/>
      <w:bookmarkStart w:id="1" w:name="_Toc6868"/>
      <w:r>
        <w:rPr>
          <w:color w:val="000000" w:themeColor="text1"/>
          <w:sz w:val="24"/>
          <w:highlight w:val="none"/>
          <w14:textFill>
            <w14:solidFill>
              <w14:schemeClr w14:val="tx1"/>
            </w14:solidFill>
          </w14:textFill>
        </w:rPr>
        <w:t xml:space="preserve"> </w:t>
      </w:r>
      <w:bookmarkEnd w:id="0"/>
      <w:bookmarkEnd w:id="1"/>
    </w:p>
    <w:p>
      <w:pPr>
        <w:spacing w:before="240" w:beforeLines="100" w:after="240" w:afterLines="100" w:line="560" w:lineRule="exact"/>
        <w:jc w:val="center"/>
        <w:outlineLvl w:val="0"/>
        <w:rPr>
          <w:rFonts w:hint="eastAsia" w:ascii="黑体" w:eastAsia="黑体"/>
          <w:b/>
          <w:color w:val="000000" w:themeColor="text1"/>
          <w:sz w:val="32"/>
          <w:szCs w:val="32"/>
          <w:highlight w:val="none"/>
          <w14:textFill>
            <w14:solidFill>
              <w14:schemeClr w14:val="tx1"/>
            </w14:solidFill>
          </w14:textFill>
        </w:rPr>
      </w:pPr>
      <w:bookmarkStart w:id="2" w:name="_Toc100504112"/>
      <w:bookmarkStart w:id="3" w:name="_Toc28375"/>
      <w:bookmarkStart w:id="4" w:name="_Toc15455"/>
      <w:bookmarkStart w:id="5" w:name="_Toc27953"/>
      <w:r>
        <w:rPr>
          <w:rFonts w:hint="eastAsia" w:ascii="黑体" w:eastAsia="黑体"/>
          <w:b/>
          <w:color w:val="000000" w:themeColor="text1"/>
          <w:sz w:val="32"/>
          <w:szCs w:val="32"/>
          <w:highlight w:val="none"/>
          <w14:textFill>
            <w14:solidFill>
              <w14:schemeClr w14:val="tx1"/>
            </w14:solidFill>
          </w14:textFill>
        </w:rPr>
        <w:t>第一部分  合同协议书</w:t>
      </w:r>
      <w:bookmarkEnd w:id="2"/>
      <w:bookmarkEnd w:id="3"/>
      <w:bookmarkEnd w:id="4"/>
      <w:bookmarkEnd w:id="5"/>
    </w:p>
    <w:p>
      <w:pPr>
        <w:spacing w:line="580" w:lineRule="exact"/>
        <w:ind w:right="-155"/>
        <w:jc w:val="center"/>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580" w:lineRule="exact"/>
        <w:rPr>
          <w:rFonts w:hint="eastAsia"/>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发包人（全称）：</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广州市番禺区水务工程建管中心（广州市番禺区水旱灾害防御中心）</w:t>
      </w:r>
    </w:p>
    <w:p>
      <w:pPr>
        <w:spacing w:line="580" w:lineRule="exact"/>
        <w:rPr>
          <w:color w:val="000000" w:themeColor="text1"/>
          <w:spacing w:val="10"/>
          <w:sz w:val="24"/>
          <w:highlight w:val="none"/>
          <w14:textFill>
            <w14:solidFill>
              <w14:schemeClr w14:val="tx1"/>
            </w14:solidFill>
          </w14:textFill>
        </w:rPr>
      </w:pPr>
      <w:r>
        <w:rPr>
          <w:rFonts w:hAnsi="宋体"/>
          <w:color w:val="000000" w:themeColor="text1"/>
          <w:spacing w:val="30"/>
          <w:sz w:val="24"/>
          <w:highlight w:val="none"/>
          <w14:textFill>
            <w14:solidFill>
              <w14:schemeClr w14:val="tx1"/>
            </w14:solidFill>
          </w14:textFill>
        </w:rPr>
        <w:t>法定代表人</w:t>
      </w:r>
      <w:r>
        <w:rPr>
          <w:rFonts w:hAnsi="宋体"/>
          <w:color w:val="000000" w:themeColor="text1"/>
          <w:spacing w:val="10"/>
          <w:sz w:val="24"/>
          <w:highlight w:val="none"/>
          <w14:textFill>
            <w14:solidFill>
              <w14:schemeClr w14:val="tx1"/>
            </w14:solidFill>
          </w14:textFill>
        </w:rPr>
        <w:t>：</w:t>
      </w:r>
      <w:r>
        <w:rPr>
          <w:rFonts w:hint="eastAsia" w:hAnsi="宋体"/>
          <w:color w:val="000000" w:themeColor="text1"/>
          <w:spacing w:val="10"/>
          <w:sz w:val="24"/>
          <w:highlight w:val="none"/>
          <w14:textFill>
            <w14:solidFill>
              <w14:schemeClr w14:val="tx1"/>
            </w14:solidFill>
          </w14:textFill>
        </w:rPr>
        <w:t xml:space="preserve"> </w:t>
      </w:r>
      <w:r>
        <w:rPr>
          <w:rFonts w:hint="eastAsia" w:hAnsi="宋体"/>
          <w:color w:val="000000" w:themeColor="text1"/>
          <w:spacing w:val="10"/>
          <w:sz w:val="24"/>
          <w:highlight w:val="none"/>
          <w:u w:val="single"/>
          <w14:textFill>
            <w14:solidFill>
              <w14:schemeClr w14:val="tx1"/>
            </w14:solidFill>
          </w14:textFill>
        </w:rPr>
        <w:t xml:space="preserve">                      </w:t>
      </w:r>
      <w:r>
        <w:rPr>
          <w:rFonts w:hint="eastAsia" w:hAnsi="宋体"/>
          <w:color w:val="000000" w:themeColor="text1"/>
          <w:spacing w:val="10"/>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580" w:lineRule="exact"/>
        <w:rPr>
          <w:color w:val="000000" w:themeColor="text1"/>
          <w:sz w:val="24"/>
          <w:highlight w:val="none"/>
          <w14:textFill>
            <w14:solidFill>
              <w14:schemeClr w14:val="tx1"/>
            </w14:solidFill>
          </w14:textFill>
        </w:rPr>
      </w:pPr>
      <w:r>
        <w:rPr>
          <w:rFonts w:hAnsi="宋体"/>
          <w:color w:val="000000" w:themeColor="text1"/>
          <w:spacing w:val="10"/>
          <w:sz w:val="24"/>
          <w:highlight w:val="none"/>
          <w14:textFill>
            <w14:solidFill>
              <w14:schemeClr w14:val="tx1"/>
            </w14:solidFill>
          </w14:textFill>
        </w:rPr>
        <w:t>法定注册地址：</w:t>
      </w:r>
      <w:r>
        <w:rPr>
          <w:rFonts w:hint="eastAsia" w:hAnsi="宋体"/>
          <w:color w:val="000000" w:themeColor="text1"/>
          <w:spacing w:val="10"/>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580" w:lineRule="exact"/>
        <w:rPr>
          <w:rFonts w:hint="eastAsia" w:hAnsi="宋体"/>
          <w:color w:val="000000" w:themeColor="text1"/>
          <w:sz w:val="24"/>
          <w:highlight w:val="none"/>
          <w14:textFill>
            <w14:solidFill>
              <w14:schemeClr w14:val="tx1"/>
            </w14:solidFill>
          </w14:textFill>
        </w:rPr>
      </w:pPr>
    </w:p>
    <w:p>
      <w:pPr>
        <w:spacing w:line="58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全称）</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 xml:space="preserve">      （中标人）</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580" w:lineRule="exact"/>
        <w:rPr>
          <w:rFonts w:hint="eastAsia"/>
          <w:color w:val="000000" w:themeColor="text1"/>
          <w:sz w:val="24"/>
          <w:highlight w:val="none"/>
          <w14:textFill>
            <w14:solidFill>
              <w14:schemeClr w14:val="tx1"/>
            </w14:solidFill>
          </w14:textFill>
        </w:rPr>
      </w:pPr>
      <w:r>
        <w:rPr>
          <w:rFonts w:hAnsi="宋体"/>
          <w:color w:val="000000" w:themeColor="text1"/>
          <w:spacing w:val="30"/>
          <w:sz w:val="24"/>
          <w:highlight w:val="none"/>
          <w14:textFill>
            <w14:solidFill>
              <w14:schemeClr w14:val="tx1"/>
            </w14:solidFill>
          </w14:textFill>
        </w:rPr>
        <w:t>法定代表人：</w:t>
      </w:r>
      <w:r>
        <w:rPr>
          <w:color w:val="000000" w:themeColor="text1"/>
          <w:sz w:val="24"/>
          <w:highlight w:val="none"/>
          <w:u w:val="single"/>
          <w14:textFill>
            <w14:solidFill>
              <w14:schemeClr w14:val="tx1"/>
            </w14:solidFill>
          </w14:textFill>
        </w:rPr>
        <w:t xml:space="preserve">                            </w:t>
      </w:r>
    </w:p>
    <w:p>
      <w:pPr>
        <w:spacing w:line="580" w:lineRule="exact"/>
        <w:rPr>
          <w:color w:val="000000" w:themeColor="text1"/>
          <w:sz w:val="24"/>
          <w:highlight w:val="none"/>
          <w14:textFill>
            <w14:solidFill>
              <w14:schemeClr w14:val="tx1"/>
            </w14:solidFill>
          </w14:textFill>
        </w:rPr>
      </w:pPr>
      <w:r>
        <w:rPr>
          <w:rFonts w:hAnsi="宋体"/>
          <w:color w:val="000000" w:themeColor="text1"/>
          <w:spacing w:val="10"/>
          <w:sz w:val="24"/>
          <w:highlight w:val="none"/>
          <w14:textFill>
            <w14:solidFill>
              <w14:schemeClr w14:val="tx1"/>
            </w14:solidFill>
          </w14:textFill>
        </w:rPr>
        <w:t>法定注册地址：</w:t>
      </w:r>
      <w:r>
        <w:rPr>
          <w:color w:val="000000" w:themeColor="text1"/>
          <w:sz w:val="24"/>
          <w:highlight w:val="none"/>
          <w:u w:val="single"/>
          <w14:textFill>
            <w14:solidFill>
              <w14:schemeClr w14:val="tx1"/>
            </w14:solidFill>
          </w14:textFill>
        </w:rPr>
        <w:t xml:space="preserve">                            </w:t>
      </w:r>
    </w:p>
    <w:p>
      <w:pPr>
        <w:spacing w:line="360" w:lineRule="auto"/>
        <w:ind w:firstLine="480" w:firstLineChars="200"/>
        <w:rPr>
          <w:rFonts w:hint="eastAsia" w:hAnsi="宋体"/>
          <w:color w:val="000000" w:themeColor="text1"/>
          <w:sz w:val="24"/>
          <w:highlight w:val="none"/>
          <w14:textFill>
            <w14:solidFill>
              <w14:schemeClr w14:val="tx1"/>
            </w14:solidFill>
          </w14:textFill>
        </w:rPr>
      </w:pP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根据《广州市番禺区人民政府关于印发番禺区政府投资区属非经营性项目代建管理办法（试行）的通知》（番府规[2019]8号）、《广州市番禺区人民政府办公室批转番禺区水务局关于调整完善排水工程建设和运营维护机制工作意见的通知》（番府办[2020]6号）等相关文件精神，本项目采用代建制管理模式，建设单位为广州市番禺区水务局，代建单位即为本合同的发包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发包人为建设</w:t>
      </w:r>
      <w:r>
        <w:rPr>
          <w:rFonts w:hint="eastAsia" w:hAnsi="宋体" w:cs="宋体"/>
          <w:color w:val="000000" w:themeColor="text1"/>
          <w:sz w:val="28"/>
          <w:szCs w:val="28"/>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以下简称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本工程</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，已接受承包人提出的承担本工程的施工、竣工、交付并维修其任何缺陷的投标。依照《中华人民共和国招标投标法》、《中华人民共和国</w:t>
      </w:r>
      <w:r>
        <w:rPr>
          <w:rFonts w:hint="eastAsia" w:hAnsi="宋体"/>
          <w:color w:val="000000" w:themeColor="text1"/>
          <w:sz w:val="24"/>
          <w:highlight w:val="none"/>
          <w14:textFill>
            <w14:solidFill>
              <w14:schemeClr w14:val="tx1"/>
            </w14:solidFill>
          </w14:textFill>
        </w:rPr>
        <w:t>民法</w:t>
      </w:r>
      <w:r>
        <w:rPr>
          <w:rFonts w:hAnsi="宋体"/>
          <w:color w:val="000000" w:themeColor="text1"/>
          <w:sz w:val="24"/>
          <w:highlight w:val="none"/>
          <w14:textFill>
            <w14:solidFill>
              <w14:schemeClr w14:val="tx1"/>
            </w14:solidFill>
          </w14:textFill>
        </w:rPr>
        <w:t>典》、《中华人民共和国建筑法》、</w:t>
      </w:r>
      <w:r>
        <w:rPr>
          <w:rFonts w:hint="eastAsia" w:ascii="宋体" w:hAnsi="宋体"/>
          <w:color w:val="000000" w:themeColor="text1"/>
          <w:sz w:val="24"/>
          <w:highlight w:val="none"/>
          <w14:textFill>
            <w14:solidFill>
              <w14:schemeClr w14:val="tx1"/>
            </w14:solidFill>
          </w14:textFill>
        </w:rPr>
        <w:t>《广州市番禺区人民政府关于印发番禺区加强财政性投资建设项目标后管理工作意见（试行）的通知》（番府[2014]106号）</w:t>
      </w:r>
      <w:r>
        <w:rPr>
          <w:rFonts w:hAnsi="宋体"/>
          <w:color w:val="000000" w:themeColor="text1"/>
          <w:sz w:val="24"/>
          <w:highlight w:val="none"/>
          <w14:textFill>
            <w14:solidFill>
              <w14:schemeClr w14:val="tx1"/>
            </w14:solidFill>
          </w14:textFill>
        </w:rPr>
        <w:t>及其他有关法律、行政法规，遵循平等、自愿、公平和诚实信用的原则，发包人</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承包人双方共同达成并订立如下协议。</w:t>
      </w:r>
    </w:p>
    <w:p>
      <w:pPr>
        <w:spacing w:before="120" w:beforeLines="50" w:line="360" w:lineRule="auto"/>
        <w:rPr>
          <w:rFonts w:hAnsi="宋体"/>
          <w:color w:val="000000" w:themeColor="text1"/>
          <w:sz w:val="24"/>
          <w:highlight w:val="none"/>
          <w14:textFill>
            <w14:solidFill>
              <w14:schemeClr w14:val="tx1"/>
            </w14:solidFill>
          </w14:textFill>
        </w:rPr>
      </w:pPr>
      <w:bookmarkStart w:id="6" w:name="_Toc377540483"/>
      <w:bookmarkStart w:id="7" w:name="_Toc354050509"/>
      <w:r>
        <w:rPr>
          <w:rFonts w:hAnsi="宋体"/>
          <w:color w:val="000000" w:themeColor="text1"/>
          <w:sz w:val="24"/>
          <w:highlight w:val="none"/>
          <w14:textFill>
            <w14:solidFill>
              <w14:schemeClr w14:val="tx1"/>
            </w14:solidFill>
          </w14:textFill>
        </w:rPr>
        <w:t>一、工程概况</w:t>
      </w:r>
      <w:bookmarkEnd w:id="6"/>
      <w:bookmarkEnd w:id="7"/>
    </w:p>
    <w:p>
      <w:pPr>
        <w:spacing w:line="360" w:lineRule="auto"/>
        <w:ind w:left="1679" w:leftChars="228" w:hanging="1200" w:hangingChars="500"/>
        <w:rPr>
          <w:rFonts w:hint="eastAsia"/>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工程名称：</w:t>
      </w:r>
      <w:r>
        <w:rPr>
          <w:rFonts w:hint="eastAsia" w:hAnsi="宋体" w:cs="宋体"/>
          <w:color w:val="000000" w:themeColor="text1"/>
          <w:sz w:val="28"/>
          <w:szCs w:val="28"/>
          <w:highlight w:val="none"/>
          <w:u w:val="singl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工程地点：</w:t>
      </w:r>
      <w:r>
        <w:rPr>
          <w:rFonts w:hint="eastAsia" w:hAnsi="宋体" w:cs="宋体"/>
          <w:color w:val="000000" w:themeColor="text1"/>
          <w:sz w:val="28"/>
          <w:szCs w:val="28"/>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工程内容：</w:t>
      </w:r>
      <w:r>
        <w:rPr>
          <w:rFonts w:hint="eastAsia"/>
          <w:color w:val="000000" w:themeColor="text1"/>
          <w:sz w:val="24"/>
          <w:highlight w:val="none"/>
          <w:u w:val="single"/>
          <w14:textFill>
            <w14:solidFill>
              <w14:schemeClr w14:val="tx1"/>
            </w14:solidFill>
          </w14:textFill>
        </w:rPr>
        <w:t xml:space="preserve">                                                   </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 xml:space="preserve">                                                             </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 xml:space="preserve">                                                             </w:t>
      </w:r>
    </w:p>
    <w:p>
      <w:pPr>
        <w:spacing w:line="360" w:lineRule="auto"/>
        <w:ind w:firstLine="480" w:firstLineChars="20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群体工程应附</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承包人承揽工程项目一览表</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附件</w:t>
      </w:r>
      <w:r>
        <w:rPr>
          <w:rFonts w:hint="eastAsia"/>
          <w:color w:val="000000" w:themeColor="text1"/>
          <w:sz w:val="24"/>
          <w:highlight w:val="none"/>
          <w14:textFill>
            <w14:solidFill>
              <w14:schemeClr w14:val="tx1"/>
            </w14:solidFill>
          </w14:textFill>
        </w:rPr>
        <w:t>二十</w:t>
      </w:r>
      <w:r>
        <w:rPr>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工程立项批准文号：</w:t>
      </w:r>
      <w:r>
        <w:rPr>
          <w:rFonts w:hint="eastAsia" w:hAnsi="宋体" w:cs="宋体"/>
          <w:color w:val="000000" w:themeColor="text1"/>
          <w:sz w:val="28"/>
          <w:szCs w:val="28"/>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360" w:lineRule="auto"/>
        <w:ind w:firstLine="480" w:firstLineChars="200"/>
        <w:rPr>
          <w:rFonts w:ascii="宋体" w:hAnsi="宋体"/>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资金来源：</w:t>
      </w:r>
      <w:r>
        <w:rPr>
          <w:rFonts w:hint="eastAsia"/>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财政资金。</w:t>
      </w:r>
    </w:p>
    <w:p>
      <w:pPr>
        <w:pStyle w:val="20"/>
        <w:spacing w:line="360" w:lineRule="auto"/>
        <w:outlineLvl w:val="1"/>
        <w:rPr>
          <w:rFonts w:hint="eastAsia" w:hAnsi="宋体" w:cs="宋体"/>
          <w:color w:val="000000" w:themeColor="text1"/>
          <w:sz w:val="24"/>
          <w:szCs w:val="24"/>
          <w:highlight w:val="none"/>
          <w14:textFill>
            <w14:solidFill>
              <w14:schemeClr w14:val="tx1"/>
            </w14:solidFill>
          </w14:textFill>
        </w:rPr>
      </w:pPr>
      <w:bookmarkStart w:id="8" w:name="_Toc29191"/>
      <w:bookmarkStart w:id="9" w:name="_Toc21051"/>
      <w:bookmarkStart w:id="10" w:name="_Toc458417789"/>
      <w:bookmarkStart w:id="11" w:name="_Toc19809993"/>
      <w:bookmarkStart w:id="12" w:name="_Toc1790"/>
      <w:bookmarkStart w:id="13" w:name="_Toc377540484"/>
      <w:bookmarkStart w:id="14" w:name="_Toc354050510"/>
      <w:r>
        <w:rPr>
          <w:rFonts w:hint="eastAsia" w:hAnsi="宋体" w:cs="宋体"/>
          <w:color w:val="000000" w:themeColor="text1"/>
          <w:sz w:val="24"/>
          <w:szCs w:val="24"/>
          <w:highlight w:val="none"/>
          <w14:textFill>
            <w14:solidFill>
              <w14:schemeClr w14:val="tx1"/>
            </w14:solidFill>
          </w14:textFill>
        </w:rPr>
        <w:t>二、工程承包范围</w:t>
      </w:r>
      <w:bookmarkEnd w:id="8"/>
      <w:bookmarkEnd w:id="9"/>
      <w:bookmarkEnd w:id="10"/>
      <w:bookmarkEnd w:id="11"/>
      <w:bookmarkEnd w:id="12"/>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65"/>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1、</w:t>
      </w:r>
      <w:r>
        <w:rPr>
          <w:rFonts w:hint="eastAsia" w:hAnsi="宋体" w:cs="宋体"/>
          <w:color w:val="000000" w:themeColor="text1"/>
          <w:sz w:val="24"/>
          <w:szCs w:val="24"/>
          <w:highlight w:val="none"/>
          <w14:textFill>
            <w14:solidFill>
              <w14:schemeClr w14:val="tx1"/>
            </w14:solidFill>
          </w14:textFill>
        </w:rPr>
        <w:t>在经</w:t>
      </w:r>
      <w:r>
        <w:rPr>
          <w:rFonts w:hint="eastAsia" w:hAnsi="宋体" w:cs="宋体"/>
          <w:color w:val="000000" w:themeColor="text1"/>
          <w:sz w:val="24"/>
          <w:szCs w:val="24"/>
          <w:highlight w:val="none"/>
          <w:lang w:eastAsia="zh-CN"/>
          <w14:textFill>
            <w14:solidFill>
              <w14:schemeClr w14:val="tx1"/>
            </w14:solidFill>
          </w14:textFill>
        </w:rPr>
        <w:t>区发改</w:t>
      </w:r>
      <w:r>
        <w:rPr>
          <w:rFonts w:hint="eastAsia" w:hAnsi="宋体" w:cs="宋体"/>
          <w:color w:val="000000" w:themeColor="text1"/>
          <w:sz w:val="24"/>
          <w:szCs w:val="24"/>
          <w:highlight w:val="none"/>
          <w14:textFill>
            <w14:solidFill>
              <w14:schemeClr w14:val="tx1"/>
            </w14:solidFill>
          </w14:textFill>
        </w:rPr>
        <w:t>批准的项目可行性研究报告基础上，</w:t>
      </w:r>
      <w:r>
        <w:rPr>
          <w:rFonts w:hint="eastAsia" w:hAnsi="宋体" w:cs="宋体"/>
          <w:color w:val="000000" w:themeColor="text1"/>
          <w:sz w:val="24"/>
          <w:szCs w:val="24"/>
          <w:highlight w:val="none"/>
          <w:lang w:eastAsia="zh-CN"/>
          <w14:textFill>
            <w14:solidFill>
              <w14:schemeClr w14:val="tx1"/>
            </w14:solidFill>
          </w14:textFill>
        </w:rPr>
        <w:t>完成项目</w:t>
      </w:r>
      <w:r>
        <w:rPr>
          <w:rFonts w:hint="eastAsia" w:hAnsi="宋体" w:cs="宋体"/>
          <w:color w:val="000000" w:themeColor="text1"/>
          <w:sz w:val="24"/>
          <w:szCs w:val="24"/>
          <w:highlight w:val="none"/>
          <w14:textFill>
            <w14:solidFill>
              <w14:schemeClr w14:val="tx1"/>
            </w14:solidFill>
          </w14:textFill>
        </w:rPr>
        <w:t>的施工图设计、材料设备采购</w:t>
      </w:r>
      <w:r>
        <w:rPr>
          <w:rFonts w:hint="eastAsia" w:hAnsi="宋体" w:cs="宋体"/>
          <w:color w:val="000000" w:themeColor="text1"/>
          <w:sz w:val="24"/>
          <w:szCs w:val="24"/>
          <w:highlight w:val="none"/>
          <w:lang w:eastAsia="zh-CN"/>
          <w14:textFill>
            <w14:solidFill>
              <w14:schemeClr w14:val="tx1"/>
            </w14:solidFill>
          </w14:textFill>
        </w:rPr>
        <w:t>及保管</w:t>
      </w:r>
      <w:r>
        <w:rPr>
          <w:rFonts w:hint="eastAsia" w:hAnsi="宋体" w:cs="宋体"/>
          <w:color w:val="000000" w:themeColor="text1"/>
          <w:sz w:val="24"/>
          <w:szCs w:val="24"/>
          <w:highlight w:val="none"/>
          <w14:textFill>
            <w14:solidFill>
              <w14:schemeClr w14:val="tx1"/>
            </w14:solidFill>
          </w14:textFill>
        </w:rPr>
        <w:t>、施工、设备集成（含二次设计）、安装、调试、</w:t>
      </w:r>
      <w:r>
        <w:rPr>
          <w:rFonts w:hint="eastAsia" w:hAnsi="宋体" w:cs="宋体"/>
          <w:color w:val="000000" w:themeColor="text1"/>
          <w:sz w:val="24"/>
          <w:szCs w:val="24"/>
          <w:highlight w:val="none"/>
          <w:lang w:eastAsia="zh-CN"/>
          <w14:textFill>
            <w14:solidFill>
              <w14:schemeClr w14:val="tx1"/>
            </w14:solidFill>
          </w14:textFill>
        </w:rPr>
        <w:t>试运行、</w:t>
      </w:r>
      <w:r>
        <w:rPr>
          <w:rFonts w:hint="eastAsia" w:hAnsi="宋体" w:cs="宋体"/>
          <w:color w:val="000000" w:themeColor="text1"/>
          <w:sz w:val="24"/>
          <w:szCs w:val="24"/>
          <w:highlight w:val="none"/>
          <w14:textFill>
            <w14:solidFill>
              <w14:schemeClr w14:val="tx1"/>
            </w14:solidFill>
          </w14:textFill>
        </w:rPr>
        <w:t>竣工验收、培训、售后服务、交付使用等工作。</w:t>
      </w:r>
      <w:r>
        <w:rPr>
          <w:rFonts w:hint="eastAsia"/>
          <w:color w:val="000000" w:themeColor="text1"/>
          <w:sz w:val="24"/>
          <w:highlight w:val="none"/>
          <w14:textFill>
            <w14:solidFill>
              <w14:schemeClr w14:val="tx1"/>
            </w14:solidFill>
          </w14:textFill>
        </w:rPr>
        <w:t>具体</w:t>
      </w:r>
      <w:r>
        <w:rPr>
          <w:rFonts w:hint="eastAsia"/>
          <w:color w:val="000000" w:themeColor="text1"/>
          <w:sz w:val="24"/>
          <w:highlight w:val="none"/>
          <w:lang w:eastAsia="zh-CN"/>
          <w14:textFill>
            <w14:solidFill>
              <w14:schemeClr w14:val="tx1"/>
            </w14:solidFill>
          </w14:textFill>
        </w:rPr>
        <w:t>工程承包</w:t>
      </w:r>
      <w:r>
        <w:rPr>
          <w:rFonts w:hint="eastAsia"/>
          <w:color w:val="000000" w:themeColor="text1"/>
          <w:sz w:val="24"/>
          <w:highlight w:val="none"/>
          <w14:textFill>
            <w14:solidFill>
              <w14:schemeClr w14:val="tx1"/>
            </w14:solidFill>
          </w14:textFill>
        </w:rPr>
        <w:t>范围包括：</w:t>
      </w:r>
    </w:p>
    <w:p>
      <w:pPr>
        <w:pStyle w:val="20"/>
        <w:spacing w:line="360" w:lineRule="auto"/>
        <w:ind w:firstLine="240" w:firstLineChars="100"/>
        <w:rPr>
          <w:rFonts w:hint="eastAsia"/>
          <w:color w:val="000000" w:themeColor="text1"/>
          <w:sz w:val="24"/>
          <w:highlight w:val="none"/>
          <w:lang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1</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工程设计范围：</w:t>
      </w:r>
      <w:r>
        <w:rPr>
          <w:rFonts w:hint="eastAsia" w:hAnsi="宋体" w:cs="宋体"/>
          <w:color w:val="000000" w:themeColor="text1"/>
          <w:sz w:val="24"/>
          <w:szCs w:val="24"/>
          <w:highlight w:val="none"/>
          <w:lang w:val="en-US" w:eastAsia="zh-CN"/>
          <w14:textFill>
            <w14:solidFill>
              <w14:schemeClr w14:val="tx1"/>
            </w14:solidFill>
          </w14:textFill>
        </w:rPr>
        <w:t>包括但不限于</w:t>
      </w:r>
      <w:r>
        <w:rPr>
          <w:rFonts w:hint="eastAsia"/>
          <w:color w:val="000000" w:themeColor="text1"/>
          <w:sz w:val="24"/>
          <w:highlight w:val="none"/>
          <w14:textFill>
            <w14:solidFill>
              <w14:schemeClr w14:val="tx1"/>
            </w14:solidFill>
          </w14:textFill>
        </w:rPr>
        <w:t>本项目</w:t>
      </w:r>
      <w:r>
        <w:rPr>
          <w:rFonts w:hint="eastAsia"/>
          <w:color w:val="000000" w:themeColor="text1"/>
          <w:sz w:val="24"/>
          <w:highlight w:val="none"/>
          <w:lang w:eastAsia="zh-CN"/>
          <w14:textFill>
            <w14:solidFill>
              <w14:schemeClr w14:val="tx1"/>
            </w14:solidFill>
          </w14:textFill>
        </w:rPr>
        <w:t>的</w:t>
      </w:r>
      <w:r>
        <w:rPr>
          <w:rFonts w:hint="eastAsia" w:ascii="宋体" w:hAnsi="宋体" w:cs="宋体"/>
          <w:color w:val="000000" w:themeColor="text1"/>
          <w:sz w:val="24"/>
          <w:szCs w:val="24"/>
          <w:highlight w:val="none"/>
          <w:u w:val="single"/>
          <w14:textFill>
            <w14:solidFill>
              <w14:schemeClr w14:val="tx1"/>
            </w14:solidFill>
          </w14:textFill>
        </w:rPr>
        <w:t>施工图设计</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strike w:val="0"/>
          <w:color w:val="000000" w:themeColor="text1"/>
          <w:sz w:val="24"/>
          <w:highlight w:val="none"/>
          <w:u w:val="single"/>
          <w14:textFill>
            <w14:solidFill>
              <w14:schemeClr w14:val="tx1"/>
            </w14:solidFill>
          </w14:textFill>
        </w:rPr>
        <w:t>编制施工图预算</w:t>
      </w:r>
      <w:r>
        <w:rPr>
          <w:rFonts w:hint="eastAsia" w:ascii="宋体" w:hAnsi="宋体" w:cs="宋体"/>
          <w:color w:val="000000" w:themeColor="text1"/>
          <w:sz w:val="24"/>
          <w:highlight w:val="none"/>
          <w:u w:val="single"/>
          <w14:textFill>
            <w14:solidFill>
              <w14:schemeClr w14:val="tx1"/>
            </w14:solidFill>
          </w14:textFill>
        </w:rPr>
        <w:t>、与管渠建设相关的论证报告及评审、招标技术文件的编写、施工图审查后的修改、施工全过程技术服务、验收配合、安全评估报告及评审、编制竣工图、工程变更、档案资料编制及移交</w:t>
      </w:r>
      <w:r>
        <w:rPr>
          <w:rFonts w:hint="eastAsia" w:ascii="宋体" w:hAnsi="宋体" w:cs="宋体"/>
          <w:color w:val="000000" w:themeColor="text1"/>
          <w:sz w:val="24"/>
          <w:highlight w:val="none"/>
          <w:u w:val="single"/>
          <w:lang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规划放线测量、规划条件核实测量等。</w:t>
      </w:r>
    </w:p>
    <w:p>
      <w:pPr>
        <w:spacing w:line="360" w:lineRule="auto"/>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2</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工程施工范围：包括但不限于</w:t>
      </w:r>
      <w:r>
        <w:rPr>
          <w:rFonts w:hint="eastAsia"/>
          <w:color w:val="000000" w:themeColor="text1"/>
          <w:sz w:val="24"/>
          <w:highlight w:val="none"/>
          <w14:textFill>
            <w14:solidFill>
              <w14:schemeClr w14:val="tx1"/>
            </w14:solidFill>
          </w14:textFill>
        </w:rPr>
        <w:t>本项目</w:t>
      </w:r>
      <w:r>
        <w:rPr>
          <w:rFonts w:hint="eastAsia" w:ascii="宋体" w:hAnsi="宋体" w:cs="宋体"/>
          <w:color w:val="000000" w:themeColor="text1"/>
          <w:sz w:val="24"/>
          <w:szCs w:val="24"/>
          <w:highlight w:val="none"/>
          <w:u w:val="single"/>
          <w14:textFill>
            <w14:solidFill>
              <w14:schemeClr w14:val="tx1"/>
            </w14:solidFill>
          </w14:textFill>
        </w:rPr>
        <w:t>工程内容的施工（包工、包料、包施工措施（含场地准备及临时设施费）、包质量、包安全生产、包文明施工、包工期、包施工</w:t>
      </w:r>
      <w:r>
        <w:rPr>
          <w:rFonts w:hint="eastAsia" w:ascii="宋体" w:hAnsi="宋体" w:cs="宋体"/>
          <w:color w:val="000000" w:themeColor="text1"/>
          <w:sz w:val="24"/>
          <w:szCs w:val="24"/>
          <w:highlight w:val="none"/>
          <w:u w:val="single"/>
          <w:lang w:val="en-US" w:eastAsia="zh-CN"/>
          <w14:textFill>
            <w14:solidFill>
              <w14:schemeClr w14:val="tx1"/>
            </w14:solidFill>
          </w14:textFill>
        </w:rPr>
        <w:t>总</w:t>
      </w:r>
      <w:r>
        <w:rPr>
          <w:rFonts w:hint="eastAsia" w:ascii="宋体" w:hAnsi="宋体" w:cs="宋体"/>
          <w:color w:val="000000" w:themeColor="text1"/>
          <w:sz w:val="24"/>
          <w:szCs w:val="24"/>
          <w:highlight w:val="none"/>
          <w:u w:val="single"/>
          <w14:textFill>
            <w14:solidFill>
              <w14:schemeClr w14:val="tx1"/>
            </w14:solidFill>
          </w14:textFill>
        </w:rPr>
        <w:t>承包管理和现场整体组织、包专业协调及配合、包施工图深化设计（如有）、包竣工图、包验收通过（含附属工程）、包照管、包移交、包资料整理移交档案、包竣工备案、包结算、包保修等）。（3）负责结算的编制工作，配合发包人和审计部门对预算和结算的审核及审计工作。（4）中标人派出专人协助招标人开展项目的报批报建工作，配合征地拆迁工作，包括但不限于施工许可证、夜间施工许可证、建筑废弃物处置证等。凡工程中涉及到规划、消防、环保、卫生防疫、质量安全、节能、水利、航道、海事、交通等有关部门验收及检查的项目，及时做好验收准备工作、参与验收、落实整改工作。竣工验收前，向发包人提交竣工验收申请报告，验收通过后，办理竣工备案等,并承担办理上述手续属于施工方的费用。（5）协助做好发包人各项检查及工程筹备等工作，配合征地拆迁工作</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如有）</w:t>
      </w:r>
      <w:r>
        <w:rPr>
          <w:rFonts w:hint="eastAsia" w:ascii="宋体" w:hAnsi="宋体" w:cs="宋体"/>
          <w:color w:val="000000" w:themeColor="text1"/>
          <w:sz w:val="24"/>
          <w:szCs w:val="24"/>
          <w:highlight w:val="none"/>
          <w:u w:val="single"/>
          <w14:textFill>
            <w14:solidFill>
              <w14:schemeClr w14:val="tx1"/>
            </w14:solidFill>
          </w14:textFill>
        </w:rPr>
        <w:t>。（6）按政府有关规定，确保安全生产、零隐患、零事故。（7）组织本项目的整体竣工验收及备案和整体工程资料汇总及整理归档工作，具体施工范围详见招标文件。</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8）</w:t>
      </w:r>
      <w:r>
        <w:rPr>
          <w:rFonts w:hint="eastAsia" w:ascii="宋体" w:hAnsi="宋体" w:cs="宋体"/>
          <w:color w:val="000000" w:themeColor="text1"/>
          <w:sz w:val="24"/>
          <w:szCs w:val="24"/>
          <w:highlight w:val="none"/>
          <w:u w:val="single"/>
          <w14:textFill>
            <w14:solidFill>
              <w14:schemeClr w14:val="tx1"/>
            </w14:solidFill>
          </w14:textFill>
        </w:rPr>
        <w:t>施工总承包管理配合服务：即对发包人另外发包或发包人与承包人联合招标的其它专业工程以及发包人直接供应的材料设备实施总承包管理、协调、配合服务</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9）</w:t>
      </w:r>
      <w:r>
        <w:rPr>
          <w:rFonts w:hint="eastAsia" w:ascii="宋体" w:hAnsi="宋体" w:cs="宋体"/>
          <w:color w:val="000000" w:themeColor="text1"/>
          <w:sz w:val="24"/>
          <w:szCs w:val="24"/>
          <w:highlight w:val="none"/>
          <w:u w:val="single"/>
          <w14:textFill>
            <w14:solidFill>
              <w14:schemeClr w14:val="tx1"/>
            </w14:solidFill>
          </w14:textFill>
        </w:rPr>
        <w:t>对工程建设全过程和各阶段进行专业化管理和服务。对需要专业分包的专项设计和工程，承包人与专业分包单位签订专业分包合同，配合做好协调和管理工作。同时，承包人须按国家、地方、行业规定以及发包人要求的工程措施、安全措施、文明措施对项目进行工程总承包管理（</w:t>
      </w:r>
      <w:r>
        <w:rPr>
          <w:rFonts w:hint="eastAsia" w:ascii="宋体" w:hAnsi="宋体" w:cs="宋体"/>
          <w:color w:val="000000" w:themeColor="text1"/>
          <w:sz w:val="24"/>
          <w:szCs w:val="24"/>
          <w:highlight w:val="none"/>
          <w:u w:val="single"/>
          <w:lang w:val="en-US" w:eastAsia="zh-CN"/>
          <w14:textFill>
            <w14:solidFill>
              <w14:schemeClr w14:val="tx1"/>
            </w14:solidFill>
          </w14:textFill>
        </w:rPr>
        <w:t>10</w:t>
      </w:r>
      <w:r>
        <w:rPr>
          <w:rFonts w:hint="eastAsia" w:ascii="宋体" w:hAnsi="宋体" w:cs="宋体"/>
          <w:color w:val="000000" w:themeColor="text1"/>
          <w:sz w:val="24"/>
          <w:szCs w:val="24"/>
          <w:highlight w:val="none"/>
          <w:u w:val="single"/>
          <w14:textFill>
            <w14:solidFill>
              <w14:schemeClr w14:val="tx1"/>
            </w14:solidFill>
          </w14:textFill>
        </w:rPr>
        <w:t>）发包人认为应当由承包人完成而更有利于项目建设的其他工作。</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14:textFill>
            <w14:solidFill>
              <w14:schemeClr w14:val="tx1"/>
            </w14:solidFill>
          </w14:textFill>
        </w:rPr>
        <w:t>现场</w:t>
      </w:r>
      <w:r>
        <w:rPr>
          <w:rFonts w:hint="eastAsia" w:ascii="宋体" w:hAnsi="宋体" w:cs="宋体"/>
          <w:color w:val="000000" w:themeColor="text1"/>
          <w:sz w:val="24"/>
          <w:szCs w:val="24"/>
          <w:highlight w:val="none"/>
          <w:u w:val="single"/>
          <w:lang w:eastAsia="zh-CN"/>
          <w14:textFill>
            <w14:solidFill>
              <w14:schemeClr w14:val="tx1"/>
            </w14:solidFill>
          </w14:textFill>
        </w:rPr>
        <w:t>驻场</w:t>
      </w:r>
      <w:r>
        <w:rPr>
          <w:rFonts w:hint="eastAsia" w:ascii="宋体" w:hAnsi="宋体" w:cs="宋体"/>
          <w:color w:val="000000" w:themeColor="text1"/>
          <w:sz w:val="24"/>
          <w:szCs w:val="24"/>
          <w:highlight w:val="none"/>
          <w:u w:val="single"/>
          <w14:textFill>
            <w14:solidFill>
              <w14:schemeClr w14:val="tx1"/>
            </w14:solidFill>
          </w14:textFill>
        </w:rPr>
        <w:t>服务工作</w:t>
      </w:r>
      <w:r>
        <w:rPr>
          <w:rFonts w:hint="eastAsia" w:ascii="宋体" w:hAnsi="宋体" w:cs="宋体"/>
          <w:color w:val="000000" w:themeColor="text1"/>
          <w:sz w:val="24"/>
          <w:szCs w:val="24"/>
          <w:highlight w:val="none"/>
          <w:u w:val="single"/>
          <w:lang w:eastAsia="zh-CN"/>
          <w14:textFill>
            <w14:solidFill>
              <w14:schemeClr w14:val="tx1"/>
            </w14:solidFill>
          </w14:textFill>
        </w:rPr>
        <w:t>。</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15" w:name="_Toc19809994"/>
      <w:bookmarkStart w:id="16" w:name="_Toc20451"/>
      <w:bookmarkStart w:id="17" w:name="_Toc15999"/>
      <w:bookmarkStart w:id="18" w:name="_Toc9668"/>
      <w:r>
        <w:rPr>
          <w:rFonts w:hint="eastAsia"/>
          <w:color w:val="000000" w:themeColor="text1"/>
          <w:sz w:val="24"/>
          <w:highlight w:val="none"/>
          <w14:textFill>
            <w14:solidFill>
              <w14:schemeClr w14:val="tx1"/>
            </w14:solidFill>
          </w14:textFill>
        </w:rPr>
        <w:t>三、</w:t>
      </w:r>
      <w:r>
        <w:rPr>
          <w:rFonts w:hint="eastAsia" w:hAnsi="宋体"/>
          <w:snapToGrid w:val="0"/>
          <w:color w:val="000000" w:themeColor="text1"/>
          <w:kern w:val="13"/>
          <w:sz w:val="24"/>
          <w:highlight w:val="none"/>
          <w14:textFill>
            <w14:solidFill>
              <w14:schemeClr w14:val="tx1"/>
            </w14:solidFill>
          </w14:textFill>
        </w:rPr>
        <w:t>技术标准：详见</w:t>
      </w:r>
      <w:r>
        <w:rPr>
          <w:rFonts w:hint="eastAsia" w:hAnsi="宋体"/>
          <w:snapToGrid w:val="0"/>
          <w:color w:val="000000" w:themeColor="text1"/>
          <w:kern w:val="13"/>
          <w:sz w:val="24"/>
          <w:highlight w:val="none"/>
          <w:lang w:val="en-US" w:eastAsia="zh-CN"/>
          <w14:textFill>
            <w14:solidFill>
              <w14:schemeClr w14:val="tx1"/>
            </w14:solidFill>
          </w14:textFill>
        </w:rPr>
        <w:t>本项目招标文件相关内容</w:t>
      </w:r>
      <w:r>
        <w:rPr>
          <w:rFonts w:hint="eastAsia" w:hAnsi="宋体"/>
          <w:snapToGrid w:val="0"/>
          <w:color w:val="000000" w:themeColor="text1"/>
          <w:kern w:val="13"/>
          <w:sz w:val="24"/>
          <w:highlight w:val="none"/>
          <w14:textFill>
            <w14:solidFill>
              <w14:schemeClr w14:val="tx1"/>
            </w14:solidFill>
          </w14:textFill>
        </w:rPr>
        <w:t>。</w:t>
      </w:r>
      <w:bookmarkEnd w:id="15"/>
      <w:bookmarkEnd w:id="16"/>
      <w:bookmarkEnd w:id="17"/>
      <w:bookmarkEnd w:id="18"/>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19" w:name="_Toc1924"/>
      <w:bookmarkStart w:id="20" w:name="_Toc19748"/>
      <w:bookmarkStart w:id="21" w:name="_Toc17996"/>
      <w:bookmarkStart w:id="22" w:name="_Toc19809995"/>
      <w:r>
        <w:rPr>
          <w:rFonts w:hint="eastAsia" w:hAnsi="宋体" w:cs="宋体"/>
          <w:color w:val="000000" w:themeColor="text1"/>
          <w:sz w:val="24"/>
          <w:szCs w:val="24"/>
          <w:highlight w:val="none"/>
          <w14:textFill>
            <w14:solidFill>
              <w14:schemeClr w14:val="tx1"/>
            </w14:solidFill>
          </w14:textFill>
        </w:rPr>
        <w:t>四、工程管理目标</w:t>
      </w:r>
      <w:bookmarkEnd w:id="19"/>
      <w:bookmarkEnd w:id="20"/>
      <w:bookmarkEnd w:id="21"/>
      <w:bookmarkEnd w:id="22"/>
    </w:p>
    <w:p>
      <w:pPr>
        <w:pStyle w:val="20"/>
        <w:spacing w:line="360" w:lineRule="auto"/>
        <w:ind w:firstLine="352" w:firstLineChars="147"/>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职业健康安全管理目标：杜绝一般及以上等级生产安全事故的发生，控制工伤事故在千分之一内。</w:t>
      </w:r>
    </w:p>
    <w:p>
      <w:pPr>
        <w:pStyle w:val="20"/>
        <w:spacing w:line="360" w:lineRule="auto"/>
        <w:ind w:firstLine="360" w:firstLineChars="15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环境管理目标：</w:t>
      </w:r>
      <w:r>
        <w:rPr>
          <w:rFonts w:hint="eastAsia" w:hAnsi="宋体" w:cs="宋体"/>
          <w:color w:val="000000" w:themeColor="text1"/>
          <w:sz w:val="24"/>
          <w:szCs w:val="24"/>
          <w:highlight w:val="none"/>
          <w:lang w:eastAsia="zh-CN"/>
          <w14:textFill>
            <w14:solidFill>
              <w14:schemeClr w14:val="tx1"/>
            </w14:solidFill>
          </w14:textFill>
        </w:rPr>
        <w:t>达到</w:t>
      </w:r>
      <w:r>
        <w:rPr>
          <w:rFonts w:hint="eastAsia" w:hAnsi="宋体" w:cs="宋体"/>
          <w:color w:val="000000" w:themeColor="text1"/>
          <w:sz w:val="24"/>
          <w:szCs w:val="24"/>
          <w:highlight w:val="none"/>
          <w14:textFill>
            <w14:solidFill>
              <w14:schemeClr w14:val="tx1"/>
            </w14:solidFill>
          </w14:textFill>
        </w:rPr>
        <w:t>《广州市建设工程文明施工管理规定》（穗府[2012]第62号令）、《广州市番禺区水务局关于印发进一步提升水务工程施工围蔽水平工作方案的通知》（番水〔2014〕197号）、《广州市建设工程施工围蔽标准图集》。</w:t>
      </w:r>
    </w:p>
    <w:p>
      <w:pPr>
        <w:pStyle w:val="20"/>
        <w:spacing w:line="360" w:lineRule="auto"/>
        <w:ind w:firstLine="480" w:firstLineChars="200"/>
        <w:rPr>
          <w:rFonts w:hint="eastAsia" w:hAnsi="宋体" w:cs="宋体"/>
          <w:color w:val="000000" w:themeColor="text1"/>
          <w:sz w:val="24"/>
          <w:szCs w:val="24"/>
          <w:highlight w:val="none"/>
          <w:lang w:val="en-US" w:eastAsia="zh-CN"/>
          <w14:textFill>
            <w14:solidFill>
              <w14:schemeClr w14:val="tx1"/>
            </w14:solidFill>
          </w14:textFill>
        </w:rPr>
      </w:pPr>
      <w:bookmarkStart w:id="23" w:name="_Toc458417790"/>
      <w:r>
        <w:rPr>
          <w:rFonts w:hint="eastAsia" w:hAnsi="宋体" w:cs="宋体"/>
          <w:color w:val="000000" w:themeColor="text1"/>
          <w:sz w:val="24"/>
          <w:szCs w:val="24"/>
          <w:highlight w:val="none"/>
          <w:lang w:eastAsia="zh-CN"/>
          <w14:textFill>
            <w14:solidFill>
              <w14:schemeClr w14:val="tx1"/>
            </w14:solidFill>
          </w14:textFill>
        </w:rPr>
        <w:t>3、扬尘防治管理目标：达到广州市建设工程扬尘防治管理标准。必须按照广州市住建委《广州市住房和城乡建设委员会关于印发建设工程扬尘防治“6个100%” 管理标准细化措施的通知》（穗建质[2018]1394号）、《广州市住房和城乡建设委员会 广州市环境保护局广州市交通委员会 广州市林业和园林局 广州市水务局 广州市港务局关于安装扬尘在线监测设备工作的通知》（穗建质〔2018〕2267号）及《广州市水务局转发关于安装扬尘在线监测设备工作的通知》（穗水质安〔2018〕144号）的要求执行。</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24" w:name="_Toc19809996"/>
      <w:bookmarkStart w:id="25" w:name="_Toc22890"/>
      <w:bookmarkStart w:id="26" w:name="_Toc24651"/>
      <w:bookmarkStart w:id="27" w:name="_Toc5856"/>
      <w:r>
        <w:rPr>
          <w:rFonts w:hint="eastAsia" w:hAnsi="宋体" w:cs="宋体"/>
          <w:color w:val="000000" w:themeColor="text1"/>
          <w:sz w:val="24"/>
          <w:szCs w:val="24"/>
          <w:highlight w:val="none"/>
          <w14:textFill>
            <w14:solidFill>
              <w14:schemeClr w14:val="tx1"/>
            </w14:solidFill>
          </w14:textFill>
        </w:rPr>
        <w:t>五、合同工期</w:t>
      </w:r>
      <w:bookmarkEnd w:id="24"/>
      <w:bookmarkEnd w:id="25"/>
      <w:bookmarkEnd w:id="26"/>
      <w:bookmarkEnd w:id="27"/>
      <w:r>
        <w:rPr>
          <w:rFonts w:hint="eastAsia" w:hAnsi="宋体" w:cs="宋体"/>
          <w:color w:val="000000" w:themeColor="text1"/>
          <w:sz w:val="24"/>
          <w:szCs w:val="24"/>
          <w:highlight w:val="none"/>
          <w14:textFill>
            <w14:solidFill>
              <w14:schemeClr w14:val="tx1"/>
            </w14:solidFill>
          </w14:textFill>
        </w:rPr>
        <w:t xml:space="preserve"> </w:t>
      </w:r>
      <w:bookmarkEnd w:id="23"/>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1、总工期：预计</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个日历天。预计进场日期20</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2、竣工</w:t>
      </w:r>
      <w:r>
        <w:rPr>
          <w:rFonts w:hint="eastAsia" w:hAnsi="宋体"/>
          <w:color w:val="000000" w:themeColor="text1"/>
          <w:sz w:val="24"/>
          <w:highlight w:val="none"/>
          <w:lang w:eastAsia="zh-CN"/>
          <w14:textFill>
            <w14:solidFill>
              <w14:schemeClr w14:val="tx1"/>
            </w14:solidFill>
          </w14:textFill>
        </w:rPr>
        <w:t>日期</w:t>
      </w:r>
      <w:r>
        <w:rPr>
          <w:rFonts w:hint="eastAsia" w:hAnsi="宋体"/>
          <w:color w:val="000000" w:themeColor="text1"/>
          <w:sz w:val="24"/>
          <w:highlight w:val="none"/>
          <w14:textFill>
            <w14:solidFill>
              <w14:schemeClr w14:val="tx1"/>
            </w14:solidFill>
          </w14:textFill>
        </w:rPr>
        <w:t>：最迟不得超过20</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pPr>
        <w:pStyle w:val="20"/>
        <w:spacing w:line="360" w:lineRule="auto"/>
        <w:ind w:firstLine="480" w:firstLineChars="200"/>
        <w:rPr>
          <w:rFonts w:hint="eastAsia" w:hAnsi="宋体"/>
          <w:color w:val="000000" w:themeColor="text1"/>
          <w:sz w:val="24"/>
          <w:highlight w:val="none"/>
          <w:lang w:eastAsia="zh-CN"/>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hAnsi="宋体"/>
          <w:color w:val="000000" w:themeColor="text1"/>
          <w:sz w:val="24"/>
          <w:highlight w:val="none"/>
          <w:lang w:val="en-US" w:eastAsia="zh-CN"/>
          <w14:textFill>
            <w14:solidFill>
              <w14:schemeClr w14:val="tx1"/>
            </w14:solidFill>
          </w14:textFill>
        </w:rPr>
        <w:t>施工图</w:t>
      </w:r>
      <w:r>
        <w:rPr>
          <w:rFonts w:hint="eastAsia" w:hAnsi="宋体"/>
          <w:color w:val="000000" w:themeColor="text1"/>
          <w:sz w:val="24"/>
          <w:highlight w:val="none"/>
          <w14:textFill>
            <w14:solidFill>
              <w14:schemeClr w14:val="tx1"/>
            </w14:solidFill>
          </w14:textFill>
        </w:rPr>
        <w:t>设计主要节点工期：</w:t>
      </w:r>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中标通知书发出后</w:t>
      </w:r>
      <w:r>
        <w:rPr>
          <w:rFonts w:hint="eastAsia" w:hAnsi="宋体"/>
          <w:color w:val="000000" w:themeColor="text1"/>
          <w:sz w:val="24"/>
          <w:highlight w:val="non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个日历天内，完成施工图设计</w:t>
      </w:r>
      <w:r>
        <w:rPr>
          <w:rFonts w:hint="eastAsia" w:hAnsi="宋体"/>
          <w:color w:val="000000" w:themeColor="text1"/>
          <w:sz w:val="24"/>
          <w:highlight w:val="none"/>
          <w:lang w:eastAsia="zh-CN"/>
          <w14:textFill>
            <w14:solidFill>
              <w14:schemeClr w14:val="tx1"/>
            </w14:solidFill>
          </w14:textFill>
        </w:rPr>
        <w:t>成果文件</w:t>
      </w:r>
      <w:r>
        <w:rPr>
          <w:rFonts w:hint="eastAsia" w:hAnsi="宋体"/>
          <w:color w:val="000000" w:themeColor="text1"/>
          <w:sz w:val="24"/>
          <w:highlight w:val="none"/>
          <w14:textFill>
            <w14:solidFill>
              <w14:schemeClr w14:val="tx1"/>
            </w14:solidFill>
          </w14:textFill>
        </w:rPr>
        <w:t>并报审。</w:t>
      </w:r>
    </w:p>
    <w:p>
      <w:pPr>
        <w:pStyle w:val="20"/>
        <w:spacing w:line="360" w:lineRule="auto"/>
        <w:ind w:firstLine="0" w:firstLineChars="0"/>
        <w:outlineLvl w:val="9"/>
        <w:rPr>
          <w:rFonts w:hint="eastAsia" w:hAnsi="宋体" w:cs="宋体"/>
          <w:color w:val="000000" w:themeColor="text1"/>
          <w:sz w:val="24"/>
          <w:szCs w:val="24"/>
          <w:highlight w:val="none"/>
          <w14:textFill>
            <w14:solidFill>
              <w14:schemeClr w14:val="tx1"/>
            </w14:solidFill>
          </w14:textFill>
        </w:rPr>
      </w:pPr>
      <w:bookmarkStart w:id="28" w:name="_Toc458417793"/>
      <w:r>
        <w:rPr>
          <w:rFonts w:hint="eastAsia" w:hAnsi="宋体" w:cs="宋体"/>
          <w:color w:val="000000" w:themeColor="text1"/>
          <w:sz w:val="24"/>
          <w:szCs w:val="24"/>
          <w:highlight w:val="none"/>
          <w:lang w:val="en-US" w:eastAsia="zh-CN"/>
          <w14:textFill>
            <w14:solidFill>
              <w14:schemeClr w14:val="tx1"/>
            </w14:solidFill>
          </w14:textFill>
        </w:rPr>
        <w:t xml:space="preserve">    </w:t>
      </w:r>
      <w:bookmarkStart w:id="29" w:name="_Toc19809997"/>
      <w:r>
        <w:rPr>
          <w:rFonts w:hint="eastAsia" w:hAnsi="宋体" w:cs="宋体"/>
          <w:color w:val="000000" w:themeColor="text1"/>
          <w:sz w:val="24"/>
          <w:szCs w:val="24"/>
          <w:highlight w:val="none"/>
          <w14:textFill>
            <w14:solidFill>
              <w14:schemeClr w14:val="tx1"/>
            </w14:solidFill>
          </w14:textFill>
        </w:rPr>
        <w:t>六、质量标准：</w:t>
      </w:r>
      <w:bookmarkEnd w:id="28"/>
      <w:bookmarkEnd w:id="29"/>
    </w:p>
    <w:p>
      <w:pPr>
        <w:pStyle w:val="20"/>
        <w:spacing w:line="360" w:lineRule="auto"/>
        <w:ind w:left="482"/>
        <w:jc w:val="left"/>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施工图</w:t>
      </w:r>
      <w:r>
        <w:rPr>
          <w:rFonts w:hint="eastAsia"/>
          <w:color w:val="000000" w:themeColor="text1"/>
          <w:sz w:val="24"/>
          <w:highlight w:val="none"/>
          <w14:textFill>
            <w14:solidFill>
              <w14:schemeClr w14:val="tx1"/>
            </w14:solidFill>
          </w14:textFill>
        </w:rPr>
        <w:t>设计标准：符合建设工程勘察设计的技术规范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本项目已批复可行性研究报告的要求、初步设计</w:t>
      </w:r>
      <w:r>
        <w:rPr>
          <w:rFonts w:hint="eastAsia"/>
          <w:color w:val="000000" w:themeColor="text1"/>
          <w:sz w:val="24"/>
          <w:highlight w:val="none"/>
          <w:lang w:val="en-US" w:eastAsia="zh-CN"/>
          <w14:textFill>
            <w14:solidFill>
              <w14:schemeClr w14:val="tx1"/>
            </w14:solidFill>
          </w14:textFill>
        </w:rPr>
        <w:t>的</w:t>
      </w:r>
      <w:r>
        <w:rPr>
          <w:rFonts w:hint="eastAsia"/>
          <w:color w:val="000000" w:themeColor="text1"/>
          <w:sz w:val="24"/>
          <w:highlight w:val="none"/>
          <w14:textFill>
            <w14:solidFill>
              <w14:schemeClr w14:val="tx1"/>
            </w14:solidFill>
          </w14:textFill>
        </w:rPr>
        <w:t>要求、施工图审查要求等。</w:t>
      </w:r>
      <w:r>
        <w:rPr>
          <w:rFonts w:hint="eastAsia"/>
          <w:color w:val="000000" w:themeColor="text1"/>
          <w:sz w:val="24"/>
          <w:highlight w:val="none"/>
          <w:lang w:val="en-US" w:eastAsia="zh-CN"/>
          <w14:textFill>
            <w14:solidFill>
              <w14:schemeClr w14:val="tx1"/>
            </w14:solidFill>
          </w14:textFill>
        </w:rPr>
        <w:t xml:space="preserve"> </w:t>
      </w:r>
    </w:p>
    <w:p>
      <w:pPr>
        <w:pStyle w:val="20"/>
        <w:spacing w:line="360" w:lineRule="auto"/>
        <w:ind w:firstLine="480" w:firstLineChars="200"/>
        <w:jc w:val="left"/>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2、施工质量标准：验收合格。</w:t>
      </w:r>
    </w:p>
    <w:p>
      <w:pPr>
        <w:pStyle w:val="20"/>
        <w:spacing w:line="360" w:lineRule="auto"/>
        <w:ind w:firstLine="480" w:firstLineChars="200"/>
        <w:outlineLvl w:val="1"/>
        <w:rPr>
          <w:rFonts w:hint="eastAsia"/>
          <w:color w:val="000000" w:themeColor="text1"/>
          <w:highlight w:val="none"/>
          <w14:textFill>
            <w14:solidFill>
              <w14:schemeClr w14:val="tx1"/>
            </w14:solidFill>
          </w14:textFill>
        </w:rPr>
      </w:pPr>
      <w:bookmarkStart w:id="30" w:name="_Toc19809998"/>
      <w:bookmarkStart w:id="31" w:name="_Toc458417795"/>
      <w:bookmarkStart w:id="32" w:name="_Toc18594"/>
      <w:bookmarkStart w:id="33" w:name="_Toc15634"/>
      <w:bookmarkStart w:id="34" w:name="_Toc16434"/>
      <w:r>
        <w:rPr>
          <w:rFonts w:hint="eastAsia" w:hAnsi="宋体" w:cs="宋体"/>
          <w:color w:val="000000" w:themeColor="text1"/>
          <w:sz w:val="24"/>
          <w:szCs w:val="24"/>
          <w:highlight w:val="none"/>
          <w14:textFill>
            <w14:solidFill>
              <w14:schemeClr w14:val="tx1"/>
            </w14:solidFill>
          </w14:textFill>
        </w:rPr>
        <w:t>七、合同价款</w:t>
      </w:r>
      <w:bookmarkEnd w:id="30"/>
      <w:bookmarkEnd w:id="31"/>
      <w:bookmarkEnd w:id="32"/>
      <w:bookmarkEnd w:id="33"/>
      <w:bookmarkEnd w:id="34"/>
    </w:p>
    <w:p>
      <w:pPr>
        <w:spacing w:line="360" w:lineRule="auto"/>
        <w:ind w:firstLine="470" w:firstLineChars="196"/>
        <w:rPr>
          <w:rFonts w:hint="eastAsia" w:ascii="宋体" w:hAnsi="宋体" w:eastAsia="宋体" w:cs="Times New Roman"/>
          <w:bCs/>
          <w:snapToGrid/>
          <w:color w:val="000000" w:themeColor="text1"/>
          <w:kern w:val="2"/>
          <w:sz w:val="24"/>
          <w:szCs w:val="24"/>
          <w:highlight w:val="none"/>
          <w14:textFill>
            <w14:solidFill>
              <w14:schemeClr w14:val="tx1"/>
            </w14:solidFill>
          </w14:textFill>
        </w:rPr>
      </w:pPr>
      <w:r>
        <w:rPr>
          <w:rFonts w:hint="eastAsia" w:ascii="宋体" w:hAnsi="宋体" w:eastAsia="宋体" w:cs="Times New Roman"/>
          <w:b w:val="0"/>
          <w:bCs/>
          <w:color w:val="000000" w:themeColor="text1"/>
          <w:sz w:val="24"/>
          <w:szCs w:val="24"/>
          <w:highlight w:val="none"/>
          <w14:textFill>
            <w14:solidFill>
              <w14:schemeClr w14:val="tx1"/>
            </w14:solidFill>
          </w14:textFill>
        </w:rPr>
        <w:t>EPC</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合同总价</w:t>
      </w:r>
      <w:r>
        <w:rPr>
          <w:rFonts w:hint="eastAsia" w:ascii="宋体" w:hAnsi="宋体" w:eastAsia="宋体" w:cs="Times New Roman"/>
          <w:bCs/>
          <w:snapToGrid/>
          <w:color w:val="000000" w:themeColor="text1"/>
          <w:kern w:val="2"/>
          <w:sz w:val="24"/>
          <w:szCs w:val="24"/>
          <w:highlight w:val="none"/>
          <w:lang w:val="en-US" w:eastAsia="zh-CN"/>
          <w14:textFill>
            <w14:solidFill>
              <w14:schemeClr w14:val="tx1"/>
            </w14:solidFill>
          </w14:textFill>
        </w:rPr>
        <w:t>(中标单位下浮后的中标价）</w:t>
      </w:r>
      <w:r>
        <w:rPr>
          <w:rFonts w:hint="eastAsia" w:ascii="宋体" w:hAnsi="宋体" w:eastAsia="宋体" w:cs="Times New Roman"/>
          <w:bCs/>
          <w:color w:val="000000" w:themeColor="text1"/>
          <w:sz w:val="24"/>
          <w:szCs w:val="24"/>
          <w:highlight w:val="none"/>
          <w14:textFill>
            <w14:solidFill>
              <w14:schemeClr w14:val="tx1"/>
            </w14:solidFill>
          </w14:textFill>
        </w:rPr>
        <w:t>暂定价款（含增值税）</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为</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元（大写：</w:t>
      </w:r>
      <w:r>
        <w:rPr>
          <w:rFonts w:hint="eastAsia" w:ascii="宋体" w:hAnsi="宋体" w:eastAsia="宋体" w:cs="Times New Roman"/>
          <w:bCs/>
          <w:snapToGrid/>
          <w:color w:val="000000" w:themeColor="text1"/>
          <w:kern w:val="2"/>
          <w:sz w:val="24"/>
          <w:szCs w:val="24"/>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w:t>
      </w:r>
      <w:r>
        <w:rPr>
          <w:rFonts w:hint="eastAsia" w:ascii="宋体" w:hAnsi="宋体" w:eastAsia="宋体" w:cs="Times New Roman"/>
          <w:bCs/>
          <w:color w:val="000000" w:themeColor="text1"/>
          <w:sz w:val="24"/>
          <w:szCs w:val="24"/>
          <w:highlight w:val="none"/>
          <w14:textFill>
            <w14:solidFill>
              <w14:schemeClr w14:val="tx1"/>
            </w14:solidFill>
          </w14:textFill>
        </w:rPr>
        <w:t>；</w:t>
      </w:r>
      <w:r>
        <w:rPr>
          <w:rFonts w:hint="eastAsia" w:ascii="宋体" w:hAnsi="宋体" w:eastAsia="宋体" w:cs="Times New Roman"/>
          <w:bCs/>
          <w:color w:val="000000" w:themeColor="text1"/>
          <w:sz w:val="24"/>
          <w:szCs w:val="24"/>
          <w:highlight w:val="none"/>
          <w:lang w:val="en-US" w:eastAsia="zh-CN"/>
          <w14:textFill>
            <w14:solidFill>
              <w14:schemeClr w14:val="tx1"/>
            </w14:solidFill>
          </w14:textFill>
        </w:rPr>
        <w:t>其中</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合同施工建安工程费暂定为</w:t>
      </w:r>
      <w:r>
        <w:rPr>
          <w:rFonts w:hint="eastAsia" w:ascii="宋体" w:hAnsi="宋体" w:eastAsia="宋体" w:cs="Times New Roman"/>
          <w:bCs/>
          <w:color w:val="000000" w:themeColor="text1"/>
          <w:sz w:val="24"/>
          <w:szCs w:val="24"/>
          <w:highlight w:val="none"/>
          <w:u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u w:val="none"/>
          <w:lang w:val="en-US" w:eastAsia="zh-CN"/>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元（大写：</w:t>
      </w:r>
      <w:r>
        <w:rPr>
          <w:rFonts w:hint="eastAsia" w:ascii="宋体" w:hAnsi="宋体" w:eastAsia="宋体" w:cs="Times New Roman"/>
          <w:bCs/>
          <w:snapToGrid/>
          <w:color w:val="000000" w:themeColor="text1"/>
          <w:kern w:val="2"/>
          <w:sz w:val="24"/>
          <w:szCs w:val="24"/>
          <w:highlight w:val="none"/>
          <w:lang w:val="en-US" w:eastAsia="zh-CN"/>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元</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lang w:eastAsia="zh-CN"/>
          <w14:textFill>
            <w14:solidFill>
              <w14:schemeClr w14:val="tx1"/>
            </w14:solidFill>
          </w14:textFill>
        </w:rPr>
        <w:t>，</w:t>
      </w:r>
      <w:r>
        <w:rPr>
          <w:rFonts w:hint="eastAsia" w:ascii="宋体" w:hAnsi="宋体" w:eastAsia="宋体" w:cs="Times New Roman"/>
          <w:b w:val="0"/>
          <w:bCs/>
          <w:color w:val="000000" w:themeColor="text1"/>
          <w:sz w:val="24"/>
          <w:szCs w:val="24"/>
          <w:highlight w:val="none"/>
          <w:lang w:val="en-US" w:eastAsia="zh-CN"/>
          <w14:textFill>
            <w14:solidFill>
              <w14:schemeClr w14:val="tx1"/>
            </w14:solidFill>
          </w14:textFill>
        </w:rPr>
        <w:t>中标</w:t>
      </w:r>
      <w:r>
        <w:rPr>
          <w:rFonts w:hint="eastAsia" w:ascii="宋体" w:hAnsi="宋体" w:eastAsia="宋体" w:cs="Times New Roman"/>
          <w:b w:val="0"/>
          <w:bCs/>
          <w:color w:val="000000" w:themeColor="text1"/>
          <w:sz w:val="24"/>
          <w:szCs w:val="24"/>
          <w:highlight w:val="none"/>
          <w14:textFill>
            <w14:solidFill>
              <w14:schemeClr w14:val="tx1"/>
            </w14:solidFill>
          </w14:textFill>
        </w:rPr>
        <w:t>下浮率：</w:t>
      </w:r>
      <w:r>
        <w:rPr>
          <w:rFonts w:hint="eastAsia" w:ascii="宋体" w:hAnsi="宋体"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b w:val="0"/>
          <w:bCs/>
          <w:color w:val="000000" w:themeColor="text1"/>
          <w:sz w:val="24"/>
          <w:szCs w:val="24"/>
          <w:highlight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施工图设计</w:t>
      </w:r>
      <w:r>
        <w:rPr>
          <w:rFonts w:hint="eastAsia" w:ascii="宋体" w:hAnsi="宋体" w:cs="宋体"/>
          <w:color w:val="000000" w:themeColor="text1"/>
          <w:sz w:val="24"/>
          <w:highlight w:val="none"/>
          <w:u w:val="single"/>
          <w14:textFill>
            <w14:solidFill>
              <w14:schemeClr w14:val="tx1"/>
            </w14:solidFill>
          </w14:textFill>
        </w:rPr>
        <w:t>费</w:t>
      </w:r>
      <w:r>
        <w:rPr>
          <w:rFonts w:hint="eastAsia" w:ascii="宋体" w:hAnsi="宋体" w:cs="宋体"/>
          <w:color w:val="000000" w:themeColor="text1"/>
          <w:sz w:val="24"/>
          <w:szCs w:val="24"/>
          <w:highlight w:val="none"/>
          <w:u w:val="single"/>
          <w14:textFill>
            <w14:solidFill>
              <w14:schemeClr w14:val="tx1"/>
            </w14:solidFill>
          </w14:textFill>
        </w:rPr>
        <w:t>（含施工图预算编制费</w:t>
      </w:r>
      <w:r>
        <w:rPr>
          <w:rFonts w:hint="eastAsia" w:ascii="宋体" w:hAnsi="宋体" w:cs="宋体"/>
          <w:color w:val="000000" w:themeColor="text1"/>
          <w:sz w:val="24"/>
          <w:szCs w:val="24"/>
          <w:highlight w:val="none"/>
          <w:u w:val="single"/>
          <w:lang w:eastAsia="zh-CN"/>
          <w14:textFill>
            <w14:solidFill>
              <w14:schemeClr w14:val="tx1"/>
            </w14:solidFill>
          </w14:textFill>
        </w:rPr>
        <w:t>、</w:t>
      </w:r>
      <w:r>
        <w:rPr>
          <w:rFonts w:hint="eastAsia" w:ascii="宋体" w:hAnsi="宋体" w:cs="宋体"/>
          <w:color w:val="000000" w:themeColor="text1"/>
          <w:sz w:val="24"/>
          <w:szCs w:val="24"/>
          <w:highlight w:val="none"/>
          <w:u w:val="single"/>
          <w:lang w:val="en-US" w:eastAsia="zh-CN"/>
          <w14:textFill>
            <w14:solidFill>
              <w14:schemeClr w14:val="tx1"/>
            </w14:solidFill>
          </w14:textFill>
        </w:rPr>
        <w:t>竣工图编制费</w:t>
      </w:r>
      <w:r>
        <w:rPr>
          <w:rFonts w:hint="eastAsia" w:ascii="宋体" w:hAnsi="宋体" w:cs="宋体"/>
          <w:color w:val="000000" w:themeColor="text1"/>
          <w:sz w:val="24"/>
          <w:szCs w:val="24"/>
          <w:highlight w:val="none"/>
          <w:u w:val="singl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暂定为</w:t>
      </w:r>
      <w:r>
        <w:rPr>
          <w:rFonts w:hint="eastAsia" w:ascii="宋体" w:hAnsi="宋体" w:eastAsia="宋体" w:cs="Times New Roman"/>
          <w:bCs/>
          <w:color w:val="000000" w:themeColor="text1"/>
          <w:sz w:val="24"/>
          <w:szCs w:val="24"/>
          <w:highlight w:val="none"/>
          <w:u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u w:val="none"/>
          <w:lang w:val="en-US" w:eastAsia="zh-CN"/>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元（大写：</w:t>
      </w:r>
      <w:r>
        <w:rPr>
          <w:rFonts w:hint="eastAsia" w:ascii="宋体" w:hAnsi="宋体" w:eastAsia="宋体" w:cs="Times New Roman"/>
          <w:bCs/>
          <w:snapToGrid/>
          <w:color w:val="000000" w:themeColor="text1"/>
          <w:kern w:val="2"/>
          <w:sz w:val="24"/>
          <w:szCs w:val="24"/>
          <w:highlight w:val="none"/>
          <w:lang w:val="en-US" w:eastAsia="zh-CN"/>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u w:val="none"/>
          <w14:textFill>
            <w14:solidFill>
              <w14:schemeClr w14:val="tx1"/>
            </w14:solidFill>
          </w14:textFill>
        </w:rPr>
        <w:t xml:space="preserve">    </w:t>
      </w:r>
      <w:r>
        <w:rPr>
          <w:rFonts w:hint="eastAsia" w:ascii="宋体" w:hAnsi="宋体" w:eastAsia="宋体" w:cs="Times New Roman"/>
          <w:bCs/>
          <w:snapToGrid/>
          <w:color w:val="000000" w:themeColor="text1"/>
          <w:kern w:val="2"/>
          <w:sz w:val="24"/>
          <w:szCs w:val="24"/>
          <w:highlight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lang w:eastAsia="zh-CN"/>
          <w14:textFill>
            <w14:solidFill>
              <w14:schemeClr w14:val="tx1"/>
            </w14:solidFill>
          </w14:textFill>
        </w:rPr>
        <w:t>，</w:t>
      </w:r>
      <w:r>
        <w:rPr>
          <w:rFonts w:hint="eastAsia" w:ascii="宋体" w:hAnsi="宋体" w:eastAsia="宋体" w:cs="Times New Roman"/>
          <w:b w:val="0"/>
          <w:bCs/>
          <w:color w:val="000000" w:themeColor="text1"/>
          <w:sz w:val="24"/>
          <w:szCs w:val="24"/>
          <w:highlight w:val="none"/>
          <w:lang w:val="en-US" w:eastAsia="zh-CN"/>
          <w14:textFill>
            <w14:solidFill>
              <w14:schemeClr w14:val="tx1"/>
            </w14:solidFill>
          </w14:textFill>
        </w:rPr>
        <w:t>中标</w:t>
      </w:r>
      <w:r>
        <w:rPr>
          <w:rFonts w:hint="eastAsia" w:ascii="宋体" w:hAnsi="宋体" w:eastAsia="宋体" w:cs="Times New Roman"/>
          <w:b w:val="0"/>
          <w:bCs/>
          <w:color w:val="000000" w:themeColor="text1"/>
          <w:sz w:val="24"/>
          <w:szCs w:val="24"/>
          <w:highlight w:val="none"/>
          <w14:textFill>
            <w14:solidFill>
              <w14:schemeClr w14:val="tx1"/>
            </w14:solidFill>
          </w14:textFill>
        </w:rPr>
        <w:t>下浮率：</w:t>
      </w:r>
      <w:r>
        <w:rPr>
          <w:rFonts w:hint="eastAsia" w:ascii="宋体" w:hAnsi="宋体"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b w:val="0"/>
          <w:bCs/>
          <w:color w:val="000000" w:themeColor="text1"/>
          <w:sz w:val="24"/>
          <w:szCs w:val="24"/>
          <w:highlight w:val="none"/>
          <w14:textFill>
            <w14:solidFill>
              <w14:schemeClr w14:val="tx1"/>
            </w14:solidFill>
          </w14:textFill>
        </w:rPr>
        <w:t>%</w:t>
      </w:r>
      <w:r>
        <w:rPr>
          <w:rFonts w:hint="eastAsia" w:ascii="宋体" w:hAnsi="宋体" w:eastAsia="宋体" w:cs="Times New Roman"/>
          <w:bCs/>
          <w:snapToGrid/>
          <w:color w:val="000000" w:themeColor="text1"/>
          <w:kern w:val="2"/>
          <w:sz w:val="24"/>
          <w:szCs w:val="24"/>
          <w:highlight w:val="none"/>
          <w:lang w:val="en-US" w:eastAsia="zh-CN"/>
          <w14:textFill>
            <w14:solidFill>
              <w14:schemeClr w14:val="tx1"/>
            </w14:solidFill>
          </w14:textFill>
        </w:rPr>
        <w:t>。</w:t>
      </w:r>
    </w:p>
    <w:p>
      <w:pPr>
        <w:tabs>
          <w:tab w:val="left" w:pos="448"/>
        </w:tabs>
        <w:spacing w:line="360" w:lineRule="auto"/>
        <w:ind w:firstLine="480" w:firstLineChars="200"/>
        <w:outlineLvl w:val="1"/>
        <w:rPr>
          <w:rFonts w:hint="eastAsia" w:hAnsi="宋体" w:cs="宋体"/>
          <w:color w:val="000000" w:themeColor="text1"/>
          <w:sz w:val="24"/>
          <w:highlight w:val="none"/>
          <w14:textFill>
            <w14:solidFill>
              <w14:schemeClr w14:val="tx1"/>
            </w14:solidFill>
          </w14:textFill>
        </w:rPr>
      </w:pPr>
      <w:bookmarkStart w:id="35" w:name="_Toc3543"/>
      <w:bookmarkStart w:id="36" w:name="_Toc19809999"/>
      <w:bookmarkStart w:id="37" w:name="_Toc19500"/>
      <w:bookmarkStart w:id="38" w:name="_Toc3167"/>
      <w:r>
        <w:rPr>
          <w:rFonts w:hint="eastAsia" w:hAnsi="宋体" w:cs="宋体"/>
          <w:color w:val="000000" w:themeColor="text1"/>
          <w:sz w:val="24"/>
          <w:highlight w:val="none"/>
          <w14:textFill>
            <w14:solidFill>
              <w14:schemeClr w14:val="tx1"/>
            </w14:solidFill>
          </w14:textFill>
        </w:rPr>
        <w:t>八、投资控制</w:t>
      </w:r>
      <w:bookmarkEnd w:id="35"/>
      <w:bookmarkEnd w:id="36"/>
      <w:bookmarkEnd w:id="37"/>
      <w:bookmarkEnd w:id="38"/>
    </w:p>
    <w:p>
      <w:pPr>
        <w:spacing w:line="360" w:lineRule="auto"/>
        <w:ind w:firstLine="470" w:firstLineChars="196"/>
        <w:rPr>
          <w:rFonts w:hint="eastAsia"/>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(一)本项目实行限额设计，</w:t>
      </w:r>
      <w:r>
        <w:rPr>
          <w:rFonts w:hint="eastAsia"/>
          <w:bCs/>
          <w:color w:val="000000" w:themeColor="text1"/>
          <w:sz w:val="24"/>
          <w:highlight w:val="none"/>
          <w14:textFill>
            <w14:solidFill>
              <w14:schemeClr w14:val="tx1"/>
            </w14:solidFill>
          </w14:textFill>
        </w:rPr>
        <w:t>严格执行国家关于建设工程投资控制管理规，</w:t>
      </w:r>
      <w:r>
        <w:rPr>
          <w:rFonts w:hint="eastAsia" w:ascii="宋体" w:hAnsi="宋体"/>
          <w:bCs/>
          <w:color w:val="000000" w:themeColor="text1"/>
          <w:sz w:val="24"/>
          <w:highlight w:val="none"/>
          <w14:textFill>
            <w14:solidFill>
              <w14:schemeClr w14:val="tx1"/>
            </w14:solidFill>
          </w14:textFill>
        </w:rPr>
        <w:t>除取得政府或发包人批准超限额设计外</w:t>
      </w:r>
      <w:r>
        <w:rPr>
          <w:rFonts w:hint="eastAsia"/>
          <w:bCs/>
          <w:color w:val="000000" w:themeColor="text1"/>
          <w:sz w:val="24"/>
          <w:highlight w:val="none"/>
          <w14:textFill>
            <w14:solidFill>
              <w14:schemeClr w14:val="tx1"/>
            </w14:solidFill>
          </w14:textFill>
        </w:rPr>
        <w:t>，严禁超</w:t>
      </w:r>
      <w:r>
        <w:rPr>
          <w:rFonts w:hint="eastAsia" w:ascii="宋体" w:hAnsi="宋体"/>
          <w:bCs/>
          <w:color w:val="000000" w:themeColor="text1"/>
          <w:sz w:val="24"/>
          <w:highlight w:val="none"/>
          <w14:textFill>
            <w14:solidFill>
              <w14:schemeClr w14:val="tx1"/>
            </w14:solidFill>
          </w14:textFill>
        </w:rPr>
        <w:t>限额设计</w:t>
      </w:r>
      <w:r>
        <w:rPr>
          <w:rFonts w:hint="eastAsia"/>
          <w:bCs/>
          <w:color w:val="000000" w:themeColor="text1"/>
          <w:sz w:val="24"/>
          <w:highlight w:val="none"/>
          <w14:textFill>
            <w14:solidFill>
              <w14:schemeClr w14:val="tx1"/>
            </w14:solidFill>
          </w14:textFill>
        </w:rPr>
        <w:t>。</w:t>
      </w:r>
    </w:p>
    <w:p>
      <w:pPr>
        <w:spacing w:line="360" w:lineRule="auto"/>
        <w:ind w:firstLine="470" w:firstLineChars="196"/>
        <w:rPr>
          <w:rFonts w:hint="eastAsia" w:ascii="宋体" w:hAnsi="宋体"/>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（二）除经批准可调增费用外，EPC项目承包范围内送审价原则为：</w:t>
      </w:r>
      <w:r>
        <w:rPr>
          <w:rFonts w:hint="eastAsia"/>
          <w:bCs/>
          <w:strike w:val="0"/>
          <w:color w:val="000000" w:themeColor="text1"/>
          <w:sz w:val="24"/>
          <w:highlight w:val="none"/>
          <w14:textFill>
            <w14:solidFill>
              <w14:schemeClr w14:val="tx1"/>
            </w14:solidFill>
          </w14:textFill>
        </w:rPr>
        <w:t>概算送审价≥概算财审价≥</w:t>
      </w:r>
      <w:r>
        <w:rPr>
          <w:rFonts w:hint="eastAsia"/>
          <w:bCs/>
          <w:color w:val="000000" w:themeColor="text1"/>
          <w:sz w:val="24"/>
          <w:highlight w:val="none"/>
          <w14:textFill>
            <w14:solidFill>
              <w14:schemeClr w14:val="tx1"/>
            </w14:solidFill>
          </w14:textFill>
        </w:rPr>
        <w:t>最高投标限价&gt;中标价≥预算送审价≥预算财审价；</w:t>
      </w:r>
    </w:p>
    <w:p>
      <w:pPr>
        <w:spacing w:line="360" w:lineRule="auto"/>
        <w:ind w:firstLine="470" w:firstLineChars="196"/>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（三）若发生可调价事项而导致费用调整的，则须另行签订补充协议；</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（四）发包人</w:t>
      </w:r>
      <w:r>
        <w:rPr>
          <w:rFonts w:hint="eastAsia" w:ascii="宋体" w:hAnsi="宋体"/>
          <w:color w:val="000000" w:themeColor="text1"/>
          <w:sz w:val="24"/>
          <w:highlight w:val="none"/>
          <w14:textFill>
            <w14:solidFill>
              <w14:schemeClr w14:val="tx1"/>
            </w14:solidFill>
          </w14:textFill>
        </w:rPr>
        <w:t>对实施内容有最终决定权，承包人须无条件服从发包人对承包范围内实施内容及工程量的调整。发包人对减少的项目无论有无替代，均不予以额外的补偿；</w:t>
      </w:r>
    </w:p>
    <w:p>
      <w:pPr>
        <w:tabs>
          <w:tab w:val="left" w:pos="448"/>
        </w:tabs>
        <w:spacing w:line="360" w:lineRule="auto"/>
        <w:ind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（五）各阶段报审价的计价原则</w:t>
      </w:r>
    </w:p>
    <w:p>
      <w:pPr>
        <w:tabs>
          <w:tab w:val="left" w:pos="448"/>
        </w:tabs>
        <w:spacing w:line="360" w:lineRule="auto"/>
        <w:ind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承包人负责施工图预算编制及结算报审价的编制工作。经区水务局审批及发包人同意后，由发包人委托区财政评审机构进行评审，最终结算价以区财政审定结果为准。</w:t>
      </w:r>
    </w:p>
    <w:p>
      <w:pPr>
        <w:spacing w:line="360" w:lineRule="auto"/>
        <w:ind w:firstLine="470" w:firstLineChars="196"/>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2、第一部分工程费：</w:t>
      </w:r>
    </w:p>
    <w:p>
      <w:pPr>
        <w:spacing w:line="360" w:lineRule="auto"/>
        <w:ind w:firstLine="470" w:firstLineChars="196"/>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（1）工程费预算价计算：根据相关立项批复文件、可调概批复文件或发包人批准的可调价文件、相应阶段设计图纸等相关工程资料</w:t>
      </w:r>
      <w:r>
        <w:rPr>
          <w:rFonts w:hint="eastAsia"/>
          <w:color w:val="000000" w:themeColor="text1"/>
          <w:sz w:val="24"/>
          <w:highlight w:val="none"/>
          <w14:textFill>
            <w14:solidFill>
              <w14:schemeClr w14:val="tx1"/>
            </w14:solidFill>
          </w14:textFill>
        </w:rPr>
        <w:t>及合同价格基准期（指中标当月）广州市工程造价管理站发布的相关计价文件计算工程</w:t>
      </w:r>
      <w:r>
        <w:rPr>
          <w:rFonts w:hint="eastAsia" w:ascii="宋体" w:hAnsi="宋体"/>
          <w:color w:val="000000" w:themeColor="text1"/>
          <w:sz w:val="24"/>
          <w:highlight w:val="none"/>
          <w14:textFill>
            <w14:solidFill>
              <w14:schemeClr w14:val="tx1"/>
            </w14:solidFill>
          </w14:textFill>
        </w:rPr>
        <w:t>费用，且报审的工程费总价不得超过中标价中的工程费总价。</w:t>
      </w:r>
    </w:p>
    <w:p>
      <w:pPr>
        <w:spacing w:line="360" w:lineRule="auto"/>
        <w:ind w:firstLine="470" w:firstLineChars="196"/>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工程费结算价计算：以财政审定的预算综合单价作为承包单价（含中标下浮率），以经施工图审查的施工图纸、区水务局及发包人批准的且属于本合同约定可调价事项的批文等结算资料为计量依据，进行计价；若无可沿用的财政审定的预算综合单价，则按施工期间，</w:t>
      </w:r>
      <w:r>
        <w:rPr>
          <w:rFonts w:hint="eastAsia"/>
          <w:color w:val="000000" w:themeColor="text1"/>
          <w:sz w:val="24"/>
          <w:highlight w:val="none"/>
          <w14:textFill>
            <w14:solidFill>
              <w14:schemeClr w14:val="tx1"/>
            </w14:solidFill>
          </w14:textFill>
        </w:rPr>
        <w:t>广州市工程造价管理站发布的相关计价文件规定重新组价</w:t>
      </w:r>
      <w:r>
        <w:rPr>
          <w:rFonts w:hint="eastAsia" w:ascii="宋体" w:hAnsi="宋体"/>
          <w:color w:val="000000" w:themeColor="text1"/>
          <w:sz w:val="24"/>
          <w:highlight w:val="none"/>
          <w:lang w:eastAsia="zh-CN"/>
          <w14:textFill>
            <w14:solidFill>
              <w14:schemeClr w14:val="tx1"/>
            </w14:solidFill>
          </w14:textFill>
        </w:rPr>
        <w:t>。</w:t>
      </w:r>
    </w:p>
    <w:p>
      <w:pPr>
        <w:spacing w:line="360" w:lineRule="auto"/>
        <w:ind w:firstLine="470" w:firstLineChars="196"/>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3、第二部分</w:t>
      </w:r>
      <w:r>
        <w:rPr>
          <w:rFonts w:hint="eastAsia"/>
          <w:color w:val="000000" w:themeColor="text1"/>
          <w:sz w:val="24"/>
          <w:highlight w:val="none"/>
          <w14:textFill>
            <w14:solidFill>
              <w14:schemeClr w14:val="tx1"/>
            </w14:solidFill>
          </w14:textFill>
        </w:rPr>
        <w:t>工程建设其他费：</w:t>
      </w:r>
    </w:p>
    <w:p>
      <w:pPr>
        <w:tabs>
          <w:tab w:val="left" w:pos="448"/>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3.1</w:t>
      </w:r>
      <w:r>
        <w:rPr>
          <w:rFonts w:hint="eastAsia"/>
          <w:color w:val="000000" w:themeColor="text1"/>
          <w:sz w:val="24"/>
          <w:highlight w:val="none"/>
          <w:lang w:val="en-US" w:eastAsia="zh-CN"/>
          <w14:textFill>
            <w14:solidFill>
              <w14:schemeClr w14:val="tx1"/>
            </w14:solidFill>
          </w14:textFill>
        </w:rPr>
        <w:t>施工图</w:t>
      </w:r>
      <w:r>
        <w:rPr>
          <w:rFonts w:hint="eastAsia"/>
          <w:color w:val="000000" w:themeColor="text1"/>
          <w:sz w:val="24"/>
          <w:highlight w:val="none"/>
          <w14:textFill>
            <w14:solidFill>
              <w14:schemeClr w14:val="tx1"/>
            </w14:solidFill>
          </w14:textFill>
        </w:rPr>
        <w:t>设计费计费要求：</w:t>
      </w:r>
    </w:p>
    <w:p>
      <w:pPr>
        <w:tabs>
          <w:tab w:val="left" w:pos="448"/>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lang w:val="en-US" w:eastAsia="zh-CN"/>
          <w14:textFill>
            <w14:solidFill>
              <w14:schemeClr w14:val="tx1"/>
            </w14:solidFill>
          </w14:textFill>
        </w:rPr>
        <w:t>施工图</w:t>
      </w:r>
      <w:r>
        <w:rPr>
          <w:rFonts w:hint="eastAsia" w:ascii="宋体" w:hAnsi="宋体"/>
          <w:color w:val="000000" w:themeColor="text1"/>
          <w:sz w:val="24"/>
          <w:highlight w:val="none"/>
          <w14:textFill>
            <w14:solidFill>
              <w14:schemeClr w14:val="tx1"/>
            </w14:solidFill>
          </w14:textFill>
        </w:rPr>
        <w:t>设计费：按国家发展计划委员会、建设部2002年修订的《工程勘察设计收费标准》（计价格[2002]10号）规定的收费标准，暂定专业调整系数取1.0，工程复杂程度调整系数取</w:t>
      </w:r>
      <w:r>
        <w:rPr>
          <w:rFonts w:hint="eastAsia" w:ascii="宋体" w:hAnsi="宋体"/>
          <w:color w:val="000000" w:themeColor="text1"/>
          <w:sz w:val="24"/>
          <w:highlight w:val="none"/>
          <w:lang w:val="en-US" w:eastAsia="zh-CN"/>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，附加调整系数取1.</w:t>
      </w:r>
      <w:r>
        <w:rPr>
          <w:rFonts w:hint="eastAsia" w:ascii="宋体" w:hAnsi="宋体"/>
          <w:color w:val="000000" w:themeColor="text1"/>
          <w:sz w:val="24"/>
          <w:highlight w:val="none"/>
          <w:lang w:val="en-US" w:eastAsia="zh-CN"/>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，并按下浮率（中标下浮率</w:t>
      </w:r>
      <w:r>
        <w:rPr>
          <w:rFonts w:hint="eastAsia"/>
          <w:color w:val="000000" w:themeColor="text1"/>
          <w:sz w:val="24"/>
          <w:highlight w:val="none"/>
          <w:u w:val="single"/>
          <w14:textFill>
            <w14:solidFill>
              <w14:schemeClr w14:val="tx1"/>
            </w14:solidFill>
          </w14:textFill>
        </w:rPr>
        <w:t>X%</w:t>
      </w:r>
      <w:r>
        <w:rPr>
          <w:rFonts w:hint="eastAsia" w:ascii="宋体" w:hAnsi="宋体"/>
          <w:color w:val="000000" w:themeColor="text1"/>
          <w:sz w:val="24"/>
          <w:highlight w:val="none"/>
          <w14:textFill>
            <w14:solidFill>
              <w14:schemeClr w14:val="tx1"/>
            </w14:solidFill>
          </w14:textFill>
        </w:rPr>
        <w:t>）下浮</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eastAsia="宋体" w:cs="Times New Roman"/>
          <w:color w:val="000000" w:themeColor="text1"/>
          <w:sz w:val="24"/>
          <w:highlight w:val="none"/>
          <w:lang w:val="en-US" w:eastAsia="zh-CN"/>
          <w14:textFill>
            <w14:solidFill>
              <w14:schemeClr w14:val="tx1"/>
            </w14:solidFill>
          </w14:textFill>
        </w:rPr>
        <w:t>施工图设计费按总设计费的60%计取</w:t>
      </w:r>
      <w:r>
        <w:rPr>
          <w:rFonts w:hint="eastAsia" w:ascii="宋体" w:hAnsi="宋体"/>
          <w:color w:val="000000" w:themeColor="text1"/>
          <w:sz w:val="24"/>
          <w:highlight w:val="none"/>
          <w14:textFill>
            <w14:solidFill>
              <w14:schemeClr w14:val="tx1"/>
            </w14:solidFill>
          </w14:textFill>
        </w:rPr>
        <w:t>；</w:t>
      </w:r>
    </w:p>
    <w:p>
      <w:pPr>
        <w:tabs>
          <w:tab w:val="left" w:pos="448"/>
        </w:tabs>
        <w:spacing w:line="360" w:lineRule="auto"/>
        <w:ind w:firstLine="482" w:firstLineChars="200"/>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2</w:t>
      </w:r>
      <w:r>
        <w:rPr>
          <w:rFonts w:hint="eastAsia" w:ascii="宋体" w:hAnsi="宋体"/>
          <w:b/>
          <w:bCs/>
          <w:color w:val="000000" w:themeColor="text1"/>
          <w:sz w:val="24"/>
          <w:highlight w:val="none"/>
          <w14:textFill>
            <w14:solidFill>
              <w14:schemeClr w14:val="tx1"/>
            </w14:solidFill>
          </w14:textFill>
        </w:rPr>
        <w:t>）若因方案调整或设计评审要求修改等因素影响，而导致工程变更致使</w:t>
      </w:r>
      <w:r>
        <w:rPr>
          <w:rFonts w:hint="eastAsia" w:ascii="宋体" w:hAnsi="宋体"/>
          <w:b/>
          <w:bCs/>
          <w:color w:val="000000" w:themeColor="text1"/>
          <w:sz w:val="24"/>
          <w:highlight w:val="none"/>
          <w:lang w:val="en-US" w:eastAsia="zh-CN"/>
          <w14:textFill>
            <w14:solidFill>
              <w14:schemeClr w14:val="tx1"/>
            </w14:solidFill>
          </w14:textFill>
        </w:rPr>
        <w:t>施工图</w:t>
      </w:r>
      <w:r>
        <w:rPr>
          <w:rFonts w:hint="eastAsia" w:ascii="宋体" w:hAnsi="宋体"/>
          <w:b/>
          <w:bCs/>
          <w:color w:val="000000" w:themeColor="text1"/>
          <w:sz w:val="24"/>
          <w:highlight w:val="none"/>
          <w14:textFill>
            <w14:solidFill>
              <w14:schemeClr w14:val="tx1"/>
            </w14:solidFill>
          </w14:textFill>
        </w:rPr>
        <w:t>设计工作量增加的，</w:t>
      </w:r>
      <w:r>
        <w:rPr>
          <w:rFonts w:hint="eastAsia" w:ascii="宋体" w:hAnsi="宋体"/>
          <w:color w:val="000000" w:themeColor="text1"/>
          <w:sz w:val="24"/>
          <w:highlight w:val="none"/>
          <w14:textFill>
            <w14:solidFill>
              <w14:schemeClr w14:val="tx1"/>
            </w14:solidFill>
          </w14:textFill>
        </w:rPr>
        <w:t>相关费用已包含在合同价款中，发包人不再另行支付</w:t>
      </w:r>
      <w:r>
        <w:rPr>
          <w:rFonts w:hint="eastAsia" w:ascii="宋体" w:hAnsi="宋体"/>
          <w:b/>
          <w:bCs/>
          <w:color w:val="000000" w:themeColor="text1"/>
          <w:sz w:val="24"/>
          <w:highlight w:val="none"/>
          <w14:textFill>
            <w14:solidFill>
              <w14:schemeClr w14:val="tx1"/>
            </w14:solidFill>
          </w14:textFill>
        </w:rPr>
        <w:t>。</w:t>
      </w:r>
    </w:p>
    <w:p>
      <w:pPr>
        <w:tabs>
          <w:tab w:val="left" w:pos="448"/>
        </w:tabs>
        <w:spacing w:line="360" w:lineRule="auto"/>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lang w:val="en-US" w:eastAsia="zh-CN"/>
          <w14:textFill>
            <w14:solidFill>
              <w14:schemeClr w14:val="tx1"/>
            </w14:solidFill>
          </w14:textFill>
        </w:rPr>
        <w:t>3</w:t>
      </w:r>
      <w:r>
        <w:rPr>
          <w:rFonts w:hint="eastAsia" w:ascii="宋体" w:hAnsi="宋体"/>
          <w:bCs/>
          <w:color w:val="000000" w:themeColor="text1"/>
          <w:sz w:val="24"/>
          <w:highlight w:val="none"/>
          <w14:textFill>
            <w14:solidFill>
              <w14:schemeClr w14:val="tx1"/>
            </w14:solidFill>
          </w14:textFill>
        </w:rPr>
        <w:t>）</w:t>
      </w:r>
      <w:r>
        <w:rPr>
          <w:rFonts w:hint="eastAsia" w:ascii="宋体" w:hAnsi="宋体"/>
          <w:bCs/>
          <w:color w:val="000000" w:themeColor="text1"/>
          <w:sz w:val="24"/>
          <w:highlight w:val="none"/>
          <w:lang w:val="en-US" w:eastAsia="zh-CN"/>
          <w14:textFill>
            <w14:solidFill>
              <w14:schemeClr w14:val="tx1"/>
            </w14:solidFill>
          </w14:textFill>
        </w:rPr>
        <w:t>施工图</w:t>
      </w:r>
      <w:r>
        <w:rPr>
          <w:rFonts w:hint="eastAsia" w:ascii="宋体" w:hAnsi="宋体"/>
          <w:bCs/>
          <w:color w:val="000000" w:themeColor="text1"/>
          <w:sz w:val="24"/>
          <w:highlight w:val="none"/>
          <w14:textFill>
            <w14:solidFill>
              <w14:schemeClr w14:val="tx1"/>
            </w14:solidFill>
          </w14:textFill>
        </w:rPr>
        <w:t>设计费报审</w:t>
      </w:r>
      <w:r>
        <w:rPr>
          <w:rFonts w:hint="eastAsia" w:ascii="宋体" w:hAnsi="宋体"/>
          <w:color w:val="000000" w:themeColor="text1"/>
          <w:sz w:val="24"/>
          <w:highlight w:val="none"/>
          <w14:textFill>
            <w14:solidFill>
              <w14:schemeClr w14:val="tx1"/>
            </w14:solidFill>
          </w14:textFill>
        </w:rPr>
        <w:t>总价不得超过中标价中的</w:t>
      </w:r>
      <w:r>
        <w:rPr>
          <w:rFonts w:hint="eastAsia" w:ascii="宋体" w:hAnsi="宋体"/>
          <w:color w:val="000000" w:themeColor="text1"/>
          <w:sz w:val="24"/>
          <w:highlight w:val="none"/>
          <w:lang w:val="en-US" w:eastAsia="zh-CN"/>
          <w14:textFill>
            <w14:solidFill>
              <w14:schemeClr w14:val="tx1"/>
            </w14:solidFill>
          </w14:textFill>
        </w:rPr>
        <w:t>施工图</w:t>
      </w:r>
      <w:r>
        <w:rPr>
          <w:rFonts w:hint="eastAsia" w:ascii="宋体" w:hAnsi="宋体"/>
          <w:color w:val="000000" w:themeColor="text1"/>
          <w:sz w:val="24"/>
          <w:highlight w:val="none"/>
          <w14:textFill>
            <w14:solidFill>
              <w14:schemeClr w14:val="tx1"/>
            </w14:solidFill>
          </w14:textFill>
        </w:rPr>
        <w:t>设计费总价。</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39" w:name="_Toc20712"/>
      <w:bookmarkStart w:id="40" w:name="_Toc17273"/>
      <w:bookmarkStart w:id="41" w:name="_Toc26128"/>
      <w:bookmarkStart w:id="42" w:name="_Toc458417800"/>
      <w:bookmarkStart w:id="43" w:name="_Toc19810000"/>
      <w:r>
        <w:rPr>
          <w:rFonts w:hint="eastAsia" w:hAnsi="宋体" w:cs="宋体"/>
          <w:color w:val="000000" w:themeColor="text1"/>
          <w:sz w:val="24"/>
          <w:szCs w:val="24"/>
          <w:highlight w:val="none"/>
          <w14:textFill>
            <w14:solidFill>
              <w14:schemeClr w14:val="tx1"/>
            </w14:solidFill>
          </w14:textFill>
        </w:rPr>
        <w:t>九、组成合同的文件</w:t>
      </w:r>
      <w:bookmarkEnd w:id="39"/>
      <w:bookmarkEnd w:id="40"/>
      <w:bookmarkEnd w:id="41"/>
      <w:bookmarkEnd w:id="42"/>
      <w:bookmarkEnd w:id="43"/>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80" w:firstLineChars="200"/>
        <w:rPr>
          <w:rFonts w:hint="eastAsia"/>
          <w:color w:val="000000" w:themeColor="text1"/>
          <w:sz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组成合同的文件及其优先解释顺序与本合同第二部分《通用条款》第2.2款赋予的规定一致。</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44" w:name="_Toc13244"/>
      <w:bookmarkStart w:id="45" w:name="_Toc458417803"/>
      <w:bookmarkStart w:id="46" w:name="_Toc19810001"/>
      <w:bookmarkStart w:id="47" w:name="_Toc26505"/>
      <w:bookmarkStart w:id="48" w:name="_Toc7691"/>
      <w:r>
        <w:rPr>
          <w:rFonts w:hint="eastAsia" w:hAnsi="宋体" w:cs="宋体"/>
          <w:color w:val="000000" w:themeColor="text1"/>
          <w:sz w:val="24"/>
          <w:szCs w:val="24"/>
          <w:highlight w:val="none"/>
          <w14:textFill>
            <w14:solidFill>
              <w14:schemeClr w14:val="tx1"/>
            </w14:solidFill>
          </w14:textFill>
        </w:rPr>
        <w:t>十、词语含义</w:t>
      </w:r>
      <w:bookmarkEnd w:id="44"/>
      <w:bookmarkEnd w:id="45"/>
      <w:bookmarkEnd w:id="46"/>
      <w:bookmarkEnd w:id="47"/>
      <w:bookmarkEnd w:id="48"/>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本协议书中有关词语含义与本合同第二部分《通用条款》第1条赋予它们的定义相同。 </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49" w:name="_Toc458417804"/>
      <w:bookmarkStart w:id="50" w:name="_Toc19810002"/>
      <w:bookmarkStart w:id="51" w:name="_Toc19351"/>
      <w:bookmarkStart w:id="52" w:name="_Toc17502"/>
      <w:bookmarkStart w:id="53" w:name="_Toc10479"/>
      <w:r>
        <w:rPr>
          <w:rFonts w:hint="eastAsia" w:hAnsi="宋体" w:cs="宋体"/>
          <w:color w:val="000000" w:themeColor="text1"/>
          <w:sz w:val="24"/>
          <w:szCs w:val="24"/>
          <w:highlight w:val="none"/>
          <w14:textFill>
            <w14:solidFill>
              <w14:schemeClr w14:val="tx1"/>
            </w14:solidFill>
          </w14:textFill>
        </w:rPr>
        <w:t>十一、承包人承诺</w:t>
      </w:r>
      <w:bookmarkEnd w:id="49"/>
      <w:bookmarkEnd w:id="50"/>
      <w:bookmarkEnd w:id="51"/>
      <w:bookmarkEnd w:id="52"/>
      <w:bookmarkEnd w:id="53"/>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1、承包人向发包人承诺已阅读、理解并接受本合同所有条款，按照本合同约定实施、完成并保修合同工程，履行本合同所约定的全部义务。 </w:t>
      </w:r>
    </w:p>
    <w:p>
      <w:pPr>
        <w:spacing w:before="72" w:beforeLines="3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2、</w:t>
      </w:r>
      <w:r>
        <w:rPr>
          <w:rFonts w:hint="eastAsia" w:hAnsi="宋体"/>
          <w:color w:val="000000" w:themeColor="text1"/>
          <w:sz w:val="24"/>
          <w:highlight w:val="none"/>
          <w14:textFill>
            <w14:solidFill>
              <w14:schemeClr w14:val="tx1"/>
            </w14:solidFill>
          </w14:textFill>
        </w:rPr>
        <w:t>按照招标文件的要求，向发包人提交为本工程开设的工人工资支付专用账户及</w:t>
      </w:r>
      <w:r>
        <w:rPr>
          <w:rFonts w:hint="eastAsia" w:hAnsi="宋体"/>
          <w:color w:val="000000" w:themeColor="text1"/>
          <w:sz w:val="24"/>
          <w:highlight w:val="none"/>
          <w:lang w:eastAsia="zh-CN"/>
          <w14:textFill>
            <w14:solidFill>
              <w14:schemeClr w14:val="tx1"/>
            </w14:solidFill>
          </w14:textFill>
        </w:rPr>
        <w:t>工程项目其它费用支付账户</w:t>
      </w:r>
      <w:r>
        <w:rPr>
          <w:rFonts w:hint="eastAsia" w:hAnsi="宋体"/>
          <w:color w:val="000000" w:themeColor="text1"/>
          <w:sz w:val="24"/>
          <w:highlight w:val="none"/>
          <w14:textFill>
            <w14:solidFill>
              <w14:schemeClr w14:val="tx1"/>
            </w14:solidFill>
          </w14:textFill>
        </w:rPr>
        <w:t>。其中，工人工资支付专用账户的开设和管理参照</w:t>
      </w:r>
      <w:r>
        <w:rPr>
          <w:rFonts w:hint="eastAsia" w:ascii="宋体" w:hAnsi="宋体" w:eastAsia="宋体" w:cs="宋体"/>
          <w:color w:val="000000" w:themeColor="text1"/>
          <w:sz w:val="24"/>
          <w:szCs w:val="24"/>
          <w:highlight w:val="none"/>
          <w14:textFill>
            <w14:solidFill>
              <w14:schemeClr w14:val="tx1"/>
            </w14:solidFill>
          </w14:textFill>
        </w:rPr>
        <w:t>《广州市住房和城乡建设局、广州市人力资源和社会保障局、广州市交通运输局等关于印发广州市建设领域工人工资支付分账管理实施细则的通知》（穗建规字〔2020〕37号）</w:t>
      </w:r>
      <w:r>
        <w:rPr>
          <w:rFonts w:hint="eastAsia" w:hAnsi="宋体"/>
          <w:color w:val="000000" w:themeColor="text1"/>
          <w:sz w:val="24"/>
          <w:highlight w:val="none"/>
          <w14:textFill>
            <w14:solidFill>
              <w14:schemeClr w14:val="tx1"/>
            </w14:solidFill>
          </w14:textFill>
        </w:rPr>
        <w:t>的相关规定执行。若在合同期内相关行政部门发布工人工资管理文件，则执行最新文件规定。</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未经发包人同意，承包人使用的银行名称及账号至全部款项结清前不得变更，否则发包人有权停止工程款项的拨付及解除合同，由此造成的一切责任由承包人承担。</w:t>
      </w:r>
    </w:p>
    <w:p>
      <w:pPr>
        <w:pStyle w:val="20"/>
        <w:spacing w:line="360" w:lineRule="auto"/>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3、执行《关于印发&lt;广东省建设工程领域用工实名管理暂行办法&gt;的通知》（粤建规范[2019]1号）等文件的相关规定。</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54" w:name="_Toc9047"/>
      <w:bookmarkStart w:id="55" w:name="_Toc19810003"/>
      <w:bookmarkStart w:id="56" w:name="_Toc20272"/>
      <w:bookmarkStart w:id="57" w:name="_Toc458417805"/>
      <w:bookmarkStart w:id="58" w:name="_Toc19235"/>
      <w:r>
        <w:rPr>
          <w:rFonts w:hint="eastAsia" w:hAnsi="宋体" w:cs="宋体"/>
          <w:color w:val="000000" w:themeColor="text1"/>
          <w:sz w:val="24"/>
          <w:szCs w:val="24"/>
          <w:highlight w:val="none"/>
          <w14:textFill>
            <w14:solidFill>
              <w14:schemeClr w14:val="tx1"/>
            </w14:solidFill>
          </w14:textFill>
        </w:rPr>
        <w:t>十二、发包人承诺</w:t>
      </w:r>
      <w:bookmarkEnd w:id="54"/>
      <w:bookmarkEnd w:id="55"/>
      <w:bookmarkEnd w:id="56"/>
      <w:bookmarkEnd w:id="57"/>
      <w:bookmarkEnd w:id="58"/>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发包人向承包人承诺已阅读、理解并接受本合同所有条款，按照本合同约定的时限和方法支付工程款及其他应当支付的款项，履行本合同所约定的全部义务。 </w:t>
      </w:r>
    </w:p>
    <w:p>
      <w:pPr>
        <w:pStyle w:val="20"/>
        <w:spacing w:line="360" w:lineRule="auto"/>
        <w:ind w:firstLine="480" w:firstLineChars="200"/>
        <w:outlineLvl w:val="1"/>
        <w:rPr>
          <w:rFonts w:hint="eastAsia" w:hAnsi="宋体" w:cs="宋体"/>
          <w:color w:val="000000" w:themeColor="text1"/>
          <w:sz w:val="24"/>
          <w:szCs w:val="24"/>
          <w:highlight w:val="none"/>
          <w14:textFill>
            <w14:solidFill>
              <w14:schemeClr w14:val="tx1"/>
            </w14:solidFill>
          </w14:textFill>
        </w:rPr>
      </w:pPr>
      <w:bookmarkStart w:id="59" w:name="_Toc25163"/>
      <w:bookmarkStart w:id="60" w:name="_Toc14747"/>
      <w:bookmarkStart w:id="61" w:name="_Toc19810004"/>
      <w:bookmarkStart w:id="62" w:name="_Toc458417806"/>
      <w:bookmarkStart w:id="63" w:name="_Toc8375"/>
      <w:r>
        <w:rPr>
          <w:rFonts w:hint="eastAsia" w:hAnsi="宋体" w:cs="宋体"/>
          <w:color w:val="000000" w:themeColor="text1"/>
          <w:sz w:val="24"/>
          <w:szCs w:val="24"/>
          <w:highlight w:val="none"/>
          <w14:textFill>
            <w14:solidFill>
              <w14:schemeClr w14:val="tx1"/>
            </w14:solidFill>
          </w14:textFill>
        </w:rPr>
        <w:t>十三、合同生效</w:t>
      </w:r>
      <w:bookmarkEnd w:id="59"/>
      <w:bookmarkEnd w:id="60"/>
      <w:bookmarkEnd w:id="61"/>
      <w:bookmarkEnd w:id="62"/>
      <w:bookmarkEnd w:id="63"/>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订立合同时间：    年    月    日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订立合同地点：广州市</w:t>
      </w:r>
    </w:p>
    <w:p>
      <w:pPr>
        <w:pStyle w:val="20"/>
        <w:spacing w:line="360" w:lineRule="auto"/>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本合同由双方</w:t>
      </w:r>
      <w:r>
        <w:rPr>
          <w:rFonts w:hint="eastAsia" w:hAnsi="宋体" w:cs="宋体"/>
          <w:color w:val="000000" w:themeColor="text1"/>
          <w:sz w:val="24"/>
          <w:szCs w:val="24"/>
          <w:highlight w:val="none"/>
          <w:lang w:eastAsia="zh-CN"/>
          <w14:textFill>
            <w14:solidFill>
              <w14:schemeClr w14:val="tx1"/>
            </w14:solidFill>
          </w14:textFill>
        </w:rPr>
        <w:t>代表</w:t>
      </w:r>
      <w:r>
        <w:rPr>
          <w:rFonts w:hint="eastAsia" w:hAnsi="宋体" w:cs="宋体"/>
          <w:color w:val="000000" w:themeColor="text1"/>
          <w:sz w:val="24"/>
          <w:szCs w:val="24"/>
          <w:highlight w:val="none"/>
          <w14:textFill>
            <w14:solidFill>
              <w14:schemeClr w14:val="tx1"/>
            </w14:solidFill>
          </w14:textFill>
        </w:rPr>
        <w:t>签字（或签章）盖章后</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自订立</w:t>
      </w:r>
      <w:r>
        <w:rPr>
          <w:rFonts w:hint="eastAsia" w:hAnsi="宋体" w:cs="宋体"/>
          <w:color w:val="000000" w:themeColor="text1"/>
          <w:sz w:val="24"/>
          <w:szCs w:val="24"/>
          <w:highlight w:val="none"/>
          <w:lang w:eastAsia="zh-CN"/>
          <w14:textFill>
            <w14:solidFill>
              <w14:schemeClr w14:val="tx1"/>
            </w14:solidFill>
          </w14:textFill>
        </w:rPr>
        <w:t>合同</w:t>
      </w:r>
      <w:r>
        <w:rPr>
          <w:rFonts w:hint="eastAsia" w:hAnsi="宋体" w:cs="宋体"/>
          <w:color w:val="000000" w:themeColor="text1"/>
          <w:sz w:val="24"/>
          <w:szCs w:val="24"/>
          <w:highlight w:val="none"/>
          <w14:textFill>
            <w14:solidFill>
              <w14:schemeClr w14:val="tx1"/>
            </w14:solidFill>
          </w14:textFill>
        </w:rPr>
        <w:t xml:space="preserve">之日起生效。 </w:t>
      </w:r>
    </w:p>
    <w:p>
      <w:pPr>
        <w:pStyle w:val="20"/>
        <w:spacing w:line="360" w:lineRule="auto"/>
        <w:ind w:firstLine="480" w:firstLineChars="200"/>
        <w:rPr>
          <w:rFonts w:hint="eastAsia" w:hAnsi="宋体" w:cs="宋体"/>
          <w:color w:val="000000" w:themeColor="text1"/>
          <w:sz w:val="24"/>
          <w:szCs w:val="24"/>
          <w:highlight w:val="none"/>
          <w:lang w:eastAsia="zh-CN"/>
          <w14:textFill>
            <w14:solidFill>
              <w14:schemeClr w14:val="tx1"/>
            </w14:solidFill>
          </w14:textFill>
        </w:rPr>
      </w:pP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（以下无正文）</w:t>
      </w: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bookmarkEnd w:id="13"/>
    <w:bookmarkEnd w:id="14"/>
    <w:p>
      <w:pPr>
        <w:pStyle w:val="20"/>
        <w:spacing w:line="360" w:lineRule="auto"/>
        <w:rPr>
          <w:rFonts w:hint="eastAsia"/>
          <w:color w:val="000000" w:themeColor="text1"/>
          <w:sz w:val="24"/>
          <w:highlight w:val="none"/>
          <w14:textFill>
            <w14:solidFill>
              <w14:schemeClr w14:val="tx1"/>
            </w14:solidFill>
          </w14:textFill>
        </w:rPr>
      </w:pPr>
    </w:p>
    <w:p>
      <w:pPr>
        <w:pStyle w:val="20"/>
        <w:spacing w:line="360" w:lineRule="auto"/>
        <w:rPr>
          <w:rFonts w:hint="eastAsia" w:hAnsi="宋体" w:cs="宋体"/>
          <w:color w:val="000000" w:themeColor="text1"/>
          <w:kern w:val="0"/>
          <w:sz w:val="24"/>
          <w:highlight w:val="none"/>
          <w14:textFill>
            <w14:solidFill>
              <w14:schemeClr w14:val="tx1"/>
            </w14:solidFill>
          </w14:textFill>
        </w:rPr>
      </w:pPr>
      <w:r>
        <w:rPr>
          <w:rFonts w:hint="eastAsia" w:hAnsi="宋体" w:cs="宋体"/>
          <w:color w:val="000000" w:themeColor="text1"/>
          <w:kern w:val="0"/>
          <w:sz w:val="24"/>
          <w:highlight w:val="none"/>
          <w14:textFill>
            <w14:solidFill>
              <w14:schemeClr w14:val="tx1"/>
            </w14:solidFill>
          </w14:textFill>
        </w:rPr>
        <w:t>（本页为签署页，无正文内容）</w:t>
      </w:r>
    </w:p>
    <w:p>
      <w:pPr>
        <w:spacing w:line="360" w:lineRule="auto"/>
        <w:rPr>
          <w:rFonts w:hint="eastAsia"/>
          <w:color w:val="000000" w:themeColor="text1"/>
          <w:sz w:val="24"/>
          <w:highlight w:val="none"/>
          <w14:textFill>
            <w14:solidFill>
              <w14:schemeClr w14:val="tx1"/>
            </w14:solidFill>
          </w14:textFill>
        </w:rPr>
      </w:pPr>
    </w:p>
    <w:p>
      <w:pPr>
        <w:spacing w:line="360" w:lineRule="auto"/>
        <w:rPr>
          <w:rFonts w:hint="eastAsia"/>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公章</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承包人</w:t>
      </w:r>
      <w:r>
        <w:rPr>
          <w:rFonts w:hint="eastAsia" w:hAnsi="宋体"/>
          <w:color w:val="000000" w:themeColor="text1"/>
          <w:sz w:val="24"/>
          <w:highlight w:val="none"/>
          <w14:textFill>
            <w14:solidFill>
              <w14:schemeClr w14:val="tx1"/>
            </w14:solidFill>
          </w14:textFill>
        </w:rPr>
        <w:t>（联合体主办方）</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公章</w:t>
      </w:r>
      <w:r>
        <w:rPr>
          <w:color w:val="000000" w:themeColor="text1"/>
          <w:sz w:val="24"/>
          <w:highlight w:val="none"/>
          <w14:textFill>
            <w14:solidFill>
              <w14:schemeClr w14:val="tx1"/>
            </w14:solidFill>
          </w14:textFill>
        </w:rPr>
        <w:t>）</w:t>
      </w:r>
    </w:p>
    <w:p>
      <w:pPr>
        <w:spacing w:line="560" w:lineRule="exact"/>
        <w:rPr>
          <w:rFonts w:hint="eastAsia"/>
          <w:color w:val="000000" w:themeColor="text1"/>
          <w:sz w:val="24"/>
          <w:highlight w:val="none"/>
          <w14:textFill>
            <w14:solidFill>
              <w14:schemeClr w14:val="tx1"/>
            </w14:solidFill>
          </w14:textFill>
        </w:rPr>
      </w:pPr>
    </w:p>
    <w:p>
      <w:pPr>
        <w:spacing w:line="480" w:lineRule="auto"/>
        <w:jc w:val="left"/>
        <w:rPr>
          <w:rFonts w:hint="eastAsia"/>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hint="eastAsia" w:ascii="宋体" w:hAnsi="宋体"/>
          <w:snapToGrid w:val="0"/>
          <w:color w:val="000000" w:themeColor="text1"/>
          <w:kern w:val="13"/>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地址：</w:t>
      </w:r>
      <w:r>
        <w:rPr>
          <w:rFonts w:hint="eastAsia" w:ascii="宋体" w:hAnsi="宋体"/>
          <w:color w:val="000000" w:themeColor="text1"/>
          <w:sz w:val="24"/>
          <w:highlight w:val="none"/>
          <w:u w:val="single"/>
          <w14:textFill>
            <w14:solidFill>
              <w14:schemeClr w14:val="tx1"/>
            </w14:solidFill>
          </w14:textFill>
        </w:rPr>
        <w:t xml:space="preserve">                         </w:t>
      </w:r>
    </w:p>
    <w:p>
      <w:pPr>
        <w:spacing w:line="480" w:lineRule="auto"/>
        <w:rPr>
          <w:rFonts w:hint="eastAsia" w:hAnsi="宋体"/>
          <w:color w:val="000000" w:themeColor="text1"/>
          <w:sz w:val="24"/>
          <w:highlight w:val="none"/>
          <w14:textFill>
            <w14:solidFill>
              <w14:schemeClr w14:val="tx1"/>
            </w14:solidFill>
          </w14:textFill>
        </w:rPr>
      </w:pPr>
    </w:p>
    <w:p>
      <w:pPr>
        <w:spacing w:line="480" w:lineRule="auto"/>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法定代表人</w:t>
      </w:r>
      <w:r>
        <w:rPr>
          <w:rFonts w:hint="eastAsia" w:hAnsi="宋体"/>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法定代表人</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p>
      <w:pPr>
        <w:spacing w:line="480" w:lineRule="auto"/>
        <w:rPr>
          <w:rFonts w:hint="eastAsia" w:hAnsi="宋体"/>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授权</w:t>
      </w:r>
      <w:r>
        <w:rPr>
          <w:rFonts w:hAnsi="宋体"/>
          <w:color w:val="000000" w:themeColor="text1"/>
          <w:sz w:val="24"/>
          <w:highlight w:val="none"/>
          <w14:textFill>
            <w14:solidFill>
              <w14:schemeClr w14:val="tx1"/>
            </w14:solidFill>
          </w14:textFill>
        </w:rPr>
        <w:t>委托代理人：</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int="eastAsia"/>
          <w:color w:val="000000" w:themeColor="text1"/>
          <w:sz w:val="24"/>
          <w:highlight w:val="none"/>
          <w:lang w:val="en-US" w:eastAsia="zh-CN"/>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授权</w:t>
      </w:r>
      <w:r>
        <w:rPr>
          <w:rFonts w:hAnsi="宋体"/>
          <w:color w:val="000000" w:themeColor="text1"/>
          <w:sz w:val="24"/>
          <w:highlight w:val="none"/>
          <w14:textFill>
            <w14:solidFill>
              <w14:schemeClr w14:val="tx1"/>
            </w14:solidFill>
          </w14:textFill>
        </w:rPr>
        <w:t>委托代理人：</w:t>
      </w:r>
      <w:r>
        <w:rPr>
          <w:rFonts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项目经理签名：</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int="eastAsia"/>
          <w:color w:val="000000" w:themeColor="text1"/>
          <w:sz w:val="24"/>
          <w:highlight w:val="none"/>
          <w:lang w:val="en-US" w:eastAsia="zh-CN"/>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项目经理签名：</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联系电话：</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联系电话：</w:t>
      </w:r>
      <w:r>
        <w:rPr>
          <w:rFonts w:hint="eastAsia"/>
          <w:color w:val="000000" w:themeColor="text1"/>
          <w:sz w:val="24"/>
          <w:highlight w:val="none"/>
          <w:u w:val="singl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传真号码：</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传真号码：</w:t>
      </w:r>
      <w:r>
        <w:rPr>
          <w:rFonts w:hint="eastAsia"/>
          <w:color w:val="000000" w:themeColor="text1"/>
          <w:sz w:val="24"/>
          <w:highlight w:val="none"/>
          <w:u w:val="single"/>
          <w14:textFill>
            <w14:solidFill>
              <w14:schemeClr w14:val="tx1"/>
            </w14:solidFill>
          </w14:textFill>
        </w:rPr>
        <w:t xml:space="preserve">                  </w:t>
      </w:r>
    </w:p>
    <w:p>
      <w:pPr>
        <w:spacing w:line="480" w:lineRule="auto"/>
        <w:rPr>
          <w:rFonts w:hint="eastAsia" w:ascii="宋体" w:hAnsi="宋体"/>
          <w:color w:val="000000" w:themeColor="text1"/>
          <w:sz w:val="24"/>
          <w:highlight w:val="none"/>
          <w14:textFill>
            <w14:solidFill>
              <w14:schemeClr w14:val="tx1"/>
            </w14:solidFill>
          </w14:textFill>
        </w:rPr>
      </w:pPr>
    </w:p>
    <w:p>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                          工人工资支付专用账户：</w:t>
      </w:r>
    </w:p>
    <w:p>
      <w:pPr>
        <w:rPr>
          <w:rFonts w:ascii="宋体" w:hAnsi="宋体" w:cs="宋体"/>
          <w:color w:val="000000" w:themeColor="text1"/>
          <w:kern w:val="0"/>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账号：</w:t>
      </w:r>
      <w:r>
        <w:rPr>
          <w:rFonts w:hint="eastAsia" w:ascii="宋体" w:hAnsi="宋体"/>
          <w:color w:val="000000" w:themeColor="text1"/>
          <w:sz w:val="22"/>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账号：</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p>
    <w:p>
      <w:pPr>
        <w:pStyle w:val="20"/>
        <w:spacing w:line="360" w:lineRule="auto"/>
        <w:ind w:firstLine="4320" w:firstLineChars="18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工程项目其它费用支付账户</w:t>
      </w:r>
      <w:r>
        <w:rPr>
          <w:rFonts w:hint="eastAsia" w:hAnsi="宋体" w:cs="宋体"/>
          <w:color w:val="000000" w:themeColor="text1"/>
          <w:sz w:val="24"/>
          <w:szCs w:val="24"/>
          <w:highlight w:val="none"/>
          <w14:textFill>
            <w14:solidFill>
              <w14:schemeClr w14:val="tx1"/>
            </w14:solidFill>
          </w14:textFill>
        </w:rPr>
        <w:t xml:space="preserve">: </w:t>
      </w:r>
    </w:p>
    <w:p>
      <w:pPr>
        <w:pStyle w:val="20"/>
        <w:spacing w:line="360" w:lineRule="auto"/>
        <w:ind w:firstLine="4560" w:firstLineChars="1900"/>
        <w:rPr>
          <w:rFonts w:hint="eastAsia" w:hAnsi="宋体" w:cs="宋体"/>
          <w:color w:val="000000" w:themeColor="text1"/>
          <w:sz w:val="24"/>
          <w:szCs w:val="24"/>
          <w:highlight w:val="none"/>
          <w14:textFill>
            <w14:solidFill>
              <w14:schemeClr w14:val="tx1"/>
            </w14:solidFill>
          </w14:textFill>
        </w:rPr>
      </w:pPr>
    </w:p>
    <w:p>
      <w:pPr>
        <w:pStyle w:val="20"/>
        <w:spacing w:line="360" w:lineRule="auto"/>
        <w:ind w:firstLine="4320" w:firstLineChars="18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账号：</w:t>
      </w:r>
    </w:p>
    <w:p>
      <w:pPr>
        <w:pStyle w:val="20"/>
        <w:spacing w:line="360" w:lineRule="auto"/>
        <w:ind w:firstLine="4560" w:firstLineChars="19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 xml:space="preserve">  </w:t>
      </w:r>
    </w:p>
    <w:p>
      <w:pPr>
        <w:rPr>
          <w:rFonts w:hint="eastAsia" w:hAnsi="宋体" w:cs="宋体"/>
          <w:color w:val="000000" w:themeColor="text1"/>
          <w:sz w:val="24"/>
          <w:szCs w:val="24"/>
          <w:highlight w:val="none"/>
          <w14:textFill>
            <w14:solidFill>
              <w14:schemeClr w14:val="tx1"/>
            </w14:solidFill>
          </w14:textFill>
        </w:rPr>
      </w:pPr>
    </w:p>
    <w:p>
      <w:pPr>
        <w:pStyle w:val="2"/>
        <w:rPr>
          <w:rFonts w:hint="eastAsia" w:hAnsi="宋体" w:cs="宋体"/>
          <w:color w:val="000000" w:themeColor="text1"/>
          <w:sz w:val="24"/>
          <w:szCs w:val="24"/>
          <w:highlight w:val="none"/>
          <w14:textFill>
            <w14:solidFill>
              <w14:schemeClr w14:val="tx1"/>
            </w14:solidFill>
          </w14:textFill>
        </w:rPr>
      </w:pPr>
    </w:p>
    <w:p>
      <w:pPr>
        <w:rPr>
          <w:rFonts w:hint="eastAsia" w:hAnsi="宋体" w:cs="宋体"/>
          <w:color w:val="000000" w:themeColor="text1"/>
          <w:sz w:val="24"/>
          <w:szCs w:val="24"/>
          <w:highlight w:val="none"/>
          <w14:textFill>
            <w14:solidFill>
              <w14:schemeClr w14:val="tx1"/>
            </w14:solidFill>
          </w14:textFill>
        </w:rPr>
      </w:pPr>
    </w:p>
    <w:p>
      <w:pPr>
        <w:spacing w:line="360" w:lineRule="auto"/>
        <w:rPr>
          <w:rFonts w:hint="eastAsia"/>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w:t>
      </w:r>
      <w:r>
        <w:rPr>
          <w:rFonts w:hint="eastAsia" w:hAnsi="宋体"/>
          <w:color w:val="000000" w:themeColor="text1"/>
          <w:sz w:val="24"/>
          <w:highlight w:val="none"/>
          <w14:textFill>
            <w14:solidFill>
              <w14:schemeClr w14:val="tx1"/>
            </w14:solidFill>
          </w14:textFill>
        </w:rPr>
        <w:t>（联合体</w:t>
      </w:r>
      <w:r>
        <w:rPr>
          <w:rFonts w:hint="eastAsia" w:hAnsi="宋体"/>
          <w:color w:val="000000" w:themeColor="text1"/>
          <w:sz w:val="24"/>
          <w:highlight w:val="none"/>
          <w:lang w:val="en-US" w:eastAsia="zh-CN"/>
          <w14:textFill>
            <w14:solidFill>
              <w14:schemeClr w14:val="tx1"/>
            </w14:solidFill>
          </w14:textFill>
        </w:rPr>
        <w:t>成员</w:t>
      </w:r>
      <w:r>
        <w:rPr>
          <w:rFonts w:hint="eastAsia" w:hAnsi="宋体"/>
          <w:color w:val="000000" w:themeColor="text1"/>
          <w:sz w:val="24"/>
          <w:highlight w:val="none"/>
          <w14:textFill>
            <w14:solidFill>
              <w14:schemeClr w14:val="tx1"/>
            </w14:solidFill>
          </w14:textFill>
        </w:rPr>
        <w:t>方</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lang w:val="en-US" w:eastAsia="zh-CN"/>
          <w14:textFill>
            <w14:solidFill>
              <w14:schemeClr w14:val="tx1"/>
            </w14:solidFill>
          </w14:textFill>
        </w:rPr>
        <w:t>如有</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公章</w:t>
      </w:r>
      <w:r>
        <w:rPr>
          <w:color w:val="000000" w:themeColor="text1"/>
          <w:sz w:val="24"/>
          <w:highlight w:val="none"/>
          <w14:textFill>
            <w14:solidFill>
              <w14:schemeClr w14:val="tx1"/>
            </w14:solidFill>
          </w14:textFill>
        </w:rPr>
        <w:t>）</w:t>
      </w:r>
    </w:p>
    <w:p>
      <w:pPr>
        <w:spacing w:line="560" w:lineRule="exact"/>
        <w:rPr>
          <w:rFonts w:hint="eastAsia"/>
          <w:color w:val="000000" w:themeColor="text1"/>
          <w:sz w:val="24"/>
          <w:highlight w:val="none"/>
          <w14:textFill>
            <w14:solidFill>
              <w14:schemeClr w14:val="tx1"/>
            </w14:solidFill>
          </w14:textFill>
        </w:rPr>
      </w:pPr>
    </w:p>
    <w:p>
      <w:pPr>
        <w:spacing w:line="480" w:lineRule="auto"/>
        <w:jc w:val="left"/>
        <w:rPr>
          <w:rFonts w:hint="eastAsia"/>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hint="eastAsia" w:ascii="宋体" w:hAnsi="宋体"/>
          <w:snapToGrid w:val="0"/>
          <w:color w:val="000000" w:themeColor="text1"/>
          <w:kern w:val="13"/>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spacing w:line="480" w:lineRule="auto"/>
        <w:rPr>
          <w:rFonts w:hint="eastAsia" w:hAnsi="宋体"/>
          <w:color w:val="000000" w:themeColor="text1"/>
          <w:sz w:val="24"/>
          <w:highlight w:val="none"/>
          <w14:textFill>
            <w14:solidFill>
              <w14:schemeClr w14:val="tx1"/>
            </w14:solidFill>
          </w14:textFill>
        </w:rPr>
      </w:pPr>
    </w:p>
    <w:p>
      <w:pPr>
        <w:spacing w:line="480" w:lineRule="auto"/>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法定代表人</w:t>
      </w:r>
      <w:r>
        <w:rPr>
          <w:rFonts w:hint="eastAsia" w:hAnsi="宋体"/>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480" w:lineRule="auto"/>
        <w:rPr>
          <w:rFonts w:hint="eastAsia" w:hAnsi="宋体"/>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授权</w:t>
      </w:r>
      <w:r>
        <w:rPr>
          <w:rFonts w:hAnsi="宋体"/>
          <w:color w:val="000000" w:themeColor="text1"/>
          <w:sz w:val="24"/>
          <w:highlight w:val="none"/>
          <w14:textFill>
            <w14:solidFill>
              <w14:schemeClr w14:val="tx1"/>
            </w14:solidFill>
          </w14:textFill>
        </w:rPr>
        <w:t>委托代理人：</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负责人</w:t>
      </w:r>
      <w:r>
        <w:rPr>
          <w:rFonts w:hint="eastAsia"/>
          <w:color w:val="000000" w:themeColor="text1"/>
          <w:sz w:val="24"/>
          <w:highlight w:val="none"/>
          <w14:textFill>
            <w14:solidFill>
              <w14:schemeClr w14:val="tx1"/>
            </w14:solidFill>
          </w14:textFill>
        </w:rPr>
        <w:t>签名：</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联系电话：</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p>
    <w:p>
      <w:pPr>
        <w:spacing w:line="480" w:lineRule="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传真号码：</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p>
    <w:p>
      <w:pPr>
        <w:pStyle w:val="2"/>
        <w:rPr>
          <w:rFonts w:hint="eastAsia"/>
          <w:color w:val="000000" w:themeColor="text1"/>
          <w:sz w:val="24"/>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开户银行：                          </w:t>
      </w:r>
    </w:p>
    <w:p>
      <w:pPr>
        <w:pStyle w:val="2"/>
        <w:rPr>
          <w:rFonts w:hint="eastAsia"/>
          <w:color w:val="000000" w:themeColor="text1"/>
          <w:highlight w:val="none"/>
          <w14:textFill>
            <w14:solidFill>
              <w14:schemeClr w14:val="tx1"/>
            </w14:solidFill>
          </w14:textFill>
        </w:rPr>
      </w:pPr>
    </w:p>
    <w:p>
      <w:pPr>
        <w:spacing w:line="48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账号：</w:t>
      </w:r>
      <w:r>
        <w:rPr>
          <w:rFonts w:hint="eastAsia" w:ascii="宋体" w:hAnsi="宋体"/>
          <w:color w:val="000000" w:themeColor="text1"/>
          <w:sz w:val="22"/>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p>
    <w:p>
      <w:pPr>
        <w:pStyle w:val="20"/>
        <w:spacing w:line="360" w:lineRule="auto"/>
        <w:ind w:firstLine="4560" w:firstLineChars="1900"/>
        <w:rPr>
          <w:rFonts w:hint="eastAsia" w:hAnsi="宋体" w:cs="宋体"/>
          <w:color w:val="000000" w:themeColor="text1"/>
          <w:sz w:val="24"/>
          <w:szCs w:val="24"/>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560" w:lineRule="exac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400" w:lineRule="exact"/>
        <w:jc w:val="center"/>
        <w:rPr>
          <w:rFonts w:ascii="黑体" w:eastAsia="黑体"/>
          <w:color w:val="000000" w:themeColor="text1"/>
          <w:sz w:val="24"/>
          <w:highlight w:val="none"/>
          <w14:textFill>
            <w14:solidFill>
              <w14:schemeClr w14:val="tx1"/>
            </w14:solidFill>
          </w14:textFill>
        </w:rPr>
        <w:sectPr>
          <w:pgSz w:w="11899" w:h="16840"/>
          <w:pgMar w:top="1440" w:right="1797" w:bottom="1440" w:left="1797" w:header="720" w:footer="1062" w:gutter="0"/>
          <w:lnNumType w:countBy="0" w:restart="continuous"/>
          <w:pgNumType w:fmt="decimal"/>
          <w:cols w:space="720" w:num="1"/>
          <w:docGrid w:linePitch="286" w:charSpace="0"/>
        </w:sectPr>
      </w:pPr>
    </w:p>
    <w:p>
      <w:pPr>
        <w:numPr>
          <w:ilvl w:val="0"/>
          <w:numId w:val="1"/>
        </w:numPr>
        <w:spacing w:before="240" w:beforeLines="100" w:after="240" w:afterLines="100" w:line="360" w:lineRule="auto"/>
        <w:jc w:val="center"/>
        <w:outlineLvl w:val="0"/>
        <w:rPr>
          <w:rFonts w:hint="eastAsia" w:ascii="黑体" w:eastAsia="黑体"/>
          <w:b/>
          <w:color w:val="000000" w:themeColor="text1"/>
          <w:sz w:val="32"/>
          <w:szCs w:val="32"/>
          <w:highlight w:val="none"/>
          <w14:textFill>
            <w14:solidFill>
              <w14:schemeClr w14:val="tx1"/>
            </w14:solidFill>
          </w14:textFill>
        </w:rPr>
      </w:pPr>
      <w:bookmarkStart w:id="64" w:name="_Hlk65491541"/>
      <w:bookmarkStart w:id="65" w:name="_Toc9818"/>
      <w:bookmarkStart w:id="66" w:name="_Toc23877"/>
      <w:bookmarkStart w:id="67" w:name="_Toc100504113"/>
      <w:bookmarkStart w:id="68" w:name="_Toc3303"/>
      <w:r>
        <w:rPr>
          <w:rFonts w:hint="eastAsia" w:ascii="黑体" w:hAnsi="Times New Roman" w:eastAsia="黑体" w:cs="Times New Roman"/>
          <w:b/>
          <w:color w:val="000000" w:themeColor="text1"/>
          <w:sz w:val="32"/>
          <w:szCs w:val="32"/>
          <w:highlight w:val="none"/>
          <w14:textFill>
            <w14:solidFill>
              <w14:schemeClr w14:val="tx1"/>
            </w14:solidFill>
          </w14:textFill>
        </w:rPr>
        <w:t>建设工程设计合同</w:t>
      </w:r>
      <w:bookmarkEnd w:id="64"/>
      <w:r>
        <w:rPr>
          <w:rFonts w:hint="eastAsia" w:ascii="黑体" w:hAnsi="Times New Roman" w:eastAsia="黑体" w:cs="Times New Roman"/>
          <w:b/>
          <w:color w:val="000000" w:themeColor="text1"/>
          <w:sz w:val="32"/>
          <w:szCs w:val="32"/>
          <w:highlight w:val="none"/>
          <w14:textFill>
            <w14:solidFill>
              <w14:schemeClr w14:val="tx1"/>
            </w14:solidFill>
          </w14:textFill>
        </w:rPr>
        <w:t>条款</w:t>
      </w:r>
      <w:bookmarkEnd w:id="65"/>
      <w:bookmarkEnd w:id="66"/>
      <w:bookmarkEnd w:id="67"/>
      <w:bookmarkEnd w:id="68"/>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第一条　本合同签订依据</w:t>
      </w:r>
    </w:p>
    <w:p>
      <w:pPr>
        <w:pStyle w:val="20"/>
        <w:spacing w:line="360" w:lineRule="auto"/>
        <w:rPr>
          <w:rFonts w:hint="eastAsia" w:hAnsi="宋体"/>
          <w:color w:val="000000" w:themeColor="text1"/>
          <w:kern w:val="2"/>
          <w:sz w:val="2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1.1 </w:t>
      </w:r>
      <w:r>
        <w:rPr>
          <w:rFonts w:hint="eastAsia" w:hAnsi="宋体"/>
          <w:color w:val="000000" w:themeColor="text1"/>
          <w:kern w:val="2"/>
          <w:sz w:val="21"/>
          <w:szCs w:val="21"/>
          <w:highlight w:val="none"/>
          <w14:textFill>
            <w14:solidFill>
              <w14:schemeClr w14:val="tx1"/>
            </w14:solidFill>
          </w14:textFill>
        </w:rPr>
        <w:t>《中华人民共和国建筑法》、《中华人民共和国民法典》、《建设工程勘察设计管理条例》、《工程勘察设计收费标准（2002年修订本）》。</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 国家及地方有关建设工程勘察设计管理法规和规章。</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 建设工程批准文件。</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第二条　设计依据</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 发包人提交的基础资料。</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 设计人采用的主要技术标准（包括但不限于）：室外排水设计标准（GB50014-2021）、给水排水管道工程施工及验收规范、水工混凝土结构设计规范、建筑设计防火规范、高低压配电设计规范、市政公用工程设计文件编制深度规定、给水排水管道工程施工及验收规范、市政公用工程设计编制深度规定、建设工程工程量清单计价规范（GB50500-2013）、市政排水管渠工程质量检验评定标准、城市污水处理厂工程质量验收规范、城市污水处理厂工艺设计手册、市政工程投资估算编制办法（建标【2007】164号）、城镇污水处理厂污染物排放标准（GB18918-2002)等。若未涉及的，应参照相应标准执行。</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 设计人应执行各级相关行政管理规定：</w:t>
      </w:r>
      <w:r>
        <w:rPr>
          <w:rFonts w:hint="eastAsia" w:hAnsi="宋体"/>
          <w:color w:val="000000" w:themeColor="text1"/>
          <w:szCs w:val="21"/>
          <w:highlight w:val="none"/>
          <w14:textFill>
            <w14:solidFill>
              <w14:schemeClr w14:val="tx1"/>
            </w14:solidFill>
          </w14:textFill>
        </w:rPr>
        <w:t>《广州市水务局关于印发流域水污染治理总体方案编制导则（试行）的通知》（穗水规划[2016]71号），《流域水污染治理总体方案编制导则（试行）》2016年8月，</w:t>
      </w:r>
      <w:r>
        <w:rPr>
          <w:rFonts w:hint="eastAsia" w:ascii="宋体" w:hAnsi="宋体"/>
          <w:color w:val="000000" w:themeColor="text1"/>
          <w:szCs w:val="21"/>
          <w:highlight w:val="none"/>
          <w14:textFill>
            <w14:solidFill>
              <w14:schemeClr w14:val="tx1"/>
            </w14:solidFill>
          </w14:textFill>
        </w:rPr>
        <w:t>《广州市人民政府关于贯彻落实&lt;政府投资条例&gt;的实施意见》(穗府〔2020〕3号)、《广州市水务局关于印发广州市排水单元达标创建工程方案编制指引的通知》（穗水规计函[2019]426号）、《番禺区排水单元达标攻坚行动工作手册》等相关规定。</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第三条</w:t>
      </w:r>
      <w:r>
        <w:rPr>
          <w:rFonts w:hint="eastAsia" w:ascii="宋体" w:hAnsi="宋体"/>
          <w:color w:val="000000" w:themeColor="text1"/>
          <w:szCs w:val="21"/>
          <w:highlight w:val="none"/>
          <w14:textFill>
            <w14:solidFill>
              <w14:schemeClr w14:val="tx1"/>
            </w14:solidFill>
          </w14:textFill>
        </w:rPr>
        <w:t>　</w:t>
      </w:r>
      <w:r>
        <w:rPr>
          <w:rFonts w:hint="eastAsia" w:ascii="宋体" w:hAnsi="宋体"/>
          <w:b/>
          <w:color w:val="000000" w:themeColor="text1"/>
          <w:szCs w:val="21"/>
          <w:highlight w:val="none"/>
          <w14:textFill>
            <w14:solidFill>
              <w14:schemeClr w14:val="tx1"/>
            </w14:solidFill>
          </w14:textFill>
        </w:rPr>
        <w:t>合同文件的优先次序</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构成本合同的文件可视为是能互相说明的，如果合同文件存在歧义或不一致，则根据如下优先次序来判断：</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3.1合同书</w:t>
      </w:r>
    </w:p>
    <w:p>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3.2 招标文件及其附件</w:t>
      </w:r>
    </w:p>
    <w:p>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3.3 技术规范</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3.4报价函及其附件</w:t>
      </w:r>
    </w:p>
    <w:p>
      <w:pPr>
        <w:spacing w:line="360" w:lineRule="auto"/>
        <w:ind w:firstLine="422" w:firstLineChars="200"/>
        <w:rPr>
          <w:rFonts w:hint="eastAsia" w:ascii="宋体" w:hAnsi="宋体"/>
          <w:b/>
          <w:bCs/>
          <w:color w:val="000000" w:themeColor="text1"/>
          <w:szCs w:val="21"/>
          <w:highlight w:val="none"/>
          <w14:textFill>
            <w14:solidFill>
              <w14:schemeClr w14:val="tx1"/>
            </w14:solidFill>
          </w14:textFill>
        </w:rPr>
      </w:pPr>
    </w:p>
    <w:p>
      <w:pPr>
        <w:spacing w:line="360" w:lineRule="auto"/>
        <w:ind w:firstLine="417" w:firstLineChars="198"/>
        <w:rPr>
          <w:rFonts w:hint="eastAsia"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 xml:space="preserve">第四条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color w:val="000000" w:themeColor="text1"/>
          <w:szCs w:val="21"/>
          <w:highlight w:val="none"/>
          <w14:textFill>
            <w14:solidFill>
              <w14:schemeClr w14:val="tx1"/>
            </w14:solidFill>
          </w14:textFill>
        </w:rPr>
        <w:t>设计要点</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4.1本合同项目建设地点：</w:t>
      </w:r>
      <w:r>
        <w:rPr>
          <w:rFonts w:hint="eastAsia" w:ascii="宋体" w:hAnsi="宋体"/>
          <w:color w:val="000000" w:themeColor="text1"/>
          <w:kern w:val="0"/>
          <w:szCs w:val="21"/>
          <w:highlight w:val="none"/>
          <w:u w:val="single"/>
          <w14:textFill>
            <w14:solidFill>
              <w14:schemeClr w14:val="tx1"/>
            </w14:solidFill>
          </w14:textFill>
        </w:rPr>
        <w:t>广州市番禺区</w:t>
      </w:r>
    </w:p>
    <w:p>
      <w:pPr>
        <w:spacing w:line="360" w:lineRule="auto"/>
        <w:ind w:left="1" w:firstLine="48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4.2工程规划特征：</w:t>
      </w:r>
      <w:r>
        <w:rPr>
          <w:rFonts w:hint="eastAsia" w:ascii="宋体" w:hAnsi="宋体"/>
          <w:color w:val="000000" w:themeColor="text1"/>
          <w:szCs w:val="21"/>
          <w:highlight w:val="none"/>
          <w:u w:val="single"/>
          <w14:textFill>
            <w14:solidFill>
              <w14:schemeClr w14:val="tx1"/>
            </w14:solidFill>
          </w14:textFill>
        </w:rPr>
        <w:t xml:space="preserve"> （详见招标公告建设规模） </w:t>
      </w:r>
      <w:r>
        <w:rPr>
          <w:rFonts w:hint="eastAsia" w:ascii="宋体" w:hAnsi="宋体"/>
          <w:color w:val="000000" w:themeColor="text1"/>
          <w:szCs w:val="21"/>
          <w:highlight w:val="none"/>
          <w14:textFill>
            <w14:solidFill>
              <w14:schemeClr w14:val="tx1"/>
            </w14:solidFill>
          </w14:textFill>
        </w:rPr>
        <w:t xml:space="preserve">  等设计工作，最终实施方案以审批部门审核为准。项目的管径、长度、管材、规模、位置、造价等相关技术参数应根据该片区系统实际情况确定。</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4.3本工程投资限额为：以最终取得的发改部门可行性研究报告批复的建安费为投资限额，未经发包人同意不得突破此限额。</w:t>
      </w:r>
    </w:p>
    <w:p>
      <w:pPr>
        <w:spacing w:line="360" w:lineRule="auto"/>
        <w:ind w:firstLine="420" w:firstLineChars="20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4.4 本合同设计范围：</w:t>
      </w:r>
      <w:r>
        <w:rPr>
          <w:rFonts w:hint="eastAsia" w:ascii="宋体" w:hAnsi="宋体" w:eastAsia="宋体" w:cs="Times New Roman"/>
          <w:b w:val="0"/>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b w:val="0"/>
          <w:color w:val="000000" w:themeColor="text1"/>
          <w:kern w:val="2"/>
          <w:sz w:val="21"/>
          <w:szCs w:val="21"/>
          <w:highlight w:val="none"/>
          <w:lang w:eastAsia="zh-CN"/>
          <w14:textFill>
            <w14:solidFill>
              <w14:schemeClr w14:val="tx1"/>
            </w14:solidFill>
          </w14:textFill>
        </w:rPr>
        <w:t>工程</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施工图</w:t>
      </w:r>
      <w:r>
        <w:rPr>
          <w:rFonts w:hint="eastAsia" w:ascii="宋体" w:hAnsi="宋体" w:eastAsia="宋体" w:cs="宋体"/>
          <w:color w:val="000000" w:themeColor="text1"/>
          <w:szCs w:val="21"/>
          <w:highlight w:val="none"/>
          <w14:textFill>
            <w14:solidFill>
              <w14:schemeClr w14:val="tx1"/>
            </w14:solidFill>
          </w14:textFill>
        </w:rPr>
        <w:t>设计工</w:t>
      </w:r>
      <w:r>
        <w:rPr>
          <w:rFonts w:hint="eastAsia" w:ascii="宋体" w:hAnsi="宋体"/>
          <w:color w:val="000000" w:themeColor="text1"/>
          <w:szCs w:val="21"/>
          <w:highlight w:val="none"/>
          <w14:textFill>
            <w14:solidFill>
              <w14:schemeClr w14:val="tx1"/>
            </w14:solidFill>
          </w14:textFill>
        </w:rPr>
        <w:t>作。</w:t>
      </w:r>
    </w:p>
    <w:p>
      <w:pPr>
        <w:spacing w:line="360" w:lineRule="auto"/>
        <w:ind w:firstLine="417" w:firstLineChars="199"/>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4.5 </w:t>
      </w:r>
      <w:r>
        <w:rPr>
          <w:rFonts w:hint="eastAsia" w:ascii="宋体" w:hAnsi="宋体"/>
          <w:color w:val="000000" w:themeColor="text1"/>
          <w:szCs w:val="21"/>
          <w:highlight w:val="none"/>
          <w14:textFill>
            <w14:solidFill>
              <w14:schemeClr w14:val="tx1"/>
            </w14:solidFill>
          </w14:textFill>
        </w:rPr>
        <w:t>本合同设计内容：</w:t>
      </w:r>
    </w:p>
    <w:p>
      <w:pPr>
        <w:spacing w:line="360" w:lineRule="auto"/>
        <w:ind w:firstLine="417" w:firstLineChars="199"/>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4.5.1为完成本工程建设任务所需进行的工程设计工作（包括但不限于）：</w:t>
      </w:r>
      <w:r>
        <w:rPr>
          <w:rFonts w:hint="eastAsia" w:ascii="宋体" w:hAnsi="宋体" w:eastAsia="宋体" w:cs="Times New Roman"/>
          <w:color w:val="000000" w:themeColor="text1"/>
          <w:sz w:val="21"/>
          <w:szCs w:val="21"/>
          <w:highlight w:val="none"/>
          <w:u w:val="none"/>
          <w14:textFill>
            <w14:solidFill>
              <w14:schemeClr w14:val="tx1"/>
            </w14:solidFill>
          </w14:textFill>
        </w:rPr>
        <w:t>施工图设计</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w:t>
      </w:r>
      <w:r>
        <w:rPr>
          <w:rFonts w:hint="eastAsia" w:ascii="宋体" w:hAnsi="宋体" w:eastAsia="宋体" w:cs="Times New Roman"/>
          <w:strike w:val="0"/>
          <w:color w:val="000000" w:themeColor="text1"/>
          <w:sz w:val="21"/>
          <w:szCs w:val="21"/>
          <w:highlight w:val="none"/>
          <w:u w:val="none"/>
          <w14:textFill>
            <w14:solidFill>
              <w14:schemeClr w14:val="tx1"/>
            </w14:solidFill>
          </w14:textFill>
        </w:rPr>
        <w:t>编制施工图预算</w:t>
      </w:r>
      <w:r>
        <w:rPr>
          <w:rFonts w:hint="eastAsia" w:ascii="宋体" w:hAnsi="宋体" w:eastAsia="宋体" w:cs="Times New Roman"/>
          <w:color w:val="000000" w:themeColor="text1"/>
          <w:sz w:val="21"/>
          <w:szCs w:val="21"/>
          <w:highlight w:val="none"/>
          <w:u w:val="none"/>
          <w14:textFill>
            <w14:solidFill>
              <w14:schemeClr w14:val="tx1"/>
            </w14:solidFill>
          </w14:textFill>
        </w:rPr>
        <w:t>、与管渠建设相关的论证报告及评审、招标技术文件的编写、施工图审查后的修改、施工全过程技术服务、验收配合、安全评估报告及评审、编制竣工图、工程变更、档案资料编制及移交</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w:t>
      </w:r>
      <w:r>
        <w:rPr>
          <w:rFonts w:hint="eastAsia" w:ascii="宋体" w:hAnsi="宋体" w:eastAsia="宋体" w:cs="Times New Roman"/>
          <w:color w:val="000000" w:themeColor="text1"/>
          <w:sz w:val="21"/>
          <w:szCs w:val="21"/>
          <w:highlight w:val="none"/>
          <w:u w:val="none"/>
          <w14:textFill>
            <w14:solidFill>
              <w14:schemeClr w14:val="tx1"/>
            </w14:solidFill>
          </w14:textFill>
        </w:rPr>
        <w:t>规划放线测量、规划条件核实测量等。</w:t>
      </w:r>
      <w:r>
        <w:rPr>
          <w:rFonts w:hint="eastAsia" w:ascii="宋体" w:hAnsi="宋体"/>
          <w:color w:val="000000" w:themeColor="text1"/>
          <w:szCs w:val="21"/>
          <w:highlight w:val="none"/>
          <w:u w:val="single"/>
          <w14:textFill>
            <w14:solidFill>
              <w14:schemeClr w14:val="tx1"/>
            </w14:solidFill>
          </w14:textFill>
        </w:rPr>
        <w:t>上述未提及但在办理政府及相关部门审批过程中涉及的费用也包括在费用内。</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设计人指导发包人开展工作范围内的排水管网的检测工作，并提供技术支持，根据发包人提供的《检测与评估报告》，设计人制定修复及整改方案，确保本项目达到提质增效的目标。</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排水单元达标改造设计工作：根据勘察人提供的《排水单元摸查成果》制定排水单元改造方案，编制《排水单元调查报告》，用于配合完成《建设方案》技术审查工作，配合可行性研究报告编制单位完成立项工作。</w:t>
      </w:r>
    </w:p>
    <w:p>
      <w:pPr>
        <w:spacing w:line="360" w:lineRule="auto"/>
        <w:ind w:firstLine="417" w:firstLineChars="199"/>
        <w:rPr>
          <w:rFonts w:hint="eastAsia" w:ascii="宋体" w:hAnsi="宋体" w:eastAsia="宋体" w:cs="Times New Roman"/>
          <w:b w:val="0"/>
          <w:color w:val="000000" w:themeColor="text1"/>
          <w:szCs w:val="21"/>
          <w:highlight w:val="none"/>
          <w14:textFill>
            <w14:solidFill>
              <w14:schemeClr w14:val="tx1"/>
            </w14:solidFill>
          </w14:textFill>
        </w:rPr>
      </w:pPr>
      <w:r>
        <w:rPr>
          <w:rFonts w:hint="eastAsia" w:ascii="宋体" w:hAnsi="宋体" w:eastAsia="宋体" w:cs="Times New Roman"/>
          <w:b w:val="0"/>
          <w:color w:val="000000" w:themeColor="text1"/>
          <w:szCs w:val="21"/>
          <w:highlight w:val="none"/>
          <w14:textFill>
            <w14:solidFill>
              <w14:schemeClr w14:val="tx1"/>
            </w14:solidFill>
          </w14:textFill>
        </w:rPr>
        <w:t>为保证设计效果和实施质量，</w:t>
      </w:r>
      <w:r>
        <w:rPr>
          <w:rFonts w:hint="eastAsia" w:ascii="宋体" w:hAnsi="宋体" w:eastAsia="宋体" w:cs="Times New Roman"/>
          <w:b w:val="0"/>
          <w:color w:val="000000" w:themeColor="text1"/>
          <w:szCs w:val="21"/>
          <w:highlight w:val="none"/>
          <w:lang w:val="en-US" w:eastAsia="zh-CN"/>
          <w14:textFill>
            <w14:solidFill>
              <w14:schemeClr w14:val="tx1"/>
            </w14:solidFill>
          </w14:textFill>
        </w:rPr>
        <w:t>本项目</w:t>
      </w:r>
      <w:r>
        <w:rPr>
          <w:rFonts w:hint="eastAsia" w:ascii="宋体" w:hAnsi="宋体" w:eastAsia="宋体" w:cs="Times New Roman"/>
          <w:b w:val="0"/>
          <w:color w:val="000000" w:themeColor="text1"/>
          <w:szCs w:val="21"/>
          <w:highlight w:val="none"/>
          <w14:textFill>
            <w14:solidFill>
              <w14:schemeClr w14:val="tx1"/>
            </w14:solidFill>
          </w14:textFill>
        </w:rPr>
        <w:t>需对村内原有管网按设计要求进行全线的清淤，且要求对原初步设计成果的检测成果进行复核，</w:t>
      </w:r>
      <w:r>
        <w:rPr>
          <w:rFonts w:hint="eastAsia" w:ascii="宋体" w:hAnsi="宋体" w:eastAsia="宋体" w:cs="Times New Roman"/>
          <w:b w:val="0"/>
          <w:color w:val="000000" w:themeColor="text1"/>
          <w:szCs w:val="21"/>
          <w:highlight w:val="none"/>
          <w:lang w:val="en-US" w:eastAsia="zh-CN"/>
          <w14:textFill>
            <w14:solidFill>
              <w14:schemeClr w14:val="tx1"/>
            </w14:solidFill>
          </w14:textFill>
        </w:rPr>
        <w:t>复核</w:t>
      </w:r>
      <w:r>
        <w:rPr>
          <w:rFonts w:hint="eastAsia" w:ascii="宋体" w:hAnsi="宋体" w:eastAsia="宋体" w:cs="Times New Roman"/>
          <w:b w:val="0"/>
          <w:color w:val="000000" w:themeColor="text1"/>
          <w:szCs w:val="21"/>
          <w:highlight w:val="none"/>
          <w14:textFill>
            <w14:solidFill>
              <w14:schemeClr w14:val="tx1"/>
            </w14:solidFill>
          </w14:textFill>
        </w:rPr>
        <w:t>成果（包括但不限于QV，CCTV等）占比不得少于原成果的85%，并对发现的管网缺陷和问题进行修复，确保原有合流管改造后能满足雨污后的效果。</w:t>
      </w:r>
    </w:p>
    <w:p>
      <w:pPr>
        <w:spacing w:line="360" w:lineRule="auto"/>
        <w:ind w:firstLine="417" w:firstLineChars="199"/>
        <w:rPr>
          <w:rFonts w:hint="default"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val="0"/>
          <w:color w:val="000000" w:themeColor="text1"/>
          <w:szCs w:val="21"/>
          <w:highlight w:val="none"/>
          <w:lang w:val="en-US" w:eastAsia="zh-CN"/>
          <w14:textFill>
            <w14:solidFill>
              <w14:schemeClr w14:val="tx1"/>
            </w14:solidFill>
          </w14:textFill>
        </w:rPr>
        <w:t>为避免重复开挖，有农村自来水提质增效工程建设任务的村居，需配合同步开展自来水改造同槽施工的方案设计、现场服务等工作。</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4.5.2施工招标技术文件编制、设备采购与安装招标技术文件编制。</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4.5.3办理其他事项的要求：配合验收；现场指导与监督（设计阶段根据工程建设的需要及发包人的要求确定服务时间</w:t>
      </w:r>
      <w:r>
        <w:rPr>
          <w:rFonts w:hint="eastAsia" w:ascii="宋体" w:hAnsi="宋体"/>
          <w:b/>
          <w:color w:val="000000" w:themeColor="text1"/>
          <w:szCs w:val="21"/>
          <w:highlight w:val="none"/>
          <w14:textFill>
            <w14:solidFill>
              <w14:schemeClr w14:val="tx1"/>
            </w14:solidFill>
          </w14:textFill>
        </w:rPr>
        <w:t>。</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4.5.4设计专业包括：工艺、环境、结构（含基坑支护、沉降观测、路面修复、房屋保护、现有管线的保护（尤其是电力及燃气管线））、水利、设备、电气及自动化、建筑、园林绿化、消防、防雷、给排水、造价等专业。</w:t>
      </w:r>
    </w:p>
    <w:p>
      <w:pPr>
        <w:spacing w:line="360" w:lineRule="auto"/>
        <w:ind w:firstLine="417" w:firstLineChars="199"/>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4.5.5 在设计工作开展前，对发包人提供的</w:t>
      </w:r>
      <w:r>
        <w:rPr>
          <w:rFonts w:hint="eastAsia" w:ascii="宋体" w:hAnsi="宋体"/>
          <w:bCs/>
          <w:color w:val="000000" w:themeColor="text1"/>
          <w:szCs w:val="21"/>
          <w:highlight w:val="none"/>
          <w14:textFill>
            <w14:solidFill>
              <w14:schemeClr w14:val="tx1"/>
            </w14:solidFill>
          </w14:textFill>
        </w:rPr>
        <w:t>排水单元成果文件进行整理及优化</w:t>
      </w:r>
      <w:r>
        <w:rPr>
          <w:rFonts w:hint="eastAsia" w:ascii="宋体" w:hAnsi="宋体"/>
          <w:b/>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对发包人无法提供资料的排水单元，由设计人自行对片区排水单元的排水现状进行调查，并结合勘察人提供的摸查成果，找出排水单元与市政管道的接驳关系，明确排水管道的具体位置、水量、浓度、高程、管径等技术参数，对现场进行核实后提出解决方案，并出具经审核认可的《排水单元调查报告》。</w:t>
      </w:r>
    </w:p>
    <w:p>
      <w:pPr>
        <w:spacing w:line="360" w:lineRule="auto"/>
        <w:ind w:firstLine="417" w:firstLineChars="199"/>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4.5.6本合同项目的名称、规模、阶段、投资等见下表。</w:t>
      </w:r>
    </w:p>
    <w:tbl>
      <w:tblPr>
        <w:tblStyle w:val="38"/>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87"/>
        <w:gridCol w:w="667"/>
        <w:gridCol w:w="1349"/>
        <w:gridCol w:w="750"/>
        <w:gridCol w:w="800"/>
        <w:gridCol w:w="861"/>
        <w:gridCol w:w="1050"/>
        <w:gridCol w:w="658"/>
        <w:gridCol w:w="646"/>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387" w:type="dxa"/>
            <w:vMerge w:val="restart"/>
            <w:tcBorders>
              <w:top w:val="single" w:color="auto" w:sz="4" w:space="0"/>
              <w:left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子项</w:t>
            </w:r>
          </w:p>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工程名称</w:t>
            </w:r>
          </w:p>
        </w:tc>
        <w:tc>
          <w:tcPr>
            <w:tcW w:w="201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建设规模</w:t>
            </w:r>
          </w:p>
        </w:tc>
        <w:tc>
          <w:tcPr>
            <w:tcW w:w="241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设计阶段及内容</w:t>
            </w: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估算</w:t>
            </w:r>
          </w:p>
          <w:p>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总投资</w:t>
            </w:r>
          </w:p>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（万元）</w:t>
            </w:r>
          </w:p>
        </w:tc>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费率</w:t>
            </w:r>
          </w:p>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64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 w:val="18"/>
                <w:szCs w:val="21"/>
                <w:highlight w:val="none"/>
                <w14:textFill>
                  <w14:solidFill>
                    <w14:schemeClr w14:val="tx1"/>
                  </w14:solidFill>
                </w14:textFill>
              </w:rPr>
              <w:t>费率调整系数</w:t>
            </w:r>
          </w:p>
        </w:tc>
        <w:tc>
          <w:tcPr>
            <w:tcW w:w="1328"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子项工程</w:t>
            </w:r>
          </w:p>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合同设计费</w:t>
            </w:r>
          </w:p>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highlight w:val="none"/>
                <w14:textFill>
                  <w14:solidFill>
                    <w14:schemeClr w14:val="tx1"/>
                  </w14:solidFill>
                </w14:textFill>
              </w:rPr>
            </w:pPr>
          </w:p>
        </w:tc>
        <w:tc>
          <w:tcPr>
            <w:tcW w:w="1387" w:type="dxa"/>
            <w:vMerge w:val="continue"/>
            <w:tcBorders>
              <w:left w:val="single" w:color="auto" w:sz="4" w:space="0"/>
              <w:bottom w:val="single" w:color="auto" w:sz="4" w:space="0"/>
              <w:right w:val="single" w:color="auto" w:sz="4" w:space="0"/>
            </w:tcBorders>
            <w:noWrap w:val="0"/>
            <w:vAlign w:val="center"/>
          </w:tcPr>
          <w:p>
            <w:pPr>
              <w:jc w:val="left"/>
              <w:rPr>
                <w:rFonts w:ascii="宋体" w:hAnsi="宋体"/>
                <w:color w:val="000000" w:themeColor="text1"/>
                <w:szCs w:val="21"/>
                <w:highlight w:val="none"/>
                <w14:textFill>
                  <w14:solidFill>
                    <w14:schemeClr w14:val="tx1"/>
                  </w14:solidFill>
                </w14:textFill>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34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工程量</w:t>
            </w: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方案</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初步设计</w:t>
            </w:r>
          </w:p>
        </w:tc>
        <w:tc>
          <w:tcPr>
            <w:tcW w:w="86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施工图</w:t>
            </w: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highlight w:val="none"/>
                <w14:textFill>
                  <w14:solidFill>
                    <w14:schemeClr w14:val="tx1"/>
                  </w14:solidFill>
                </w14:textFill>
              </w:rPr>
            </w:pPr>
          </w:p>
        </w:tc>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highlight w:val="none"/>
                <w14:textFill>
                  <w14:solidFill>
                    <w14:schemeClr w14:val="tx1"/>
                  </w14:solidFill>
                </w14:textFill>
              </w:rPr>
            </w:pPr>
          </w:p>
        </w:tc>
        <w:tc>
          <w:tcPr>
            <w:tcW w:w="64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highlight w:val="none"/>
                <w14:textFill>
                  <w14:solidFill>
                    <w14:schemeClr w14:val="tx1"/>
                  </w14:solidFill>
                </w14:textFill>
              </w:rPr>
            </w:pPr>
          </w:p>
        </w:tc>
        <w:tc>
          <w:tcPr>
            <w:tcW w:w="13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 w:val="18"/>
                <w:szCs w:val="21"/>
                <w:highlight w:val="none"/>
                <w14:textFill>
                  <w14:solidFill>
                    <w14:schemeClr w14:val="tx1"/>
                  </w14:solidFill>
                </w14:textFill>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 w:val="13"/>
                <w:szCs w:val="21"/>
                <w:highlight w:val="none"/>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p>
        </w:tc>
        <w:tc>
          <w:tcPr>
            <w:tcW w:w="86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28" w:type="dxa"/>
            <w:tcBorders>
              <w:top w:val="single" w:color="auto" w:sz="4" w:space="0"/>
              <w:left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 w:val="18"/>
                <w:szCs w:val="21"/>
                <w:highlight w:val="none"/>
                <w14:textFill>
                  <w14:solidFill>
                    <w14:schemeClr w14:val="tx1"/>
                  </w14:solidFill>
                </w14:textFill>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 w:val="13"/>
                <w:szCs w:val="21"/>
                <w:highlight w:val="none"/>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8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28" w:type="dxa"/>
            <w:tcBorders>
              <w:top w:val="single" w:color="auto" w:sz="4" w:space="0"/>
              <w:left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1387"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 w:val="18"/>
                <w:szCs w:val="21"/>
                <w:highlight w:val="none"/>
                <w14:textFill>
                  <w14:solidFill>
                    <w14:schemeClr w14:val="tx1"/>
                  </w14:solidFill>
                </w14:textFill>
              </w:rPr>
            </w:pPr>
          </w:p>
        </w:tc>
        <w:tc>
          <w:tcPr>
            <w:tcW w:w="6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 w:val="13"/>
                <w:szCs w:val="21"/>
                <w:highlight w:val="none"/>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8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28" w:type="dxa"/>
            <w:tcBorders>
              <w:top w:val="single" w:color="auto" w:sz="4" w:space="0"/>
              <w:left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p>
        </w:tc>
        <w:tc>
          <w:tcPr>
            <w:tcW w:w="13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合计</w:t>
            </w:r>
          </w:p>
        </w:tc>
        <w:tc>
          <w:tcPr>
            <w:tcW w:w="6781"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p>
        </w:tc>
        <w:tc>
          <w:tcPr>
            <w:tcW w:w="9496" w:type="dxa"/>
            <w:gridSpan w:val="10"/>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1、本工程按照以最终取得的发改部门可行性研究报告批复的建安费为投资限额设计。</w:t>
            </w:r>
          </w:p>
          <w:p>
            <w:pPr>
              <w:ind w:left="210" w:hanging="210" w:hangingChars="1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2、参照《工程勘察设计收费标准（2002年修订本）》暂定：专业调整系数取1.0，工程复杂程度调整系数取</w:t>
            </w:r>
            <w:r>
              <w:rPr>
                <w:rFonts w:hint="eastAsia" w:ascii="宋体" w:hAnsi="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，附加调整系数取1.</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，最终以财政审定为准。</w:t>
            </w:r>
          </w:p>
          <w:p>
            <w:pPr>
              <w:ind w:left="210" w:hanging="210" w:hangingChars="1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3、【工程量】一列的填写：若为建筑物，则应填写层数及建筑面积值；若为构筑物，则应填写体积值；若为市政项目，则应填写管线长度或道路面积值。</w:t>
            </w:r>
          </w:p>
        </w:tc>
      </w:tr>
    </w:tbl>
    <w:p>
      <w:pPr>
        <w:widowControl/>
        <w:spacing w:line="360" w:lineRule="auto"/>
        <w:jc w:val="left"/>
        <w:rPr>
          <w:rFonts w:hint="eastAsia" w:ascii="宋体" w:hAnsi="宋体"/>
          <w:color w:val="000000" w:themeColor="text1"/>
          <w:szCs w:val="21"/>
          <w:highlight w:val="none"/>
          <w14:textFill>
            <w14:solidFill>
              <w14:schemeClr w14:val="tx1"/>
            </w14:solidFill>
          </w14:textFill>
        </w:rPr>
      </w:pPr>
    </w:p>
    <w:p>
      <w:pPr>
        <w:widowControl/>
        <w:spacing w:line="360" w:lineRule="auto"/>
        <w:ind w:firstLine="316" w:firstLineChars="150"/>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第五条 发包人向设计人提交的有关资料、文件及时间　</w:t>
      </w:r>
    </w:p>
    <w:tbl>
      <w:tblPr>
        <w:tblStyle w:val="38"/>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0"/>
        <w:gridCol w:w="3260"/>
        <w:gridCol w:w="965"/>
        <w:gridCol w:w="1937"/>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32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资料及文件名称</w:t>
            </w:r>
          </w:p>
        </w:tc>
        <w:tc>
          <w:tcPr>
            <w:tcW w:w="9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份数</w:t>
            </w:r>
          </w:p>
        </w:tc>
        <w:tc>
          <w:tcPr>
            <w:tcW w:w="19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内容要求</w:t>
            </w:r>
          </w:p>
        </w:tc>
        <w:tc>
          <w:tcPr>
            <w:tcW w:w="21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32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委托书（或中标通知书）</w:t>
            </w:r>
          </w:p>
        </w:tc>
        <w:tc>
          <w:tcPr>
            <w:tcW w:w="9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9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原件</w:t>
            </w:r>
          </w:p>
        </w:tc>
        <w:tc>
          <w:tcPr>
            <w:tcW w:w="21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合同签订前提供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trike w:val="0"/>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t>2</w:t>
            </w:r>
          </w:p>
        </w:tc>
        <w:tc>
          <w:tcPr>
            <w:tcW w:w="32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有关基础资料</w:t>
            </w:r>
          </w:p>
          <w:p>
            <w:pPr>
              <w:rPr>
                <w:rFonts w:ascii="宋体" w:hAnsi="宋体"/>
                <w:strike w:val="0"/>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（发包人提供基础资料有限，由设计人自行收集与设计有关的资料）</w:t>
            </w:r>
          </w:p>
        </w:tc>
        <w:tc>
          <w:tcPr>
            <w:tcW w:w="9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trike w:val="0"/>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9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trike w:val="0"/>
                <w:color w:val="000000" w:themeColor="text1"/>
                <w:szCs w:val="21"/>
                <w:highlight w:val="none"/>
                <w14:textFill>
                  <w14:solidFill>
                    <w14:schemeClr w14:val="tx1"/>
                  </w14:solidFill>
                </w14:textFill>
              </w:rPr>
            </w:pPr>
          </w:p>
        </w:tc>
        <w:tc>
          <w:tcPr>
            <w:tcW w:w="21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trike w:val="0"/>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已提供</w:t>
            </w:r>
          </w:p>
        </w:tc>
      </w:tr>
    </w:tbl>
    <w:p>
      <w:pPr>
        <w:pStyle w:val="20"/>
        <w:spacing w:line="360" w:lineRule="auto"/>
        <w:ind w:firstLine="413" w:firstLineChars="196"/>
        <w:rPr>
          <w:rFonts w:hint="eastAsia" w:hAnsi="宋体"/>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br w:type="page"/>
      </w:r>
      <w:r>
        <w:rPr>
          <w:rFonts w:hint="eastAsia" w:hAnsi="宋体"/>
          <w:b/>
          <w:color w:val="000000" w:themeColor="text1"/>
          <w:szCs w:val="21"/>
          <w:highlight w:val="none"/>
          <w14:textFill>
            <w14:solidFill>
              <w14:schemeClr w14:val="tx1"/>
            </w14:solidFill>
          </w14:textFill>
        </w:rPr>
        <w:t>第六条</w:t>
      </w:r>
      <w:r>
        <w:rPr>
          <w:rFonts w:hint="eastAsia" w:hAnsi="宋体"/>
          <w:color w:val="000000" w:themeColor="text1"/>
          <w:szCs w:val="21"/>
          <w:highlight w:val="none"/>
          <w14:textFill>
            <w14:solidFill>
              <w14:schemeClr w14:val="tx1"/>
            </w14:solidFill>
          </w14:textFill>
        </w:rPr>
        <w:t xml:space="preserve">  设计人应向发包人交付的设计资料及文件： </w:t>
      </w:r>
    </w:p>
    <w:tbl>
      <w:tblPr>
        <w:tblStyle w:val="38"/>
        <w:tblW w:w="94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2700"/>
        <w:gridCol w:w="900"/>
        <w:gridCol w:w="2520"/>
        <w:gridCol w:w="27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资料及文件名称</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60" w:lineRule="auto"/>
              <w:ind w:firstLine="105" w:firstLineChars="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份数</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提交日期</w:t>
            </w:r>
          </w:p>
        </w:tc>
        <w:tc>
          <w:tcPr>
            <w:tcW w:w="2775"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1"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pStyle w:val="1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初版施工图及预算文件</w:t>
            </w:r>
          </w:p>
          <w:p>
            <w:pPr>
              <w:spacing w:line="320" w:lineRule="exact"/>
              <w:jc w:val="center"/>
              <w:rPr>
                <w:rFonts w:hint="eastAsia" w:ascii="宋体" w:hAnsi="宋体"/>
                <w:strike w:val="0"/>
                <w:dstrike w:val="0"/>
                <w:color w:val="000000" w:themeColor="text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strike w:val="0"/>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t>按需</w:t>
            </w:r>
          </w:p>
          <w:p>
            <w:pPr>
              <w:spacing w:line="320" w:lineRule="exact"/>
              <w:jc w:val="center"/>
              <w:rPr>
                <w:rFonts w:hint="eastAsia" w:ascii="宋体" w:hAnsi="宋体"/>
                <w:strike w:val="0"/>
                <w:dstrike w:val="0"/>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strike w:val="0"/>
                <w:dstrike w:val="0"/>
                <w:color w:val="000000" w:themeColor="text1"/>
                <w:szCs w:val="21"/>
                <w:highlight w:val="none"/>
                <w14:textFill>
                  <w14:solidFill>
                    <w14:schemeClr w14:val="tx1"/>
                  </w14:solidFill>
                </w14:textFill>
              </w:rPr>
            </w:pPr>
            <w:r>
              <w:rPr>
                <w:rFonts w:hint="eastAsia" w:ascii="宋体" w:hAnsi="宋体"/>
                <w:strike w:val="0"/>
                <w:color w:val="000000" w:themeColor="text1"/>
                <w:szCs w:val="21"/>
                <w:highlight w:val="none"/>
                <w14:textFill>
                  <w14:solidFill>
                    <w14:schemeClr w14:val="tx1"/>
                  </w14:solidFill>
                </w14:textFill>
              </w:rPr>
              <w:t>合同签订后20个日历天</w:t>
            </w:r>
          </w:p>
        </w:tc>
        <w:tc>
          <w:tcPr>
            <w:tcW w:w="2775" w:type="dxa"/>
            <w:tcBorders>
              <w:left w:val="single" w:color="auto" w:sz="6" w:space="0"/>
              <w:right w:val="single" w:color="auto" w:sz="6" w:space="0"/>
            </w:tcBorders>
            <w:noWrap w:val="0"/>
            <w:vAlign w:val="center"/>
          </w:tcPr>
          <w:p>
            <w:pPr>
              <w:widowControl/>
              <w:spacing w:line="32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根据发包人要求分批次提供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pStyle w:val="1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完整版施工图及预算文件</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合同签订后</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个日历天</w:t>
            </w:r>
          </w:p>
        </w:tc>
        <w:tc>
          <w:tcPr>
            <w:tcW w:w="2775" w:type="dxa"/>
            <w:vMerge w:val="restart"/>
            <w:tcBorders>
              <w:left w:val="single" w:color="auto" w:sz="6" w:space="0"/>
              <w:right w:val="single" w:color="auto" w:sz="6" w:space="0"/>
            </w:tcBorders>
            <w:noWrap w:val="0"/>
            <w:vAlign w:val="center"/>
          </w:tcPr>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1、图纸内容符合政府有关部门报审的要求。</w:t>
            </w:r>
          </w:p>
          <w:p>
            <w:pPr>
              <w:spacing w:line="320" w:lineRule="exact"/>
              <w:ind w:firstLine="420" w:firstLineChars="200"/>
              <w:rPr>
                <w:rFonts w:ascii="宋体" w:hAnsi="宋体"/>
                <w:color w:val="000000" w:themeColor="text1"/>
                <w:szCs w:val="21"/>
                <w:highlight w:val="none"/>
                <w14:textFill>
                  <w14:solidFill>
                    <w14:schemeClr w14:val="tx1"/>
                  </w14:solidFill>
                </w14:textFill>
              </w:rPr>
            </w:pP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2、所有设计文件提交的数量满足发包人办理报审、报批及存档的有关手续和要求（无偿提供）。</w:t>
            </w: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3、如有关评审或审批因设计原因未批准的，由设计人负责。</w:t>
            </w: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4、送规划行政主管部门检测合格，提供设计成果时一起提供检测合格的电子文件及检测的有关证明资料。</w:t>
            </w:r>
          </w:p>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p>
          <w:p>
            <w:pPr>
              <w:widowControl/>
              <w:spacing w:line="32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5、若发包人因工作需要，要求设计人提交中间成果的设计文件，设计人应无条件提供。</w:t>
            </w:r>
          </w:p>
          <w:p>
            <w:pPr>
              <w:widowControl/>
              <w:spacing w:line="32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6、若发包人因任务完成时间需要，要求设计人提前完成各阶段设计成果文件时间的，设计人应无条件执行。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施工图审查后的修改</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取得审查意见后</w:t>
            </w:r>
          </w:p>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个日历天</w:t>
            </w:r>
          </w:p>
        </w:tc>
        <w:tc>
          <w:tcPr>
            <w:tcW w:w="2775" w:type="dxa"/>
            <w:vMerge w:val="continue"/>
            <w:tcBorders>
              <w:left w:val="single" w:color="auto" w:sz="6" w:space="0"/>
              <w:right w:val="single" w:color="auto" w:sz="6" w:space="0"/>
            </w:tcBorders>
            <w:noWrap w:val="0"/>
            <w:vAlign w:val="center"/>
          </w:tcPr>
          <w:p>
            <w:pPr>
              <w:spacing w:line="320" w:lineRule="exact"/>
              <w:ind w:firstLine="420" w:firstLineChars="200"/>
              <w:rPr>
                <w:rFonts w:hint="eastAsia" w:ascii="宋体" w:hAnsi="宋体"/>
                <w:color w:val="000000" w:themeColor="text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59" w:hRule="atLeast"/>
          <w:jc w:val="center"/>
        </w:trPr>
        <w:tc>
          <w:tcPr>
            <w:tcW w:w="540" w:type="dxa"/>
            <w:tcBorders>
              <w:top w:val="single" w:color="auto" w:sz="6" w:space="0"/>
              <w:left w:val="single" w:color="auto" w:sz="6" w:space="0"/>
              <w:right w:val="single" w:color="auto" w:sz="6" w:space="0"/>
            </w:tcBorders>
            <w:noWrap w:val="0"/>
            <w:vAlign w:val="center"/>
          </w:tcPr>
          <w:p>
            <w:pPr>
              <w:spacing w:line="320" w:lineRule="exact"/>
              <w:jc w:val="center"/>
              <w:rPr>
                <w:rFonts w:hint="eastAsia" w:ascii="宋体" w:hAnsi="宋体" w:eastAsia="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p>
        </w:tc>
        <w:tc>
          <w:tcPr>
            <w:tcW w:w="2700" w:type="dxa"/>
            <w:tcBorders>
              <w:top w:val="single" w:color="auto" w:sz="6" w:space="0"/>
              <w:left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各阶段设计图电子文件</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（word文档、CAD文件）施工图审查后的修改</w:t>
            </w:r>
          </w:p>
        </w:tc>
        <w:tc>
          <w:tcPr>
            <w:tcW w:w="900" w:type="dxa"/>
            <w:tcBorders>
              <w:top w:val="single" w:color="auto" w:sz="6" w:space="0"/>
              <w:left w:val="single" w:color="auto" w:sz="6" w:space="0"/>
              <w:right w:val="single" w:color="auto" w:sz="6" w:space="0"/>
            </w:tcBorders>
            <w:noWrap w:val="0"/>
            <w:vAlign w:val="center"/>
          </w:tcPr>
          <w:p>
            <w:pPr>
              <w:spacing w:line="320" w:lineRule="exact"/>
              <w:jc w:val="center"/>
              <w:rPr>
                <w:rFonts w:hint="eastAsia" w:ascii="宋体" w:hAnsi="宋体"/>
                <w:strike w:val="0"/>
                <w:color w:val="000000" w:themeColor="text1"/>
                <w:szCs w:val="21"/>
                <w:highlight w:val="none"/>
                <w14:textFill>
                  <w14:solidFill>
                    <w14:schemeClr w14:val="tx1"/>
                  </w14:solidFill>
                </w14:textFill>
              </w:rPr>
            </w:pPr>
          </w:p>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随各阶段图纸提交</w:t>
            </w:r>
          </w:p>
        </w:tc>
        <w:tc>
          <w:tcPr>
            <w:tcW w:w="2775" w:type="dxa"/>
            <w:vMerge w:val="continue"/>
            <w:tcBorders>
              <w:left w:val="single" w:color="auto" w:sz="6" w:space="0"/>
              <w:right w:val="single" w:color="auto" w:sz="6" w:space="0"/>
            </w:tcBorders>
            <w:noWrap w:val="0"/>
            <w:vAlign w:val="center"/>
          </w:tcPr>
          <w:p>
            <w:pPr>
              <w:widowControl/>
              <w:spacing w:line="320" w:lineRule="exact"/>
              <w:jc w:val="left"/>
              <w:rPr>
                <w:rFonts w:ascii="宋体" w:hAnsi="宋体"/>
                <w:color w:val="000000" w:themeColor="text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eastAsia="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相关的国家标准图、部颁标准图及地方标准图、各阶段设计图电子文件</w:t>
            </w:r>
          </w:p>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（word文档、CAD文件）</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与施工图一起单独绘制详细图纸提交</w:t>
            </w:r>
          </w:p>
        </w:tc>
        <w:tc>
          <w:tcPr>
            <w:tcW w:w="2775" w:type="dxa"/>
            <w:vMerge w:val="continue"/>
            <w:tcBorders>
              <w:left w:val="single" w:color="auto" w:sz="6" w:space="0"/>
              <w:right w:val="single" w:color="auto" w:sz="6" w:space="0"/>
            </w:tcBorders>
            <w:noWrap w:val="0"/>
            <w:vAlign w:val="center"/>
          </w:tcPr>
          <w:p>
            <w:pPr>
              <w:widowControl/>
              <w:spacing w:line="320" w:lineRule="exact"/>
              <w:jc w:val="left"/>
              <w:rPr>
                <w:rFonts w:ascii="宋体" w:hAnsi="宋体"/>
                <w:color w:val="000000" w:themeColor="text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竣工图</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（含协助办理规划验收）相关的国家标准图、部颁标准图及地方标准图</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竣工验收后30个日历天内与施工图一起提交</w:t>
            </w:r>
          </w:p>
          <w:p>
            <w:pPr>
              <w:spacing w:line="320" w:lineRule="exact"/>
              <w:jc w:val="center"/>
              <w:rPr>
                <w:rFonts w:ascii="宋体" w:hAnsi="宋体"/>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（可提供复印件）</w:t>
            </w:r>
          </w:p>
        </w:tc>
        <w:tc>
          <w:tcPr>
            <w:tcW w:w="2775" w:type="dxa"/>
            <w:vMerge w:val="continue"/>
            <w:tcBorders>
              <w:left w:val="single" w:color="auto" w:sz="6" w:space="0"/>
              <w:right w:val="single" w:color="auto" w:sz="6" w:space="0"/>
            </w:tcBorders>
            <w:noWrap w:val="0"/>
            <w:vAlign w:val="center"/>
          </w:tcPr>
          <w:p>
            <w:pPr>
              <w:widowControl/>
              <w:spacing w:line="320" w:lineRule="exact"/>
              <w:jc w:val="left"/>
              <w:rPr>
                <w:rFonts w:ascii="宋体" w:hAnsi="宋体"/>
                <w:color w:val="000000" w:themeColor="text1"/>
                <w:szCs w:val="21"/>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w:t>
            </w:r>
          </w:p>
        </w:tc>
        <w:tc>
          <w:tcPr>
            <w:tcW w:w="27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设计全过程电子版资料</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按需</w:t>
            </w:r>
          </w:p>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w:t>
            </w:r>
          </w:p>
        </w:tc>
        <w:tc>
          <w:tcPr>
            <w:tcW w:w="2520" w:type="dxa"/>
            <w:tcBorders>
              <w:top w:val="single" w:color="auto" w:sz="6" w:space="0"/>
              <w:left w:val="single" w:color="auto" w:sz="6" w:space="0"/>
              <w:bottom w:val="single" w:color="auto" w:sz="6" w:space="0"/>
              <w:right w:val="single" w:color="auto" w:sz="6" w:space="0"/>
            </w:tcBorders>
            <w:noWrap w:val="0"/>
            <w:vAlign w:val="center"/>
          </w:tcPr>
          <w:p>
            <w:pPr>
              <w:spacing w:line="3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竣工验收后50个日历天内</w:t>
            </w:r>
          </w:p>
        </w:tc>
        <w:tc>
          <w:tcPr>
            <w:tcW w:w="2775" w:type="dxa"/>
            <w:vMerge w:val="continue"/>
            <w:tcBorders>
              <w:left w:val="single" w:color="auto" w:sz="6" w:space="0"/>
              <w:right w:val="single" w:color="auto" w:sz="6" w:space="0"/>
            </w:tcBorders>
            <w:noWrap w:val="0"/>
            <w:vAlign w:val="center"/>
          </w:tcPr>
          <w:p>
            <w:pPr>
              <w:widowControl/>
              <w:spacing w:line="320" w:lineRule="exact"/>
              <w:jc w:val="left"/>
              <w:rPr>
                <w:rFonts w:ascii="宋体" w:hAnsi="宋体"/>
                <w:color w:val="000000" w:themeColor="text1"/>
                <w:szCs w:val="21"/>
                <w:highlight w:val="none"/>
                <w14:textFill>
                  <w14:solidFill>
                    <w14:schemeClr w14:val="tx1"/>
                  </w14:solidFill>
                </w14:textFill>
              </w:rPr>
            </w:pPr>
          </w:p>
        </w:tc>
      </w:tr>
    </w:tbl>
    <w:p>
      <w:pPr>
        <w:spacing w:line="360" w:lineRule="auto"/>
        <w:ind w:firstLine="555"/>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本表说明</w:t>
      </w:r>
    </w:p>
    <w:p>
      <w:pPr>
        <w:spacing w:line="360" w:lineRule="auto"/>
        <w:ind w:firstLine="555"/>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1、评审过程中需要的图纸由设计人按需要提供，费用已包含在合同价内。</w:t>
      </w:r>
    </w:p>
    <w:p>
      <w:pPr>
        <w:spacing w:line="360" w:lineRule="auto"/>
        <w:ind w:firstLine="567" w:firstLineChars="270"/>
        <w:rPr>
          <w:rFonts w:hint="eastAsia" w:ascii="宋体" w:hAnsi="宋体"/>
          <w:strike/>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设计人提供设计全过程各阶段的电子文件，所提供的电子文件必须是全套非加密且可编辑的</w:t>
      </w:r>
      <w:r>
        <w:rPr>
          <w:rFonts w:ascii="宋体" w:hAnsi="宋体"/>
          <w:color w:val="000000" w:themeColor="text1"/>
          <w:szCs w:val="21"/>
          <w:highlight w:val="none"/>
          <w14:textFill>
            <w14:solidFill>
              <w14:schemeClr w14:val="tx1"/>
            </w14:solidFill>
          </w14:textFill>
        </w:rPr>
        <w:t>Word</w:t>
      </w:r>
      <w:r>
        <w:rPr>
          <w:rFonts w:hint="eastAsia" w:ascii="宋体" w:hAnsi="宋体"/>
          <w:color w:val="000000" w:themeColor="text1"/>
          <w:szCs w:val="21"/>
          <w:highlight w:val="none"/>
          <w14:textFill>
            <w14:solidFill>
              <w14:schemeClr w14:val="tx1"/>
            </w14:solidFill>
          </w14:textFill>
        </w:rPr>
        <w:t>文档、</w:t>
      </w:r>
      <w:r>
        <w:rPr>
          <w:rFonts w:ascii="宋体" w:hAnsi="宋体"/>
          <w:color w:val="000000" w:themeColor="text1"/>
          <w:szCs w:val="21"/>
          <w:highlight w:val="none"/>
          <w14:textFill>
            <w14:solidFill>
              <w14:schemeClr w14:val="tx1"/>
            </w14:solidFill>
          </w14:textFill>
        </w:rPr>
        <w:t>Excel</w:t>
      </w:r>
      <w:r>
        <w:rPr>
          <w:rFonts w:hint="eastAsia" w:ascii="宋体" w:hAnsi="宋体"/>
          <w:color w:val="000000" w:themeColor="text1"/>
          <w:szCs w:val="21"/>
          <w:highlight w:val="none"/>
          <w14:textFill>
            <w14:solidFill>
              <w14:schemeClr w14:val="tx1"/>
            </w14:solidFill>
          </w14:textFill>
        </w:rPr>
        <w:t>、 PPT文件、</w:t>
      </w:r>
      <w:r>
        <w:rPr>
          <w:rFonts w:hint="eastAsia" w:ascii="宋体" w:hAnsi="宋体"/>
          <w:color w:val="000000" w:themeColor="text1"/>
          <w:kern w:val="0"/>
          <w:szCs w:val="21"/>
          <w:highlight w:val="none"/>
          <w14:textFill>
            <w14:solidFill>
              <w14:schemeClr w14:val="tx1"/>
            </w14:solidFill>
          </w14:textFill>
        </w:rPr>
        <w:t>主要材料设备表和工程量清单Word</w:t>
      </w:r>
      <w:r>
        <w:rPr>
          <w:rFonts w:hint="eastAsia" w:ascii="宋体" w:hAnsi="宋体"/>
          <w:color w:val="000000" w:themeColor="text1"/>
          <w:szCs w:val="21"/>
          <w:highlight w:val="none"/>
          <w14:textFill>
            <w14:solidFill>
              <w14:schemeClr w14:val="tx1"/>
            </w14:solidFill>
          </w14:textFill>
        </w:rPr>
        <w:t>文档以及图纸等（含</w:t>
      </w:r>
      <w:r>
        <w:rPr>
          <w:rFonts w:ascii="宋体" w:hAnsi="宋体"/>
          <w:color w:val="000000" w:themeColor="text1"/>
          <w:szCs w:val="21"/>
          <w:highlight w:val="none"/>
          <w14:textFill>
            <w14:solidFill>
              <w14:schemeClr w14:val="tx1"/>
            </w14:solidFill>
          </w14:textFill>
        </w:rPr>
        <w:t>CAD</w:t>
      </w:r>
      <w:r>
        <w:rPr>
          <w:rFonts w:hint="eastAsia" w:ascii="宋体" w:hAnsi="宋体"/>
          <w:color w:val="000000" w:themeColor="text1"/>
          <w:szCs w:val="21"/>
          <w:highlight w:val="none"/>
          <w14:textFill>
            <w14:solidFill>
              <w14:schemeClr w14:val="tx1"/>
            </w14:solidFill>
          </w14:textFill>
        </w:rPr>
        <w:t>图）。</w:t>
      </w:r>
    </w:p>
    <w:p>
      <w:pPr>
        <w:spacing w:line="360" w:lineRule="auto"/>
        <w:ind w:firstLine="55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3、设计资料及文件交付地点：发包人技术部。</w:t>
      </w:r>
    </w:p>
    <w:p>
      <w:pPr>
        <w:spacing w:line="360" w:lineRule="auto"/>
        <w:ind w:firstLine="555"/>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4、各阶段设计文件的份数包括施工图审查、施工、报建及相关部门归档等用途所需的相应份数。</w:t>
      </w:r>
    </w:p>
    <w:p>
      <w:pPr>
        <w:spacing w:line="360" w:lineRule="auto"/>
        <w:ind w:firstLine="422" w:firstLineChars="200"/>
        <w:rPr>
          <w:rFonts w:ascii="宋体" w:hAnsi="宋体"/>
          <w:b/>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第七条　费用</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7.1 </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施工图设计</w:t>
      </w:r>
      <w:r>
        <w:rPr>
          <w:rFonts w:hint="eastAsia" w:ascii="宋体" w:hAnsi="宋体" w:eastAsia="宋体" w:cs="Times New Roman"/>
          <w:color w:val="000000" w:themeColor="text1"/>
          <w:sz w:val="21"/>
          <w:szCs w:val="21"/>
          <w:highlight w:val="none"/>
          <w:u w:val="none"/>
          <w14:textFill>
            <w14:solidFill>
              <w14:schemeClr w14:val="tx1"/>
            </w14:solidFill>
          </w14:textFill>
        </w:rPr>
        <w:t>费（含施工图预算编制费</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竣工图编制费</w:t>
      </w:r>
      <w:r>
        <w:rPr>
          <w:rFonts w:hint="eastAsia" w:ascii="宋体" w:hAnsi="宋体" w:eastAsia="宋体" w:cs="Times New Roman"/>
          <w:color w:val="000000" w:themeColor="text1"/>
          <w:sz w:val="21"/>
          <w:szCs w:val="21"/>
          <w:highlight w:val="none"/>
          <w:u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合同暂定价款（含增值税）金额：￥</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元，（人民币大写）：</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，其中：</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不含税金额：</w:t>
      </w:r>
      <w:r>
        <w:rPr>
          <w:rFonts w:hint="eastAsia" w:ascii="宋体" w:hAnsi="宋体"/>
          <w:color w:val="000000" w:themeColor="text1"/>
          <w:szCs w:val="21"/>
          <w:highlight w:val="none"/>
          <w:u w:val="single"/>
          <w14:textFill>
            <w14:solidFill>
              <w14:schemeClr w14:val="tx1"/>
            </w14:solidFill>
          </w14:textFill>
        </w:rPr>
        <w:t>￥*******元</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%增值税金额：</w:t>
      </w:r>
      <w:r>
        <w:rPr>
          <w:rFonts w:hint="eastAsia" w:ascii="宋体" w:hAnsi="宋体"/>
          <w:color w:val="000000" w:themeColor="text1"/>
          <w:szCs w:val="21"/>
          <w:highlight w:val="none"/>
          <w:u w:val="single"/>
          <w14:textFill>
            <w14:solidFill>
              <w14:schemeClr w14:val="tx1"/>
            </w14:solidFill>
          </w14:textFill>
        </w:rPr>
        <w:t>￥******元</w:t>
      </w:r>
      <w:r>
        <w:rPr>
          <w:rFonts w:hint="eastAsia" w:ascii="宋体" w:hAnsi="宋体"/>
          <w:color w:val="000000" w:themeColor="text1"/>
          <w:szCs w:val="21"/>
          <w:highlight w:val="none"/>
          <w14:textFill>
            <w14:solidFill>
              <w14:schemeClr w14:val="tx1"/>
            </w14:solidFill>
          </w14:textFill>
        </w:rPr>
        <w:t>。</w:t>
      </w:r>
    </w:p>
    <w:p>
      <w:pPr>
        <w:spacing w:line="360" w:lineRule="auto"/>
        <w:ind w:firstLine="420" w:firstLineChars="200"/>
        <w:jc w:val="left"/>
        <w:outlineLvl w:val="0"/>
        <w:rPr>
          <w:rFonts w:ascii="宋体" w:hAnsi="宋体"/>
          <w:b/>
          <w:color w:val="000000" w:themeColor="text1"/>
          <w:szCs w:val="21"/>
          <w:highlight w:val="none"/>
          <w:u w:val="single"/>
          <w14:textFill>
            <w14:solidFill>
              <w14:schemeClr w14:val="tx1"/>
            </w14:solidFill>
          </w14:textFill>
        </w:rPr>
      </w:pPr>
      <w:bookmarkStart w:id="69" w:name="_Toc29977"/>
      <w:bookmarkStart w:id="70" w:name="_Toc16107"/>
      <w:bookmarkStart w:id="71" w:name="_Toc17616"/>
      <w:r>
        <w:rPr>
          <w:rFonts w:ascii="宋体" w:hAnsi="宋体"/>
          <w:color w:val="000000" w:themeColor="text1"/>
          <w:szCs w:val="21"/>
          <w:highlight w:val="none"/>
          <w14:textFill>
            <w14:solidFill>
              <w14:schemeClr w14:val="tx1"/>
            </w14:solidFill>
          </w14:textFill>
        </w:rPr>
        <w:t xml:space="preserve">7.2 </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施工图设计费（含施工图预算编制费、竣工图编制费）</w:t>
      </w:r>
      <w:r>
        <w:rPr>
          <w:rFonts w:hint="eastAsia" w:ascii="宋体" w:hAnsi="宋体"/>
          <w:color w:val="000000" w:themeColor="text1"/>
          <w:szCs w:val="21"/>
          <w:highlight w:val="none"/>
          <w14:textFill>
            <w14:solidFill>
              <w14:schemeClr w14:val="tx1"/>
            </w14:solidFill>
          </w14:textFill>
        </w:rPr>
        <w:t>参照《工程勘察设计收费标准》（计价格</w:t>
      </w:r>
      <w:r>
        <w:rPr>
          <w:rFonts w:ascii="宋体" w:hAnsi="宋体"/>
          <w:color w:val="000000" w:themeColor="text1"/>
          <w:szCs w:val="21"/>
          <w:highlight w:val="none"/>
          <w14:textFill>
            <w14:solidFill>
              <w14:schemeClr w14:val="tx1"/>
            </w14:solidFill>
          </w14:textFill>
        </w:rPr>
        <w:t>[2002]10</w:t>
      </w:r>
      <w:r>
        <w:rPr>
          <w:rFonts w:hint="eastAsia" w:ascii="宋体" w:hAnsi="宋体"/>
          <w:color w:val="000000" w:themeColor="text1"/>
          <w:szCs w:val="21"/>
          <w:highlight w:val="none"/>
          <w14:textFill>
            <w14:solidFill>
              <w14:schemeClr w14:val="tx1"/>
            </w14:solidFill>
          </w14:textFill>
        </w:rPr>
        <w:t>号）规定的收费标准，下浮率</w:t>
      </w:r>
      <w:r>
        <w:rPr>
          <w:rFonts w:hint="eastAsia" w:ascii="宋体" w:hAnsi="宋体"/>
          <w:b/>
          <w:color w:val="000000" w:themeColor="text1"/>
          <w:szCs w:val="21"/>
          <w:highlight w:val="none"/>
          <w:u w:val="single"/>
          <w14:textFill>
            <w14:solidFill>
              <w14:schemeClr w14:val="tx1"/>
            </w14:solidFill>
          </w14:textFill>
        </w:rPr>
        <w:t>****</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（投标下浮率），以</w:t>
      </w:r>
      <w:r>
        <w:rPr>
          <w:rFonts w:hint="eastAsia" w:ascii="宋体" w:hAnsi="宋体"/>
          <w:color w:val="000000" w:themeColor="text1"/>
          <w:kern w:val="0"/>
          <w:szCs w:val="21"/>
          <w:highlight w:val="none"/>
          <w14:textFill>
            <w14:solidFill>
              <w14:schemeClr w14:val="tx1"/>
            </w14:solidFill>
          </w14:textFill>
        </w:rPr>
        <w:t>概算财政审定价中工程费基数计算结算价，</w:t>
      </w:r>
      <w:r>
        <w:rPr>
          <w:rFonts w:hint="eastAsia" w:ascii="宋体" w:hAnsi="宋体"/>
          <w:color w:val="000000" w:themeColor="text1"/>
          <w:szCs w:val="21"/>
          <w:highlight w:val="none"/>
          <w14:textFill>
            <w14:solidFill>
              <w14:schemeClr w14:val="tx1"/>
            </w14:solidFill>
          </w14:textFill>
        </w:rPr>
        <w:t>且不得高于设计费的概算财审价</w:t>
      </w:r>
      <w:r>
        <w:rPr>
          <w:rFonts w:hint="eastAsia" w:ascii="宋体" w:hAnsi="宋体" w:eastAsia="宋体" w:cs="Times New Roman"/>
          <w:color w:val="000000" w:themeColor="text1"/>
          <w:szCs w:val="21"/>
          <w:highlight w:val="none"/>
          <w:lang w:val="en-US" w:eastAsia="zh-CN"/>
          <w14:textFill>
            <w14:solidFill>
              <w14:schemeClr w14:val="tx1"/>
            </w14:solidFill>
          </w14:textFill>
        </w:rPr>
        <w:t>的60%</w:t>
      </w:r>
      <w:r>
        <w:rPr>
          <w:rFonts w:hint="eastAsia" w:ascii="宋体" w:hAnsi="宋体"/>
          <w:color w:val="000000" w:themeColor="text1"/>
          <w:szCs w:val="21"/>
          <w:highlight w:val="none"/>
          <w14:textFill>
            <w14:solidFill>
              <w14:schemeClr w14:val="tx1"/>
            </w14:solidFill>
          </w14:textFill>
        </w:rPr>
        <w:t>或</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施工图设计费（含施工图预算编制费、竣工图编制费）</w:t>
      </w:r>
      <w:r>
        <w:rPr>
          <w:rFonts w:hint="eastAsia" w:ascii="宋体" w:hAnsi="宋体"/>
          <w:color w:val="000000" w:themeColor="text1"/>
          <w:szCs w:val="21"/>
          <w:highlight w:val="none"/>
          <w14:textFill>
            <w14:solidFill>
              <w14:schemeClr w14:val="tx1"/>
            </w14:solidFill>
          </w14:textFill>
        </w:rPr>
        <w:t>招标最高限价</w:t>
      </w:r>
      <w:r>
        <w:rPr>
          <w:rFonts w:hint="eastAsia" w:ascii="宋体" w:hAnsi="宋体"/>
          <w:b/>
          <w:color w:val="000000" w:themeColor="text1"/>
          <w:szCs w:val="21"/>
          <w:highlight w:val="none"/>
          <w:u w:val="single"/>
          <w14:textFill>
            <w14:solidFill>
              <w14:schemeClr w14:val="tx1"/>
            </w14:solidFill>
          </w14:textFill>
        </w:rPr>
        <w:t>******万元</w:t>
      </w:r>
      <w:r>
        <w:rPr>
          <w:rFonts w:hint="eastAsia" w:ascii="宋体" w:hAnsi="宋体"/>
          <w:color w:val="000000" w:themeColor="text1"/>
          <w:szCs w:val="21"/>
          <w:highlight w:val="none"/>
          <w14:textFill>
            <w14:solidFill>
              <w14:schemeClr w14:val="tx1"/>
            </w14:solidFill>
          </w14:textFill>
        </w:rPr>
        <w:t>。本工程</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施工图设计费（含施工图预算编制费、竣工图编制费）</w:t>
      </w:r>
      <w:r>
        <w:rPr>
          <w:rFonts w:hint="eastAsia" w:ascii="宋体" w:hAnsi="宋体"/>
          <w:color w:val="000000" w:themeColor="text1"/>
          <w:szCs w:val="21"/>
          <w:highlight w:val="none"/>
          <w14:textFill>
            <w14:solidFill>
              <w14:schemeClr w14:val="tx1"/>
            </w14:solidFill>
          </w14:textFill>
        </w:rPr>
        <w:t>最终结算价</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财政评审机构审定的设计费结算价</w:t>
      </w:r>
      <w:r>
        <w:rPr>
          <w:rFonts w:hint="eastAsia" w:ascii="宋体" w:hAnsi="宋体"/>
          <w:color w:val="000000" w:themeColor="text1"/>
          <w:szCs w:val="21"/>
          <w:highlight w:val="none"/>
          <w:lang w:val="en-US" w:eastAsia="zh-CN"/>
          <w14:textFill>
            <w14:solidFill>
              <w14:schemeClr w14:val="tx1"/>
            </w14:solidFill>
          </w14:textFill>
        </w:rPr>
        <w:t>的60%+</w:t>
      </w:r>
      <w:r>
        <w:rPr>
          <w:rFonts w:hint="eastAsia" w:ascii="宋体" w:hAnsi="宋体"/>
          <w:color w:val="000000" w:themeColor="text1"/>
          <w:szCs w:val="21"/>
          <w:highlight w:val="none"/>
          <w14:textFill>
            <w14:solidFill>
              <w14:schemeClr w14:val="tx1"/>
            </w14:solidFill>
          </w14:textFill>
        </w:rPr>
        <w:t>财政评审机构审定的</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施工图预算编制费</w:t>
      </w:r>
      <w:r>
        <w:rPr>
          <w:rFonts w:hint="eastAsia" w:ascii="宋体" w:hAnsi="宋体"/>
          <w:color w:val="000000" w:themeColor="text1"/>
          <w:szCs w:val="21"/>
          <w:highlight w:val="none"/>
          <w14:textFill>
            <w14:solidFill>
              <w14:schemeClr w14:val="tx1"/>
            </w14:solidFill>
          </w14:textFill>
        </w:rPr>
        <w:t>结算价</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财政评审机构审定的</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竣工图编制费</w:t>
      </w:r>
      <w:r>
        <w:rPr>
          <w:rFonts w:hint="eastAsia" w:ascii="宋体" w:hAnsi="宋体"/>
          <w:color w:val="000000" w:themeColor="text1"/>
          <w:szCs w:val="21"/>
          <w:highlight w:val="none"/>
          <w14:textFill>
            <w14:solidFill>
              <w14:schemeClr w14:val="tx1"/>
            </w14:solidFill>
          </w14:textFill>
        </w:rPr>
        <w:t>结算价－履行合同过程中被扣除的违约金。</w:t>
      </w:r>
      <w:bookmarkEnd w:id="69"/>
      <w:bookmarkEnd w:id="70"/>
      <w:bookmarkEnd w:id="71"/>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7.3 </w:t>
      </w:r>
      <w:r>
        <w:rPr>
          <w:rFonts w:hint="eastAsia" w:ascii="宋体" w:hAnsi="宋体"/>
          <w:color w:val="000000" w:themeColor="text1"/>
          <w:szCs w:val="21"/>
          <w:highlight w:val="none"/>
          <w14:textFill>
            <w14:solidFill>
              <w14:schemeClr w14:val="tx1"/>
            </w14:solidFill>
          </w14:textFill>
        </w:rPr>
        <w:t>本合同设计费用包括但不限于以下内容：</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7.3.1</w:t>
      </w:r>
      <w:r>
        <w:rPr>
          <w:rFonts w:hint="eastAsia" w:ascii="宋体" w:hAnsi="宋体"/>
          <w:color w:val="000000" w:themeColor="text1"/>
          <w:szCs w:val="21"/>
          <w:highlight w:val="none"/>
          <w14:textFill>
            <w14:solidFill>
              <w14:schemeClr w14:val="tx1"/>
            </w14:solidFill>
          </w14:textFill>
        </w:rPr>
        <w:t>完成本合同第</w:t>
      </w:r>
      <w:r>
        <w:rPr>
          <w:rFonts w:ascii="宋体" w:hAnsi="宋体"/>
          <w:color w:val="000000" w:themeColor="text1"/>
          <w:szCs w:val="21"/>
          <w:highlight w:val="none"/>
          <w14:textFill>
            <w14:solidFill>
              <w14:schemeClr w14:val="tx1"/>
            </w14:solidFill>
          </w14:textFill>
        </w:rPr>
        <w:t>4.4</w:t>
      </w:r>
      <w:r>
        <w:rPr>
          <w:rFonts w:hint="eastAsia" w:ascii="宋体" w:hAnsi="宋体"/>
          <w:color w:val="000000" w:themeColor="text1"/>
          <w:szCs w:val="21"/>
          <w:highlight w:val="none"/>
          <w14:textFill>
            <w14:solidFill>
              <w14:schemeClr w14:val="tx1"/>
            </w14:solidFill>
          </w14:textFill>
        </w:rPr>
        <w:t>点设计范围内所有设计工作的费用。</w:t>
      </w:r>
    </w:p>
    <w:p>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7.3.2</w:t>
      </w:r>
      <w:r>
        <w:rPr>
          <w:rFonts w:hint="eastAsia" w:ascii="宋体" w:hAnsi="宋体"/>
          <w:color w:val="000000" w:themeColor="text1"/>
          <w:szCs w:val="21"/>
          <w:highlight w:val="none"/>
          <w14:textFill>
            <w14:solidFill>
              <w14:schemeClr w14:val="tx1"/>
            </w14:solidFill>
          </w14:textFill>
        </w:rPr>
        <w:t>设计报建、规划验收、设计送审、招标配合、基坑开挖和支护设计的评审报批、工艺及设备选取外出考察、绘图手提电脑设备1台（</w:t>
      </w:r>
      <w:r>
        <w:rPr>
          <w:rFonts w:ascii="宋体" w:hAnsi="宋体" w:cs="宋体"/>
          <w:color w:val="000000" w:themeColor="text1"/>
          <w:kern w:val="0"/>
          <w:sz w:val="24"/>
          <w:szCs w:val="24"/>
          <w:highlight w:val="none"/>
          <w:lang w:bidi="ar"/>
          <w14:textFill>
            <w14:solidFill>
              <w14:schemeClr w14:val="tx1"/>
            </w14:solidFill>
          </w14:textFill>
        </w:rPr>
        <w:t>微软Surface</w:t>
      </w:r>
      <w:r>
        <w:rPr>
          <w:rFonts w:hint="eastAsia" w:ascii="宋体" w:hAnsi="宋体" w:cs="宋体"/>
          <w:color w:val="000000" w:themeColor="text1"/>
          <w:kern w:val="0"/>
          <w:sz w:val="24"/>
          <w:szCs w:val="24"/>
          <w:highlight w:val="none"/>
          <w:lang w:bidi="ar"/>
          <w14:textFill>
            <w14:solidFill>
              <w14:schemeClr w14:val="tx1"/>
            </w14:solidFill>
          </w14:textFill>
        </w:rPr>
        <w:t xml:space="preserve"> </w:t>
      </w:r>
      <w:r>
        <w:rPr>
          <w:rFonts w:ascii="宋体" w:hAnsi="宋体" w:cs="宋体"/>
          <w:color w:val="000000" w:themeColor="text1"/>
          <w:kern w:val="0"/>
          <w:sz w:val="24"/>
          <w:szCs w:val="24"/>
          <w:highlight w:val="none"/>
          <w:lang w:bidi="ar"/>
          <w14:textFill>
            <w14:solidFill>
              <w14:schemeClr w14:val="tx1"/>
            </w14:solidFill>
          </w14:textFill>
        </w:rPr>
        <w:t>Pro4</w:t>
      </w:r>
      <w:r>
        <w:rPr>
          <w:rFonts w:hint="eastAsia" w:ascii="宋体" w:hAnsi="宋体" w:cs="宋体"/>
          <w:color w:val="000000" w:themeColor="text1"/>
          <w:kern w:val="0"/>
          <w:sz w:val="24"/>
          <w:szCs w:val="24"/>
          <w:highlight w:val="none"/>
          <w:lang w:bidi="ar"/>
          <w14:textFill>
            <w14:solidFill>
              <w14:schemeClr w14:val="tx1"/>
            </w14:solidFill>
          </w14:textFill>
        </w:rPr>
        <w:t xml:space="preserve"> </w:t>
      </w:r>
      <w:r>
        <w:rPr>
          <w:rFonts w:ascii="宋体" w:hAnsi="宋体" w:cs="宋体"/>
          <w:color w:val="000000" w:themeColor="text1"/>
          <w:kern w:val="0"/>
          <w:sz w:val="24"/>
          <w:szCs w:val="24"/>
          <w:highlight w:val="none"/>
          <w:lang w:bidi="ar"/>
          <w14:textFill>
            <w14:solidFill>
              <w14:schemeClr w14:val="tx1"/>
            </w14:solidFill>
          </w14:textFill>
        </w:rPr>
        <w:t>i7/16GB/256GB/中国版）</w:t>
      </w:r>
      <w:r>
        <w:rPr>
          <w:rFonts w:hint="eastAsia" w:ascii="宋体" w:hAnsi="宋体"/>
          <w:color w:val="000000" w:themeColor="text1"/>
          <w:szCs w:val="21"/>
          <w:highlight w:val="none"/>
          <w14:textFill>
            <w14:solidFill>
              <w14:schemeClr w14:val="tx1"/>
            </w14:solidFill>
          </w14:textFill>
        </w:rPr>
        <w:t>、现场记录相机1台（尼康D750套机 24-120mm）施工现场配合等工作的劳务、管理、住宿、交通、餐饮、临时办公、材料、保险、利润、税金、政策性文件规定及合同包含内的所有风险、责任等各项应有费用。不论其在招标文件中有无提及。</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7.3.3</w:t>
      </w:r>
      <w:r>
        <w:rPr>
          <w:rFonts w:hint="eastAsia" w:ascii="宋体" w:hAnsi="宋体"/>
          <w:color w:val="000000" w:themeColor="text1"/>
          <w:szCs w:val="21"/>
          <w:highlight w:val="none"/>
          <w14:textFill>
            <w14:solidFill>
              <w14:schemeClr w14:val="tx1"/>
            </w14:solidFill>
          </w14:textFill>
        </w:rPr>
        <w:t>各设计阶段的审查、评审及征询意见所发生的费用（评审费、专家费、专家交通费等的一切费用）由设计人承担；由于政府及发包人原因（修改方案）造成的评审费由发包人承担。</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7.3.4</w:t>
      </w:r>
      <w:r>
        <w:rPr>
          <w:rFonts w:hint="eastAsia" w:ascii="宋体" w:hAnsi="宋体"/>
          <w:color w:val="000000" w:themeColor="text1"/>
          <w:szCs w:val="21"/>
          <w:highlight w:val="none"/>
          <w14:textFill>
            <w14:solidFill>
              <w14:schemeClr w14:val="tx1"/>
            </w14:solidFill>
          </w14:textFill>
        </w:rPr>
        <w:t>设计至竣工验收期间所发生的发包人要求的本工程的设计图纸、资料加晒等费用。</w:t>
      </w:r>
    </w:p>
    <w:p>
      <w:pPr>
        <w:spacing w:line="360" w:lineRule="auto"/>
        <w:ind w:left="630" w:leftChars="200" w:hanging="210" w:hangingChars="100"/>
        <w:rPr>
          <w:rFonts w:ascii="宋体" w:hAnsi="宋体"/>
          <w:color w:val="000000" w:themeColor="text1"/>
          <w:szCs w:val="21"/>
          <w:highlight w:val="none"/>
          <w14:textFill>
            <w14:solidFill>
              <w14:schemeClr w14:val="tx1"/>
            </w14:solidFill>
          </w14:textFill>
        </w:rPr>
      </w:pPr>
    </w:p>
    <w:p>
      <w:pPr>
        <w:spacing w:line="360" w:lineRule="auto"/>
        <w:ind w:left="630" w:leftChars="200" w:hanging="210" w:hangingChars="1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r>
        <w:rPr>
          <w:rFonts w:hint="eastAsia" w:ascii="宋体" w:hAnsi="宋体"/>
          <w:b/>
          <w:color w:val="000000" w:themeColor="text1"/>
          <w:szCs w:val="21"/>
          <w:highlight w:val="none"/>
          <w14:textFill>
            <w14:solidFill>
              <w14:schemeClr w14:val="tx1"/>
            </w14:solidFill>
          </w14:textFill>
        </w:rPr>
        <w:t>第八条　支付方式及结算方式</w:t>
      </w:r>
    </w:p>
    <w:p>
      <w:pPr>
        <w:spacing w:line="360" w:lineRule="auto"/>
        <w:ind w:firstLine="420" w:firstLineChars="200"/>
        <w:rPr>
          <w:rFonts w:hint="eastAsia" w:ascii="宋体" w:hAnsi="宋体"/>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8.1 </w:t>
      </w:r>
      <w:r>
        <w:rPr>
          <w:rFonts w:hint="eastAsia" w:ascii="宋体" w:hAnsi="宋体"/>
          <w:color w:val="000000" w:themeColor="text1"/>
          <w:szCs w:val="21"/>
          <w:highlight w:val="none"/>
          <w14:textFill>
            <w14:solidFill>
              <w14:schemeClr w14:val="tx1"/>
            </w14:solidFill>
          </w14:textFill>
        </w:rPr>
        <w:t>设计费</w:t>
      </w:r>
      <w:r>
        <w:rPr>
          <w:rFonts w:hint="eastAsia" w:ascii="宋体" w:hAnsi="宋体"/>
          <w:color w:val="000000" w:themeColor="text1"/>
          <w:szCs w:val="21"/>
          <w:highlight w:val="none"/>
          <w:lang w:val="en-US" w:eastAsia="zh-CN"/>
          <w14:textFill>
            <w14:solidFill>
              <w14:schemeClr w14:val="tx1"/>
            </w14:solidFill>
          </w14:textFill>
        </w:rPr>
        <w:t>用</w:t>
      </w:r>
      <w:r>
        <w:rPr>
          <w:rFonts w:hint="eastAsia" w:ascii="宋体" w:hAnsi="宋体"/>
          <w:color w:val="000000" w:themeColor="text1"/>
          <w:szCs w:val="21"/>
          <w:highlight w:val="none"/>
          <w14:textFill>
            <w14:solidFill>
              <w14:schemeClr w14:val="tx1"/>
            </w14:solidFill>
          </w14:textFill>
        </w:rPr>
        <w:t>支付</w:t>
      </w:r>
      <w:r>
        <w:rPr>
          <w:rFonts w:hint="eastAsia" w:ascii="宋体" w:hAnsi="宋体"/>
          <w:color w:val="000000" w:themeColor="text1"/>
          <w:szCs w:val="21"/>
          <w:highlight w:val="none"/>
          <w:lang w:val="en-US" w:eastAsia="zh-CN"/>
          <w14:textFill>
            <w14:solidFill>
              <w14:schemeClr w14:val="tx1"/>
            </w14:solidFill>
          </w14:textFill>
        </w:rPr>
        <w:t>比例</w:t>
      </w:r>
    </w:p>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①设计费用支付比例见《</w:t>
      </w:r>
      <w:r>
        <w:rPr>
          <w:rFonts w:hint="eastAsia" w:ascii="宋体" w:hAnsi="宋体" w:eastAsia="宋体" w:cs="Times New Roman"/>
          <w:color w:val="000000" w:themeColor="text1"/>
          <w:sz w:val="24"/>
          <w:szCs w:val="20"/>
          <w:highlight w:val="none"/>
          <w:u w:val="none"/>
          <w:lang w:eastAsia="zh-CN"/>
          <w14:textFill>
            <w14:solidFill>
              <w14:schemeClr w14:val="tx1"/>
            </w14:solidFill>
          </w14:textFill>
        </w:rPr>
        <w:t>施工图设计费（含施工图预算编制费、竣工图编制费）</w:t>
      </w:r>
      <w:r>
        <w:rPr>
          <w:rFonts w:hint="eastAsia" w:ascii="宋体" w:hAnsi="宋体"/>
          <w:color w:val="000000" w:themeColor="text1"/>
          <w:sz w:val="24"/>
          <w:szCs w:val="20"/>
          <w:highlight w:val="none"/>
          <w14:textFill>
            <w14:solidFill>
              <w14:schemeClr w14:val="tx1"/>
            </w14:solidFill>
          </w14:textFill>
        </w:rPr>
        <w:t>累计</w:t>
      </w:r>
      <w:r>
        <w:rPr>
          <w:rFonts w:ascii="宋体" w:hAnsi="宋体"/>
          <w:color w:val="000000" w:themeColor="text1"/>
          <w:sz w:val="24"/>
          <w:szCs w:val="20"/>
          <w:highlight w:val="none"/>
          <w14:textFill>
            <w14:solidFill>
              <w14:schemeClr w14:val="tx1"/>
            </w14:solidFill>
          </w14:textFill>
        </w:rPr>
        <w:t>支付</w:t>
      </w:r>
      <w:r>
        <w:rPr>
          <w:rFonts w:hint="eastAsia" w:ascii="宋体" w:hAnsi="宋体"/>
          <w:color w:val="000000" w:themeColor="text1"/>
          <w:sz w:val="24"/>
          <w:szCs w:val="20"/>
          <w:highlight w:val="none"/>
          <w14:textFill>
            <w14:solidFill>
              <w14:schemeClr w14:val="tx1"/>
            </w14:solidFill>
          </w14:textFill>
        </w:rPr>
        <w:t>比例表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②</w:t>
      </w:r>
      <w:r>
        <w:rPr>
          <w:rFonts w:hint="eastAsia" w:ascii="宋体" w:hAnsi="宋体" w:eastAsia="宋体" w:cs="宋体"/>
          <w:color w:val="000000" w:themeColor="text1"/>
          <w:sz w:val="21"/>
          <w:szCs w:val="21"/>
          <w:highlight w:val="none"/>
          <w14:textFill>
            <w14:solidFill>
              <w14:schemeClr w14:val="tx1"/>
            </w14:solidFill>
          </w14:textFill>
        </w:rPr>
        <w:t>余下工程最终结算价的</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%作为绩效考核金</w:t>
      </w:r>
      <w:r>
        <w:rPr>
          <w:rFonts w:hint="eastAsia" w:ascii="宋体" w:hAnsi="宋体" w:eastAsia="宋体" w:cs="宋体"/>
          <w:color w:val="000000" w:themeColor="text1"/>
          <w:sz w:val="21"/>
          <w:szCs w:val="21"/>
          <w:highlight w:val="none"/>
          <w:lang w:val="en-US" w:eastAsia="zh-CN"/>
          <w14:textFill>
            <w14:solidFill>
              <w14:schemeClr w14:val="tx1"/>
            </w14:solidFill>
          </w14:textFill>
        </w:rPr>
        <w:t>和</w:t>
      </w:r>
      <w:r>
        <w:rPr>
          <w:rFonts w:hint="eastAsia" w:ascii="宋体" w:hAnsi="宋体" w:eastAsia="宋体" w:cs="宋体"/>
          <w:color w:val="000000" w:themeColor="text1"/>
          <w:sz w:val="21"/>
          <w:szCs w:val="21"/>
          <w:highlight w:val="none"/>
          <w14:textFill>
            <w14:solidFill>
              <w14:schemeClr w14:val="tx1"/>
            </w14:solidFill>
          </w14:textFill>
        </w:rPr>
        <w:t>3%作为工程质量保证金。</w:t>
      </w:r>
    </w:p>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③绩效考核金，考核期为1年，起点为最后一处工程建设的完工日期，终点为自起始点起算365个日历天，其中对 EPC 单位的考核为每季度1次，涉及每月监测指标的，以每季度的平均值为准。在考核期内按合同附件二十三《番禺区村居雨污分流工程绩效考核指引》要求每季度进行考核，具体支付比例结合绩效考核结果，按下表执行。</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3441"/>
        <w:gridCol w:w="3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95" w:type="dxa"/>
            <w:noWrap w:val="0"/>
            <w:vAlign w:val="center"/>
          </w:tcPr>
          <w:p>
            <w:pPr>
              <w:spacing w:line="360" w:lineRule="auto"/>
              <w:ind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序号</w:t>
            </w:r>
          </w:p>
        </w:tc>
        <w:tc>
          <w:tcPr>
            <w:tcW w:w="3441" w:type="dxa"/>
            <w:noWrap w:val="0"/>
            <w:vAlign w:val="center"/>
          </w:tcPr>
          <w:p>
            <w:pPr>
              <w:spacing w:line="360" w:lineRule="auto"/>
              <w:ind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绩效考核得分</w:t>
            </w:r>
          </w:p>
        </w:tc>
        <w:tc>
          <w:tcPr>
            <w:tcW w:w="3635" w:type="dxa"/>
            <w:noWrap w:val="0"/>
            <w:vAlign w:val="center"/>
          </w:tcPr>
          <w:p>
            <w:pPr>
              <w:spacing w:line="360" w:lineRule="auto"/>
              <w:ind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单季绩效考核金支付比例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95" w:type="dxa"/>
            <w:noWrap w:val="0"/>
            <w:vAlign w:val="center"/>
          </w:tcPr>
          <w:p>
            <w:pPr>
              <w:spacing w:line="360" w:lineRule="auto"/>
              <w:ind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441" w:type="dxa"/>
            <w:noWrap w:val="0"/>
            <w:vAlign w:val="center"/>
          </w:tcPr>
          <w:p>
            <w:pPr>
              <w:spacing w:line="360" w:lineRule="auto"/>
              <w:ind w:firstLine="0" w:firstLineChars="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当次绩效考核得分≥90分</w:t>
            </w:r>
          </w:p>
        </w:tc>
        <w:tc>
          <w:tcPr>
            <w:tcW w:w="3635" w:type="dxa"/>
            <w:noWrap w:val="0"/>
            <w:vAlign w:val="center"/>
          </w:tcPr>
          <w:p>
            <w:pPr>
              <w:spacing w:line="360" w:lineRule="auto"/>
              <w:ind w:firstLine="0" w:firstLineChars="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895" w:type="dxa"/>
            <w:noWrap w:val="0"/>
            <w:vAlign w:val="center"/>
          </w:tcPr>
          <w:p>
            <w:pPr>
              <w:spacing w:line="360" w:lineRule="auto"/>
              <w:ind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441" w:type="dxa"/>
            <w:noWrap w:val="0"/>
            <w:vAlign w:val="center"/>
          </w:tcPr>
          <w:p>
            <w:pPr>
              <w:spacing w:line="360" w:lineRule="auto"/>
              <w:ind w:firstLine="0" w:firstLineChars="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当次绩效考核得分＜90分</w:t>
            </w:r>
          </w:p>
        </w:tc>
        <w:tc>
          <w:tcPr>
            <w:tcW w:w="3635" w:type="dxa"/>
            <w:noWrap w:val="0"/>
            <w:vAlign w:val="center"/>
          </w:tcPr>
          <w:p>
            <w:pPr>
              <w:spacing w:line="360" w:lineRule="auto"/>
              <w:ind w:firstLine="0" w:firstLineChars="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按线性比例支付（如绩效考核得分为82分时，支付82%)</w:t>
            </w:r>
          </w:p>
        </w:tc>
      </w:tr>
    </w:tbl>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④</w:t>
      </w:r>
      <w:r>
        <w:rPr>
          <w:rFonts w:hint="eastAsia" w:ascii="宋体" w:hAnsi="宋体" w:eastAsia="宋体" w:cs="宋体"/>
          <w:color w:val="000000" w:themeColor="text1"/>
          <w:sz w:val="21"/>
          <w:szCs w:val="21"/>
          <w:highlight w:val="none"/>
          <w14:textFill>
            <w14:solidFill>
              <w14:schemeClr w14:val="tx1"/>
            </w14:solidFill>
          </w14:textFill>
        </w:rPr>
        <w:t>在工程质保期满且取得发包人签认证明后，支付工程结算价的3％，承包人提供等额增值税发票（复印件）。</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注</w:t>
      </w:r>
      <w:r>
        <w:rPr>
          <w:rFonts w:hint="eastAsia" w:ascii="宋体" w:hAnsi="宋体"/>
          <w:color w:val="000000" w:themeColor="text1"/>
          <w:szCs w:val="21"/>
          <w:highlight w:val="none"/>
          <w14:textFill>
            <w14:solidFill>
              <w14:schemeClr w14:val="tx1"/>
            </w14:solidFill>
          </w14:textFill>
        </w:rPr>
        <w:t>：请款资料包括但不限于请款函、项目相关批文、相关合同、开户许可证、发票等，最终以发包人最新的要求为准。</w:t>
      </w:r>
    </w:p>
    <w:p>
      <w:pPr>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8.2 </w:t>
      </w:r>
      <w:r>
        <w:rPr>
          <w:rFonts w:hint="eastAsia" w:ascii="宋体" w:hAnsi="宋体"/>
          <w:color w:val="000000" w:themeColor="text1"/>
          <w:szCs w:val="21"/>
          <w:highlight w:val="none"/>
          <w14:textFill>
            <w14:solidFill>
              <w14:schemeClr w14:val="tx1"/>
            </w14:solidFill>
          </w14:textFill>
        </w:rPr>
        <w:t>设计费支付进度及结算方式的说明</w:t>
      </w:r>
    </w:p>
    <w:p>
      <w:pPr>
        <w:spacing w:line="360" w:lineRule="auto"/>
        <w:ind w:firstLine="420" w:firstLineChars="200"/>
        <w:rPr>
          <w:rFonts w:hint="eastAsia" w:ascii="宋体" w:hAnsi="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8.2.1</w:t>
      </w:r>
      <w:r>
        <w:rPr>
          <w:rFonts w:hint="eastAsia" w:ascii="宋体" w:hAnsi="宋体"/>
          <w:color w:val="000000" w:themeColor="text1"/>
          <w:kern w:val="0"/>
          <w:szCs w:val="21"/>
          <w:highlight w:val="none"/>
          <w14:textFill>
            <w14:solidFill>
              <w14:schemeClr w14:val="tx1"/>
            </w14:solidFill>
          </w14:textFill>
        </w:rPr>
        <w:t>提交各阶段合格的设计文件后，按规定支付相应的各阶段设计费。合格的设计文件是指经</w:t>
      </w:r>
      <w:r>
        <w:rPr>
          <w:rFonts w:hint="eastAsia" w:ascii="宋体" w:hAnsi="宋体"/>
          <w:color w:val="000000" w:themeColor="text1"/>
          <w:szCs w:val="21"/>
          <w:highlight w:val="none"/>
          <w14:textFill>
            <w14:solidFill>
              <w14:schemeClr w14:val="tx1"/>
            </w14:solidFill>
          </w14:textFill>
        </w:rPr>
        <w:t>发包人确认的设计人实际完成的各阶段性设计工作文件。</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8.2.2</w:t>
      </w:r>
      <w:r>
        <w:rPr>
          <w:rFonts w:hint="eastAsia" w:ascii="宋体" w:hAnsi="宋体"/>
          <w:color w:val="000000" w:themeColor="text1"/>
          <w:szCs w:val="21"/>
          <w:highlight w:val="none"/>
          <w14:textFill>
            <w14:solidFill>
              <w14:schemeClr w14:val="tx1"/>
            </w14:solidFill>
          </w14:textFill>
        </w:rPr>
        <w:t>若各子项工程分阶段进行设计，则各子项工程按阶段比例支付设计费。</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8.2.3</w:t>
      </w:r>
      <w:r>
        <w:rPr>
          <w:rFonts w:hint="eastAsia" w:ascii="宋体" w:hAnsi="宋体"/>
          <w:color w:val="000000" w:themeColor="text1"/>
          <w:szCs w:val="21"/>
          <w:highlight w:val="none"/>
          <w14:textFill>
            <w14:solidFill>
              <w14:schemeClr w14:val="tx1"/>
            </w14:solidFill>
          </w14:textFill>
        </w:rPr>
        <w:t>设计工程竣工、验收、移交后，设计人向发包人开具结算通知书及结算请款资料，设计人最终完成的工作量应为发包人确认的各阶段性设计工作量之和。</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8.2.4</w:t>
      </w:r>
      <w:r>
        <w:rPr>
          <w:rFonts w:hint="eastAsia" w:ascii="宋体" w:hAnsi="宋体"/>
          <w:color w:val="000000" w:themeColor="text1"/>
          <w:szCs w:val="21"/>
          <w:highlight w:val="none"/>
          <w14:textFill>
            <w14:solidFill>
              <w14:schemeClr w14:val="tx1"/>
            </w14:solidFill>
          </w14:textFill>
        </w:rPr>
        <w:t>若本工程属于财政投资项目，则财政投资项目付款时间以财政部门批准为准。</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8.2.5本工程的</w:t>
      </w:r>
      <w:r>
        <w:rPr>
          <w:rFonts w:hint="eastAsia" w:ascii="宋体" w:hAnsi="宋体" w:eastAsia="宋体" w:cs="Times New Roman"/>
          <w:color w:val="000000" w:themeColor="text1"/>
          <w:sz w:val="21"/>
          <w:szCs w:val="21"/>
          <w:highlight w:val="none"/>
          <w:u w:val="none"/>
          <w:lang w:eastAsia="zh-CN"/>
          <w14:textFill>
            <w14:solidFill>
              <w14:schemeClr w14:val="tx1"/>
            </w14:solidFill>
          </w14:textFill>
        </w:rPr>
        <w:t>施工图设计费（含施工图预算编制费、竣工图编制费）</w:t>
      </w:r>
      <w:r>
        <w:rPr>
          <w:rFonts w:ascii="宋体" w:hAnsi="宋体"/>
          <w:color w:val="000000" w:themeColor="text1"/>
          <w:szCs w:val="21"/>
          <w:highlight w:val="none"/>
          <w14:textFill>
            <w14:solidFill>
              <w14:schemeClr w14:val="tx1"/>
            </w14:solidFill>
          </w14:textFill>
        </w:rPr>
        <w:t>结算价不得高于招标最高限价</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万元</w:t>
      </w:r>
      <w:r>
        <w:rPr>
          <w:rFonts w:ascii="宋体" w:hAnsi="宋体"/>
          <w:color w:val="000000" w:themeColor="text1"/>
          <w:szCs w:val="21"/>
          <w:highlight w:val="non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8.2.6发包人支付各期设计费及报审结算时，以设计人实际或应开具的、符合最新国家税法规定的增值税发票当期税率相应调整。</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8.2.7 设计人逾期提供上述增值税发票的，发包人的付款时间相应延迟，直至设计人补齐上述增值税发票才予以付款，且不视为发包人违约。</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firstLine="480" w:firstLineChars="200"/>
        <w:jc w:val="center"/>
        <w:rPr>
          <w:rFonts w:hint="eastAsia" w:ascii="宋体" w:hAnsi="宋体"/>
          <w:color w:val="000000" w:themeColor="text1"/>
          <w:sz w:val="24"/>
          <w:szCs w:val="20"/>
          <w:highlight w:val="none"/>
          <w14:textFill>
            <w14:solidFill>
              <w14:schemeClr w14:val="tx1"/>
            </w14:solidFill>
          </w14:textFill>
        </w:rPr>
      </w:pPr>
    </w:p>
    <w:p>
      <w:pPr>
        <w:spacing w:line="360" w:lineRule="auto"/>
        <w:ind w:firstLine="480" w:firstLineChars="200"/>
        <w:jc w:val="center"/>
        <w:rPr>
          <w:rFonts w:hint="eastAsia"/>
          <w:color w:val="000000" w:themeColor="text1"/>
          <w:szCs w:val="21"/>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xml:space="preserve"> </w:t>
      </w:r>
      <w:r>
        <w:rPr>
          <w:rFonts w:hint="eastAsia" w:ascii="宋体" w:hAnsi="宋体" w:eastAsia="宋体" w:cs="Times New Roman"/>
          <w:color w:val="000000" w:themeColor="text1"/>
          <w:sz w:val="24"/>
          <w:szCs w:val="20"/>
          <w:highlight w:val="none"/>
          <w:u w:val="none"/>
          <w:lang w:eastAsia="zh-CN"/>
          <w14:textFill>
            <w14:solidFill>
              <w14:schemeClr w14:val="tx1"/>
            </w14:solidFill>
          </w14:textFill>
        </w:rPr>
        <w:t>施工图设计费（含施工图预算编制费、竣工图编制费）</w:t>
      </w:r>
      <w:r>
        <w:rPr>
          <w:rFonts w:hint="eastAsia" w:ascii="宋体" w:hAnsi="宋体"/>
          <w:color w:val="000000" w:themeColor="text1"/>
          <w:sz w:val="24"/>
          <w:szCs w:val="20"/>
          <w:highlight w:val="none"/>
          <w14:textFill>
            <w14:solidFill>
              <w14:schemeClr w14:val="tx1"/>
            </w14:solidFill>
          </w14:textFill>
        </w:rPr>
        <w:t>累计</w:t>
      </w:r>
      <w:r>
        <w:rPr>
          <w:rFonts w:ascii="宋体" w:hAnsi="宋体"/>
          <w:color w:val="000000" w:themeColor="text1"/>
          <w:sz w:val="24"/>
          <w:szCs w:val="20"/>
          <w:highlight w:val="none"/>
          <w14:textFill>
            <w14:solidFill>
              <w14:schemeClr w14:val="tx1"/>
            </w14:solidFill>
          </w14:textFill>
        </w:rPr>
        <w:t>支付</w:t>
      </w:r>
      <w:r>
        <w:rPr>
          <w:rFonts w:hint="eastAsia" w:ascii="宋体" w:hAnsi="宋体"/>
          <w:color w:val="000000" w:themeColor="text1"/>
          <w:sz w:val="24"/>
          <w:szCs w:val="20"/>
          <w:highlight w:val="none"/>
          <w14:textFill>
            <w14:solidFill>
              <w14:schemeClr w14:val="tx1"/>
            </w14:solidFill>
          </w14:textFill>
        </w:rPr>
        <w:t>比例表</w:t>
      </w:r>
      <w:r>
        <w:rPr>
          <w:rFonts w:hint="eastAsia"/>
          <w:color w:val="000000" w:themeColor="text1"/>
          <w:szCs w:val="21"/>
          <w:highlight w:val="none"/>
          <w14:textFill>
            <w14:solidFill>
              <w14:schemeClr w14:val="tx1"/>
            </w14:solidFill>
          </w14:textFill>
        </w:rPr>
        <w:t xml:space="preserve"> ：</w:t>
      </w:r>
    </w:p>
    <w:tbl>
      <w:tblPr>
        <w:tblStyle w:val="38"/>
        <w:tblW w:w="8870" w:type="dxa"/>
        <w:tblInd w:w="0" w:type="dxa"/>
        <w:tblLayout w:type="fixed"/>
        <w:tblCellMar>
          <w:top w:w="0" w:type="dxa"/>
          <w:left w:w="108" w:type="dxa"/>
          <w:bottom w:w="0" w:type="dxa"/>
          <w:right w:w="108" w:type="dxa"/>
        </w:tblCellMar>
      </w:tblPr>
      <w:tblGrid>
        <w:gridCol w:w="719"/>
        <w:gridCol w:w="1038"/>
        <w:gridCol w:w="903"/>
        <w:gridCol w:w="1730"/>
        <w:gridCol w:w="1539"/>
        <w:gridCol w:w="886"/>
        <w:gridCol w:w="1199"/>
        <w:gridCol w:w="856"/>
      </w:tblGrid>
      <w:tr>
        <w:tblPrEx>
          <w:tblCellMar>
            <w:top w:w="0" w:type="dxa"/>
            <w:left w:w="108" w:type="dxa"/>
            <w:bottom w:w="0" w:type="dxa"/>
            <w:right w:w="108" w:type="dxa"/>
          </w:tblCellMar>
        </w:tblPrEx>
        <w:trPr>
          <w:cantSplit/>
          <w:trHeight w:val="854"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103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费用</w:t>
            </w:r>
          </w:p>
          <w:p>
            <w:pPr>
              <w:widowControl/>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名称</w:t>
            </w:r>
          </w:p>
        </w:tc>
        <w:tc>
          <w:tcPr>
            <w:tcW w:w="903"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预付款</w:t>
            </w:r>
          </w:p>
        </w:tc>
        <w:tc>
          <w:tcPr>
            <w:tcW w:w="1730" w:type="dxa"/>
            <w:tcBorders>
              <w:top w:val="single" w:color="auto" w:sz="4" w:space="0"/>
              <w:left w:val="nil"/>
              <w:bottom w:val="single" w:color="auto" w:sz="4" w:space="0"/>
              <w:right w:val="single" w:color="auto" w:sz="4" w:space="0"/>
            </w:tcBorders>
            <w:noWrap w:val="0"/>
            <w:vAlign w:val="center"/>
          </w:tcPr>
          <w:p>
            <w:pPr>
              <w:widowControl/>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施工图设计阶段</w:t>
            </w:r>
          </w:p>
        </w:tc>
        <w:tc>
          <w:tcPr>
            <w:tcW w:w="1539" w:type="dxa"/>
            <w:tcBorders>
              <w:top w:val="single" w:color="auto" w:sz="4" w:space="0"/>
              <w:left w:val="nil"/>
              <w:bottom w:val="single" w:color="auto" w:sz="4" w:space="0"/>
              <w:right w:val="single" w:color="auto" w:sz="4" w:space="0"/>
            </w:tcBorders>
            <w:noWrap w:val="0"/>
            <w:vAlign w:val="center"/>
          </w:tcPr>
          <w:p>
            <w:pPr>
              <w:widowControl/>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通过</w:t>
            </w:r>
            <w:r>
              <w:rPr>
                <w:rFonts w:hint="eastAsia"/>
                <w:color w:val="000000" w:themeColor="text1"/>
                <w:szCs w:val="21"/>
                <w:highlight w:val="none"/>
                <w:lang w:eastAsia="zh-CN"/>
                <w14:textFill>
                  <w14:solidFill>
                    <w14:schemeClr w14:val="tx1"/>
                  </w14:solidFill>
                </w14:textFill>
              </w:rPr>
              <w:t>单位工程</w:t>
            </w:r>
            <w:r>
              <w:rPr>
                <w:rFonts w:hint="eastAsia"/>
                <w:color w:val="000000" w:themeColor="text1"/>
                <w:szCs w:val="21"/>
                <w:highlight w:val="none"/>
                <w14:textFill>
                  <w14:solidFill>
                    <w14:schemeClr w14:val="tx1"/>
                  </w14:solidFill>
                </w14:textFill>
              </w:rPr>
              <w:t>验收</w:t>
            </w:r>
            <w:r>
              <w:rPr>
                <w:rFonts w:hint="eastAsia"/>
                <w:color w:val="000000" w:themeColor="text1"/>
                <w:szCs w:val="21"/>
                <w:highlight w:val="none"/>
                <w:lang w:eastAsia="zh-CN"/>
                <w14:textFill>
                  <w14:solidFill>
                    <w14:schemeClr w14:val="tx1"/>
                  </w14:solidFill>
                </w14:textFill>
              </w:rPr>
              <w:t>后</w:t>
            </w:r>
            <w:r>
              <w:rPr>
                <w:rFonts w:hint="eastAsia"/>
                <w:color w:val="000000" w:themeColor="text1"/>
                <w:szCs w:val="21"/>
                <w:highlight w:val="none"/>
                <w14:textFill>
                  <w14:solidFill>
                    <w14:schemeClr w14:val="tx1"/>
                  </w14:solidFill>
                </w14:textFill>
              </w:rPr>
              <w:t>（含竣工图编制费）</w:t>
            </w:r>
          </w:p>
        </w:tc>
        <w:tc>
          <w:tcPr>
            <w:tcW w:w="886" w:type="dxa"/>
            <w:tcBorders>
              <w:top w:val="single" w:color="auto" w:sz="4" w:space="0"/>
              <w:left w:val="nil"/>
              <w:bottom w:val="single" w:color="auto" w:sz="4" w:space="0"/>
              <w:right w:val="single" w:color="auto" w:sz="4" w:space="0"/>
            </w:tcBorders>
            <w:noWrap w:val="0"/>
            <w:vAlign w:val="center"/>
          </w:tcPr>
          <w:p>
            <w:pPr>
              <w:widowControl/>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完成结算财审</w:t>
            </w:r>
          </w:p>
        </w:tc>
        <w:tc>
          <w:tcPr>
            <w:tcW w:w="1199"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绩效考核</w:t>
            </w:r>
          </w:p>
        </w:tc>
        <w:tc>
          <w:tcPr>
            <w:tcW w:w="856"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通过质保期后验收</w:t>
            </w:r>
          </w:p>
        </w:tc>
      </w:tr>
      <w:tr>
        <w:tblPrEx>
          <w:tblCellMar>
            <w:top w:w="0" w:type="dxa"/>
            <w:left w:w="108" w:type="dxa"/>
            <w:bottom w:w="0" w:type="dxa"/>
            <w:right w:w="108" w:type="dxa"/>
          </w:tblCellMar>
        </w:tblPrEx>
        <w:trPr>
          <w:cantSplit/>
          <w:trHeight w:val="986"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03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设计费</w:t>
            </w:r>
          </w:p>
        </w:tc>
        <w:tc>
          <w:tcPr>
            <w:tcW w:w="903"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r>
              <w:rPr>
                <w:rFonts w:hint="eastAsia"/>
                <w:color w:val="000000" w:themeColor="text1"/>
                <w:szCs w:val="21"/>
                <w:highlight w:val="none"/>
                <w14:textFill>
                  <w14:solidFill>
                    <w14:schemeClr w14:val="tx1"/>
                  </w14:solidFill>
                </w14:textFill>
              </w:rPr>
              <w:t>0%</w:t>
            </w:r>
          </w:p>
        </w:tc>
        <w:tc>
          <w:tcPr>
            <w:tcW w:w="1730" w:type="dxa"/>
            <w:tcBorders>
              <w:top w:val="single" w:color="auto" w:sz="4" w:space="0"/>
              <w:left w:val="nil"/>
              <w:bottom w:val="single" w:color="auto" w:sz="4" w:space="0"/>
              <w:right w:val="single" w:color="auto" w:sz="4" w:space="0"/>
            </w:tcBorders>
            <w:noWrap w:val="0"/>
            <w:vAlign w:val="center"/>
          </w:tcPr>
          <w:p>
            <w:pPr>
              <w:widowControl/>
              <w:jc w:val="left"/>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取得预算评审结果，支付至预算价及中标价二者</w:t>
            </w:r>
            <w:r>
              <w:rPr>
                <w:rFonts w:hint="eastAsia"/>
                <w:color w:val="000000" w:themeColor="text1"/>
                <w:szCs w:val="21"/>
                <w:highlight w:val="none"/>
                <w:lang w:val="en-US" w:eastAsia="zh-CN"/>
                <w14:textFill>
                  <w14:solidFill>
                    <w14:schemeClr w14:val="tx1"/>
                  </w14:solidFill>
                </w14:textFill>
              </w:rPr>
              <w:t>中</w:t>
            </w:r>
            <w:r>
              <w:rPr>
                <w:rFonts w:hint="eastAsia"/>
                <w:color w:val="000000" w:themeColor="text1"/>
                <w:szCs w:val="21"/>
                <w:highlight w:val="none"/>
                <w14:textFill>
                  <w14:solidFill>
                    <w14:schemeClr w14:val="tx1"/>
                  </w14:solidFill>
                </w14:textFill>
              </w:rPr>
              <w:t>最低值的</w:t>
            </w:r>
            <w:r>
              <w:rPr>
                <w:rFonts w:hint="eastAsia"/>
                <w:color w:val="000000" w:themeColor="text1"/>
                <w:szCs w:val="21"/>
                <w:highlight w:val="none"/>
                <w:lang w:val="en-US" w:eastAsia="zh-CN"/>
                <w14:textFill>
                  <w14:solidFill>
                    <w14:schemeClr w14:val="tx1"/>
                  </w14:solidFill>
                </w14:textFill>
              </w:rPr>
              <w:t>8</w:t>
            </w:r>
            <w:r>
              <w:rPr>
                <w:rFonts w:hint="eastAsia"/>
                <w:color w:val="000000" w:themeColor="text1"/>
                <w:szCs w:val="21"/>
                <w:highlight w:val="none"/>
                <w14:textFill>
                  <w14:solidFill>
                    <w14:schemeClr w14:val="tx1"/>
                  </w14:solidFill>
                </w14:textFill>
              </w:rPr>
              <w:t>0%</w:t>
            </w:r>
            <w:r>
              <w:rPr>
                <w:rFonts w:hint="eastAsia"/>
                <w:color w:val="000000" w:themeColor="text1"/>
                <w:szCs w:val="21"/>
                <w:highlight w:val="none"/>
                <w:lang w:eastAsia="zh-CN"/>
                <w14:textFill>
                  <w14:solidFill>
                    <w14:schemeClr w14:val="tx1"/>
                  </w14:solidFill>
                </w14:textFill>
              </w:rPr>
              <w:t>以内</w:t>
            </w:r>
            <w:r>
              <w:rPr>
                <w:rFonts w:hint="eastAsia"/>
                <w:color w:val="000000" w:themeColor="text1"/>
                <w:szCs w:val="21"/>
                <w:highlight w:val="none"/>
                <w14:textFill>
                  <w14:solidFill>
                    <w14:schemeClr w14:val="tx1"/>
                  </w14:solidFill>
                </w14:textFill>
              </w:rPr>
              <w:t>；</w:t>
            </w:r>
          </w:p>
        </w:tc>
        <w:tc>
          <w:tcPr>
            <w:tcW w:w="1539" w:type="dxa"/>
            <w:tcBorders>
              <w:top w:val="single" w:color="auto" w:sz="4" w:space="0"/>
              <w:left w:val="nil"/>
              <w:bottom w:val="single" w:color="auto" w:sz="4" w:space="0"/>
              <w:right w:val="single" w:color="auto" w:sz="4" w:space="0"/>
            </w:tcBorders>
            <w:noWrap w:val="0"/>
            <w:vAlign w:val="center"/>
          </w:tcPr>
          <w:p>
            <w:pPr>
              <w:widowControl/>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累计支付至预算审定价及中标价二者中最低值的</w:t>
            </w:r>
            <w:r>
              <w:rPr>
                <w:rFonts w:hint="eastAsia"/>
                <w:color w:val="000000" w:themeColor="text1"/>
                <w:szCs w:val="21"/>
                <w:highlight w:val="none"/>
                <w:lang w:val="en-US" w:eastAsia="zh-CN"/>
                <w14:textFill>
                  <w14:solidFill>
                    <w14:schemeClr w14:val="tx1"/>
                  </w14:solidFill>
                </w14:textFill>
              </w:rPr>
              <w:t>85</w:t>
            </w:r>
            <w:r>
              <w:rPr>
                <w:rFonts w:hint="eastAsia"/>
                <w:color w:val="000000" w:themeColor="text1"/>
                <w:szCs w:val="21"/>
                <w:highlight w:val="none"/>
                <w14:textFill>
                  <w14:solidFill>
                    <w14:schemeClr w14:val="tx1"/>
                  </w14:solidFill>
                </w14:textFill>
              </w:rPr>
              <w:t>%</w:t>
            </w:r>
          </w:p>
          <w:p>
            <w:pPr>
              <w:spacing w:line="360" w:lineRule="auto"/>
              <w:jc w:val="center"/>
              <w:rPr>
                <w:rFonts w:hint="eastAsia"/>
                <w:color w:val="000000" w:themeColor="text1"/>
                <w:szCs w:val="21"/>
                <w:highlight w:val="none"/>
                <w14:textFill>
                  <w14:solidFill>
                    <w14:schemeClr w14:val="tx1"/>
                  </w14:solidFill>
                </w14:textFill>
              </w:rPr>
            </w:pPr>
          </w:p>
        </w:tc>
        <w:tc>
          <w:tcPr>
            <w:tcW w:w="886" w:type="dxa"/>
            <w:tcBorders>
              <w:top w:val="single" w:color="auto" w:sz="4" w:space="0"/>
              <w:left w:val="nil"/>
              <w:bottom w:val="single" w:color="auto" w:sz="4" w:space="0"/>
              <w:right w:val="single" w:color="auto" w:sz="4" w:space="0"/>
            </w:tcBorders>
            <w:noWrap w:val="0"/>
            <w:vAlign w:val="center"/>
          </w:tcPr>
          <w:p>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累计支付至结算审定价</w:t>
            </w:r>
            <w:r>
              <w:rPr>
                <w:rFonts w:hint="eastAsia"/>
                <w:color w:val="000000" w:themeColor="text1"/>
                <w:szCs w:val="21"/>
                <w:highlight w:val="none"/>
                <w:lang w:eastAsia="zh-CN"/>
                <w14:textFill>
                  <w14:solidFill>
                    <w14:schemeClr w14:val="tx1"/>
                  </w14:solidFill>
                </w14:textFill>
              </w:rPr>
              <w:t>的</w:t>
            </w:r>
            <w:r>
              <w:rPr>
                <w:rFonts w:hint="eastAsia"/>
                <w:color w:val="000000" w:themeColor="text1"/>
                <w:szCs w:val="21"/>
                <w:highlight w:val="none"/>
                <w:lang w:val="en-US" w:eastAsia="zh-CN"/>
                <w14:textFill>
                  <w14:solidFill>
                    <w14:schemeClr w14:val="tx1"/>
                  </w14:solidFill>
                </w14:textFill>
              </w:rPr>
              <w:t>90</w:t>
            </w:r>
            <w:r>
              <w:rPr>
                <w:rFonts w:hint="eastAsia"/>
                <w:color w:val="000000" w:themeColor="text1"/>
                <w:szCs w:val="21"/>
                <w:highlight w:val="none"/>
                <w14:textFill>
                  <w14:solidFill>
                    <w14:schemeClr w14:val="tx1"/>
                  </w14:solidFill>
                </w14:textFill>
              </w:rPr>
              <w:t>%</w:t>
            </w:r>
          </w:p>
        </w:tc>
        <w:tc>
          <w:tcPr>
            <w:tcW w:w="1199" w:type="dxa"/>
            <w:tcBorders>
              <w:top w:val="single" w:color="auto" w:sz="4" w:space="0"/>
              <w:left w:val="nil"/>
              <w:bottom w:val="single" w:color="auto" w:sz="4" w:space="0"/>
              <w:right w:val="single" w:color="auto" w:sz="4" w:space="0"/>
            </w:tcBorders>
            <w:noWrap w:val="0"/>
            <w:vAlign w:val="center"/>
          </w:tcPr>
          <w:p>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具体按考核情况支付，</w:t>
            </w:r>
            <w:r>
              <w:rPr>
                <w:rFonts w:hint="eastAsia"/>
                <w:color w:val="000000" w:themeColor="text1"/>
                <w:szCs w:val="21"/>
                <w:highlight w:val="none"/>
                <w14:textFill>
                  <w14:solidFill>
                    <w14:schemeClr w14:val="tx1"/>
                  </w14:solidFill>
                </w14:textFill>
              </w:rPr>
              <w:t>累计</w:t>
            </w:r>
          </w:p>
          <w:p>
            <w:pPr>
              <w:widowControl/>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支付至结算审定价</w:t>
            </w:r>
            <w:r>
              <w:rPr>
                <w:rFonts w:hint="eastAsia"/>
                <w:color w:val="000000" w:themeColor="text1"/>
                <w:szCs w:val="21"/>
                <w:highlight w:val="none"/>
                <w:lang w:eastAsia="zh-CN"/>
                <w14:textFill>
                  <w14:solidFill>
                    <w14:schemeClr w14:val="tx1"/>
                  </w14:solidFill>
                </w14:textFill>
              </w:rPr>
              <w:t>的</w:t>
            </w:r>
            <w:r>
              <w:rPr>
                <w:rFonts w:hint="eastAsia"/>
                <w:color w:val="000000" w:themeColor="text1"/>
                <w:szCs w:val="21"/>
                <w:highlight w:val="none"/>
                <w:lang w:val="en-US" w:eastAsia="zh-CN"/>
                <w14:textFill>
                  <w14:solidFill>
                    <w14:schemeClr w14:val="tx1"/>
                  </w14:solidFill>
                </w14:textFill>
              </w:rPr>
              <w:t>9</w:t>
            </w:r>
            <w:r>
              <w:rPr>
                <w:rFonts w:hint="eastAsia"/>
                <w:color w:val="000000" w:themeColor="text1"/>
                <w:szCs w:val="21"/>
                <w:highlight w:val="none"/>
                <w14:textFill>
                  <w14:solidFill>
                    <w14:schemeClr w14:val="tx1"/>
                  </w14:solidFill>
                </w14:textFill>
              </w:rPr>
              <w:t>7%</w:t>
            </w:r>
          </w:p>
          <w:p>
            <w:pPr>
              <w:widowControl/>
              <w:spacing w:line="300" w:lineRule="exact"/>
              <w:jc w:val="center"/>
              <w:rPr>
                <w:color w:val="000000" w:themeColor="text1"/>
                <w:szCs w:val="21"/>
                <w:highlight w:val="none"/>
                <w14:textFill>
                  <w14:solidFill>
                    <w14:schemeClr w14:val="tx1"/>
                  </w14:solidFill>
                </w14:textFill>
              </w:rPr>
            </w:pPr>
          </w:p>
        </w:tc>
        <w:tc>
          <w:tcPr>
            <w:tcW w:w="856" w:type="dxa"/>
            <w:tcBorders>
              <w:top w:val="single" w:color="auto" w:sz="4" w:space="0"/>
              <w:left w:val="nil"/>
              <w:bottom w:val="single" w:color="auto" w:sz="4" w:space="0"/>
              <w:right w:val="single" w:color="auto" w:sz="4" w:space="0"/>
            </w:tcBorders>
            <w:noWrap w:val="0"/>
            <w:vAlign w:val="center"/>
          </w:tcPr>
          <w:p>
            <w:pPr>
              <w:widowControl/>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累计支付至结算审定价的</w:t>
            </w:r>
          </w:p>
          <w:p>
            <w:pPr>
              <w:widowControl/>
              <w:spacing w:line="360" w:lineRule="auto"/>
              <w:jc w:val="both"/>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100%</w:t>
            </w:r>
          </w:p>
        </w:tc>
      </w:tr>
    </w:tbl>
    <w:p>
      <w:pPr>
        <w:ind w:firstLine="315" w:firstLineChars="150"/>
        <w:rPr>
          <w:rFonts w:hint="eastAsia"/>
          <w:color w:val="000000" w:themeColor="text1"/>
          <w:szCs w:val="21"/>
          <w:highlight w:val="none"/>
          <w14:textFill>
            <w14:solidFill>
              <w14:schemeClr w14:val="tx1"/>
            </w14:solidFill>
          </w14:textFill>
        </w:rPr>
      </w:pPr>
    </w:p>
    <w:p>
      <w:pPr>
        <w:ind w:firstLine="315" w:firstLineChars="15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注：</w:t>
      </w:r>
      <w:r>
        <w:rPr>
          <w:color w:val="000000" w:themeColor="text1"/>
          <w:szCs w:val="21"/>
          <w:highlight w:val="none"/>
          <w14:textFill>
            <w14:solidFill>
              <w14:schemeClr w14:val="tx1"/>
            </w14:solidFill>
          </w14:textFill>
        </w:rPr>
        <w:t>其中每个阶段须提交的资料</w:t>
      </w:r>
      <w:r>
        <w:rPr>
          <w:rFonts w:hint="eastAsia"/>
          <w:color w:val="000000" w:themeColor="text1"/>
          <w:szCs w:val="21"/>
          <w:highlight w:val="none"/>
          <w14:textFill>
            <w14:solidFill>
              <w14:schemeClr w14:val="tx1"/>
            </w14:solidFill>
          </w14:textFill>
        </w:rPr>
        <w:t>必须</w:t>
      </w:r>
      <w:r>
        <w:rPr>
          <w:color w:val="000000" w:themeColor="text1"/>
          <w:szCs w:val="21"/>
          <w:highlight w:val="none"/>
          <w14:textFill>
            <w14:solidFill>
              <w14:schemeClr w14:val="tx1"/>
            </w14:solidFill>
          </w14:textFill>
        </w:rPr>
        <w:t>按</w:t>
      </w:r>
      <w:r>
        <w:rPr>
          <w:rFonts w:hint="eastAsia"/>
          <w:color w:val="000000" w:themeColor="text1"/>
          <w:szCs w:val="21"/>
          <w:highlight w:val="none"/>
          <w14:textFill>
            <w14:solidFill>
              <w14:schemeClr w14:val="tx1"/>
            </w14:solidFill>
          </w14:textFill>
        </w:rPr>
        <w:t>合同文件的规定执行。工程勘察设计费支付前，承包人须提供相应设计文件的可编辑电子版。</w:t>
      </w: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8.2.8 请款程序</w:t>
      </w:r>
    </w:p>
    <w:p>
      <w:pPr>
        <w:spacing w:line="360" w:lineRule="auto"/>
        <w:ind w:left="1"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8.2.8.1乙方向甲方申报各期请款资料（资料必须加盖乙方公章），并开具与甲方审定额等额的增值税发票。</w:t>
      </w:r>
    </w:p>
    <w:p>
      <w:pPr>
        <w:spacing w:line="360" w:lineRule="auto"/>
        <w:ind w:left="1"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8.2.8.2甲方收到完整的请款资料后，向有关审批部门报批支付，审待批准后相关款项以银行转账形式直接支付给乙方。</w:t>
      </w:r>
    </w:p>
    <w:p>
      <w:pPr>
        <w:spacing w:line="360" w:lineRule="auto"/>
        <w:ind w:firstLine="420" w:firstLineChars="200"/>
        <w:rPr>
          <w:rFonts w:hint="eastAsia"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8.2.8.3由于本项目为财政投资，最终的支付方式及支付时间以财政审核为准。</w:t>
      </w:r>
    </w:p>
    <w:p>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第九条　双方责任</w:t>
      </w: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 发包人责任：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9.1.1发包人按本合同第五条规定的内容，在规定的时间内向设计人提交资料及文件，并对其完整性、正确性及时限负责，发包人不得要求设计人违反国家有关标准进行设计。</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9.1.2发包人变更委托设计项目或因提交的资料错误，或所提交资料作较大修改，以致造成设计人设计需返工时，双方除需另行协商签订补充协议(或经发包人确认的书面证明文件)、重新明确有关条款外，发包人应按设计人所耗工作量向设计人支付返工设计费。</w:t>
      </w:r>
    </w:p>
    <w:p>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9.1.3在未签订合同前发包人已同意且发出正式书面通知，设计人为发包人所做的各项设计工作，发包人应支付相应设计费。</w:t>
      </w:r>
    </w:p>
    <w:p>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9.1.4发包人应为赴现场处理有关设计问题的工作人员，提供必要的工作生活及交通等协助，费用由设计人自负。</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9.1.5发包人负责设计文件的审查及各阶段设计文件的报审工作，并向设计人提供上级主管部门对设计文件进行审查后的批复文件。发包人、上级主管部门对设计文件的审查不免除设计人因设计漏项和设计成果不准确等原因引发的后果应承担的责任，但相关报审费用由设计人承担。</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9.1.6发包人有权对设计人的设计工作进行检查，有权要求设计人更换不称职的人员，有权在工作进度滞后时要求设计人增加人员，有权在设计人严重违约时解除合同。</w:t>
      </w:r>
    </w:p>
    <w:p>
      <w:pPr>
        <w:pStyle w:val="20"/>
        <w:spacing w:line="360" w:lineRule="auto"/>
        <w:ind w:firstLine="420" w:firstLineChars="200"/>
        <w:rPr>
          <w:rFonts w:hAnsi="宋体"/>
          <w:color w:val="000000" w:themeColor="text1"/>
          <w:szCs w:val="21"/>
          <w:highlight w:val="none"/>
          <w14:textFill>
            <w14:solidFill>
              <w14:schemeClr w14:val="tx1"/>
            </w14:solidFill>
          </w14:textFill>
        </w:rPr>
      </w:pPr>
    </w:p>
    <w:p>
      <w:pPr>
        <w:spacing w:line="360" w:lineRule="auto"/>
        <w:ind w:firstLine="40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9.2设计人责任：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9.2.1设计人应根据国家技术规范、标准、规程及发包人提出的本合同第四条中设计要求，按本合同第六条规定的内容、时间及份数向发包人交付设计文件。并对提交的设计文件的质量</w:t>
      </w:r>
      <w:r>
        <w:rPr>
          <w:rFonts w:hint="eastAsia" w:ascii="宋体" w:hAnsi="宋体"/>
          <w:color w:val="000000" w:themeColor="text1"/>
          <w:szCs w:val="21"/>
          <w:highlight w:val="none"/>
          <w14:textFill>
            <w14:solidFill>
              <w14:schemeClr w14:val="tx1"/>
            </w14:solidFill>
          </w14:textFill>
        </w:rPr>
        <w:t>、合法性、完整性</w:t>
      </w:r>
      <w:r>
        <w:rPr>
          <w:rFonts w:ascii="宋体" w:hAnsi="宋体"/>
          <w:color w:val="000000" w:themeColor="text1"/>
          <w:szCs w:val="21"/>
          <w:highlight w:val="none"/>
          <w14:textFill>
            <w14:solidFill>
              <w14:schemeClr w14:val="tx1"/>
            </w14:solidFill>
          </w14:textFill>
        </w:rPr>
        <w:t>负责，保证能取得相关审批部门的批准或审核许可。</w:t>
      </w:r>
    </w:p>
    <w:p>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9.2.2设计人采用的主要技术标准是：国家相关的法律、法规及其他最新法规、设计规范。设计文件中选用的国家标准图、部标准图及地方标准图由设计人负责提供。</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9.2.3 设计人应在发包人的协助下收集与本工程设计有关的资料。</w:t>
      </w:r>
    </w:p>
    <w:p>
      <w:pPr>
        <w:spacing w:line="360" w:lineRule="auto"/>
        <w:ind w:firstLine="42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9.2.4设计合理使用年限为 </w:t>
      </w:r>
      <w:r>
        <w:rPr>
          <w:rFonts w:ascii="宋体" w:hAnsi="宋体"/>
          <w:color w:val="000000" w:themeColor="text1"/>
          <w:szCs w:val="21"/>
          <w:highlight w:val="none"/>
          <w:u w:val="single"/>
          <w14:textFill>
            <w14:solidFill>
              <w14:schemeClr w14:val="tx1"/>
            </w14:solidFill>
          </w14:textFill>
        </w:rPr>
        <w:t xml:space="preserve"> 五十  </w:t>
      </w:r>
      <w:r>
        <w:rPr>
          <w:rFonts w:ascii="宋体" w:hAnsi="宋体"/>
          <w:color w:val="000000" w:themeColor="text1"/>
          <w:szCs w:val="21"/>
          <w:highlight w:val="none"/>
          <w14:textFill>
            <w14:solidFill>
              <w14:schemeClr w14:val="tx1"/>
            </w14:solidFill>
          </w14:textFill>
        </w:rPr>
        <w:t>年。</w:t>
      </w:r>
      <w:r>
        <w:rPr>
          <w:rFonts w:ascii="宋体" w:hAnsi="宋体"/>
          <w:color w:val="000000" w:themeColor="text1"/>
          <w:szCs w:val="21"/>
          <w:highlight w:val="none"/>
          <w14:textFill>
            <w14:solidFill>
              <w14:schemeClr w14:val="tx1"/>
            </w14:solidFill>
          </w14:textFill>
        </w:rPr>
        <w:cr/>
      </w:r>
      <w:r>
        <w:rPr>
          <w:rFonts w:ascii="宋体" w:hAnsi="宋体"/>
          <w:color w:val="000000" w:themeColor="text1"/>
          <w:szCs w:val="21"/>
          <w:highlight w:val="none"/>
          <w14:textFill>
            <w14:solidFill>
              <w14:schemeClr w14:val="tx1"/>
            </w14:solidFill>
          </w14:textFill>
        </w:rPr>
        <w:t xml:space="preserve">    9.2.5设计人需配合施工单位进行施工期间交通组织设计工作，本年内项目开始施工，负责向发包人及施工单位进行设计交底、并配合发包人做好施工图审查工作、处理有关设计问题和按照有关规定参加施工过程的检查验收及竣工验收。在一年内项目尚未开始施工，设计人仍负责上述工作，但发包人不再补偿其他费用。</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9.2.6设计人交付设计资料及文件后，按规定参加有关的设计审查，设计人应根据审查结论负责进行必要修改和补充，若修改内容较多，设计人应重新编制设计文件，发包人不为此支付额外费用。</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9.2.7 图纸的文件格式要求</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9.2.7.1设计人在完成全部的设计工作后，应提供二份完整的未加密的可编辑的各阶段设计电子版给发包人。同时按照合同约定提供相应的施工图设计文件</w:t>
      </w:r>
      <w:r>
        <w:rPr>
          <w:rFonts w:hint="eastAsia" w:ascii="宋体" w:hAnsi="宋体"/>
          <w:color w:val="000000" w:themeColor="text1"/>
          <w:szCs w:val="21"/>
          <w:highlight w:val="none"/>
          <w14:textFill>
            <w14:solidFill>
              <w14:schemeClr w14:val="tx1"/>
            </w14:solidFill>
          </w14:textFill>
        </w:rPr>
        <w:t>,相关的费用已包含在设计费中</w:t>
      </w:r>
      <w:r>
        <w:rPr>
          <w:rFonts w:ascii="宋体" w:hAnsi="宋体"/>
          <w:color w:val="000000" w:themeColor="text1"/>
          <w:szCs w:val="21"/>
          <w:highlight w:val="none"/>
          <w14:textFill>
            <w14:solidFill>
              <w14:schemeClr w14:val="tx1"/>
            </w14:solidFill>
          </w14:textFill>
        </w:rPr>
        <w:t>。</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9.2.7.2设计人需配合发包人的招标工作，按发包人的网上招标需求提供所有设计图纸的电子文件（含可编辑的CAD和不可编辑的PDF文件、编制技术文件、主要材料设备表和工程量清单等word电子文件），此类文件均属于可公开发布文件，发包人不会因此承担知识产权泄露等法律责任。</w:t>
      </w:r>
    </w:p>
    <w:p>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9.2.8工程预算书编制的要求</w:t>
      </w:r>
    </w:p>
    <w:p>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9.2.8.1统一使用广联达软件，向发包人提供用于发包人审核的以下预算文件：①响应招标文件要求的纸质工程造价文件一套，②对应第①点的纸质文件的GBQ套价文件（电子版），③若为土建工程，则需提供与第①点相应的GCL工程算量文件（电子版）、GGJ钢筋抽料文件（电子版）。</w:t>
      </w:r>
    </w:p>
    <w:p>
      <w:pPr>
        <w:pStyle w:val="2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9.2.8.2工程</w:t>
      </w:r>
      <w:r>
        <w:rPr>
          <w:rFonts w:hint="eastAsia" w:hAnsi="宋体"/>
          <w:color w:val="000000" w:themeColor="text1"/>
          <w:sz w:val="21"/>
          <w:szCs w:val="21"/>
          <w:highlight w:val="none"/>
          <w:lang w:val="en-US" w:eastAsia="zh-CN"/>
          <w14:textFill>
            <w14:solidFill>
              <w14:schemeClr w14:val="tx1"/>
            </w14:solidFill>
          </w14:textFill>
        </w:rPr>
        <w:t>预</w:t>
      </w:r>
      <w:r>
        <w:rPr>
          <w:rFonts w:hint="eastAsia" w:hAnsi="宋体"/>
          <w:color w:val="000000" w:themeColor="text1"/>
          <w:sz w:val="21"/>
          <w:szCs w:val="21"/>
          <w:highlight w:val="none"/>
          <w14:textFill>
            <w14:solidFill>
              <w14:schemeClr w14:val="tx1"/>
            </w14:solidFill>
          </w14:textFill>
        </w:rPr>
        <w:t>算文件中应包含国标规范中完整的《工程量清单的表格》，同时能反映费率（规费费率、措施项目费率等）取定的表格。 工程量清单中的“项目名称”一列，应包括清晰准确的“项目特征描述”，必要时增加“工作内容描述”。</w:t>
      </w:r>
    </w:p>
    <w:p>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9.2.9 设计人应保护发包人的知识产权，不得向第三人泄露、转让发包人提交的产品图纸等技术经济资料。如发生以上情况并给发包人造成经济损失，发包人有权向设计人索赔。</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9.2.10设计人应严格按照“设计管理细则”（见附件1）的要求与内容开展工作。</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9.2.11 本项目委派设计人员及分工（见附件2），未经发包人同意，表内人员不能调换。</w:t>
      </w:r>
    </w:p>
    <w:p>
      <w:pPr>
        <w:spacing w:line="360" w:lineRule="auto"/>
        <w:ind w:right="-120"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9.2.12设计人违反第9.2.1点至第9.2.11点的其中任何一项约定，发包人有权扣减设计费2‰，并要求设计人继续履行合同义务。</w:t>
      </w: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第十条  违约责任：</w:t>
      </w:r>
    </w:p>
    <w:p>
      <w:pPr>
        <w:pStyle w:val="20"/>
        <w:spacing w:line="360" w:lineRule="auto"/>
        <w:ind w:firstLine="420" w:firstLineChars="200"/>
        <w:rPr>
          <w:rFonts w:hint="eastAsia" w:ascii="宋体" w:hAnsi="宋体" w:eastAsia="宋体" w:cs="Times New Roman"/>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10.1 本工程无设计定金。在合同履行期间，发包人要求终止或解除合同，设计人未开始设计工作的，则发包人不支付任何赔偿费用；已开始设计工作的，发包人应根据设计人已进行的实际工作量，不足一半</w:t>
      </w:r>
      <w:r>
        <w:rPr>
          <w:rFonts w:hint="eastAsia" w:ascii="宋体" w:hAnsi="宋体" w:eastAsia="宋体" w:cs="Times New Roman"/>
          <w:color w:val="000000" w:themeColor="text1"/>
          <w:sz w:val="21"/>
          <w:szCs w:val="21"/>
          <w:highlight w:val="none"/>
          <w14:textFill>
            <w14:solidFill>
              <w14:schemeClr w14:val="tx1"/>
            </w14:solidFill>
          </w14:textFill>
        </w:rPr>
        <w:t>时，按该阶段设计费的一半支付；超过一半时，按该阶段设计费的全部支付。</w:t>
      </w:r>
    </w:p>
    <w:p>
      <w:pPr>
        <w:pStyle w:val="20"/>
        <w:spacing w:line="360" w:lineRule="auto"/>
        <w:ind w:firstLine="420" w:firstLineChars="200"/>
        <w:rPr>
          <w:rFonts w:hint="eastAsia" w:ascii="宋体" w:hAnsi="宋体" w:eastAsia="宋体" w:cs="Times New Roman"/>
          <w:color w:val="000000" w:themeColor="text1"/>
          <w:sz w:val="21"/>
          <w:szCs w:val="21"/>
          <w:highlight w:val="none"/>
          <w14:textFill>
            <w14:solidFill>
              <w14:schemeClr w14:val="tx1"/>
            </w14:solidFill>
          </w14:textFill>
        </w:rPr>
      </w:pPr>
      <w:r>
        <w:rPr>
          <w:rFonts w:hint="eastAsia" w:ascii="宋体" w:hAnsi="宋体" w:eastAsia="宋体" w:cs="Times New Roman"/>
          <w:color w:val="000000" w:themeColor="text1"/>
          <w:sz w:val="21"/>
          <w:szCs w:val="21"/>
          <w:highlight w:val="none"/>
          <w14:textFill>
            <w14:solidFill>
              <w14:schemeClr w14:val="tx1"/>
            </w14:solidFill>
          </w14:textFill>
        </w:rPr>
        <w:t>10.2发包人应按本合同第八条规定的金额和时间向设计人支付设计费。逾期超过30日历天的，设计人有权暂停履行下阶段工作，并书面通知发包人。发包人的上级或设计审批部门对设计文件不审批或本合同项目停缓建，发包人均按10.1条规定支付设计费。</w:t>
      </w:r>
    </w:p>
    <w:p>
      <w:pPr>
        <w:pStyle w:val="2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10.3设计人对设计资料及文件出现的遗漏或错误负责修改或补充。由于设计人错误造成工程质量事故损失，设计人除负责采取补救措施外，应免收直接受损失部分的设计费。损失严重的根据损失的程度和设计人责任大小向发包人支付赔偿金，赔偿金由双方商定为实际受损失的100%。</w:t>
      </w:r>
    </w:p>
    <w:p>
      <w:pPr>
        <w:pStyle w:val="2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因设计人设计资料及文件出现遗漏或错误（含设计变更）造成工程费用增加，增加费用为施工合同总价3~10%（含3%、10%）的，发包人按照增加费用占施工合同总价的比例相应扣减设计费；增加费用为施工合同总价10%以上的，发包人将按照增加费用的比例双倍扣减设计费。</w:t>
      </w:r>
    </w:p>
    <w:p>
      <w:pPr>
        <w:pStyle w:val="2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10.4由于设计人自身原因，延误了未按本合同第六条规定的时间提交符合要求的各阶段勘察设计成果的设计资料及设计文件的交付时间，设计人应采取必要的赶工措施以尽快交付设计文件，若发包人要求增加设计人员，设计人应立即予以执行，同时，设计人按每延误一天，按设计费</w:t>
      </w:r>
      <w:r>
        <w:rPr>
          <w:rFonts w:hint="eastAsia" w:hAnsi="宋体"/>
          <w:color w:val="000000" w:themeColor="text1"/>
          <w:sz w:val="21"/>
          <w:szCs w:val="21"/>
          <w:highlight w:val="none"/>
          <w:lang w:eastAsia="zh-CN"/>
          <w14:textFill>
            <w14:solidFill>
              <w14:schemeClr w14:val="tx1"/>
            </w14:solidFill>
          </w14:textFill>
        </w:rPr>
        <w:t>3</w:t>
      </w:r>
      <w:r>
        <w:rPr>
          <w:rFonts w:hint="eastAsia" w:hAnsi="宋体"/>
          <w:color w:val="000000" w:themeColor="text1"/>
          <w:sz w:val="21"/>
          <w:szCs w:val="21"/>
          <w:highlight w:val="none"/>
          <w:lang w:val="en-US" w:eastAsia="zh-CN"/>
          <w14:textFill>
            <w14:solidFill>
              <w14:schemeClr w14:val="tx1"/>
            </w14:solidFill>
          </w14:textFill>
        </w:rPr>
        <w:t>000元/天</w:t>
      </w:r>
      <w:r>
        <w:rPr>
          <w:rFonts w:hint="eastAsia" w:hAnsi="宋体"/>
          <w:color w:val="000000" w:themeColor="text1"/>
          <w:sz w:val="21"/>
          <w:szCs w:val="21"/>
          <w:highlight w:val="none"/>
          <w14:textFill>
            <w14:solidFill>
              <w14:schemeClr w14:val="tx1"/>
            </w14:solidFill>
          </w14:textFill>
        </w:rPr>
        <w:t>的标准扣减设计费；逾期超过10个日历天，除扣减设计费外，发包人有权解除本合同，另行委托他人完成余下的勘察设计服务工作，相关费用按《工程勘察设计收费标准（2002年修订本）》计算后在合同价中扣减，如造成发包人其他损失的，设计人仍应继续承担赔偿责任。10.5 在项目设计阶段或工程施工过程中，发包人提前书面通知设计人（若遇紧急情况，发包人将以口头通知），设计项目负责人无故不到施工现场的，若在规定时间内未到场时间超过2小时到达的，发包人将以每次罚3000元/人标准扣减设计费，其它专业设计人无故不到施工现场的，以每次罚1500元/人标准扣减设计费，依次类推计算。发包人书面通知设计人进行变更设计，在限期内设计人不提供设计变更图纸与资料，愈逾期1天，发包人将按设计费合同暂定价款的2%标准扣减设计费，依次累计。</w:t>
      </w:r>
    </w:p>
    <w:p>
      <w:pPr>
        <w:pStyle w:val="20"/>
        <w:spacing w:line="360" w:lineRule="auto"/>
        <w:ind w:firstLine="420" w:firstLineChars="200"/>
        <w:rPr>
          <w:rFonts w:hint="eastAsia" w:hAnsi="宋体"/>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10.6 进入施工阶段后，因设计人原因导致工期延误2天以上的，从延误之日开始，设计人每日须按照</w:t>
      </w:r>
      <w:r>
        <w:rPr>
          <w:rFonts w:hint="eastAsia" w:hAnsi="宋体"/>
          <w:color w:val="000000" w:themeColor="text1"/>
          <w:sz w:val="21"/>
          <w:szCs w:val="21"/>
          <w:highlight w:val="none"/>
          <w:lang w:eastAsia="zh-CN"/>
          <w14:textFill>
            <w14:solidFill>
              <w14:schemeClr w14:val="tx1"/>
            </w14:solidFill>
          </w14:textFill>
        </w:rPr>
        <w:t>3</w:t>
      </w:r>
      <w:r>
        <w:rPr>
          <w:rFonts w:hint="eastAsia" w:hAnsi="宋体"/>
          <w:color w:val="000000" w:themeColor="text1"/>
          <w:sz w:val="21"/>
          <w:szCs w:val="21"/>
          <w:highlight w:val="none"/>
          <w:lang w:val="en-US" w:eastAsia="zh-CN"/>
          <w14:textFill>
            <w14:solidFill>
              <w14:schemeClr w14:val="tx1"/>
            </w14:solidFill>
          </w14:textFill>
        </w:rPr>
        <w:t>000元/天的</w:t>
      </w:r>
      <w:r>
        <w:rPr>
          <w:rFonts w:hint="eastAsia" w:hAnsi="宋体"/>
          <w:color w:val="000000" w:themeColor="text1"/>
          <w:sz w:val="21"/>
          <w:szCs w:val="21"/>
          <w:highlight w:val="none"/>
          <w14:textFill>
            <w14:solidFill>
              <w14:schemeClr w14:val="tx1"/>
            </w14:solidFill>
          </w14:textFill>
        </w:rPr>
        <w:t>标准向发包人支付违约金。</w:t>
      </w:r>
    </w:p>
    <w:p>
      <w:pPr>
        <w:pStyle w:val="20"/>
        <w:spacing w:line="360" w:lineRule="auto"/>
        <w:ind w:firstLine="420" w:firstLineChars="200"/>
        <w:rPr>
          <w:rFonts w:hint="eastAsia" w:hAnsi="宋体"/>
          <w:dstrike/>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10.7合同生效后，设计人要求终止或解除合同，设计人应双倍返还设计费合同价款，造成发包人损失的，仍须继续承担赔偿责任。</w:t>
      </w:r>
    </w:p>
    <w:p>
      <w:pPr>
        <w:pStyle w:val="20"/>
        <w:spacing w:line="360" w:lineRule="auto"/>
        <w:ind w:firstLine="420" w:firstLineChars="200"/>
        <w:rPr>
          <w:rFonts w:hint="eastAsia"/>
          <w:color w:val="000000" w:themeColor="text1"/>
          <w:sz w:val="21"/>
          <w:szCs w:val="21"/>
          <w:highlight w:val="none"/>
          <w14:textFill>
            <w14:solidFill>
              <w14:schemeClr w14:val="tx1"/>
            </w14:solidFill>
          </w14:textFill>
        </w:rPr>
      </w:pPr>
      <w:r>
        <w:rPr>
          <w:rFonts w:hint="eastAsia" w:hAnsi="宋体"/>
          <w:color w:val="000000" w:themeColor="text1"/>
          <w:sz w:val="21"/>
          <w:szCs w:val="21"/>
          <w:highlight w:val="none"/>
          <w14:textFill>
            <w14:solidFill>
              <w14:schemeClr w14:val="tx1"/>
            </w14:solidFill>
          </w14:textFill>
        </w:rPr>
        <w:t>10.8 本工程严禁转包或</w:t>
      </w:r>
      <w:r>
        <w:rPr>
          <w:rFonts w:hint="eastAsia" w:hAnsi="宋体"/>
          <w:color w:val="000000" w:themeColor="text1"/>
          <w:sz w:val="21"/>
          <w:szCs w:val="21"/>
          <w:highlight w:val="none"/>
          <w:lang w:eastAsia="zh-CN"/>
          <w14:textFill>
            <w14:solidFill>
              <w14:schemeClr w14:val="tx1"/>
            </w14:solidFill>
          </w14:textFill>
        </w:rPr>
        <w:t>违法</w:t>
      </w:r>
      <w:r>
        <w:rPr>
          <w:rFonts w:hint="eastAsia" w:hAnsi="宋体"/>
          <w:color w:val="000000" w:themeColor="text1"/>
          <w:sz w:val="21"/>
          <w:szCs w:val="21"/>
          <w:highlight w:val="none"/>
          <w14:textFill>
            <w14:solidFill>
              <w14:schemeClr w14:val="tx1"/>
            </w14:solidFill>
          </w14:textFill>
        </w:rPr>
        <w:t>分包，一经发现，发包人有权终止本合同，并有权要求设计人按照设计费合同价暂定价款的30%支付违约金，如违约金不足以赔偿发包人遭受的损失，设计人仍应继续承担赔偿责任。</w:t>
      </w:r>
    </w:p>
    <w:p>
      <w:pPr>
        <w:spacing w:line="360" w:lineRule="auto"/>
        <w:rPr>
          <w:rFonts w:hint="eastAsia" w:ascii="宋体" w:hAnsi="宋体"/>
          <w:color w:val="000000" w:themeColor="text1"/>
          <w:szCs w:val="21"/>
          <w:highlight w:val="none"/>
          <w14:textFill>
            <w14:solidFill>
              <w14:schemeClr w14:val="tx1"/>
            </w14:solidFill>
          </w14:textFill>
        </w:rPr>
      </w:pPr>
    </w:p>
    <w:p>
      <w:pPr>
        <w:spacing w:line="360" w:lineRule="auto"/>
        <w:ind w:firstLine="358" w:firstLineChars="17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第十一条　仲裁、起诉</w:t>
      </w:r>
    </w:p>
    <w:p>
      <w:pPr>
        <w:spacing w:line="360" w:lineRule="auto"/>
        <w:ind w:firstLine="525" w:firstLineChars="2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本合同在履行过程中发生的争议，双方当事人协商解决，协商不成的按下列第（二）种方式解决：</w:t>
      </w:r>
    </w:p>
    <w:p>
      <w:pPr>
        <w:spacing w:line="360" w:lineRule="auto"/>
        <w:ind w:firstLine="7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（一）提交广州仲裁委员会仲裁； </w:t>
      </w:r>
    </w:p>
    <w:p>
      <w:pPr>
        <w:spacing w:line="360" w:lineRule="auto"/>
        <w:ind w:firstLine="7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（二）依法向广州市番禺区人民法院起诉。</w:t>
      </w:r>
    </w:p>
    <w:p>
      <w:pPr>
        <w:spacing w:line="360" w:lineRule="auto"/>
        <w:ind w:firstLine="720"/>
        <w:rPr>
          <w:rFonts w:hint="eastAsia" w:ascii="宋体" w:hAnsi="宋体"/>
          <w:color w:val="000000" w:themeColor="text1"/>
          <w:szCs w:val="21"/>
          <w:highlight w:val="none"/>
          <w14:textFill>
            <w14:solidFill>
              <w14:schemeClr w14:val="tx1"/>
            </w14:solidFill>
          </w14:textFill>
        </w:rPr>
      </w:pPr>
    </w:p>
    <w:p>
      <w:pPr>
        <w:spacing w:line="360" w:lineRule="auto"/>
        <w:ind w:firstLine="413" w:firstLineChars="196"/>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第十二条  其它约定事项：</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12.1设计人必须在接到发包人发出的正式书面开工通知后，马上开展设计工作；否则，由于设计人擅自进行设计工作所发生的费用，由设计人自行承担，发包人不予支付。</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本合同生效之日起至工程竣工验收合格后满一年止为服务期限。工程投入使用后，若发现工程设计未能满足本合同的要求，设计人必须继续提供服务，直至通过质量保修期满的验收为止。上述延期服务，发包人不额外支付费用。</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12.3 设计人必须经发包人同意才能开展各分项工程的设计工作。若因规划调整或行政区域划分等行政原因，导致本工程下某子项目无法正常开展或终止的，发包人有权终止该子项目未实施的设计工作，设计费用按实际完成量结算。</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12.4 发包人所提供的设计依据仅为参考，最终以政府规划部门批复的相关文件为准、由此产生的设计修改费已包含在合同价款内。</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12.5发包人委托设计人承担本合同内容以外的工作服务，另行签订协议并支付费用。</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12.6  由于不可抗力因素致使合同无法履行时，双方应及时协商解决。</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12.7  本合同项下的标的物的知识产权归发包人所有。</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12.8  双方认可的来往电报、传真、会议纪要等，均为本合同组成部分，与本合同具有同等法律效力。</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12.9  未尽事宜，经双方协商一致，签订补充协议，补充协议与本合同具有同等效力。</w:t>
      </w:r>
    </w:p>
    <w:p>
      <w:pPr>
        <w:spacing w:line="360" w:lineRule="auto"/>
        <w:ind w:firstLine="316" w:firstLineChars="150"/>
        <w:rPr>
          <w:rFonts w:hint="eastAsia" w:ascii="宋体" w:hAnsi="宋体"/>
          <w:b/>
          <w:color w:val="000000" w:themeColor="text1"/>
          <w:szCs w:val="21"/>
          <w:highlight w:val="none"/>
          <w14:textFill>
            <w14:solidFill>
              <w14:schemeClr w14:val="tx1"/>
            </w14:solidFill>
          </w14:textFill>
        </w:rPr>
      </w:pPr>
    </w:p>
    <w:p>
      <w:pPr>
        <w:spacing w:line="360" w:lineRule="auto"/>
        <w:ind w:firstLine="316" w:firstLineChars="15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第十三条  合同生效及份数</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13.1本合同双方约定自双方</w:t>
      </w:r>
      <w:r>
        <w:rPr>
          <w:rFonts w:hint="eastAsia"/>
          <w:color w:val="000000" w:themeColor="text1"/>
          <w:szCs w:val="21"/>
          <w:highlight w:val="none"/>
          <w14:textFill>
            <w14:solidFill>
              <w14:schemeClr w14:val="tx1"/>
            </w14:solidFill>
          </w14:textFill>
        </w:rPr>
        <w:t>法定代表人或</w:t>
      </w:r>
      <w:r>
        <w:rPr>
          <w:rFonts w:hint="eastAsia" w:ascii="宋体" w:hAnsi="宋体"/>
          <w:color w:val="000000" w:themeColor="text1"/>
          <w:szCs w:val="21"/>
          <w:highlight w:val="none"/>
          <w14:textFill>
            <w14:solidFill>
              <w14:schemeClr w14:val="tx1"/>
            </w14:solidFill>
          </w14:textFill>
        </w:rPr>
        <w:t>授权代理人签字（或签章）及加盖公章之日起生效。双方履行完合同规定的义务后，本合同即行终止。</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13.2本合同一式九份，各份具同等法律效力。其中正本两份，双方各执一份；副本七份，发包人执四份，设计人执三份。当正、副本所表述的内容不一致时，以正本为准。</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p>
    <w:p>
      <w:pPr>
        <w:spacing w:line="360" w:lineRule="auto"/>
        <w:ind w:firstLine="211" w:firstLineChars="100"/>
        <w:rPr>
          <w:rFonts w:hint="eastAsia" w:ascii="宋体" w:hAnsi="宋体" w:eastAsia="宋体" w:cs="Times New Roman"/>
          <w:b w:val="0"/>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第十四条  合同附件</w:t>
      </w:r>
    </w:p>
    <w:p>
      <w:pPr>
        <w:spacing w:line="360" w:lineRule="auto"/>
        <w:ind w:left="0" w:firstLine="210" w:firstLineChars="100"/>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14.1  合同附件是本合同的组成部份，具有与本合同相同的法律效力。</w:t>
      </w:r>
      <w:r>
        <w:rPr>
          <w:rFonts w:hint="eastAsia" w:ascii="宋体" w:hAnsi="宋体" w:eastAsia="宋体" w:cs="Times New Roman"/>
          <w:color w:val="000000" w:themeColor="text1"/>
          <w:sz w:val="21"/>
          <w:szCs w:val="21"/>
          <w:highlight w:val="none"/>
          <w14:textFill>
            <w14:solidFill>
              <w14:schemeClr w14:val="tx1"/>
            </w14:solidFill>
          </w14:textFill>
        </w:rPr>
        <w:t>设计合同条款</w:t>
      </w:r>
      <w:r>
        <w:rPr>
          <w:rFonts w:hint="eastAsia" w:ascii="宋体" w:hAnsi="宋体"/>
          <w:color w:val="000000" w:themeColor="text1"/>
          <w:szCs w:val="21"/>
          <w:highlight w:val="none"/>
          <w14:textFill>
            <w14:solidFill>
              <w14:schemeClr w14:val="tx1"/>
            </w14:solidFill>
          </w14:textFill>
        </w:rPr>
        <w:t>附件如下：</w:t>
      </w:r>
    </w:p>
    <w:p>
      <w:pPr>
        <w:spacing w:line="360" w:lineRule="auto"/>
        <w:ind w:left="479" w:leftChars="228"/>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附件1.</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设计管理细则</w:t>
      </w:r>
    </w:p>
    <w:p>
      <w:pPr>
        <w:spacing w:line="360" w:lineRule="auto"/>
        <w:ind w:left="479" w:leftChars="228"/>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附件2</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本项目设计人员分工表</w:t>
      </w:r>
    </w:p>
    <w:p>
      <w:pPr>
        <w:spacing w:line="360" w:lineRule="auto"/>
        <w:ind w:left="567" w:leftChars="27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设计人银行开户许可证（或开户申请）</w:t>
      </w:r>
    </w:p>
    <w:p>
      <w:pPr>
        <w:tabs>
          <w:tab w:val="left" w:pos="450"/>
        </w:tabs>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(以下无正文)</w:t>
      </w:r>
      <w:r>
        <w:rPr>
          <w:rFonts w:ascii="宋体" w:hAnsi="宋体"/>
          <w:color w:val="000000" w:themeColor="text1"/>
          <w:szCs w:val="21"/>
          <w:highlight w:val="none"/>
          <w14:textFill>
            <w14:solidFill>
              <w14:schemeClr w14:val="tx1"/>
            </w14:solidFill>
          </w14:textFill>
        </w:rPr>
        <w:br w:type="page"/>
      </w:r>
      <w:r>
        <w:rPr>
          <w:rFonts w:hint="eastAsia" w:ascii="宋体" w:hAnsi="宋体" w:eastAsia="宋体" w:cs="Times New Roman"/>
          <w:color w:val="000000" w:themeColor="text1"/>
          <w:sz w:val="21"/>
          <w:szCs w:val="21"/>
          <w:highlight w:val="none"/>
          <w14:textFill>
            <w14:solidFill>
              <w14:schemeClr w14:val="tx1"/>
            </w14:solidFill>
          </w14:textFill>
        </w:rPr>
        <w:t>设计合同条款</w:t>
      </w:r>
      <w:r>
        <w:rPr>
          <w:rFonts w:hint="eastAsia" w:ascii="宋体" w:hAnsi="宋体" w:eastAsia="宋体" w:cs="Times New Roman"/>
          <w:color w:val="000000" w:themeColor="text1"/>
          <w:szCs w:val="21"/>
          <w:highlight w:val="none"/>
          <w14:textFill>
            <w14:solidFill>
              <w14:schemeClr w14:val="tx1"/>
            </w14:solidFill>
          </w14:textFill>
        </w:rPr>
        <w:t>附</w:t>
      </w:r>
      <w:r>
        <w:rPr>
          <w:rFonts w:hint="eastAsia" w:ascii="宋体" w:hAnsi="宋体"/>
          <w:color w:val="000000" w:themeColor="text1"/>
          <w:szCs w:val="21"/>
          <w:highlight w:val="none"/>
          <w14:textFill>
            <w14:solidFill>
              <w14:schemeClr w14:val="tx1"/>
            </w14:solidFill>
          </w14:textFill>
        </w:rPr>
        <w:t>件1：</w:t>
      </w: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设计管理细则</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一、设计投资控制管理</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为了有效控制建设工程投资，防止概算超估算、预算超概算、决算超预算的“三超”现象的产生，在设计过程中推行限额设计。按照批准的可行性报告和投资估算控制设计，在保证使用功能的前提下，各专业按分配的投资额进行设计，保证工程总投资额不被突破。设计人负责编制各阶段相应的投资估（概、预）算，由发包人整理后报财政部门或发包人委托的工程造价咨询单位审核。</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1.2．设计人应在设计进展过程中及阶段设计完成时，及时对已经完成的图纸内容进行估价，并与限额设计指标进行比较，使设计满足限额设计指标的要求。</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1.3．施工图预算超限额设计指标的比例，与设计费挂钩，给予设计人一定的经济处罚，并要求设计人无条件修改，直至满足限额设计指标的要求。 </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1.4．鼓励设计人应用价值工程，在不降低使用功能、效果的前提下，实行设计方案优化，节省投资的比例同设计费挂钩，以调动设计人员的主观能动性和创造性。 </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1.5．由于设计人的原因造成的设计变更而产生的投资失控，设计人应承担相应的责任。</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 设计人遵循功能适用、标准合理、经济合理的原则开展设计，在投资限额目标的基础上结合项目设计内容进一步分解投资，明确投资控制主要指标，在编制设计概、预算时逐步细化落实。</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 设计人在限额设计范围内应充分运用性价比分析、多方案（不少于2个）技术经济比较等技术手段，对设计方案进行优化。在所有方案比较的过程中，必须进行相应深度的投资估算比较，确保方案的可行性，并提供相应的工程数量表、主要材料表、主要设备清单等，在确保工程质量的前提下，降低工程投资。</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1.8．设计人应在满足功能及质量要求的前提下，不超过计划投资。</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w:t>
      </w:r>
      <w:r>
        <w:rPr>
          <w:rFonts w:ascii="宋体" w:hAnsi="宋体"/>
          <w:color w:val="000000" w:themeColor="text1"/>
          <w:szCs w:val="21"/>
          <w:highlight w:val="none"/>
          <w14:textFill>
            <w14:solidFill>
              <w14:schemeClr w14:val="tx1"/>
            </w14:solidFill>
          </w14:textFill>
        </w:rPr>
        <w:t xml:space="preserve"> 若设计人编制的初步设计概算</w:t>
      </w:r>
      <w:r>
        <w:rPr>
          <w:rFonts w:hint="eastAsia" w:ascii="宋体" w:hAnsi="宋体"/>
          <w:color w:val="000000" w:themeColor="text1"/>
          <w:szCs w:val="21"/>
          <w:highlight w:val="none"/>
          <w14:textFill>
            <w14:solidFill>
              <w14:schemeClr w14:val="tx1"/>
            </w14:solidFill>
          </w14:textFill>
        </w:rPr>
        <w:t>超</w:t>
      </w:r>
      <w:r>
        <w:rPr>
          <w:rFonts w:ascii="宋体" w:hAnsi="宋体"/>
          <w:color w:val="000000" w:themeColor="text1"/>
          <w:szCs w:val="21"/>
          <w:highlight w:val="none"/>
          <w14:textFill>
            <w14:solidFill>
              <w14:schemeClr w14:val="tx1"/>
            </w14:solidFill>
          </w14:textFill>
        </w:rPr>
        <w:t>出审定的</w:t>
      </w:r>
      <w:r>
        <w:rPr>
          <w:rFonts w:hint="eastAsia" w:ascii="宋体" w:hAnsi="宋体"/>
          <w:color w:val="000000" w:themeColor="text1"/>
          <w:szCs w:val="21"/>
          <w:highlight w:val="none"/>
          <w14:textFill>
            <w14:solidFill>
              <w14:schemeClr w14:val="tx1"/>
            </w14:solidFill>
          </w14:textFill>
        </w:rPr>
        <w:t>投资估</w:t>
      </w:r>
      <w:r>
        <w:rPr>
          <w:rFonts w:ascii="宋体" w:hAnsi="宋体"/>
          <w:color w:val="000000" w:themeColor="text1"/>
          <w:szCs w:val="21"/>
          <w:highlight w:val="none"/>
          <w14:textFill>
            <w14:solidFill>
              <w14:schemeClr w14:val="tx1"/>
            </w14:solidFill>
          </w14:textFill>
        </w:rPr>
        <w:t>算，设计人须根据评审专家和</w:t>
      </w:r>
      <w:r>
        <w:rPr>
          <w:rFonts w:hint="eastAsia" w:ascii="宋体" w:hAnsi="宋体"/>
          <w:color w:val="000000" w:themeColor="text1"/>
          <w:szCs w:val="21"/>
          <w:highlight w:val="none"/>
          <w14:textFill>
            <w14:solidFill>
              <w14:schemeClr w14:val="tx1"/>
            </w14:solidFill>
          </w14:textFill>
        </w:rPr>
        <w:t>发包人</w:t>
      </w:r>
      <w:r>
        <w:rPr>
          <w:rFonts w:ascii="宋体" w:hAnsi="宋体"/>
          <w:color w:val="000000" w:themeColor="text1"/>
          <w:szCs w:val="21"/>
          <w:highlight w:val="none"/>
          <w14:textFill>
            <w14:solidFill>
              <w14:schemeClr w14:val="tx1"/>
            </w14:solidFill>
          </w14:textFill>
        </w:rPr>
        <w:t>意见</w:t>
      </w:r>
      <w:r>
        <w:rPr>
          <w:rFonts w:hint="eastAsia" w:ascii="宋体" w:hAnsi="宋体"/>
          <w:color w:val="000000" w:themeColor="text1"/>
          <w:szCs w:val="21"/>
          <w:highlight w:val="none"/>
          <w14:textFill>
            <w14:solidFill>
              <w14:schemeClr w14:val="tx1"/>
            </w14:solidFill>
          </w14:textFill>
        </w:rPr>
        <w:t>对初步设计方案进行修改，并承诺</w:t>
      </w:r>
      <w:r>
        <w:rPr>
          <w:rFonts w:ascii="宋体" w:hAnsi="宋体"/>
          <w:color w:val="000000" w:themeColor="text1"/>
          <w:szCs w:val="21"/>
          <w:highlight w:val="none"/>
          <w14:textFill>
            <w14:solidFill>
              <w14:schemeClr w14:val="tx1"/>
            </w14:solidFill>
          </w14:textFill>
        </w:rPr>
        <w:t>该</w:t>
      </w:r>
      <w:r>
        <w:rPr>
          <w:rFonts w:hint="eastAsia" w:ascii="宋体" w:hAnsi="宋体"/>
          <w:color w:val="000000" w:themeColor="text1"/>
          <w:szCs w:val="21"/>
          <w:highlight w:val="none"/>
          <w14:textFill>
            <w14:solidFill>
              <w14:schemeClr w14:val="tx1"/>
            </w14:solidFill>
          </w14:textFill>
        </w:rPr>
        <w:t>修改不改变有关设计和规划的原则、内容与要求，不改变原方案设计的构思，不降低使用功能与设计质量标准；</w:t>
      </w:r>
      <w:r>
        <w:rPr>
          <w:rFonts w:ascii="宋体" w:hAnsi="宋体"/>
          <w:color w:val="000000" w:themeColor="text1"/>
          <w:szCs w:val="21"/>
          <w:highlight w:val="none"/>
          <w14:textFill>
            <w14:solidFill>
              <w14:schemeClr w14:val="tx1"/>
            </w14:solidFill>
          </w14:textFill>
        </w:rPr>
        <w:t>若施工图预算超出</w:t>
      </w:r>
      <w:r>
        <w:rPr>
          <w:rFonts w:hint="eastAsia" w:ascii="宋体" w:hAnsi="宋体"/>
          <w:color w:val="000000" w:themeColor="text1"/>
          <w:szCs w:val="21"/>
          <w:highlight w:val="none"/>
          <w14:textFill>
            <w14:solidFill>
              <w14:schemeClr w14:val="tx1"/>
            </w14:solidFill>
          </w14:textFill>
        </w:rPr>
        <w:t>审定</w:t>
      </w:r>
      <w:r>
        <w:rPr>
          <w:rFonts w:ascii="宋体" w:hAnsi="宋体"/>
          <w:color w:val="000000" w:themeColor="text1"/>
          <w:szCs w:val="21"/>
          <w:highlight w:val="none"/>
          <w14:textFill>
            <w14:solidFill>
              <w14:schemeClr w14:val="tx1"/>
            </w14:solidFill>
          </w14:textFill>
        </w:rPr>
        <w:t>的初步设计概算，设计人须保证在初步设计的基础上对施工图进行修改</w:t>
      </w:r>
      <w:r>
        <w:rPr>
          <w:rFonts w:hint="eastAsia" w:ascii="宋体" w:hAnsi="宋体"/>
          <w:color w:val="000000" w:themeColor="text1"/>
          <w:szCs w:val="21"/>
          <w:highlight w:val="none"/>
          <w14:textFill>
            <w14:solidFill>
              <w14:schemeClr w14:val="tx1"/>
            </w14:solidFill>
          </w14:textFill>
        </w:rPr>
        <w:t>；发包人对此修改不支付附加设计费用</w:t>
      </w:r>
      <w:r>
        <w:rPr>
          <w:rFonts w:ascii="宋体" w:hAnsi="宋体"/>
          <w:color w:val="000000" w:themeColor="text1"/>
          <w:szCs w:val="21"/>
          <w:highlight w:val="none"/>
          <w14:textFill>
            <w14:solidFill>
              <w14:schemeClr w14:val="tx1"/>
            </w14:solidFill>
          </w14:textFill>
        </w:rPr>
        <w:t>。</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1.10．设计人应在设计进展过程中及阶段设计完成时，及时对已经完成的图纸内容进行估价，并与限额设计指标进行比较，使设计满足限额设计指标的要求。</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1.11. 设计人有关设计的任何修改变动或因于修改设计引起的工艺、技术材料、设备的变更及引起投资限额的突破均须经发包人审批同意。</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1.12. 发包人要求本工程按照估算总投资限额设计，设计人未经发包人书面同意突破投资限额进行设计，设计人须无偿对设计文件重新修改，交付设计文件时间不予顺延。</w:t>
      </w:r>
    </w:p>
    <w:p>
      <w:pPr>
        <w:spacing w:line="360" w:lineRule="auto"/>
        <w:ind w:firstLine="361" w:firstLineChars="171"/>
        <w:jc w:val="center"/>
        <w:rPr>
          <w:rFonts w:hint="eastAsia" w:ascii="宋体" w:hAnsi="宋体"/>
          <w:b/>
          <w:color w:val="000000" w:themeColor="text1"/>
          <w:szCs w:val="21"/>
          <w:highlight w:val="none"/>
          <w14:textFill>
            <w14:solidFill>
              <w14:schemeClr w14:val="tx1"/>
            </w14:solidFill>
          </w14:textFill>
        </w:rPr>
      </w:pP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二、设计质量的组织保证与人员管理制度</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 发包人有权对设计人的勘察设计工作进行检查，有权要求设计人更换不称职的人员，有权在工作进度滞后时要求设计人增加人员，有权在设计人严重违约时要求解除合同。</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2.2．设计人更换设计项目负责人，应书面征得发包人同意。未经发包人同意，擅自更换设计项目负责人的，设计人须支付违约赔偿金（按不同性质的工程，每人次违约赔偿金为合同设计费用的5～10%。）。</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2.3．设计人更换专业负责人，应书面征得发包人同意。未经发包人同意，擅自更换专业负责人的，设计人须支付违约赔偿金（按不同性质的工程，每人次违约赔偿金为合同设计费用的1～5%。）。</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设计人未经发包人同意，擅自更换项目负责人及专业负责人的，发包人有权要求设计人换回原项目负责人及专业负责人或更换其他符合条件的人员。设计人人应在收到发包人的书面通知后五个工作日内改正。否则，发包人有权视情况终止合同。</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2.5．设计人应根据设计任务建立项目组，从组织上保证投入的人力、物力能满足设计开展的需要，保证不同设计时段、阶段设计工作的连续性和外部接口衔接的连贯性。</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2.6．在设计高峰或发包人认为有必要时，设计人必须集中设计人员确保设计进度，凡因人员不到位而影响设计工作的，发包人有权根据实际情况扣减设计费直至解除合同等。</w:t>
      </w:r>
    </w:p>
    <w:p>
      <w:pPr>
        <w:spacing w:line="360" w:lineRule="auto"/>
        <w:ind w:firstLine="359" w:firstLineChars="171"/>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2.7．设计人必须派出投标时承诺的项目负责人及有关各专业设计人驻发包人指定的办公地点（番禺区项目部）开展相关设计工作，时间由中标通知书下达始至合同规定期限为止。若设计人未按规定执行，经发包人现场查处，违者按勘察设计合同结算价的5%处罚，罚款在财政结算后第四次付款时扣除。</w:t>
      </w: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三、设计质量管理</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各阶段设计成果须达到国家标准---（1）建筑类工程：《建筑工程设计文件编制深度规定》的深度要求；（2）市政管网类工程：《市政管网工程设计文件编制深度规定》的深度要求；（3）水利类工程：按照区水务局要求及相关规范执行。</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3.2．初步设计阶段图纸要体现工程所采用的技术方案的合理性，发包人的质量标准以及概算文件编制的深度要求。确保初步设计阶段图纸必须达到设计成果，符合预定的质量要求，初步设计估算不能超过投资估算要求。 </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3.3．技术设计阶段，设计成果要体现各专业设计是否符合预定的质量标准和要求，以及各专业设计之间配合与协调的一致性。</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 设计人在各设计阶段必须认真细致工作，防止出现各专业图纸之间的错、漏、碰、缺和彼此矛盾，以及各专业设计人员不相互配合协调的情况发生。</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3.5．设计过程中，设计人应采用国家认可的新技术、新工艺；使用国家颁布的推广使用的技术或工艺，避免使用国家颁布的限制、禁止使用的技术或工艺，采纳地方颁布的质量通病的防治技术。</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3.6．设计人应按要求，对施工单位所作的施工详图、生产加工图、深化设计图、专业细部设计图进行审核，并按相关规定签字确认。</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3.7. 设计人应按国家有关规定，建立勘察设计岗位责任制和工程质量终身负责制。</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 设计人有义务核实勘察地形图等文件，且必须采用与勘察工作同期的有效地形测量图及物探成果文件等勘察资料；若因设计人采用非设计工作同期的有效资料，而造成设计变更或无法实施，发包人则扣罚与工程变更造价相应的设计费。</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3.9. 发包人要求设计人在设计过程中考虑工程实施时的可操作性，对方案的实施工序提出相应的技术要求，特别是关键工序，应明确提出工艺要求、质量控制要求。超越目前国内施工单位平均技术水平的设计方案、施工方法，设计人应提出合理理由和可行的实施方案，报发包人同意后方可采用，否则，发包人有权要求设计人修改设计。</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3.10. 设备国产化应当做到选型设计而不是科研开发设计，原则上要求所采用的设备和系统技术是成熟的，对于新技术、新成果的运用设计人必须有把握，并有相应的工程实践和实际应用经验供参考。</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3.11. 设计人应在设计文件中明确本项目节能减排的具体参数（包括服务人口、面积、收水量等），并确保满足发包人核定的本项目收集污水量目标。</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3.12. 设计人应在施工图设计中明确明挖管沟、基坑或非开挖顶管等施工现场的安全影响线，并提供安全影响线范围内原有建构筑物的处置方案。对于建筑物保护，设计人应提供一套完整的保护实施方案。</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3.13. 未经发包人书面同意，设计人不得对已批准的设计作重大修改、增减或删除。</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3.14. 设计人交付设计资料及文件后，按规定参加有关的设计审查，并根据审查结论负责对设计的内容做必要调整、补充及修改。设计人按合同约定时限交付设计资料及文件，项目开始施工，负责向发包人及施工单位进行设计交底、处理有关设计问题和参加竣工验收。</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3.15. 由于设计人原因造成的设计不能实施的部分，发包人将扣除相应的设计费用；由于设计人对现场勘察不详等原因造成的设计变更每次扣罚1%的设计费。</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3.16. 设计人须按相关职能部门报审要求提供设计成果，送规划部门的有关图纸电子文件须被规划部门检测合格，提供设计成果时一并提供检测合格的电子文件及检测的有关证明资料。</w:t>
      </w:r>
    </w:p>
    <w:p>
      <w:pPr>
        <w:spacing w:line="360" w:lineRule="auto"/>
        <w:ind w:firstLine="359" w:firstLineChars="171"/>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3.17. 设计人负责规划方案送审图纸电子文件的坐标转换工作，费用全部由设计人承担；并且符合规划部门收件要求，同时负责相关部门的报审工作，费用已含在合同价款中。</w:t>
      </w:r>
    </w:p>
    <w:p>
      <w:pPr>
        <w:spacing w:line="5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3.18．为配合</w:t>
      </w:r>
      <w:r>
        <w:rPr>
          <w:rFonts w:ascii="宋体" w:hAnsi="宋体"/>
          <w:color w:val="000000" w:themeColor="text1"/>
          <w:szCs w:val="21"/>
          <w:highlight w:val="none"/>
          <w14:textFill>
            <w14:solidFill>
              <w14:schemeClr w14:val="tx1"/>
            </w14:solidFill>
          </w14:textFill>
        </w:rPr>
        <w:t>Arcgis</w:t>
      </w:r>
      <w:r>
        <w:rPr>
          <w:rFonts w:hint="eastAsia" w:ascii="宋体" w:hAnsi="宋体"/>
          <w:color w:val="000000" w:themeColor="text1"/>
          <w:szCs w:val="21"/>
          <w:highlight w:val="none"/>
          <w14:textFill>
            <w14:solidFill>
              <w14:schemeClr w14:val="tx1"/>
            </w14:solidFill>
          </w14:textFill>
        </w:rPr>
        <w:t>系统制作，</w:t>
      </w:r>
      <w:r>
        <w:rPr>
          <w:rFonts w:ascii="宋体" w:hAnsi="宋体"/>
          <w:color w:val="000000" w:themeColor="text1"/>
          <w:szCs w:val="21"/>
          <w:highlight w:val="none"/>
          <w14:textFill>
            <w14:solidFill>
              <w14:schemeClr w14:val="tx1"/>
            </w14:solidFill>
          </w14:textFill>
        </w:rPr>
        <w:t>AutoCAD</w:t>
      </w:r>
      <w:r>
        <w:rPr>
          <w:rFonts w:hint="eastAsia" w:ascii="宋体" w:hAnsi="宋体"/>
          <w:color w:val="000000" w:themeColor="text1"/>
          <w:szCs w:val="21"/>
          <w:highlight w:val="none"/>
          <w14:textFill>
            <w14:solidFill>
              <w14:schemeClr w14:val="tx1"/>
            </w14:solidFill>
          </w14:textFill>
        </w:rPr>
        <w:t>竣工图数据格式转换要符合</w:t>
      </w:r>
      <w:r>
        <w:rPr>
          <w:rFonts w:ascii="宋体" w:hAnsi="宋体"/>
          <w:color w:val="000000" w:themeColor="text1"/>
          <w:szCs w:val="21"/>
          <w:highlight w:val="none"/>
          <w14:textFill>
            <w14:solidFill>
              <w14:schemeClr w14:val="tx1"/>
            </w14:solidFill>
          </w14:textFill>
        </w:rPr>
        <w:t>Arcgis</w:t>
      </w:r>
      <w:r>
        <w:rPr>
          <w:rFonts w:hint="eastAsia" w:ascii="宋体" w:hAnsi="宋体"/>
          <w:color w:val="000000" w:themeColor="text1"/>
          <w:szCs w:val="21"/>
          <w:highlight w:val="none"/>
          <w14:textFill>
            <w14:solidFill>
              <w14:schemeClr w14:val="tx1"/>
            </w14:solidFill>
          </w14:textFill>
        </w:rPr>
        <w:t>的规范要求：</w:t>
      </w:r>
    </w:p>
    <w:p>
      <w:pPr>
        <w:spacing w:line="5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（1）所提交的竣工图</w:t>
      </w:r>
      <w:r>
        <w:rPr>
          <w:rFonts w:ascii="宋体" w:hAnsi="宋体"/>
          <w:color w:val="000000" w:themeColor="text1"/>
          <w:szCs w:val="21"/>
          <w:highlight w:val="none"/>
          <w14:textFill>
            <w14:solidFill>
              <w14:schemeClr w14:val="tx1"/>
            </w14:solidFill>
          </w14:textFill>
        </w:rPr>
        <w:t>Autocad</w:t>
      </w:r>
      <w:r>
        <w:rPr>
          <w:rFonts w:hint="eastAsia" w:ascii="宋体" w:hAnsi="宋体"/>
          <w:color w:val="000000" w:themeColor="text1"/>
          <w:szCs w:val="21"/>
          <w:highlight w:val="none"/>
          <w14:textFill>
            <w14:solidFill>
              <w14:schemeClr w14:val="tx1"/>
            </w14:solidFill>
          </w14:textFill>
        </w:rPr>
        <w:t>版本为较低版本</w:t>
      </w:r>
      <w:r>
        <w:rPr>
          <w:rFonts w:ascii="宋体" w:hAnsi="宋体"/>
          <w:color w:val="000000" w:themeColor="text1"/>
          <w:szCs w:val="21"/>
          <w:highlight w:val="none"/>
          <w14:textFill>
            <w14:solidFill>
              <w14:schemeClr w14:val="tx1"/>
            </w14:solidFill>
          </w14:textFill>
        </w:rPr>
        <w:t>06~10</w:t>
      </w:r>
      <w:r>
        <w:rPr>
          <w:rFonts w:hint="eastAsia" w:ascii="宋体" w:hAnsi="宋体"/>
          <w:color w:val="000000" w:themeColor="text1"/>
          <w:szCs w:val="21"/>
          <w:highlight w:val="none"/>
          <w14:textFill>
            <w14:solidFill>
              <w14:schemeClr w14:val="tx1"/>
            </w14:solidFill>
          </w14:textFill>
        </w:rPr>
        <w:t>版本，保证</w:t>
      </w:r>
      <w:r>
        <w:rPr>
          <w:rFonts w:ascii="宋体" w:hAnsi="宋体"/>
          <w:color w:val="000000" w:themeColor="text1"/>
          <w:szCs w:val="21"/>
          <w:highlight w:val="none"/>
          <w14:textFill>
            <w14:solidFill>
              <w14:schemeClr w14:val="tx1"/>
            </w14:solidFill>
          </w14:textFill>
        </w:rPr>
        <w:t>cad</w:t>
      </w:r>
      <w:r>
        <w:rPr>
          <w:rFonts w:hint="eastAsia" w:ascii="宋体" w:hAnsi="宋体"/>
          <w:color w:val="000000" w:themeColor="text1"/>
          <w:szCs w:val="21"/>
          <w:highlight w:val="none"/>
          <w14:textFill>
            <w14:solidFill>
              <w14:schemeClr w14:val="tx1"/>
            </w14:solidFill>
          </w14:textFill>
        </w:rPr>
        <w:t>图在</w:t>
      </w:r>
      <w:r>
        <w:rPr>
          <w:rFonts w:ascii="宋体" w:hAnsi="宋体"/>
          <w:color w:val="000000" w:themeColor="text1"/>
          <w:szCs w:val="21"/>
          <w:highlight w:val="none"/>
          <w14:textFill>
            <w14:solidFill>
              <w14:schemeClr w14:val="tx1"/>
            </w14:solidFill>
          </w14:textFill>
        </w:rPr>
        <w:t>Arcgis</w:t>
      </w:r>
      <w:r>
        <w:rPr>
          <w:rFonts w:hint="eastAsia" w:ascii="宋体" w:hAnsi="宋体"/>
          <w:color w:val="000000" w:themeColor="text1"/>
          <w:szCs w:val="21"/>
          <w:highlight w:val="none"/>
          <w14:textFill>
            <w14:solidFill>
              <w14:schemeClr w14:val="tx1"/>
            </w14:solidFill>
          </w14:textFill>
        </w:rPr>
        <w:t>里的可读性。</w:t>
      </w:r>
    </w:p>
    <w:p>
      <w:pPr>
        <w:spacing w:line="5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（2）竣工图坐标系必须是广州坐标，高程为广州城建高程。</w:t>
      </w:r>
    </w:p>
    <w:p>
      <w:pPr>
        <w:spacing w:line="5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（3）竣工图里的图层</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污水管道、污水井、道路、道路名、建筑物、建筑物名、河流、河流名、自然村、村名等，各图层必须是单独图层，不可相互混淆。</w:t>
      </w:r>
    </w:p>
    <w:p>
      <w:pPr>
        <w:spacing w:line="5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以污水管道为例，表示污水管道的线图层为单独图层，该图层命名为污水管道，不是污水管道的图层不能使用该图层。</w:t>
      </w:r>
    </w:p>
    <w:p>
      <w:pPr>
        <w:ind w:left="124" w:leftChars="59" w:firstLine="1060" w:firstLineChars="505"/>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CAD</w:t>
      </w:r>
      <w:r>
        <w:rPr>
          <w:rFonts w:hint="eastAsia" w:ascii="宋体" w:hAnsi="宋体"/>
          <w:color w:val="000000" w:themeColor="text1"/>
          <w:szCs w:val="21"/>
          <w:highlight w:val="none"/>
          <w14:textFill>
            <w14:solidFill>
              <w14:schemeClr w14:val="tx1"/>
            </w14:solidFill>
          </w14:textFill>
        </w:rPr>
        <w:t>与各图层类型的对应关系</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30"/>
        <w:gridCol w:w="1038"/>
        <w:gridCol w:w="992"/>
        <w:gridCol w:w="709"/>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26"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CAD</w:t>
            </w:r>
            <w:r>
              <w:rPr>
                <w:rFonts w:hint="eastAsia" w:cs="宋体"/>
                <w:color w:val="000000" w:themeColor="text1"/>
                <w:highlight w:val="none"/>
                <w14:textFill>
                  <w14:solidFill>
                    <w14:schemeClr w14:val="tx1"/>
                  </w14:solidFill>
                </w14:textFill>
              </w:rPr>
              <w:t>图层名</w:t>
            </w:r>
          </w:p>
        </w:tc>
        <w:tc>
          <w:tcPr>
            <w:tcW w:w="1230"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污水管道</w:t>
            </w:r>
          </w:p>
        </w:tc>
        <w:tc>
          <w:tcPr>
            <w:tcW w:w="1038"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污水井</w:t>
            </w:r>
          </w:p>
        </w:tc>
        <w:tc>
          <w:tcPr>
            <w:tcW w:w="99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建筑物</w:t>
            </w:r>
          </w:p>
        </w:tc>
        <w:tc>
          <w:tcPr>
            <w:tcW w:w="709"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道路</w:t>
            </w:r>
          </w:p>
        </w:tc>
        <w:tc>
          <w:tcPr>
            <w:tcW w:w="850"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河流</w:t>
            </w:r>
          </w:p>
        </w:tc>
        <w:tc>
          <w:tcPr>
            <w:tcW w:w="993"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自然村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26"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图层类型</w:t>
            </w:r>
          </w:p>
        </w:tc>
        <w:tc>
          <w:tcPr>
            <w:tcW w:w="1230"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线层</w:t>
            </w:r>
          </w:p>
        </w:tc>
        <w:tc>
          <w:tcPr>
            <w:tcW w:w="1038"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面层</w:t>
            </w:r>
          </w:p>
        </w:tc>
        <w:tc>
          <w:tcPr>
            <w:tcW w:w="992"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面层</w:t>
            </w:r>
          </w:p>
        </w:tc>
        <w:tc>
          <w:tcPr>
            <w:tcW w:w="709"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面层</w:t>
            </w:r>
          </w:p>
        </w:tc>
        <w:tc>
          <w:tcPr>
            <w:tcW w:w="850"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面层</w:t>
            </w:r>
          </w:p>
        </w:tc>
        <w:tc>
          <w:tcPr>
            <w:tcW w:w="993" w:type="dxa"/>
            <w:tcBorders>
              <w:top w:val="single" w:color="auto" w:sz="4" w:space="0"/>
              <w:left w:val="single" w:color="auto" w:sz="4" w:space="0"/>
              <w:bottom w:val="single" w:color="auto" w:sz="4" w:space="0"/>
              <w:right w:val="single" w:color="auto" w:sz="4" w:space="0"/>
            </w:tcBorders>
            <w:noWrap w:val="0"/>
            <w:vAlign w:val="top"/>
          </w:tcPr>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面层</w:t>
            </w:r>
          </w:p>
        </w:tc>
      </w:tr>
    </w:tbl>
    <w:p>
      <w:pPr>
        <w:ind w:firstLine="210" w:firstLineChars="100"/>
        <w:rPr>
          <w:rFonts w:hint="eastAsia" w:ascii="宋体" w:hAnsi="宋体"/>
          <w:color w:val="000000" w:themeColor="text1"/>
          <w:szCs w:val="21"/>
          <w:highlight w:val="none"/>
          <w14:textFill>
            <w14:solidFill>
              <w14:schemeClr w14:val="tx1"/>
            </w14:solidFill>
          </w14:textFill>
        </w:rPr>
      </w:pPr>
    </w:p>
    <w:p>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（4）需提供污水井及污水管汇总表，其文件为</w:t>
      </w:r>
      <w:r>
        <w:rPr>
          <w:rFonts w:ascii="宋体" w:hAnsi="宋体"/>
          <w:color w:val="000000" w:themeColor="text1"/>
          <w:szCs w:val="21"/>
          <w:highlight w:val="none"/>
          <w14:textFill>
            <w14:solidFill>
              <w14:schemeClr w14:val="tx1"/>
            </w14:solidFill>
          </w14:textFill>
        </w:rPr>
        <w:t>dbf.</w:t>
      </w:r>
      <w:r>
        <w:rPr>
          <w:rFonts w:hint="eastAsia" w:ascii="宋体" w:hAnsi="宋体"/>
          <w:color w:val="000000" w:themeColor="text1"/>
          <w:szCs w:val="21"/>
          <w:highlight w:val="none"/>
          <w14:textFill>
            <w14:solidFill>
              <w14:schemeClr w14:val="tx1"/>
            </w14:solidFill>
          </w14:textFill>
        </w:rPr>
        <w:t>文件或</w:t>
      </w:r>
      <w:r>
        <w:rPr>
          <w:rFonts w:ascii="宋体" w:hAnsi="宋体"/>
          <w:color w:val="000000" w:themeColor="text1"/>
          <w:szCs w:val="21"/>
          <w:highlight w:val="none"/>
          <w14:textFill>
            <w14:solidFill>
              <w14:schemeClr w14:val="tx1"/>
            </w14:solidFill>
          </w14:textFill>
        </w:rPr>
        <w:t>excel</w:t>
      </w:r>
      <w:r>
        <w:rPr>
          <w:rFonts w:hint="eastAsia" w:ascii="宋体" w:hAnsi="宋体"/>
          <w:color w:val="000000" w:themeColor="text1"/>
          <w:szCs w:val="21"/>
          <w:highlight w:val="none"/>
          <w14:textFill>
            <w14:solidFill>
              <w14:schemeClr w14:val="tx1"/>
            </w14:solidFill>
          </w14:textFill>
        </w:rPr>
        <w:t>表，要求表里数据不能由算式得出。</w:t>
      </w:r>
    </w:p>
    <w:p>
      <w:pPr>
        <w:pStyle w:val="77"/>
        <w:ind w:left="315" w:leftChars="150" w:firstLine="525" w:firstLineChars="250"/>
        <w:jc w:val="center"/>
        <w:rPr>
          <w:rFonts w:hint="eastAsia" w:ascii="宋体" w:hAnsi="宋体" w:cs="Times New Roman"/>
          <w:color w:val="000000" w:themeColor="text1"/>
          <w:highlight w:val="none"/>
          <w14:textFill>
            <w14:solidFill>
              <w14:schemeClr w14:val="tx1"/>
            </w14:solidFill>
          </w14:textFill>
        </w:rPr>
      </w:pPr>
      <w:r>
        <w:rPr>
          <w:rFonts w:hint="eastAsia" w:ascii="宋体" w:hAnsi="宋体" w:cs="Times New Roman"/>
          <w:color w:val="000000" w:themeColor="text1"/>
          <w:highlight w:val="none"/>
          <w14:textFill>
            <w14:solidFill>
              <w14:schemeClr w14:val="tx1"/>
            </w14:solidFill>
          </w14:textFill>
        </w:rPr>
        <w:t>污水井汇总表及其数据类型规定如下表：</w:t>
      </w:r>
    </w:p>
    <w:tbl>
      <w:tblPr>
        <w:tblStyle w:val="38"/>
        <w:tblW w:w="0" w:type="auto"/>
        <w:tblInd w:w="-252" w:type="dxa"/>
        <w:tblLayout w:type="fixed"/>
        <w:tblCellMar>
          <w:top w:w="0" w:type="dxa"/>
          <w:left w:w="108" w:type="dxa"/>
          <w:bottom w:w="0" w:type="dxa"/>
          <w:right w:w="108" w:type="dxa"/>
        </w:tblCellMar>
      </w:tblPr>
      <w:tblGrid>
        <w:gridCol w:w="1080"/>
        <w:gridCol w:w="1080"/>
        <w:gridCol w:w="900"/>
        <w:gridCol w:w="1260"/>
        <w:gridCol w:w="1260"/>
        <w:gridCol w:w="900"/>
        <w:gridCol w:w="720"/>
        <w:gridCol w:w="815"/>
        <w:gridCol w:w="1116"/>
        <w:gridCol w:w="589"/>
      </w:tblGrid>
      <w:tr>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井编号</w:t>
            </w: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ascii="宋体" w:hAnsi="宋体" w:cs="宋体"/>
                <w:color w:val="000000" w:themeColor="text1"/>
                <w:sz w:val="18"/>
                <w:szCs w:val="18"/>
                <w:highlight w:val="none"/>
                <w14:textFill>
                  <w14:solidFill>
                    <w14:schemeClr w14:val="tx1"/>
                  </w14:solidFill>
                </w14:textFill>
              </w:rPr>
              <w:t>X</w:t>
            </w:r>
            <w:r>
              <w:rPr>
                <w:rFonts w:hint="eastAsia" w:ascii="宋体" w:hAnsi="宋体" w:cs="宋体"/>
                <w:color w:val="000000" w:themeColor="text1"/>
                <w:sz w:val="18"/>
                <w:szCs w:val="18"/>
                <w:highlight w:val="none"/>
                <w14:textFill>
                  <w14:solidFill>
                    <w14:schemeClr w14:val="tx1"/>
                  </w14:solidFill>
                </w14:textFill>
              </w:rPr>
              <w:t>坐标</w:t>
            </w:r>
            <w:r>
              <w:rPr>
                <w:rFonts w:ascii="宋体" w:hAnsi="宋体" w:cs="宋体"/>
                <w:color w:val="000000" w:themeColor="text1"/>
                <w:sz w:val="18"/>
                <w:szCs w:val="18"/>
                <w:highlight w:val="none"/>
                <w14:textFill>
                  <w14:solidFill>
                    <w14:schemeClr w14:val="tx1"/>
                  </w14:solidFill>
                </w14:textFill>
              </w:rPr>
              <w:t>-m</w:t>
            </w:r>
          </w:p>
        </w:tc>
        <w:tc>
          <w:tcPr>
            <w:tcW w:w="90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ascii="宋体" w:hAnsi="宋体" w:cs="宋体"/>
                <w:color w:val="000000" w:themeColor="text1"/>
                <w:sz w:val="18"/>
                <w:szCs w:val="18"/>
                <w:highlight w:val="none"/>
                <w14:textFill>
                  <w14:solidFill>
                    <w14:schemeClr w14:val="tx1"/>
                  </w14:solidFill>
                </w14:textFill>
              </w:rPr>
              <w:t>Y</w:t>
            </w:r>
            <w:r>
              <w:rPr>
                <w:rFonts w:hint="eastAsia" w:ascii="宋体" w:hAnsi="宋体" w:cs="宋体"/>
                <w:color w:val="000000" w:themeColor="text1"/>
                <w:sz w:val="18"/>
                <w:szCs w:val="18"/>
                <w:highlight w:val="none"/>
                <w14:textFill>
                  <w14:solidFill>
                    <w14:schemeClr w14:val="tx1"/>
                  </w14:solidFill>
                </w14:textFill>
              </w:rPr>
              <w:t>坐标</w:t>
            </w:r>
            <w:r>
              <w:rPr>
                <w:rFonts w:ascii="宋体" w:hAnsi="宋体" w:cs="宋体"/>
                <w:color w:val="000000" w:themeColor="text1"/>
                <w:sz w:val="18"/>
                <w:szCs w:val="18"/>
                <w:highlight w:val="none"/>
                <w14:textFill>
                  <w14:solidFill>
                    <w14:schemeClr w14:val="tx1"/>
                  </w14:solidFill>
                </w14:textFill>
              </w:rPr>
              <w:t>-m</w:t>
            </w:r>
          </w:p>
        </w:tc>
        <w:tc>
          <w:tcPr>
            <w:tcW w:w="126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地面高程</w:t>
            </w:r>
            <w:r>
              <w:rPr>
                <w:rFonts w:ascii="宋体" w:hAnsi="宋体" w:cs="宋体"/>
                <w:color w:val="000000" w:themeColor="text1"/>
                <w:sz w:val="18"/>
                <w:szCs w:val="18"/>
                <w:highlight w:val="none"/>
                <w14:textFill>
                  <w14:solidFill>
                    <w14:schemeClr w14:val="tx1"/>
                  </w14:solidFill>
                </w14:textFill>
              </w:rPr>
              <w:t>-m</w:t>
            </w:r>
          </w:p>
        </w:tc>
        <w:tc>
          <w:tcPr>
            <w:tcW w:w="126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井底高程</w:t>
            </w:r>
            <w:r>
              <w:rPr>
                <w:rFonts w:ascii="宋体" w:hAnsi="宋体" w:cs="宋体"/>
                <w:color w:val="000000" w:themeColor="text1"/>
                <w:sz w:val="18"/>
                <w:szCs w:val="18"/>
                <w:highlight w:val="none"/>
                <w14:textFill>
                  <w14:solidFill>
                    <w14:schemeClr w14:val="tx1"/>
                  </w14:solidFill>
                </w14:textFill>
              </w:rPr>
              <w:t>-m</w:t>
            </w:r>
          </w:p>
        </w:tc>
        <w:tc>
          <w:tcPr>
            <w:tcW w:w="90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井类型</w:t>
            </w:r>
          </w:p>
        </w:tc>
        <w:tc>
          <w:tcPr>
            <w:tcW w:w="72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标段</w:t>
            </w:r>
          </w:p>
        </w:tc>
        <w:tc>
          <w:tcPr>
            <w:tcW w:w="81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所属</w:t>
            </w:r>
          </w:p>
          <w:p>
            <w:pPr>
              <w:widowControl/>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污水厂</w:t>
            </w:r>
          </w:p>
        </w:tc>
        <w:tc>
          <w:tcPr>
            <w:tcW w:w="111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建设日期</w:t>
            </w:r>
          </w:p>
        </w:tc>
        <w:tc>
          <w:tcPr>
            <w:tcW w:w="589"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备注</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108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90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126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90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720"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815"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1116"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日期</w:t>
            </w:r>
          </w:p>
        </w:tc>
        <w:tc>
          <w:tcPr>
            <w:tcW w:w="589" w:type="dxa"/>
            <w:tcBorders>
              <w:top w:val="nil"/>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r>
    </w:tbl>
    <w:p>
      <w:pPr>
        <w:pStyle w:val="77"/>
        <w:ind w:left="360" w:firstLine="0" w:firstLineChars="0"/>
        <w:rPr>
          <w:rFonts w:cs="Times New Roman"/>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注：井类型：检查井、拍门、拍门井、泵站、截流井</w:t>
      </w:r>
    </w:p>
    <w:p>
      <w:pPr>
        <w:pStyle w:val="77"/>
        <w:ind w:left="360" w:firstLine="0" w:firstLineChars="0"/>
        <w:rPr>
          <w:rFonts w:cs="Times New Roman"/>
          <w:color w:val="000000" w:themeColor="text1"/>
          <w:highlight w:val="none"/>
          <w14:textFill>
            <w14:solidFill>
              <w14:schemeClr w14:val="tx1"/>
            </w14:solidFill>
          </w14:textFill>
        </w:rPr>
      </w:pPr>
    </w:p>
    <w:p>
      <w:pPr>
        <w:ind w:firstLine="210" w:firstLineChars="10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污水管汇总表及其数据类型规定如下</w:t>
      </w:r>
    </w:p>
    <w:tbl>
      <w:tblPr>
        <w:tblStyle w:val="38"/>
        <w:tblpPr w:leftFromText="180" w:rightFromText="180" w:vertAnchor="text" w:horzAnchor="margin" w:tblpXSpec="center" w:tblpY="371"/>
        <w:tblW w:w="0" w:type="auto"/>
        <w:tblInd w:w="0" w:type="dxa"/>
        <w:tblLayout w:type="fixed"/>
        <w:tblCellMar>
          <w:top w:w="0" w:type="dxa"/>
          <w:left w:w="108" w:type="dxa"/>
          <w:bottom w:w="0" w:type="dxa"/>
          <w:right w:w="108" w:type="dxa"/>
        </w:tblCellMar>
      </w:tblPr>
      <w:tblGrid>
        <w:gridCol w:w="449"/>
        <w:gridCol w:w="559"/>
        <w:gridCol w:w="337"/>
        <w:gridCol w:w="450"/>
        <w:gridCol w:w="446"/>
        <w:gridCol w:w="398"/>
        <w:gridCol w:w="541"/>
        <w:gridCol w:w="720"/>
        <w:gridCol w:w="720"/>
        <w:gridCol w:w="720"/>
        <w:gridCol w:w="720"/>
        <w:gridCol w:w="720"/>
        <w:gridCol w:w="717"/>
        <w:gridCol w:w="717"/>
        <w:gridCol w:w="717"/>
        <w:gridCol w:w="717"/>
        <w:gridCol w:w="720"/>
      </w:tblGrid>
      <w:tr>
        <w:tblPrEx>
          <w:tblCellMar>
            <w:top w:w="0" w:type="dxa"/>
            <w:left w:w="108" w:type="dxa"/>
            <w:bottom w:w="0" w:type="dxa"/>
            <w:right w:w="108" w:type="dxa"/>
          </w:tblCellMar>
        </w:tblPrEx>
        <w:trPr>
          <w:trHeight w:val="270"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井编号</w:t>
            </w:r>
          </w:p>
        </w:tc>
        <w:tc>
          <w:tcPr>
            <w:tcW w:w="5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上游井编号</w:t>
            </w:r>
          </w:p>
        </w:tc>
        <w:tc>
          <w:tcPr>
            <w:tcW w:w="33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下游井编号</w:t>
            </w:r>
          </w:p>
        </w:tc>
        <w:tc>
          <w:tcPr>
            <w:tcW w:w="45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管径</w:t>
            </w:r>
            <w:r>
              <w:rPr>
                <w:rFonts w:ascii="宋体" w:hAnsi="宋体" w:cs="宋体"/>
                <w:color w:val="000000" w:themeColor="text1"/>
                <w:sz w:val="18"/>
                <w:szCs w:val="18"/>
                <w:highlight w:val="none"/>
                <w14:textFill>
                  <w14:solidFill>
                    <w14:schemeClr w14:val="tx1"/>
                  </w14:solidFill>
                </w14:textFill>
              </w:rPr>
              <w:t>-mm</w:t>
            </w:r>
          </w:p>
        </w:tc>
        <w:tc>
          <w:tcPr>
            <w:tcW w:w="44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管材</w:t>
            </w:r>
          </w:p>
        </w:tc>
        <w:tc>
          <w:tcPr>
            <w:tcW w:w="39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流动性质</w:t>
            </w:r>
          </w:p>
        </w:tc>
        <w:tc>
          <w:tcPr>
            <w:tcW w:w="541"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所属污水厂</w:t>
            </w:r>
          </w:p>
        </w:tc>
        <w:tc>
          <w:tcPr>
            <w:tcW w:w="720" w:type="dxa"/>
            <w:tcBorders>
              <w:top w:val="single" w:color="auto" w:sz="4" w:space="0"/>
              <w:left w:val="nil"/>
              <w:bottom w:val="single" w:color="auto" w:sz="4" w:space="0"/>
              <w:right w:val="single" w:color="auto" w:sz="4" w:space="0"/>
            </w:tcBorders>
            <w:noWrap w:val="0"/>
            <w:vAlign w:val="top"/>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上游</w:t>
            </w:r>
            <w:r>
              <w:rPr>
                <w:rFonts w:ascii="宋体" w:hAnsi="宋体" w:cs="宋体"/>
                <w:color w:val="000000" w:themeColor="text1"/>
                <w:sz w:val="18"/>
                <w:szCs w:val="18"/>
                <w:highlight w:val="none"/>
                <w14:textFill>
                  <w14:solidFill>
                    <w14:schemeClr w14:val="tx1"/>
                  </w14:solidFill>
                </w14:textFill>
              </w:rPr>
              <w:t>X</w:t>
            </w:r>
            <w:r>
              <w:rPr>
                <w:rFonts w:hint="eastAsia" w:ascii="宋体" w:hAnsi="宋体" w:cs="宋体"/>
                <w:color w:val="000000" w:themeColor="text1"/>
                <w:sz w:val="18"/>
                <w:szCs w:val="18"/>
                <w:highlight w:val="none"/>
                <w14:textFill>
                  <w14:solidFill>
                    <w14:schemeClr w14:val="tx1"/>
                  </w14:solidFill>
                </w14:textFill>
              </w:rPr>
              <w:t>坐标</w:t>
            </w:r>
            <w:r>
              <w:rPr>
                <w:rFonts w:ascii="宋体" w:hAnsi="宋体" w:cs="宋体"/>
                <w:color w:val="000000" w:themeColor="text1"/>
                <w:sz w:val="18"/>
                <w:szCs w:val="18"/>
                <w:highlight w:val="none"/>
                <w14:textFill>
                  <w14:solidFill>
                    <w14:schemeClr w14:val="tx1"/>
                  </w14:solidFill>
                </w14:textFill>
              </w:rPr>
              <w:t>-m</w:t>
            </w:r>
          </w:p>
        </w:tc>
        <w:tc>
          <w:tcPr>
            <w:tcW w:w="720" w:type="dxa"/>
            <w:tcBorders>
              <w:top w:val="single" w:color="auto" w:sz="4" w:space="0"/>
              <w:left w:val="single" w:color="auto" w:sz="4" w:space="0"/>
              <w:bottom w:val="single" w:color="auto" w:sz="4" w:space="0"/>
              <w:right w:val="nil"/>
            </w:tcBorders>
            <w:noWrap w:val="0"/>
            <w:vAlign w:val="top"/>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上游</w:t>
            </w:r>
            <w:r>
              <w:rPr>
                <w:rFonts w:ascii="宋体" w:hAnsi="宋体" w:cs="宋体"/>
                <w:color w:val="000000" w:themeColor="text1"/>
                <w:sz w:val="18"/>
                <w:szCs w:val="18"/>
                <w:highlight w:val="none"/>
                <w14:textFill>
                  <w14:solidFill>
                    <w14:schemeClr w14:val="tx1"/>
                  </w14:solidFill>
                </w14:textFill>
              </w:rPr>
              <w:t>Y</w:t>
            </w:r>
            <w:r>
              <w:rPr>
                <w:rFonts w:hint="eastAsia" w:ascii="宋体" w:hAnsi="宋体" w:cs="宋体"/>
                <w:color w:val="000000" w:themeColor="text1"/>
                <w:sz w:val="18"/>
                <w:szCs w:val="18"/>
                <w:highlight w:val="none"/>
                <w14:textFill>
                  <w14:solidFill>
                    <w14:schemeClr w14:val="tx1"/>
                  </w14:solidFill>
                </w14:textFill>
              </w:rPr>
              <w:t>坐标</w:t>
            </w:r>
            <w:r>
              <w:rPr>
                <w:rFonts w:ascii="宋体" w:hAnsi="宋体" w:cs="宋体"/>
                <w:color w:val="000000" w:themeColor="text1"/>
                <w:sz w:val="18"/>
                <w:szCs w:val="18"/>
                <w:highlight w:val="none"/>
                <w14:textFill>
                  <w14:solidFill>
                    <w14:schemeClr w14:val="tx1"/>
                  </w14:solidFill>
                </w14:textFill>
              </w:rPr>
              <w:t>-m</w:t>
            </w:r>
          </w:p>
        </w:tc>
        <w:tc>
          <w:tcPr>
            <w:tcW w:w="72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上游地面高程</w:t>
            </w:r>
            <w:r>
              <w:rPr>
                <w:rFonts w:ascii="宋体" w:hAnsi="宋体" w:cs="宋体"/>
                <w:color w:val="000000" w:themeColor="text1"/>
                <w:sz w:val="18"/>
                <w:szCs w:val="18"/>
                <w:highlight w:val="none"/>
                <w14:textFill>
                  <w14:solidFill>
                    <w14:schemeClr w14:val="tx1"/>
                  </w14:solidFill>
                </w14:textFill>
              </w:rPr>
              <w:t>-m</w:t>
            </w:r>
          </w:p>
        </w:tc>
        <w:tc>
          <w:tcPr>
            <w:tcW w:w="7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上游管底高程</w:t>
            </w:r>
            <w:r>
              <w:rPr>
                <w:rFonts w:ascii="宋体" w:hAnsi="宋体" w:cs="宋体"/>
                <w:color w:val="000000" w:themeColor="text1"/>
                <w:sz w:val="18"/>
                <w:szCs w:val="18"/>
                <w:highlight w:val="none"/>
                <w14:textFill>
                  <w14:solidFill>
                    <w14:schemeClr w14:val="tx1"/>
                  </w14:solidFill>
                </w14:textFill>
              </w:rPr>
              <w:t>-m</w:t>
            </w:r>
          </w:p>
        </w:tc>
        <w:tc>
          <w:tcPr>
            <w:tcW w:w="720" w:type="dxa"/>
            <w:tcBorders>
              <w:top w:val="single" w:color="auto" w:sz="4" w:space="0"/>
              <w:left w:val="nil"/>
              <w:bottom w:val="single" w:color="auto" w:sz="4" w:space="0"/>
              <w:right w:val="single" w:color="auto" w:sz="4" w:space="0"/>
            </w:tcBorders>
            <w:noWrap w:val="0"/>
            <w:vAlign w:val="top"/>
          </w:tcPr>
          <w:p>
            <w:pPr>
              <w:widowControl/>
              <w:jc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下游</w:t>
            </w:r>
            <w:r>
              <w:rPr>
                <w:rFonts w:ascii="宋体" w:hAnsi="宋体" w:cs="宋体"/>
                <w:color w:val="000000" w:themeColor="text1"/>
                <w:sz w:val="18"/>
                <w:szCs w:val="18"/>
                <w:highlight w:val="none"/>
                <w14:textFill>
                  <w14:solidFill>
                    <w14:schemeClr w14:val="tx1"/>
                  </w14:solidFill>
                </w14:textFill>
              </w:rPr>
              <w:t>X</w:t>
            </w:r>
            <w:r>
              <w:rPr>
                <w:rFonts w:hint="eastAsia" w:ascii="宋体" w:hAnsi="宋体" w:cs="宋体"/>
                <w:color w:val="000000" w:themeColor="text1"/>
                <w:sz w:val="18"/>
                <w:szCs w:val="18"/>
                <w:highlight w:val="none"/>
                <w14:textFill>
                  <w14:solidFill>
                    <w14:schemeClr w14:val="tx1"/>
                  </w14:solidFill>
                </w14:textFill>
              </w:rPr>
              <w:t>坐标</w:t>
            </w:r>
          </w:p>
          <w:p>
            <w:pPr>
              <w:widowControl/>
              <w:jc w:val="center"/>
              <w:rPr>
                <w:rFonts w:ascii="宋体"/>
                <w:color w:val="000000" w:themeColor="text1"/>
                <w:sz w:val="18"/>
                <w:szCs w:val="18"/>
                <w:highlight w:val="none"/>
                <w14:textFill>
                  <w14:solidFill>
                    <w14:schemeClr w14:val="tx1"/>
                  </w14:solidFill>
                </w14:textFill>
              </w:rPr>
            </w:pPr>
            <w:r>
              <w:rPr>
                <w:rFonts w:ascii="宋体" w:hAnsi="宋体" w:cs="宋体"/>
                <w:color w:val="000000" w:themeColor="text1"/>
                <w:sz w:val="18"/>
                <w:szCs w:val="18"/>
                <w:highlight w:val="none"/>
                <w14:textFill>
                  <w14:solidFill>
                    <w14:schemeClr w14:val="tx1"/>
                  </w14:solidFill>
                </w14:textFill>
              </w:rPr>
              <w:t>-m</w:t>
            </w:r>
          </w:p>
        </w:tc>
        <w:tc>
          <w:tcPr>
            <w:tcW w:w="717" w:type="dxa"/>
            <w:tcBorders>
              <w:top w:val="single" w:color="auto" w:sz="4" w:space="0"/>
              <w:left w:val="single" w:color="auto" w:sz="4" w:space="0"/>
              <w:bottom w:val="single" w:color="auto" w:sz="4" w:space="0"/>
              <w:right w:val="nil"/>
            </w:tcBorders>
            <w:noWrap w:val="0"/>
            <w:vAlign w:val="top"/>
          </w:tcPr>
          <w:p>
            <w:pPr>
              <w:widowControl/>
              <w:jc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下游</w:t>
            </w:r>
            <w:r>
              <w:rPr>
                <w:rFonts w:ascii="宋体" w:hAnsi="宋体" w:cs="宋体"/>
                <w:color w:val="000000" w:themeColor="text1"/>
                <w:sz w:val="18"/>
                <w:szCs w:val="18"/>
                <w:highlight w:val="none"/>
                <w14:textFill>
                  <w14:solidFill>
                    <w14:schemeClr w14:val="tx1"/>
                  </w14:solidFill>
                </w14:textFill>
              </w:rPr>
              <w:t>X</w:t>
            </w:r>
            <w:r>
              <w:rPr>
                <w:rFonts w:hint="eastAsia" w:ascii="宋体" w:hAnsi="宋体" w:cs="宋体"/>
                <w:color w:val="000000" w:themeColor="text1"/>
                <w:sz w:val="18"/>
                <w:szCs w:val="18"/>
                <w:highlight w:val="none"/>
                <w14:textFill>
                  <w14:solidFill>
                    <w14:schemeClr w14:val="tx1"/>
                  </w14:solidFill>
                </w14:textFill>
              </w:rPr>
              <w:t>坐标</w:t>
            </w:r>
          </w:p>
          <w:p>
            <w:pPr>
              <w:widowControl/>
              <w:jc w:val="center"/>
              <w:rPr>
                <w:rFonts w:ascii="宋体"/>
                <w:color w:val="000000" w:themeColor="text1"/>
                <w:sz w:val="18"/>
                <w:szCs w:val="18"/>
                <w:highlight w:val="none"/>
                <w14:textFill>
                  <w14:solidFill>
                    <w14:schemeClr w14:val="tx1"/>
                  </w14:solidFill>
                </w14:textFill>
              </w:rPr>
            </w:pPr>
            <w:r>
              <w:rPr>
                <w:rFonts w:ascii="宋体" w:hAnsi="宋体" w:cs="宋体"/>
                <w:color w:val="000000" w:themeColor="text1"/>
                <w:sz w:val="18"/>
                <w:szCs w:val="18"/>
                <w:highlight w:val="none"/>
                <w14:textFill>
                  <w14:solidFill>
                    <w14:schemeClr w14:val="tx1"/>
                  </w14:solidFill>
                </w14:textFill>
              </w:rPr>
              <w:t>-m</w:t>
            </w:r>
          </w:p>
        </w:tc>
        <w:tc>
          <w:tcPr>
            <w:tcW w:w="71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下游</w:t>
            </w:r>
            <w:r>
              <w:rPr>
                <w:rFonts w:ascii="宋体" w:hAnsi="宋体" w:cs="宋体"/>
                <w:color w:val="000000" w:themeColor="text1"/>
                <w:sz w:val="18"/>
                <w:szCs w:val="18"/>
                <w:highlight w:val="none"/>
                <w14:textFill>
                  <w14:solidFill>
                    <w14:schemeClr w14:val="tx1"/>
                  </w14:solidFill>
                </w14:textFill>
              </w:rPr>
              <w:t>Y</w:t>
            </w:r>
            <w:r>
              <w:rPr>
                <w:rFonts w:hint="eastAsia" w:ascii="宋体" w:hAnsi="宋体" w:cs="宋体"/>
                <w:color w:val="000000" w:themeColor="text1"/>
                <w:sz w:val="18"/>
                <w:szCs w:val="18"/>
                <w:highlight w:val="none"/>
                <w14:textFill>
                  <w14:solidFill>
                    <w14:schemeClr w14:val="tx1"/>
                  </w14:solidFill>
                </w14:textFill>
              </w:rPr>
              <w:t>坐标</w:t>
            </w:r>
          </w:p>
          <w:p>
            <w:pPr>
              <w:widowControl/>
              <w:jc w:val="center"/>
              <w:rPr>
                <w:rFonts w:ascii="宋体"/>
                <w:color w:val="000000" w:themeColor="text1"/>
                <w:sz w:val="18"/>
                <w:szCs w:val="18"/>
                <w:highlight w:val="none"/>
                <w14:textFill>
                  <w14:solidFill>
                    <w14:schemeClr w14:val="tx1"/>
                  </w14:solidFill>
                </w14:textFill>
              </w:rPr>
            </w:pPr>
            <w:r>
              <w:rPr>
                <w:rFonts w:ascii="宋体" w:hAnsi="宋体" w:cs="宋体"/>
                <w:color w:val="000000" w:themeColor="text1"/>
                <w:sz w:val="18"/>
                <w:szCs w:val="18"/>
                <w:highlight w:val="none"/>
                <w14:textFill>
                  <w14:solidFill>
                    <w14:schemeClr w14:val="tx1"/>
                  </w14:solidFill>
                </w14:textFill>
              </w:rPr>
              <w:t>-m</w:t>
            </w:r>
          </w:p>
        </w:tc>
        <w:tc>
          <w:tcPr>
            <w:tcW w:w="71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下游管底高程</w:t>
            </w:r>
            <w:r>
              <w:rPr>
                <w:rFonts w:ascii="宋体" w:hAnsi="宋体" w:cs="宋体"/>
                <w:color w:val="000000" w:themeColor="text1"/>
                <w:sz w:val="18"/>
                <w:szCs w:val="18"/>
                <w:highlight w:val="none"/>
                <w14:textFill>
                  <w14:solidFill>
                    <w14:schemeClr w14:val="tx1"/>
                  </w14:solidFill>
                </w14:textFill>
              </w:rPr>
              <w:t>-m</w:t>
            </w:r>
          </w:p>
        </w:tc>
        <w:tc>
          <w:tcPr>
            <w:tcW w:w="71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建设日期</w:t>
            </w:r>
          </w:p>
        </w:tc>
        <w:tc>
          <w:tcPr>
            <w:tcW w:w="720" w:type="dxa"/>
            <w:tcBorders>
              <w:top w:val="single" w:color="auto" w:sz="4" w:space="0"/>
              <w:bottom w:val="single" w:color="auto" w:sz="4" w:space="0"/>
              <w:right w:val="single" w:color="auto" w:sz="4" w:space="0"/>
            </w:tcBorders>
            <w:noWrap w:val="0"/>
            <w:vAlign w:val="top"/>
          </w:tcPr>
          <w:p>
            <w:pPr>
              <w:widowControl/>
              <w:jc w:val="center"/>
              <w:rPr>
                <w:color w:val="000000" w:themeColor="text1"/>
                <w:sz w:val="18"/>
                <w:szCs w:val="18"/>
                <w:highlight w:val="none"/>
                <w14:textFill>
                  <w14:solidFill>
                    <w14:schemeClr w14:val="tx1"/>
                  </w14:solidFill>
                </w14:textFill>
              </w:rPr>
            </w:pPr>
            <w:r>
              <w:rPr>
                <w:rFonts w:hint="eastAsia" w:cs="宋体"/>
                <w:color w:val="000000" w:themeColor="text1"/>
                <w:sz w:val="18"/>
                <w:szCs w:val="18"/>
                <w:highlight w:val="none"/>
                <w14:textFill>
                  <w14:solidFill>
                    <w14:schemeClr w14:val="tx1"/>
                  </w14:solidFill>
                </w14:textFill>
              </w:rPr>
              <w:t>备注</w:t>
            </w:r>
          </w:p>
        </w:tc>
      </w:tr>
      <w:tr>
        <w:tblPrEx>
          <w:tblCellMar>
            <w:top w:w="0" w:type="dxa"/>
            <w:left w:w="108" w:type="dxa"/>
            <w:bottom w:w="0" w:type="dxa"/>
            <w:right w:w="108" w:type="dxa"/>
          </w:tblCellMar>
        </w:tblPrEx>
        <w:trPr>
          <w:trHeight w:val="388"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5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33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45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整数</w:t>
            </w:r>
          </w:p>
        </w:tc>
        <w:tc>
          <w:tcPr>
            <w:tcW w:w="44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398" w:type="dxa"/>
            <w:tcBorders>
              <w:top w:val="single" w:color="auto" w:sz="4" w:space="0"/>
              <w:left w:val="nil"/>
              <w:bottom w:val="single" w:color="auto" w:sz="4" w:space="0"/>
              <w:right w:val="single" w:color="auto" w:sz="4" w:space="0"/>
            </w:tcBorders>
            <w:noWrap w:val="0"/>
            <w:vAlign w:val="top"/>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541" w:type="dxa"/>
            <w:tcBorders>
              <w:top w:val="single" w:color="auto" w:sz="4" w:space="0"/>
              <w:left w:val="nil"/>
              <w:bottom w:val="single" w:color="auto" w:sz="4" w:space="0"/>
              <w:right w:val="single" w:color="auto" w:sz="4" w:space="0"/>
            </w:tcBorders>
            <w:noWrap w:val="0"/>
            <w:vAlign w:val="top"/>
          </w:tcPr>
          <w:p>
            <w:pPr>
              <w:widowControl/>
              <w:jc w:val="center"/>
              <w:rPr>
                <w:rFonts w:ascii="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文本</w:t>
            </w:r>
          </w:p>
        </w:tc>
        <w:tc>
          <w:tcPr>
            <w:tcW w:w="720" w:type="dxa"/>
            <w:tcBorders>
              <w:top w:val="single" w:color="auto" w:sz="4" w:space="0"/>
              <w:left w:val="nil"/>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20" w:type="dxa"/>
            <w:tcBorders>
              <w:top w:val="single" w:color="auto" w:sz="4" w:space="0"/>
              <w:left w:val="single" w:color="auto" w:sz="4" w:space="0"/>
              <w:bottom w:val="single" w:color="auto" w:sz="4" w:space="0"/>
              <w:right w:val="nil"/>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2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2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20" w:type="dxa"/>
            <w:tcBorders>
              <w:top w:val="single" w:color="auto" w:sz="4" w:space="0"/>
              <w:left w:val="nil"/>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17" w:type="dxa"/>
            <w:tcBorders>
              <w:top w:val="single" w:color="auto" w:sz="4" w:space="0"/>
              <w:left w:val="single" w:color="auto" w:sz="4" w:space="0"/>
              <w:bottom w:val="single" w:color="auto" w:sz="4" w:space="0"/>
              <w:right w:val="nil"/>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1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1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实数</w:t>
            </w:r>
          </w:p>
        </w:tc>
        <w:tc>
          <w:tcPr>
            <w:tcW w:w="717" w:type="dxa"/>
            <w:tcBorders>
              <w:top w:val="single" w:color="auto" w:sz="4" w:space="0"/>
              <w:left w:val="nil"/>
              <w:bottom w:val="single" w:color="auto" w:sz="4" w:space="0"/>
              <w:right w:val="single" w:color="auto" w:sz="4" w:space="0"/>
            </w:tcBorders>
            <w:noWrap w:val="0"/>
            <w:vAlign w:val="top"/>
          </w:tcPr>
          <w:p>
            <w:pPr>
              <w:widowControl/>
              <w:jc w:val="center"/>
              <w:rPr>
                <w:rFonts w:asci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日期</w:t>
            </w:r>
          </w:p>
        </w:tc>
        <w:tc>
          <w:tcPr>
            <w:tcW w:w="720" w:type="dxa"/>
            <w:tcBorders>
              <w:top w:val="single" w:color="auto" w:sz="4" w:space="0"/>
              <w:bottom w:val="single" w:color="auto" w:sz="4" w:space="0"/>
              <w:right w:val="single" w:color="auto" w:sz="4" w:space="0"/>
            </w:tcBorders>
            <w:noWrap w:val="0"/>
            <w:vAlign w:val="top"/>
          </w:tcPr>
          <w:p>
            <w:pPr>
              <w:widowControl/>
              <w:jc w:val="center"/>
              <w:rPr>
                <w:color w:val="000000" w:themeColor="text1"/>
                <w:sz w:val="18"/>
                <w:szCs w:val="18"/>
                <w:highlight w:val="none"/>
                <w14:textFill>
                  <w14:solidFill>
                    <w14:schemeClr w14:val="tx1"/>
                  </w14:solidFill>
                </w14:textFill>
              </w:rPr>
            </w:pPr>
            <w:r>
              <w:rPr>
                <w:rFonts w:hint="eastAsia" w:cs="宋体"/>
                <w:color w:val="000000" w:themeColor="text1"/>
                <w:sz w:val="18"/>
                <w:szCs w:val="18"/>
                <w:highlight w:val="none"/>
                <w14:textFill>
                  <w14:solidFill>
                    <w14:schemeClr w14:val="tx1"/>
                  </w14:solidFill>
                </w14:textFill>
              </w:rPr>
              <w:t>文本</w:t>
            </w:r>
          </w:p>
        </w:tc>
      </w:tr>
    </w:tbl>
    <w:p>
      <w:pPr>
        <w:jc w:val="cente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注：流动性质：重力流、压力流、倒虹吸；管材：按厂家习惯，统一命名；</w:t>
      </w:r>
    </w:p>
    <w:p>
      <w:pPr>
        <w:rPr>
          <w:color w:val="000000" w:themeColor="text1"/>
          <w:highlight w:val="none"/>
          <w14:textFill>
            <w14:solidFill>
              <w14:schemeClr w14:val="tx1"/>
            </w14:solidFill>
          </w14:textFill>
        </w:rPr>
      </w:pPr>
    </w:p>
    <w:p>
      <w:pPr>
        <w:spacing w:line="440" w:lineRule="exact"/>
        <w:ind w:firstLine="210" w:firstLineChars="1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5．需提供竣工平面图的分幅图，要求每一分幅图不能放在同一</w:t>
      </w:r>
      <w:r>
        <w:rPr>
          <w:rFonts w:ascii="宋体" w:hAnsi="宋体"/>
          <w:color w:val="000000" w:themeColor="text1"/>
          <w:szCs w:val="21"/>
          <w:highlight w:val="none"/>
          <w14:textFill>
            <w14:solidFill>
              <w14:schemeClr w14:val="tx1"/>
            </w14:solidFill>
          </w14:textFill>
        </w:rPr>
        <w:t>cad</w:t>
      </w:r>
      <w:r>
        <w:rPr>
          <w:rFonts w:hint="eastAsia" w:ascii="宋体" w:hAnsi="宋体"/>
          <w:color w:val="000000" w:themeColor="text1"/>
          <w:szCs w:val="21"/>
          <w:highlight w:val="none"/>
          <w14:textFill>
            <w14:solidFill>
              <w14:schemeClr w14:val="tx1"/>
            </w14:solidFill>
          </w14:textFill>
        </w:rPr>
        <w:t>文件里，需分开保存并做好命名。</w:t>
      </w:r>
    </w:p>
    <w:p>
      <w:pPr>
        <w:spacing w:line="360" w:lineRule="auto"/>
        <w:ind w:firstLine="105" w:firstLineChars="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6.上述未尽的竣工图绘制要求，中标人应根据业主实际需要进行调整。</w:t>
      </w:r>
    </w:p>
    <w:p>
      <w:pPr>
        <w:spacing w:line="360" w:lineRule="auto"/>
        <w:ind w:firstLine="141" w:firstLineChars="50"/>
        <w:rPr>
          <w:rFonts w:hint="eastAsia" w:ascii="宋体" w:hAnsi="宋体"/>
          <w:b/>
          <w:color w:val="000000" w:themeColor="text1"/>
          <w:sz w:val="28"/>
          <w:szCs w:val="28"/>
          <w:highlight w:val="none"/>
          <w14:textFill>
            <w14:solidFill>
              <w14:schemeClr w14:val="tx1"/>
            </w14:solidFill>
          </w14:textFill>
        </w:rPr>
      </w:pPr>
    </w:p>
    <w:p>
      <w:pPr>
        <w:spacing w:line="360" w:lineRule="auto"/>
        <w:ind w:firstLine="481" w:firstLineChars="171"/>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四、建筑材料和设备的选用</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w:t>
      </w: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设计所选用的污水管道材料及设备（包括各专业选用的材料、设备），在进行性能价格比的分析后，原则上优先选用国内的产品。但对一些关系到建筑物的形象、功能档次的建筑材料、设备，国内没有的或国内材料、设备性能（功能）不能达到设计要求或价格高时，应选用进口材料、设备。设计中选用的材料、设备均须按中国、广东省、广州市有关法律和行政法规、规章的要求，提供明确的技术资料（包括性能指标、规格、型号等方面的资料）。</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 对于由发包人推荐的候选建筑材料和设备，设计人须帮助发包人鉴别其优劣并提供相关咨询意见，发包人不需为此额外支付任何费用。</w:t>
      </w:r>
    </w:p>
    <w:p>
      <w:pPr>
        <w:spacing w:line="360" w:lineRule="auto"/>
        <w:ind w:firstLine="359" w:firstLineChars="171"/>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w:t>
      </w: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从国外进口的建筑材料、设备等，设计人原则上须向发包人推荐三家以上可供货的国外厂商名称、产品质量标准、价格资料等，并提出评估意见（必要时还须提供推荐的供应厂商以往业绩）。推荐材料不能含有任何倾向性和排他性，设计人不得推荐或选用具有唯一知识产权特征的独家产品，如确有必要，设计人应提前取得发包人或设计咨询方的认可</w:t>
      </w:r>
      <w:r>
        <w:rPr>
          <w:rFonts w:hint="eastAsia" w:ascii="宋体" w:hAnsi="宋体"/>
          <w:color w:val="000000" w:themeColor="text1"/>
          <w:sz w:val="24"/>
          <w:highlight w:val="none"/>
          <w14:textFill>
            <w14:solidFill>
              <w14:schemeClr w14:val="tx1"/>
            </w14:solidFill>
          </w14:textFill>
        </w:rPr>
        <w:t>。</w:t>
      </w:r>
    </w:p>
    <w:p>
      <w:pPr>
        <w:spacing w:line="360" w:lineRule="auto"/>
        <w:ind w:firstLine="410" w:firstLineChars="171"/>
        <w:rPr>
          <w:rFonts w:hint="eastAsia" w:ascii="宋体" w:hAnsi="宋体"/>
          <w:color w:val="000000" w:themeColor="text1"/>
          <w:sz w:val="24"/>
          <w:highlight w:val="none"/>
          <w14:textFill>
            <w14:solidFill>
              <w14:schemeClr w14:val="tx1"/>
            </w14:solidFill>
          </w14:textFill>
        </w:rPr>
      </w:pPr>
    </w:p>
    <w:p>
      <w:pPr>
        <w:spacing w:line="360" w:lineRule="auto"/>
        <w:ind w:firstLine="2642" w:firstLineChars="940"/>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五、进度控制的要求和办法</w:t>
      </w:r>
    </w:p>
    <w:p>
      <w:pPr>
        <w:spacing w:line="360" w:lineRule="auto"/>
        <w:ind w:firstLine="359" w:firstLine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 设计人根据合同约定及工期总体策划的要求编制各阶段设计进度计划和各专业的出图计划，各阶段中间检查内容、时间、次数和提交的设计文件、图纸，经设计咨询单位审核和发包人审查、平衡后执行。设计人根据设计进展编制短期设计计划，以使设计进度在受控状态下进行，同时便于发包人及时与设计人协调。</w:t>
      </w:r>
    </w:p>
    <w:p>
      <w:pPr>
        <w:spacing w:line="360" w:lineRule="auto"/>
        <w:ind w:firstLine="359" w:firstLineChars="171"/>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 设计人严格按照进度计划开展和组织设计工作，接受发包人根据合同和进度计划进行的各种设计跟踪、工作检查和协调要求。</w:t>
      </w:r>
    </w:p>
    <w:p>
      <w:pPr>
        <w:spacing w:line="360" w:lineRule="auto"/>
        <w:ind w:firstLine="359" w:firstLineChars="171"/>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5.3.</w:t>
      </w: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发包人按进度计划检查设计完成情况，检查内容包括设计进展、设计质量、限额设计落实情况、设计成果提交情况等，发现问题，有权督促设计人采取组织、经济及技术措施予以纠正。</w:t>
      </w:r>
    </w:p>
    <w:p>
      <w:pPr>
        <w:spacing w:line="360" w:lineRule="auto"/>
        <w:ind w:firstLine="359" w:firstLineChars="171"/>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 设计人根据设计开展情况编制月工作汇报和下月进度计划，提供有关设计信息，协调发包人掌握设计工作的整体进展情况。设计人每周按要求向发包人报告进展情况。发包人有权要求修改、调整进度计划并要求设计人执行。</w:t>
      </w:r>
    </w:p>
    <w:p>
      <w:pPr>
        <w:spacing w:line="360" w:lineRule="auto"/>
        <w:ind w:firstLine="410" w:firstLineChars="171"/>
        <w:rPr>
          <w:rFonts w:hint="eastAsia" w:ascii="宋体" w:hAnsi="宋体"/>
          <w:color w:val="000000" w:themeColor="text1"/>
          <w:sz w:val="24"/>
          <w:highlight w:val="none"/>
          <w14:textFill>
            <w14:solidFill>
              <w14:schemeClr w14:val="tx1"/>
            </w14:solidFill>
          </w14:textFill>
        </w:rPr>
      </w:pPr>
    </w:p>
    <w:p>
      <w:pPr>
        <w:spacing w:line="360" w:lineRule="auto"/>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六、设计的配合服务要求</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6.1．设计人应按要求，参加设计交底会，对设计文件进行技术交底，包括土建技术交底和机电技术交底，确保监理单位、施工单位能理解设计意图。</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 设计人应派设计人员定期检查工程的施工情况，确保工程施工与设计文件的要求一致，设计人员应及时向施工单位澄清设计文件或解决在施工过程中出现的相关技术问题。</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6.3．设计人应派设计人员参加发包人或监理人组织的工程例会和有关工程会议，及时解决有关设计问题。</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6.4. 设计人应派设计人员参加隐蔽工程、主要分部分项工程验收及竣工验收。</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6.5．严禁设计人未经发包人许可，将相关设计文件直接发往施工单位。</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6.6. 设计人应在番禺本地设立项目部，且项目负责人及有关设计人员须长驻本项目部，负责处理设计、施工及报建等工作中的相关问题。</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6.7. 除发包人已批准的设计文件组成清单内容外，发包人有权要求设计人补充完成增加工程实际所需要的相关的设计图纸。</w:t>
      </w:r>
    </w:p>
    <w:p>
      <w:pPr>
        <w:spacing w:line="360" w:lineRule="auto"/>
        <w:ind w:firstLine="308" w:firstLineChars="14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6.8. 设计要考虑工程实施的需要，在计划、工期上要根据工程总体策划考虑工程招投标、设备采购、施工组织所需要的时间，提前交付设计文件。</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6.9. 对于深基坑和负责编制大型临时工程的施工图纸，如大规模的导水、改水、围堰方案、交通疏导、改道方案、建构筑物的特殊支护、大型的施工便道、便桥等，设计人需按照上级行政部门的要求完成审查程序,并提供满足施工要求的设计图给发包人。</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6.10. 设计人需配合招标工作，按发包人的要求提供满足招标使用的图纸、技术文件和工程量清单，并且项目预算应报送开发区财政部门进行评审，评审结果作为招标的参考依据。</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6.11. 发包人因特殊专业委托他人设计，设计人须积极配合。</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6.12. 设计人应对发包人提供的文件、资料进行认真研究，对本项目的特点和不确定因素进行认真考虑，并提出合理建议和评价，对影响设计稳定的重大问题要进行多方案比较选择。</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6.13. 设计应尽可能减少施工难度，为施工创造方便合理的施工条件，应尽可能减少施工对城市交通、市民生活以及水利、通航、铁路的干扰，并尽可能减少对施工期的影响。</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6.14. 对涉及建筑安全或对投资影响重大的有关数据，在发包人提出要求时，设计人必需提供设计输入条件，基础数据、计算原理和方法以及计算成果，方便发包人在必要时用其它计算程序进行验算，设计人有解释的义务，不得以专利和知识产权为借口拒绝配合。</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6.15. 在设计及施工过程中，设计人应充分尊重和理解发包人、代表发包人的设计咨询及设计监理公司对设计提出的书面意见与要求，如无充分的否定理由应尽快予以处理和实施。对合同没有约定的部分和没有描述的部分，双方应另行协商。</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6.16. 在设计各阶段，设计人应根据发包人或政府主管部门的意见，及时修改、完善设计，负责完成由于设计失误未获政府主管部门批准而出现的反复修改工作。</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6.17. 设计人应积极主动进行与项目有关的内、外协调工作，积极配合与规划、市政、交通、水利、航运、铁路等部门的审查及报审。</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6.18. 设计人承诺在交付项目的部分或全部设计文件后，如有更好的新工艺、新技术、新材料、新设备等适用于本项目，将及时向发包人推荐并提供科学的评估和来源证明。</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6.19. 设计人根据合同的约定对本项目的设计进度、实际质量、施工服务等工作的完整性、连贯行和可靠性负责。</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6.20. 如果发包人委托设计人编制清单预算，则设计人在施工图阶段提供的工程量清单和工程预算必须满足发包人用作于“投标限价”的要求，发包人将设计人提供的工程预算上报广州番禺区财政局审核，审核结果作为工程预算的“投标限价”。</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6.21. 参与设计的技术协调会，做好设计交底工作。</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6.22. 各施工阶段开始前，按设计人员的设计分工，参与图纸会审，解答有关设计问题。</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6.23. 现场服务：指派设计人员常驻施工现场，按设计人分工责任分别组织进行，配合发包人进行现场巡查，直至工程竣工验收合格止。当建设过程中对设计文件有疑问，设计人在接到通知后，应及时派出专业工程师解决。属于一般设计问题，若无特殊情况，应在1天内解决。属于重大设计问题，可在5天内书面提出解决意见。对设计图纸与现场不符之处，应及时提出解决办法。</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6.24. 配合发包人进行施工招标和设备、材料采购招标工作，其招标文件技术部分由设计人负责编写，并配合发包人进行合同技术条款的谈判工作。</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6.25. 提供设备、材料订货清单，同时原则上须向发包人公正推荐三家以上供应商及提供相关资料，所提供的供应商和相关资料不能有倾向性和排它性。</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6.26. 对设备、材料订货有关性能、参数、规格的技术确认，以及协助参与对已定设备、材料的验收工作。</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6.27. 协助指定设备系统的调试计划和参与设备试车调试。</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6.28. 参与工程竣工验收，参与编写工程总结。</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6.29. 项目负责人应参加发包人召开的协调会、调度会。</w:t>
      </w:r>
    </w:p>
    <w:p>
      <w:pPr>
        <w:spacing w:line="360" w:lineRule="auto"/>
        <w:ind w:firstLine="308" w:firstLineChars="147"/>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6.30.</w:t>
      </w: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根据工程进展情况和需要，对一些特殊工程，设计人应向发包人提供施工组织设计的书面建议，编写工程施工技术标准（施工作业指导书），对设计各部分所应满足的规范、标准进行总说明，对各条文进行摘录汇编。若对超规范（标准）之处，应初拟技术标准，以供专家论证后执行。</w:t>
      </w:r>
    </w:p>
    <w:p>
      <w:pPr>
        <w:spacing w:line="360" w:lineRule="auto"/>
        <w:ind w:firstLine="315" w:firstLineChars="15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6.31. 本合同价已包含施工阶段设计变更、修改、补充的设计费用以及进行设计报建、配合发包人工程招标及施工等工作的费用</w:t>
      </w:r>
      <w:r>
        <w:rPr>
          <w:rFonts w:hint="eastAsia" w:ascii="宋体" w:hAnsi="宋体"/>
          <w:color w:val="000000" w:themeColor="text1"/>
          <w:sz w:val="24"/>
          <w:highlight w:val="none"/>
          <w14:textFill>
            <w14:solidFill>
              <w14:schemeClr w14:val="tx1"/>
            </w14:solidFill>
          </w14:textFill>
        </w:rPr>
        <w:t>。</w:t>
      </w:r>
    </w:p>
    <w:p>
      <w:pPr>
        <w:spacing w:line="360" w:lineRule="auto"/>
        <w:rPr>
          <w:rFonts w:hint="eastAsia" w:ascii="宋体" w:hAnsi="宋体"/>
          <w:color w:val="000000" w:themeColor="text1"/>
          <w:sz w:val="24"/>
          <w:highlight w:val="none"/>
          <w14:textFill>
            <w14:solidFill>
              <w14:schemeClr w14:val="tx1"/>
            </w14:solidFill>
          </w14:textFill>
        </w:rPr>
      </w:pPr>
    </w:p>
    <w:p>
      <w:pPr>
        <w:spacing w:line="360" w:lineRule="auto"/>
        <w:jc w:val="center"/>
        <w:rPr>
          <w:rFonts w:hint="eastAsia" w:ascii="宋体" w:hAnsi="宋体"/>
          <w:b/>
          <w:color w:val="000000" w:themeColor="text1"/>
          <w:sz w:val="28"/>
          <w:szCs w:val="28"/>
          <w:highlight w:val="none"/>
          <w14:textFill>
            <w14:solidFill>
              <w14:schemeClr w14:val="tx1"/>
            </w14:solidFill>
          </w14:textFill>
        </w:rPr>
      </w:pPr>
    </w:p>
    <w:p>
      <w:pPr>
        <w:spacing w:line="360" w:lineRule="auto"/>
        <w:jc w:val="center"/>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r>
        <w:rPr>
          <w:rFonts w:hint="eastAsia" w:ascii="宋体" w:hAnsi="宋体"/>
          <w:b/>
          <w:color w:val="000000" w:themeColor="text1"/>
          <w:sz w:val="28"/>
          <w:szCs w:val="28"/>
          <w:highlight w:val="none"/>
          <w14:textFill>
            <w14:solidFill>
              <w14:schemeClr w14:val="tx1"/>
            </w14:solidFill>
          </w14:textFill>
        </w:rPr>
        <w:t>七、设计变更</w:t>
      </w:r>
    </w:p>
    <w:p>
      <w:pPr>
        <w:spacing w:line="360" w:lineRule="auto"/>
        <w:jc w:val="center"/>
        <w:rPr>
          <w:rFonts w:hint="eastAsia" w:ascii="宋体" w:hAnsi="宋体"/>
          <w:b/>
          <w:color w:val="000000" w:themeColor="text1"/>
          <w:sz w:val="24"/>
          <w:highlight w:val="none"/>
          <w14:textFill>
            <w14:solidFill>
              <w14:schemeClr w14:val="tx1"/>
            </w14:solidFill>
          </w14:textFill>
        </w:rPr>
      </w:pP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7.1．由于设计人的原因造成的设计变更而产生的投资失控，设计人应承担相应的责任，并按合同条款第十条10.3点追究设计人的违约责任。</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7.2．设计人应按发包人要求，在施工过程和竣工验收后，对由于设计问题而进行相关图纸修改、或符合设计要求的施工变更进行签字确认并加盖公章。</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7.3．施工图设计阶段，设计图纸必须满足使用功能及质量的要求，设计深度要满足施工要求，施工图预算满足限额设计指标的要求。若发生设计变更时，应提交设计变更图纸并同时提交设计变更预算，份数按发包人所需提供。</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7.4. 工程建设过程因各种原因所发生的设计变更，应明确设计变更原因、种类、责任认定、审批权限和费用处理原则。</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7.5. 设计人应承诺能够根据工程需要修改设计，对所承担项目设计的完整性负责，且修改设计完成时限应满足工程建设需要并符合本合同要求。</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7.6. 因设计人所发出设计变更内容引起歧义造成估算额被核减或核增超过</w:t>
      </w:r>
      <w:r>
        <w:rPr>
          <w:rFonts w:hint="eastAsia" w:ascii="宋体" w:hAnsi="宋体"/>
          <w:color w:val="000000" w:themeColor="text1"/>
          <w:szCs w:val="21"/>
          <w:highlight w:val="none"/>
          <w:lang w:val="en-US" w:eastAsia="zh-CN"/>
          <w14:textFill>
            <w14:solidFill>
              <w14:schemeClr w14:val="tx1"/>
            </w14:solidFill>
          </w14:textFill>
        </w:rPr>
        <w:t>本建设工程设计合同条款</w:t>
      </w:r>
      <w:r>
        <w:rPr>
          <w:rFonts w:hint="eastAsia" w:ascii="宋体" w:hAnsi="宋体"/>
          <w:color w:val="000000" w:themeColor="text1"/>
          <w:szCs w:val="21"/>
          <w:highlight w:val="none"/>
          <w14:textFill>
            <w14:solidFill>
              <w14:schemeClr w14:val="tx1"/>
            </w14:solidFill>
          </w14:textFill>
        </w:rPr>
        <w:t>第十条10.3点规定的，将</w:t>
      </w:r>
      <w:r>
        <w:rPr>
          <w:rFonts w:hint="eastAsia" w:ascii="宋体" w:hAnsi="宋体"/>
          <w:color w:val="000000" w:themeColor="text1"/>
          <w:szCs w:val="21"/>
          <w:highlight w:val="none"/>
          <w:lang w:val="en-US" w:eastAsia="zh-CN"/>
          <w14:textFill>
            <w14:solidFill>
              <w14:schemeClr w14:val="tx1"/>
            </w14:solidFill>
          </w14:textFill>
        </w:rPr>
        <w:t>按</w:t>
      </w:r>
      <w:r>
        <w:rPr>
          <w:rFonts w:hint="eastAsia" w:ascii="宋体" w:hAnsi="宋体"/>
          <w:color w:val="000000" w:themeColor="text1"/>
          <w:szCs w:val="21"/>
          <w:highlight w:val="none"/>
          <w14:textFill>
            <w14:solidFill>
              <w14:schemeClr w14:val="tx1"/>
            </w14:solidFill>
          </w14:textFill>
        </w:rPr>
        <w:t>本建设工程设计合同条款第十条10.3点追究设计人的违约责任。</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7.7. 在召开设计变更审查会议后的5个日历天内，设计人必须完成设计变更图纸。未按时提交变更后的图纸或变更后的图纸质量仍不符合要求的，处以5万元/日历天罚款。逾期超过10天，发包人有权以书面通知书形式解除合同，通知到达设计人即生效，由此导致的一切损失由设计人负责。</w:t>
      </w:r>
    </w:p>
    <w:p>
      <w:pPr>
        <w:spacing w:line="360" w:lineRule="auto"/>
        <w:ind w:firstLine="315" w:firstLineChars="1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7.8. 补充设计变更后，设计人应及时编制变更设计预算，作为调整概算的依据，工程竣工验收后，如实际发生工程费用超过概算（但不得超过经相关行政部门批准的可研估算），则设计人需按发包人要求调整概算，发包人不支付设计人组织专家评审超过原审批概算所发生的费用。</w:t>
      </w:r>
    </w:p>
    <w:p>
      <w:pPr>
        <w:spacing w:line="360" w:lineRule="auto"/>
        <w:ind w:firstLine="315" w:firstLineChars="150"/>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7.9工程变更管理执行《广州市水务局关于印发广州市水务建设工程设计变更管理办法的通知》（穗水建管</w:t>
      </w:r>
      <w:r>
        <w:rPr>
          <w:rFonts w:hint="eastAsia" w:ascii="宋体" w:hAnsi="宋体"/>
          <w:color w:val="000000" w:themeColor="text1"/>
          <w:kern w:val="0"/>
          <w:szCs w:val="21"/>
          <w:highlight w:val="none"/>
          <w14:textFill>
            <w14:solidFill>
              <w14:schemeClr w14:val="tx1"/>
            </w14:solidFill>
          </w14:textFill>
        </w:rPr>
        <w:t>〔2020〕</w:t>
      </w:r>
      <w:r>
        <w:rPr>
          <w:rFonts w:hint="eastAsia" w:ascii="宋体" w:hAnsi="宋体"/>
          <w:color w:val="000000" w:themeColor="text1"/>
          <w:szCs w:val="21"/>
          <w:highlight w:val="none"/>
          <w14:textFill>
            <w14:solidFill>
              <w14:schemeClr w14:val="tx1"/>
            </w14:solidFill>
          </w14:textFill>
        </w:rPr>
        <w:t>5号）、</w:t>
      </w:r>
      <w:r>
        <w:rPr>
          <w:rFonts w:hint="eastAsia" w:ascii="宋体" w:hAnsi="宋体"/>
          <w:color w:val="000000" w:themeColor="text1"/>
          <w:kern w:val="0"/>
          <w:szCs w:val="21"/>
          <w:highlight w:val="none"/>
          <w14:textFill>
            <w14:solidFill>
              <w14:schemeClr w14:val="tx1"/>
            </w14:solidFill>
          </w14:textFill>
        </w:rPr>
        <w:t>《番禺区住房和城乡建设局等</w:t>
      </w:r>
      <w:r>
        <w:rPr>
          <w:rFonts w:hint="eastAsia" w:ascii="宋体" w:hAnsi="宋体"/>
          <w:color w:val="000000" w:themeColor="text1"/>
          <w:kern w:val="0"/>
          <w:szCs w:val="21"/>
          <w:highlight w:val="none"/>
          <w:lang w:eastAsia="zh-CN"/>
          <w14:textFill>
            <w14:solidFill>
              <w14:schemeClr w14:val="tx1"/>
            </w14:solidFill>
          </w14:textFill>
        </w:rPr>
        <w:t>七</w:t>
      </w:r>
      <w:r>
        <w:rPr>
          <w:rFonts w:hint="eastAsia" w:ascii="宋体" w:hAnsi="宋体"/>
          <w:color w:val="000000" w:themeColor="text1"/>
          <w:kern w:val="0"/>
          <w:szCs w:val="21"/>
          <w:highlight w:val="none"/>
          <w14:textFill>
            <w14:solidFill>
              <w14:schemeClr w14:val="tx1"/>
            </w14:solidFill>
          </w14:textFill>
        </w:rPr>
        <w:t>部门关于印发&lt;番禺区财政学投资建设项目工程变更管理规定&gt;的通知》（番住建发〔</w:t>
      </w:r>
      <w:r>
        <w:rPr>
          <w:rFonts w:hint="eastAsia" w:ascii="宋体" w:hAnsi="宋体"/>
          <w:color w:val="000000" w:themeColor="text1"/>
          <w:kern w:val="0"/>
          <w:szCs w:val="21"/>
          <w:highlight w:val="none"/>
          <w:lang w:val="en-US" w:eastAsia="zh-CN"/>
          <w14:textFill>
            <w14:solidFill>
              <w14:schemeClr w14:val="tx1"/>
            </w14:solidFill>
          </w14:textFill>
        </w:rPr>
        <w:t>2022</w:t>
      </w:r>
      <w:r>
        <w:rPr>
          <w:rFonts w:hint="eastAsia"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kern w:val="0"/>
          <w:szCs w:val="21"/>
          <w:highlight w:val="none"/>
          <w:lang w:val="en-US" w:eastAsia="zh-CN"/>
          <w14:textFill>
            <w14:solidFill>
              <w14:schemeClr w14:val="tx1"/>
            </w14:solidFill>
          </w14:textFill>
        </w:rPr>
        <w:t>153</w:t>
      </w:r>
      <w:r>
        <w:rPr>
          <w:rFonts w:hint="eastAsia" w:ascii="宋体" w:hAnsi="宋体"/>
          <w:color w:val="000000" w:themeColor="text1"/>
          <w:kern w:val="0"/>
          <w:szCs w:val="21"/>
          <w:highlight w:val="none"/>
          <w14:textFill>
            <w14:solidFill>
              <w14:schemeClr w14:val="tx1"/>
            </w14:solidFill>
          </w14:textFill>
        </w:rPr>
        <w:t>号）。项目执行过程中出现新的规定，则按新规定执行。</w:t>
      </w:r>
    </w:p>
    <w:p>
      <w:pPr>
        <w:spacing w:line="360" w:lineRule="auto"/>
        <w:ind w:firstLine="0" w:firstLineChars="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eastAsia="宋体" w:cs="Times New Roman"/>
          <w:color w:val="000000" w:themeColor="text1"/>
          <w:sz w:val="24"/>
          <w:highlight w:val="none"/>
          <w14:textFill>
            <w14:solidFill>
              <w14:schemeClr w14:val="tx1"/>
            </w14:solidFill>
          </w14:textFill>
        </w:rPr>
        <w:t>设计合同条款</w:t>
      </w:r>
      <w:r>
        <w:rPr>
          <w:rFonts w:hint="eastAsia" w:ascii="宋体" w:hAnsi="宋体"/>
          <w:color w:val="000000" w:themeColor="text1"/>
          <w:sz w:val="24"/>
          <w:highlight w:val="none"/>
          <w14:textFill>
            <w14:solidFill>
              <w14:schemeClr w14:val="tx1"/>
            </w14:solidFill>
          </w14:textFill>
        </w:rPr>
        <w:t>附件2：</w:t>
      </w:r>
    </w:p>
    <w:p>
      <w:pPr>
        <w:adjustRightInd w:val="0"/>
        <w:snapToGrid w:val="0"/>
        <w:spacing w:line="360" w:lineRule="auto"/>
        <w:jc w:val="center"/>
        <w:rPr>
          <w:rFonts w:hint="eastAsia" w:ascii="宋体" w:hAnsi="宋体"/>
          <w:b/>
          <w:color w:val="000000" w:themeColor="text1"/>
          <w:sz w:val="24"/>
          <w:highlight w:val="none"/>
          <w14:textFill>
            <w14:solidFill>
              <w14:schemeClr w14:val="tx1"/>
            </w14:solidFill>
          </w14:textFill>
        </w:rPr>
      </w:pPr>
    </w:p>
    <w:p>
      <w:pPr>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本项目设计人员分工表</w:t>
      </w:r>
    </w:p>
    <w:tbl>
      <w:tblPr>
        <w:tblStyle w:val="3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0"/>
        <w:gridCol w:w="728"/>
        <w:gridCol w:w="22"/>
        <w:gridCol w:w="660"/>
        <w:gridCol w:w="735"/>
        <w:gridCol w:w="1134"/>
        <w:gridCol w:w="851"/>
        <w:gridCol w:w="1275"/>
        <w:gridCol w:w="1701"/>
        <w:gridCol w:w="1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79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项目负责人</w:t>
            </w:r>
          </w:p>
        </w:tc>
        <w:tc>
          <w:tcPr>
            <w:tcW w:w="141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注册号</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9594" w:type="dxa"/>
            <w:gridSpan w:val="10"/>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各   专   业   负   责   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9"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  名</w:t>
            </w: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性别</w:t>
            </w:r>
          </w:p>
        </w:tc>
        <w:tc>
          <w:tcPr>
            <w:tcW w:w="6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ind w:left="12"/>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年龄</w:t>
            </w:r>
          </w:p>
        </w:tc>
        <w:tc>
          <w:tcPr>
            <w:tcW w:w="7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负责专业</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  称</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注册师类别</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注册号</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07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olor w:val="000000" w:themeColor="text1"/>
                <w:szCs w:val="21"/>
                <w:highlight w:val="none"/>
                <w14:textFill>
                  <w14:solidFill>
                    <w14:schemeClr w14:val="tx1"/>
                  </w14:solidFill>
                </w14:textFill>
              </w:rPr>
            </w:pPr>
          </w:p>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60" w:lineRule="auto"/>
              <w:jc w:val="center"/>
              <w:rPr>
                <w:rFonts w:ascii="宋体" w:hAnsi="宋体"/>
                <w:color w:val="000000" w:themeColor="text1"/>
                <w:szCs w:val="2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ind w:firstLine="0" w:firstLineChars="0"/>
        <w:rPr>
          <w:rFonts w:hint="eastAsia" w:ascii="宋体" w:hAnsi="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eastAsia="宋体" w:cs="Times New Roman"/>
          <w:color w:val="000000" w:themeColor="text1"/>
          <w:sz w:val="24"/>
          <w:highlight w:val="none"/>
          <w14:textFill>
            <w14:solidFill>
              <w14:schemeClr w14:val="tx1"/>
            </w14:solidFill>
          </w14:textFill>
        </w:rPr>
        <w:t>设计合同条款</w:t>
      </w:r>
      <w:r>
        <w:rPr>
          <w:rFonts w:hint="eastAsia" w:ascii="宋体" w:hAnsi="宋体"/>
          <w:color w:val="000000" w:themeColor="text1"/>
          <w:sz w:val="24"/>
          <w:szCs w:val="24"/>
          <w:highlight w:val="none"/>
          <w14:textFill>
            <w14:solidFill>
              <w14:schemeClr w14:val="tx1"/>
            </w14:solidFill>
          </w14:textFill>
        </w:rPr>
        <w:t>附件3、</w:t>
      </w:r>
    </w:p>
    <w:p>
      <w:pPr>
        <w:jc w:val="center"/>
        <w:rPr>
          <w:rFonts w:hint="eastAsia" w:ascii="宋体" w:hAnsi="宋体"/>
          <w:b/>
          <w:color w:val="000000" w:themeColor="text1"/>
          <w:sz w:val="24"/>
          <w:szCs w:val="24"/>
          <w:highlight w:val="none"/>
          <w14:textFill>
            <w14:solidFill>
              <w14:schemeClr w14:val="tx1"/>
            </w14:solidFill>
          </w14:textFill>
        </w:rPr>
      </w:pPr>
    </w:p>
    <w:p>
      <w:pPr>
        <w:jc w:val="center"/>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设计人的银行开户许可证（或开户申请）</w:t>
      </w:r>
    </w:p>
    <w:p>
      <w:pPr>
        <w:rPr>
          <w:rFonts w:hint="eastAsia" w:ascii="仿宋_GB2312" w:eastAsia="仿宋_GB2312"/>
          <w:b/>
          <w:color w:val="000000" w:themeColor="text1"/>
          <w:sz w:val="28"/>
          <w:szCs w:val="28"/>
          <w:highlight w:val="none"/>
          <w14:textFill>
            <w14:solidFill>
              <w14:schemeClr w14:val="tx1"/>
            </w14:solidFill>
          </w14:textFill>
        </w:rPr>
      </w:pPr>
    </w:p>
    <w:p>
      <w:pPr>
        <w:spacing w:before="240" w:beforeLines="100" w:after="240" w:afterLines="100" w:line="360" w:lineRule="auto"/>
        <w:ind w:firstLine="1606" w:firstLineChars="500"/>
        <w:jc w:val="both"/>
        <w:outlineLvl w:val="0"/>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spacing w:before="240" w:beforeLines="100" w:after="240" w:afterLines="100" w:line="360" w:lineRule="auto"/>
        <w:ind w:firstLine="1606" w:firstLineChars="500"/>
        <w:jc w:val="both"/>
        <w:outlineLvl w:val="0"/>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6"/>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pStyle w:val="37"/>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p>
      <w:pPr>
        <w:spacing w:before="240" w:beforeLines="100" w:after="240" w:afterLines="100" w:line="360" w:lineRule="auto"/>
        <w:ind w:firstLine="1606" w:firstLineChars="500"/>
        <w:jc w:val="both"/>
        <w:outlineLvl w:val="0"/>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pPr>
    </w:p>
    <w:p>
      <w:pPr>
        <w:spacing w:before="240" w:beforeLines="100" w:after="240" w:afterLines="100" w:line="360" w:lineRule="auto"/>
        <w:ind w:firstLine="1928" w:firstLineChars="600"/>
        <w:jc w:val="both"/>
        <w:outlineLvl w:val="0"/>
        <w:rPr>
          <w:rFonts w:hint="eastAsia" w:ascii="黑体" w:hAnsi="Times New Roman" w:eastAsia="黑体" w:cs="Times New Roman"/>
          <w:b/>
          <w:color w:val="000000" w:themeColor="text1"/>
          <w:sz w:val="32"/>
          <w:szCs w:val="32"/>
          <w:highlight w:val="none"/>
          <w14:textFill>
            <w14:solidFill>
              <w14:schemeClr w14:val="tx1"/>
            </w14:solidFill>
          </w14:textFill>
        </w:rPr>
      </w:pPr>
      <w:bookmarkStart w:id="72" w:name="_Toc2908"/>
      <w:bookmarkStart w:id="73" w:name="_Toc7942"/>
      <w:bookmarkStart w:id="74" w:name="_Toc9843"/>
      <w: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t xml:space="preserve">第三部分  </w:t>
      </w:r>
      <w:r>
        <w:rPr>
          <w:rFonts w:hint="eastAsia" w:ascii="黑体" w:hAnsi="Times New Roman" w:eastAsia="黑体" w:cs="Times New Roman"/>
          <w:b/>
          <w:color w:val="000000" w:themeColor="text1"/>
          <w:sz w:val="32"/>
          <w:szCs w:val="32"/>
          <w:highlight w:val="none"/>
          <w14:textFill>
            <w14:solidFill>
              <w14:schemeClr w14:val="tx1"/>
            </w14:solidFill>
          </w14:textFill>
        </w:rPr>
        <w:t>工程施工</w:t>
      </w:r>
      <w:r>
        <w:rPr>
          <w:rFonts w:hint="eastAsia" w:ascii="黑体" w:hAnsi="Times New Roman" w:eastAsia="黑体" w:cs="Times New Roman"/>
          <w:b/>
          <w:color w:val="000000" w:themeColor="text1"/>
          <w:sz w:val="32"/>
          <w:szCs w:val="32"/>
          <w:highlight w:val="none"/>
          <w:lang w:val="en-US" w:eastAsia="zh-CN"/>
          <w14:textFill>
            <w14:solidFill>
              <w14:schemeClr w14:val="tx1"/>
            </w14:solidFill>
          </w14:textFill>
        </w:rPr>
        <w:t>总承包</w:t>
      </w:r>
      <w:r>
        <w:rPr>
          <w:rFonts w:hint="eastAsia" w:ascii="黑体" w:hAnsi="Times New Roman" w:eastAsia="黑体" w:cs="Times New Roman"/>
          <w:b/>
          <w:color w:val="000000" w:themeColor="text1"/>
          <w:sz w:val="32"/>
          <w:szCs w:val="32"/>
          <w:highlight w:val="none"/>
          <w14:textFill>
            <w14:solidFill>
              <w14:schemeClr w14:val="tx1"/>
            </w14:solidFill>
          </w14:textFill>
        </w:rPr>
        <w:t>合同条款</w:t>
      </w:r>
      <w:bookmarkEnd w:id="72"/>
      <w:bookmarkEnd w:id="73"/>
      <w:bookmarkEnd w:id="74"/>
    </w:p>
    <w:p>
      <w:pPr>
        <w:numPr>
          <w:ilvl w:val="0"/>
          <w:numId w:val="0"/>
        </w:numPr>
        <w:spacing w:before="240" w:beforeLines="100" w:after="240" w:afterLines="100" w:line="360" w:lineRule="auto"/>
        <w:ind w:leftChars="0"/>
        <w:jc w:val="center"/>
        <w:outlineLvl w:val="0"/>
        <w:rPr>
          <w:rFonts w:hint="eastAsia" w:ascii="黑体" w:eastAsia="黑体"/>
          <w:b/>
          <w:color w:val="000000" w:themeColor="text1"/>
          <w:sz w:val="32"/>
          <w:szCs w:val="32"/>
          <w:highlight w:val="none"/>
          <w14:textFill>
            <w14:solidFill>
              <w14:schemeClr w14:val="tx1"/>
            </w14:solidFill>
          </w14:textFill>
        </w:rPr>
      </w:pPr>
      <w:bookmarkStart w:id="75" w:name="_Toc4892"/>
      <w:bookmarkStart w:id="76" w:name="_Toc8655"/>
      <w:bookmarkStart w:id="77" w:name="_Toc27122"/>
      <w:r>
        <w:rPr>
          <w:rFonts w:hint="eastAsia" w:ascii="黑体" w:eastAsia="黑体"/>
          <w:b/>
          <w:color w:val="000000" w:themeColor="text1"/>
          <w:sz w:val="32"/>
          <w:szCs w:val="32"/>
          <w:highlight w:val="none"/>
          <w14:textFill>
            <w14:solidFill>
              <w14:schemeClr w14:val="tx1"/>
            </w14:solidFill>
          </w14:textFill>
        </w:rPr>
        <w:t>通用合同条款</w:t>
      </w:r>
      <w:bookmarkEnd w:id="75"/>
      <w:bookmarkEnd w:id="76"/>
      <w:bookmarkEnd w:id="77"/>
    </w:p>
    <w:p>
      <w:pPr>
        <w:numPr>
          <w:ilvl w:val="0"/>
          <w:numId w:val="0"/>
        </w:numPr>
        <w:spacing w:before="240" w:beforeLines="100" w:after="240" w:afterLines="100" w:line="360" w:lineRule="auto"/>
        <w:jc w:val="both"/>
        <w:outlineLvl w:val="0"/>
        <w:rPr>
          <w:rFonts w:hint="eastAsia" w:ascii="黑体" w:eastAsia="黑体"/>
          <w:b/>
          <w:color w:val="000000" w:themeColor="text1"/>
          <w:sz w:val="32"/>
          <w:szCs w:val="32"/>
          <w:highlight w:val="none"/>
          <w14:textFill>
            <w14:solidFill>
              <w14:schemeClr w14:val="tx1"/>
            </w14:solidFill>
          </w14:textFill>
        </w:rPr>
      </w:pP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78" w:name="_Toc100504114"/>
      <w:bookmarkStart w:id="79" w:name="_Toc16737"/>
      <w:bookmarkStart w:id="80" w:name="_Toc18768"/>
      <w:bookmarkStart w:id="81" w:name="_Toc179632629"/>
      <w:bookmarkStart w:id="82" w:name="_Toc19839"/>
      <w:bookmarkStart w:id="83" w:name="_Toc152045611"/>
      <w:bookmarkStart w:id="84" w:name="_Toc144974579"/>
      <w:bookmarkStart w:id="85" w:name="_Toc152042389"/>
      <w:r>
        <w:rPr>
          <w:rFonts w:hAnsi="宋体"/>
          <w:b/>
          <w:color w:val="000000" w:themeColor="text1"/>
          <w:sz w:val="24"/>
          <w:highlight w:val="none"/>
          <w14:textFill>
            <w14:solidFill>
              <w14:schemeClr w14:val="tx1"/>
            </w14:solidFill>
          </w14:textFill>
        </w:rPr>
        <w:t>1. 一般约定</w:t>
      </w:r>
      <w:bookmarkEnd w:id="78"/>
      <w:bookmarkEnd w:id="79"/>
      <w:bookmarkEnd w:id="80"/>
      <w:bookmarkEnd w:id="81"/>
      <w:bookmarkEnd w:id="82"/>
      <w:bookmarkEnd w:id="83"/>
      <w:bookmarkEnd w:id="84"/>
      <w:bookmarkEnd w:id="8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6" w:name="_Toc100504115"/>
      <w:bookmarkStart w:id="87" w:name="_Toc16475"/>
      <w:bookmarkStart w:id="88" w:name="_Toc14996"/>
      <w:bookmarkStart w:id="89" w:name="_Toc144974580"/>
      <w:bookmarkStart w:id="90" w:name="_Toc179632630"/>
      <w:bookmarkStart w:id="91" w:name="_Toc5720"/>
      <w:bookmarkStart w:id="92" w:name="_Toc152045612"/>
      <w:bookmarkStart w:id="93" w:name="_Toc152042390"/>
      <w:r>
        <w:rPr>
          <w:rFonts w:eastAsia="宋体" w:cs="Times New Roman"/>
          <w:b/>
          <w:color w:val="000000" w:themeColor="text1"/>
          <w:szCs w:val="24"/>
          <w:highlight w:val="none"/>
          <w14:textFill>
            <w14:solidFill>
              <w14:schemeClr w14:val="tx1"/>
            </w14:solidFill>
          </w14:textFill>
        </w:rPr>
        <w:t xml:space="preserve">1.1 </w:t>
      </w:r>
      <w:r>
        <w:rPr>
          <w:rFonts w:hAnsi="宋体" w:eastAsia="宋体" w:cs="Times New Roman"/>
          <w:b/>
          <w:color w:val="000000" w:themeColor="text1"/>
          <w:szCs w:val="24"/>
          <w:highlight w:val="none"/>
          <w14:textFill>
            <w14:solidFill>
              <w14:schemeClr w14:val="tx1"/>
            </w14:solidFill>
          </w14:textFill>
        </w:rPr>
        <w:t>词语定义</w:t>
      </w:r>
      <w:bookmarkEnd w:id="86"/>
      <w:bookmarkEnd w:id="87"/>
      <w:bookmarkEnd w:id="88"/>
      <w:bookmarkEnd w:id="89"/>
      <w:bookmarkEnd w:id="90"/>
      <w:bookmarkEnd w:id="91"/>
      <w:bookmarkEnd w:id="92"/>
      <w:bookmarkEnd w:id="9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通用合同条款、专用合同条款中的下列词语应具有本款所赋予的含义。</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 </w:t>
      </w:r>
      <w:r>
        <w:rPr>
          <w:rFonts w:hAnsi="宋体"/>
          <w:color w:val="000000" w:themeColor="text1"/>
          <w:sz w:val="24"/>
          <w:highlight w:val="none"/>
          <w14:textFill>
            <w14:solidFill>
              <w14:schemeClr w14:val="tx1"/>
            </w14:solidFill>
          </w14:textFill>
        </w:rPr>
        <w:t>合同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1.1.1.1 </w:t>
      </w:r>
      <w:r>
        <w:rPr>
          <w:rFonts w:hAnsi="宋体"/>
          <w:color w:val="000000" w:themeColor="text1"/>
          <w:sz w:val="24"/>
          <w:highlight w:val="none"/>
          <w14:textFill>
            <w14:solidFill>
              <w14:schemeClr w14:val="tx1"/>
            </w14:solidFill>
          </w14:textFill>
        </w:rPr>
        <w:t>合同文件（或称合同）：指合同协议书、中标通知书、投标函及投标函附录、专用合同条款、通用合同条款、技术标准和要求、图纸、已标价工程量清单，以及其他合同文件。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1.1.1.2 </w:t>
      </w:r>
      <w:r>
        <w:rPr>
          <w:rFonts w:hAnsi="宋体"/>
          <w:color w:val="000000" w:themeColor="text1"/>
          <w:sz w:val="24"/>
          <w:highlight w:val="none"/>
          <w14:textFill>
            <w14:solidFill>
              <w14:schemeClr w14:val="tx1"/>
            </w14:solidFill>
          </w14:textFill>
        </w:rPr>
        <w:t>合同协议书：指第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款所指的合同协议书。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1.1.1.3 </w:t>
      </w:r>
      <w:r>
        <w:rPr>
          <w:rFonts w:hAnsi="宋体"/>
          <w:color w:val="000000" w:themeColor="text1"/>
          <w:sz w:val="24"/>
          <w:highlight w:val="none"/>
          <w14:textFill>
            <w14:solidFill>
              <w14:schemeClr w14:val="tx1"/>
            </w14:solidFill>
          </w14:textFill>
        </w:rPr>
        <w:t>中标通知书：指发包人通知承包人中标的函件。</w:t>
      </w:r>
    </w:p>
    <w:p>
      <w:pPr>
        <w:spacing w:line="360" w:lineRule="auto"/>
        <w:ind w:firstLine="480" w:firstLineChars="200"/>
        <w:rPr>
          <w:dstrike/>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1.1.1.4 </w:t>
      </w:r>
      <w:r>
        <w:rPr>
          <w:rFonts w:hAnsi="宋体"/>
          <w:color w:val="000000" w:themeColor="text1"/>
          <w:sz w:val="24"/>
          <w:highlight w:val="none"/>
          <w14:textFill>
            <w14:solidFill>
              <w14:schemeClr w14:val="tx1"/>
            </w14:solidFill>
          </w14:textFill>
        </w:rPr>
        <w:t>投标函：指构成合同文件组成部分的由承包人填写并签署的投标函。</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1.1.1.5 </w:t>
      </w:r>
      <w:r>
        <w:rPr>
          <w:rFonts w:hAnsi="宋体"/>
          <w:color w:val="000000" w:themeColor="text1"/>
          <w:sz w:val="24"/>
          <w:highlight w:val="none"/>
          <w14:textFill>
            <w14:solidFill>
              <w14:schemeClr w14:val="tx1"/>
            </w14:solidFill>
          </w14:textFill>
        </w:rPr>
        <w:t>投标函附录：指附在投标函后构成合同文件的投标函附录。</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1.1.1.6 </w:t>
      </w:r>
      <w:r>
        <w:rPr>
          <w:rFonts w:hAnsi="宋体"/>
          <w:color w:val="000000" w:themeColor="text1"/>
          <w:sz w:val="24"/>
          <w:highlight w:val="none"/>
          <w14:textFill>
            <w14:solidFill>
              <w14:schemeClr w14:val="tx1"/>
            </w14:solidFill>
          </w14:textFill>
        </w:rPr>
        <w:t>技术标准和要求：指构成合同文件组成部分的名为技术标准和要求的文件，包括合同双方当事人约定对其所作的修改或补充。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1.1.1.7</w:t>
      </w:r>
      <w:r>
        <w:rPr>
          <w:rFonts w:hAnsi="宋体"/>
          <w:color w:val="000000" w:themeColor="text1"/>
          <w:sz w:val="24"/>
          <w:highlight w:val="none"/>
          <w14:textFill>
            <w14:solidFill>
              <w14:schemeClr w14:val="tx1"/>
            </w14:solidFill>
          </w14:textFill>
        </w:rPr>
        <w:t>图纸：指包含在合同中的工程图纸，以及由发包人按合同约定提供的任何补充和修改的图纸，包括配套的说明。</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1.1.1.8 </w:t>
      </w:r>
      <w:r>
        <w:rPr>
          <w:rFonts w:hAnsi="宋体"/>
          <w:color w:val="000000" w:themeColor="text1"/>
          <w:sz w:val="24"/>
          <w:highlight w:val="none"/>
          <w14:textFill>
            <w14:solidFill>
              <w14:schemeClr w14:val="tx1"/>
            </w14:solidFill>
          </w14:textFill>
        </w:rPr>
        <w:t>已标价工程量清单：指构成合同文件组成部分的由承包人按照规定的格式和要求填写并标明价格的工程量清单。</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1.1.1.9 </w:t>
      </w:r>
      <w:r>
        <w:rPr>
          <w:rFonts w:hAnsi="宋体"/>
          <w:color w:val="000000" w:themeColor="text1"/>
          <w:sz w:val="24"/>
          <w:highlight w:val="none"/>
          <w14:textFill>
            <w14:solidFill>
              <w14:schemeClr w14:val="tx1"/>
            </w14:solidFill>
          </w14:textFill>
        </w:rPr>
        <w:t>其他合同文件：指经合同双方当事人确认构成合同文件的其他文件。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 </w:t>
      </w:r>
      <w:r>
        <w:rPr>
          <w:rFonts w:hAnsi="宋体"/>
          <w:color w:val="000000" w:themeColor="text1"/>
          <w:sz w:val="24"/>
          <w:highlight w:val="none"/>
          <w14:textFill>
            <w14:solidFill>
              <w14:schemeClr w14:val="tx1"/>
            </w14:solidFill>
          </w14:textFill>
        </w:rPr>
        <w:t>合同当事人和人员</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1.1.2.1 </w:t>
      </w:r>
      <w:r>
        <w:rPr>
          <w:rFonts w:hAnsi="宋体"/>
          <w:color w:val="000000" w:themeColor="text1"/>
          <w:sz w:val="24"/>
          <w:highlight w:val="none"/>
          <w14:textFill>
            <w14:solidFill>
              <w14:schemeClr w14:val="tx1"/>
            </w14:solidFill>
          </w14:textFill>
        </w:rPr>
        <w:t>合同当事人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指发包人和（或）承包人。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1.1.2.2 </w:t>
      </w:r>
      <w:r>
        <w:rPr>
          <w:rFonts w:hAnsi="宋体"/>
          <w:color w:val="000000" w:themeColor="text1"/>
          <w:sz w:val="24"/>
          <w:highlight w:val="none"/>
          <w14:textFill>
            <w14:solidFill>
              <w14:schemeClr w14:val="tx1"/>
            </w14:solidFill>
          </w14:textFill>
        </w:rPr>
        <w:t>发包人：指专用合同条款中指明并与承包人在合同协议书中签字的当事人。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1.1.2.3 </w:t>
      </w:r>
      <w:r>
        <w:rPr>
          <w:rFonts w:hAnsi="宋体"/>
          <w:color w:val="000000" w:themeColor="text1"/>
          <w:sz w:val="24"/>
          <w:highlight w:val="none"/>
          <w14:textFill>
            <w14:solidFill>
              <w14:schemeClr w14:val="tx1"/>
            </w14:solidFill>
          </w14:textFill>
        </w:rPr>
        <w:t>承包人：指与发包人签订合同协议书的当事人。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1.1.2.4 </w:t>
      </w:r>
      <w:r>
        <w:rPr>
          <w:rFonts w:hAnsi="宋体"/>
          <w:color w:val="000000" w:themeColor="text1"/>
          <w:sz w:val="24"/>
          <w:highlight w:val="none"/>
          <w14:textFill>
            <w14:solidFill>
              <w14:schemeClr w14:val="tx1"/>
            </w14:solidFill>
          </w14:textFill>
        </w:rPr>
        <w:t>承包人项目经理：指承包人派驻施工场地的全权负责人。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1.1.2.5 </w:t>
      </w:r>
      <w:r>
        <w:rPr>
          <w:rFonts w:hAnsi="宋体"/>
          <w:color w:val="000000" w:themeColor="text1"/>
          <w:sz w:val="24"/>
          <w:highlight w:val="none"/>
          <w14:textFill>
            <w14:solidFill>
              <w14:schemeClr w14:val="tx1"/>
            </w14:solidFill>
          </w14:textFill>
        </w:rPr>
        <w:t>分包人：指从承包人处分包合同中某一部分工程，并与其签订分包合同的分包人。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1.1.2.6 </w:t>
      </w:r>
      <w:r>
        <w:rPr>
          <w:rFonts w:hAnsi="宋体"/>
          <w:color w:val="000000" w:themeColor="text1"/>
          <w:sz w:val="24"/>
          <w:highlight w:val="none"/>
          <w14:textFill>
            <w14:solidFill>
              <w14:schemeClr w14:val="tx1"/>
            </w14:solidFill>
          </w14:textFill>
        </w:rPr>
        <w:t>监理人：指在专用合同条款中指明的，受发包人委托对合同履行实施管理的法人或其他组织。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1.1.2.7 </w:t>
      </w:r>
      <w:r>
        <w:rPr>
          <w:rFonts w:hAnsi="宋体"/>
          <w:color w:val="000000" w:themeColor="text1"/>
          <w:sz w:val="24"/>
          <w:highlight w:val="none"/>
          <w14:textFill>
            <w14:solidFill>
              <w14:schemeClr w14:val="tx1"/>
            </w14:solidFill>
          </w14:textFill>
        </w:rPr>
        <w:t>总监理工程师（总监）：指由监理人委派常驻施工场地对合同履行实施管理的全权负责人。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 </w:t>
      </w:r>
      <w:r>
        <w:rPr>
          <w:rFonts w:hAnsi="宋体"/>
          <w:color w:val="000000" w:themeColor="text1"/>
          <w:sz w:val="24"/>
          <w:highlight w:val="none"/>
          <w14:textFill>
            <w14:solidFill>
              <w14:schemeClr w14:val="tx1"/>
            </w14:solidFill>
          </w14:textFill>
        </w:rPr>
        <w:t>工程和设备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1.1.3.1 </w:t>
      </w:r>
      <w:r>
        <w:rPr>
          <w:rFonts w:hAnsi="宋体"/>
          <w:color w:val="000000" w:themeColor="text1"/>
          <w:sz w:val="24"/>
          <w:highlight w:val="none"/>
          <w14:textFill>
            <w14:solidFill>
              <w14:schemeClr w14:val="tx1"/>
            </w14:solidFill>
          </w14:textFill>
        </w:rPr>
        <w:t>工程：指永久工程和（或）临时工程。</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1.1.3.2 </w:t>
      </w:r>
      <w:r>
        <w:rPr>
          <w:rFonts w:hAnsi="宋体"/>
          <w:color w:val="000000" w:themeColor="text1"/>
          <w:sz w:val="24"/>
          <w:highlight w:val="none"/>
          <w14:textFill>
            <w14:solidFill>
              <w14:schemeClr w14:val="tx1"/>
            </w14:solidFill>
          </w14:textFill>
        </w:rPr>
        <w:t>永久工程：指按合同约定建造并移交给发包人的工程，包括工程设备。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1.1.3.3 </w:t>
      </w:r>
      <w:r>
        <w:rPr>
          <w:rFonts w:hAnsi="宋体"/>
          <w:color w:val="000000" w:themeColor="text1"/>
          <w:sz w:val="24"/>
          <w:highlight w:val="none"/>
          <w14:textFill>
            <w14:solidFill>
              <w14:schemeClr w14:val="tx1"/>
            </w14:solidFill>
          </w14:textFill>
        </w:rPr>
        <w:t>临时工程：指为完成合同约定的永久工程所修建的各类临时性工程，不包括施工设备。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1.1.3.4 </w:t>
      </w:r>
      <w:r>
        <w:rPr>
          <w:rFonts w:hAnsi="宋体"/>
          <w:color w:val="000000" w:themeColor="text1"/>
          <w:sz w:val="24"/>
          <w:highlight w:val="none"/>
          <w14:textFill>
            <w14:solidFill>
              <w14:schemeClr w14:val="tx1"/>
            </w14:solidFill>
          </w14:textFill>
        </w:rPr>
        <w:t>单位工程：指专用合同条款中指明特定范围的永久工程。</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1.1.3.5 </w:t>
      </w:r>
      <w:r>
        <w:rPr>
          <w:rFonts w:hAnsi="宋体"/>
          <w:color w:val="000000" w:themeColor="text1"/>
          <w:sz w:val="24"/>
          <w:highlight w:val="none"/>
          <w14:textFill>
            <w14:solidFill>
              <w14:schemeClr w14:val="tx1"/>
            </w14:solidFill>
          </w14:textFill>
        </w:rPr>
        <w:t>工程设备：指构成或计划构成永久工程一部分的机电设备、金属结构设备、仪器装置及其他类似的设备和装置。</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1.1.3.6 </w:t>
      </w:r>
      <w:r>
        <w:rPr>
          <w:rFonts w:hAnsi="宋体"/>
          <w:color w:val="000000" w:themeColor="text1"/>
          <w:sz w:val="24"/>
          <w:highlight w:val="none"/>
          <w14:textFill>
            <w14:solidFill>
              <w14:schemeClr w14:val="tx1"/>
            </w14:solidFill>
          </w14:textFill>
        </w:rPr>
        <w:t>施工设备：指为完成合同约定的各项工作所需的设备、器具和其他物品，不包括临时工程和材料。</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1.1.3.7 </w:t>
      </w:r>
      <w:r>
        <w:rPr>
          <w:rFonts w:hAnsi="宋体"/>
          <w:color w:val="000000" w:themeColor="text1"/>
          <w:sz w:val="24"/>
          <w:highlight w:val="none"/>
          <w14:textFill>
            <w14:solidFill>
              <w14:schemeClr w14:val="tx1"/>
            </w14:solidFill>
          </w14:textFill>
        </w:rPr>
        <w:t>临时设施：指为完成合同约定的各项工作所服务的临时性生产和生活设施。</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1.1.3.8 </w:t>
      </w:r>
      <w:r>
        <w:rPr>
          <w:rFonts w:hAnsi="宋体"/>
          <w:color w:val="000000" w:themeColor="text1"/>
          <w:sz w:val="24"/>
          <w:highlight w:val="none"/>
          <w14:textFill>
            <w14:solidFill>
              <w14:schemeClr w14:val="tx1"/>
            </w14:solidFill>
          </w14:textFill>
        </w:rPr>
        <w:t>承包人设备：指承包人自带的施工设备。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1.1.3.9 </w:t>
      </w:r>
      <w:r>
        <w:rPr>
          <w:rFonts w:hAnsi="宋体"/>
          <w:color w:val="000000" w:themeColor="text1"/>
          <w:sz w:val="24"/>
          <w:highlight w:val="none"/>
          <w14:textFill>
            <w14:solidFill>
              <w14:schemeClr w14:val="tx1"/>
            </w14:solidFill>
          </w14:textFill>
        </w:rPr>
        <w:t>施工场地（或称工地、现场）：指用于合同工程施工的场所，以及在合同中指定作为施工场地组成部分的其他场所，包括永久占地和临时占地。</w:t>
      </w:r>
    </w:p>
    <w:p>
      <w:pPr>
        <w:spacing w:line="360" w:lineRule="auto"/>
        <w:ind w:firstLine="464" w:firstLineChars="200"/>
        <w:rPr>
          <w:color w:val="000000" w:themeColor="text1"/>
          <w:spacing w:val="-4"/>
          <w:sz w:val="24"/>
          <w:highlight w:val="none"/>
          <w14:textFill>
            <w14:solidFill>
              <w14:schemeClr w14:val="tx1"/>
            </w14:solidFill>
          </w14:textFill>
        </w:rPr>
      </w:pPr>
      <w:r>
        <w:rPr>
          <w:color w:val="000000" w:themeColor="text1"/>
          <w:spacing w:val="-4"/>
          <w:sz w:val="24"/>
          <w:highlight w:val="none"/>
          <w14:textFill>
            <w14:solidFill>
              <w14:schemeClr w14:val="tx1"/>
            </w14:solidFill>
          </w14:textFill>
        </w:rPr>
        <w:t xml:space="preserve">1.1.3.10 </w:t>
      </w:r>
      <w:r>
        <w:rPr>
          <w:rFonts w:hAnsi="宋体"/>
          <w:color w:val="000000" w:themeColor="text1"/>
          <w:spacing w:val="-4"/>
          <w:sz w:val="24"/>
          <w:highlight w:val="none"/>
          <w14:textFill>
            <w14:solidFill>
              <w14:schemeClr w14:val="tx1"/>
            </w14:solidFill>
          </w14:textFill>
        </w:rPr>
        <w:t>永久占地：指专用合同条款中指明为实施合同工程需永久占用的土地。</w:t>
      </w:r>
    </w:p>
    <w:p>
      <w:pPr>
        <w:spacing w:line="360" w:lineRule="auto"/>
        <w:ind w:firstLine="464" w:firstLineChars="200"/>
        <w:rPr>
          <w:color w:val="000000" w:themeColor="text1"/>
          <w:spacing w:val="-4"/>
          <w:sz w:val="24"/>
          <w:highlight w:val="none"/>
          <w14:textFill>
            <w14:solidFill>
              <w14:schemeClr w14:val="tx1"/>
            </w14:solidFill>
          </w14:textFill>
        </w:rPr>
      </w:pPr>
      <w:r>
        <w:rPr>
          <w:color w:val="000000" w:themeColor="text1"/>
          <w:spacing w:val="-4"/>
          <w:sz w:val="24"/>
          <w:highlight w:val="none"/>
          <w14:textFill>
            <w14:solidFill>
              <w14:schemeClr w14:val="tx1"/>
            </w14:solidFill>
          </w14:textFill>
        </w:rPr>
        <w:t xml:space="preserve">1.1.3.11 </w:t>
      </w:r>
      <w:r>
        <w:rPr>
          <w:rFonts w:hAnsi="宋体"/>
          <w:color w:val="000000" w:themeColor="text1"/>
          <w:spacing w:val="-4"/>
          <w:sz w:val="24"/>
          <w:highlight w:val="none"/>
          <w14:textFill>
            <w14:solidFill>
              <w14:schemeClr w14:val="tx1"/>
            </w14:solidFill>
          </w14:textFill>
        </w:rPr>
        <w:t>临时占地：指专用合同条款中指明为实施合同工程需临时占用的土地。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 </w:t>
      </w:r>
      <w:r>
        <w:rPr>
          <w:rFonts w:hAnsi="宋体"/>
          <w:color w:val="000000" w:themeColor="text1"/>
          <w:sz w:val="24"/>
          <w:highlight w:val="none"/>
          <w14:textFill>
            <w14:solidFill>
              <w14:schemeClr w14:val="tx1"/>
            </w14:solidFill>
          </w14:textFill>
        </w:rPr>
        <w:t>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1.1.4.1 </w:t>
      </w:r>
      <w:r>
        <w:rPr>
          <w:rFonts w:hAnsi="宋体"/>
          <w:color w:val="000000" w:themeColor="text1"/>
          <w:sz w:val="24"/>
          <w:highlight w:val="none"/>
          <w14:textFill>
            <w14:solidFill>
              <w14:schemeClr w14:val="tx1"/>
            </w14:solidFill>
          </w14:textFill>
        </w:rPr>
        <w:t>开工通知：指监理人按第</w:t>
      </w:r>
      <w:r>
        <w:rPr>
          <w:color w:val="000000" w:themeColor="text1"/>
          <w:sz w:val="24"/>
          <w:highlight w:val="none"/>
          <w14:textFill>
            <w14:solidFill>
              <w14:schemeClr w14:val="tx1"/>
            </w14:solidFill>
          </w14:textFill>
        </w:rPr>
        <w:t>11.1</w:t>
      </w:r>
      <w:r>
        <w:rPr>
          <w:rFonts w:hAnsi="宋体"/>
          <w:color w:val="000000" w:themeColor="text1"/>
          <w:sz w:val="24"/>
          <w:highlight w:val="none"/>
          <w14:textFill>
            <w14:solidFill>
              <w14:schemeClr w14:val="tx1"/>
            </w14:solidFill>
          </w14:textFill>
        </w:rPr>
        <w:t>款通知承包人开工的函件。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1.1.4.2 </w:t>
      </w:r>
      <w:r>
        <w:rPr>
          <w:rFonts w:hAnsi="宋体"/>
          <w:color w:val="000000" w:themeColor="text1"/>
          <w:sz w:val="24"/>
          <w:highlight w:val="none"/>
          <w14:textFill>
            <w14:solidFill>
              <w14:schemeClr w14:val="tx1"/>
            </w14:solidFill>
          </w14:textFill>
        </w:rPr>
        <w:t>开工日期：指监理人按第</w:t>
      </w:r>
      <w:r>
        <w:rPr>
          <w:color w:val="000000" w:themeColor="text1"/>
          <w:sz w:val="24"/>
          <w:highlight w:val="none"/>
          <w14:textFill>
            <w14:solidFill>
              <w14:schemeClr w14:val="tx1"/>
            </w14:solidFill>
          </w14:textFill>
        </w:rPr>
        <w:t>11.1</w:t>
      </w:r>
      <w:r>
        <w:rPr>
          <w:rFonts w:hAnsi="宋体"/>
          <w:color w:val="000000" w:themeColor="text1"/>
          <w:sz w:val="24"/>
          <w:highlight w:val="none"/>
          <w14:textFill>
            <w14:solidFill>
              <w14:schemeClr w14:val="tx1"/>
            </w14:solidFill>
          </w14:textFill>
        </w:rPr>
        <w:t>款发出的开工通知中写明的开工日期。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1.1.4.3</w:t>
      </w:r>
      <w:r>
        <w:rPr>
          <w:rFonts w:hAnsi="宋体"/>
          <w:color w:val="000000" w:themeColor="text1"/>
          <w:sz w:val="24"/>
          <w:highlight w:val="none"/>
          <w14:textFill>
            <w14:solidFill>
              <w14:schemeClr w14:val="tx1"/>
            </w14:solidFill>
          </w14:textFill>
        </w:rPr>
        <w:t>工期：指承包人在投标函中承诺的完成合同工程所需的期限，包括按第</w:t>
      </w:r>
      <w:r>
        <w:rPr>
          <w:color w:val="000000" w:themeColor="text1"/>
          <w:sz w:val="24"/>
          <w:highlight w:val="none"/>
          <w14:textFill>
            <w14:solidFill>
              <w14:schemeClr w14:val="tx1"/>
            </w14:solidFill>
          </w14:textFill>
        </w:rPr>
        <w:t>11.3</w:t>
      </w:r>
      <w:r>
        <w:rPr>
          <w:rFonts w:hAnsi="宋体"/>
          <w:color w:val="000000" w:themeColor="text1"/>
          <w:sz w:val="24"/>
          <w:highlight w:val="none"/>
          <w14:textFill>
            <w14:solidFill>
              <w14:schemeClr w14:val="tx1"/>
            </w14:solidFill>
          </w14:textFill>
        </w:rPr>
        <w:t>款、第</w:t>
      </w:r>
      <w:r>
        <w:rPr>
          <w:color w:val="000000" w:themeColor="text1"/>
          <w:sz w:val="24"/>
          <w:highlight w:val="none"/>
          <w14:textFill>
            <w14:solidFill>
              <w14:schemeClr w14:val="tx1"/>
            </w14:solidFill>
          </w14:textFill>
        </w:rPr>
        <w:t>11.4</w:t>
      </w:r>
      <w:r>
        <w:rPr>
          <w:rFonts w:hAnsi="宋体"/>
          <w:color w:val="000000" w:themeColor="text1"/>
          <w:sz w:val="24"/>
          <w:highlight w:val="none"/>
          <w14:textFill>
            <w14:solidFill>
              <w14:schemeClr w14:val="tx1"/>
            </w14:solidFill>
          </w14:textFill>
        </w:rPr>
        <w:t>款和第</w:t>
      </w:r>
      <w:r>
        <w:rPr>
          <w:color w:val="000000" w:themeColor="text1"/>
          <w:sz w:val="24"/>
          <w:highlight w:val="none"/>
          <w14:textFill>
            <w14:solidFill>
              <w14:schemeClr w14:val="tx1"/>
            </w14:solidFill>
          </w14:textFill>
        </w:rPr>
        <w:t>11.6</w:t>
      </w:r>
      <w:r>
        <w:rPr>
          <w:rFonts w:hAnsi="宋体"/>
          <w:color w:val="000000" w:themeColor="text1"/>
          <w:sz w:val="24"/>
          <w:highlight w:val="none"/>
          <w14:textFill>
            <w14:solidFill>
              <w14:schemeClr w14:val="tx1"/>
            </w14:solidFill>
          </w14:textFill>
        </w:rPr>
        <w:t>款约定所作的变更。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1.1.4.4 </w:t>
      </w:r>
      <w:r>
        <w:rPr>
          <w:rFonts w:hAnsi="宋体"/>
          <w:color w:val="000000" w:themeColor="text1"/>
          <w:sz w:val="24"/>
          <w:highlight w:val="none"/>
          <w14:textFill>
            <w14:solidFill>
              <w14:schemeClr w14:val="tx1"/>
            </w14:solidFill>
          </w14:textFill>
        </w:rPr>
        <w:t>竣工日期：指第</w:t>
      </w:r>
      <w:r>
        <w:rPr>
          <w:color w:val="000000" w:themeColor="text1"/>
          <w:sz w:val="24"/>
          <w:highlight w:val="none"/>
          <w14:textFill>
            <w14:solidFill>
              <w14:schemeClr w14:val="tx1"/>
            </w14:solidFill>
          </w14:textFill>
        </w:rPr>
        <w:t>1.1.4.3</w:t>
      </w:r>
      <w:r>
        <w:rPr>
          <w:rFonts w:hAnsi="宋体"/>
          <w:color w:val="000000" w:themeColor="text1"/>
          <w:sz w:val="24"/>
          <w:highlight w:val="none"/>
          <w14:textFill>
            <w14:solidFill>
              <w14:schemeClr w14:val="tx1"/>
            </w14:solidFill>
          </w14:textFill>
        </w:rPr>
        <w:t>目约定工期届满时的日期。实际竣工日期以工程接收证书中写明的日期为准。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1.1.4.5 </w:t>
      </w:r>
      <w:r>
        <w:rPr>
          <w:rFonts w:hAnsi="宋体"/>
          <w:color w:val="000000" w:themeColor="text1"/>
          <w:sz w:val="24"/>
          <w:highlight w:val="none"/>
          <w14:textFill>
            <w14:solidFill>
              <w14:schemeClr w14:val="tx1"/>
            </w14:solidFill>
          </w14:textFill>
        </w:rPr>
        <w:t>缺陷责任期：指履行第</w:t>
      </w:r>
      <w:r>
        <w:rPr>
          <w:color w:val="000000" w:themeColor="text1"/>
          <w:sz w:val="24"/>
          <w:highlight w:val="none"/>
          <w14:textFill>
            <w14:solidFill>
              <w14:schemeClr w14:val="tx1"/>
            </w14:solidFill>
          </w14:textFill>
        </w:rPr>
        <w:t>19.2</w:t>
      </w:r>
      <w:r>
        <w:rPr>
          <w:rFonts w:hAnsi="宋体"/>
          <w:color w:val="000000" w:themeColor="text1"/>
          <w:sz w:val="24"/>
          <w:highlight w:val="none"/>
          <w14:textFill>
            <w14:solidFill>
              <w14:schemeClr w14:val="tx1"/>
            </w14:solidFill>
          </w14:textFill>
        </w:rPr>
        <w:t>款约定的缺陷责任的期限，具体期限由专用合同条款约定，包括根据第</w:t>
      </w:r>
      <w:r>
        <w:rPr>
          <w:color w:val="000000" w:themeColor="text1"/>
          <w:sz w:val="24"/>
          <w:highlight w:val="none"/>
          <w14:textFill>
            <w14:solidFill>
              <w14:schemeClr w14:val="tx1"/>
            </w14:solidFill>
          </w14:textFill>
        </w:rPr>
        <w:t>19.3</w:t>
      </w:r>
      <w:r>
        <w:rPr>
          <w:rFonts w:hAnsi="宋体"/>
          <w:color w:val="000000" w:themeColor="text1"/>
          <w:sz w:val="24"/>
          <w:highlight w:val="none"/>
          <w14:textFill>
            <w14:solidFill>
              <w14:schemeClr w14:val="tx1"/>
            </w14:solidFill>
          </w14:textFill>
        </w:rPr>
        <w:t>款约定所作的延长。</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1.1.4.6 </w:t>
      </w:r>
      <w:r>
        <w:rPr>
          <w:rFonts w:hAnsi="宋体"/>
          <w:color w:val="000000" w:themeColor="text1"/>
          <w:sz w:val="24"/>
          <w:highlight w:val="none"/>
          <w14:textFill>
            <w14:solidFill>
              <w14:schemeClr w14:val="tx1"/>
            </w14:solidFill>
          </w14:textFill>
        </w:rPr>
        <w:t>基准日期：指投标截止时间前</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天的日期。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1.1.4.7 </w:t>
      </w:r>
      <w:r>
        <w:rPr>
          <w:rFonts w:hAnsi="宋体"/>
          <w:color w:val="000000" w:themeColor="text1"/>
          <w:sz w:val="24"/>
          <w:highlight w:val="none"/>
          <w14:textFill>
            <w14:solidFill>
              <w14:schemeClr w14:val="tx1"/>
            </w14:solidFill>
          </w14:textFill>
        </w:rPr>
        <w:t>天：除特别指明外，指日历天。合同中按天计算时间的，开始当天不计入，从次日开始计算。期限最后一天的截止时间为当天</w:t>
      </w:r>
      <w:r>
        <w:rPr>
          <w:color w:val="000000" w:themeColor="text1"/>
          <w:sz w:val="24"/>
          <w:highlight w:val="none"/>
          <w14:textFill>
            <w14:solidFill>
              <w14:schemeClr w14:val="tx1"/>
            </w14:solidFill>
          </w14:textFill>
        </w:rPr>
        <w:t>24:00</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 </w:t>
      </w:r>
      <w:r>
        <w:rPr>
          <w:rFonts w:hAnsi="宋体"/>
          <w:color w:val="000000" w:themeColor="text1"/>
          <w:sz w:val="24"/>
          <w:highlight w:val="none"/>
          <w14:textFill>
            <w14:solidFill>
              <w14:schemeClr w14:val="tx1"/>
            </w14:solidFill>
          </w14:textFill>
        </w:rPr>
        <w:t>合同价格和费用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1.1.5.1 </w:t>
      </w:r>
      <w:r>
        <w:rPr>
          <w:rFonts w:hAnsi="宋体"/>
          <w:color w:val="000000" w:themeColor="text1"/>
          <w:sz w:val="24"/>
          <w:highlight w:val="none"/>
          <w14:textFill>
            <w14:solidFill>
              <w14:schemeClr w14:val="tx1"/>
            </w14:solidFill>
          </w14:textFill>
        </w:rPr>
        <w:t>签约合同价：指签定合同时合同协议书中写明的，包括了暂列金额、暂估价的合同总金额。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1.1.5.2 </w:t>
      </w:r>
      <w:r>
        <w:rPr>
          <w:rFonts w:hAnsi="宋体"/>
          <w:color w:val="000000" w:themeColor="text1"/>
          <w:sz w:val="24"/>
          <w:highlight w:val="none"/>
          <w14:textFill>
            <w14:solidFill>
              <w14:schemeClr w14:val="tx1"/>
            </w14:solidFill>
          </w14:textFill>
        </w:rPr>
        <w:t>合同价格：指承包人按合同约定完成了包括缺陷责任期内的全部承包工作后，发包人应付给承包人的金额，包括在履行合同过程中按合同约定进行的变更和调整。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1.1.5.3 </w:t>
      </w:r>
      <w:r>
        <w:rPr>
          <w:rFonts w:hAnsi="宋体"/>
          <w:color w:val="000000" w:themeColor="text1"/>
          <w:sz w:val="24"/>
          <w:highlight w:val="none"/>
          <w14:textFill>
            <w14:solidFill>
              <w14:schemeClr w14:val="tx1"/>
            </w14:solidFill>
          </w14:textFill>
        </w:rPr>
        <w:t>费用：指为履行合同所发生的或将要发生的所有合理开支，包括管理费和应分摊的其他费用，但不包括利润。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1.1.5.4 </w:t>
      </w:r>
      <w:r>
        <w:rPr>
          <w:rFonts w:hAnsi="宋体"/>
          <w:color w:val="000000" w:themeColor="text1"/>
          <w:sz w:val="24"/>
          <w:highlight w:val="none"/>
          <w14:textFill>
            <w14:solidFill>
              <w14:schemeClr w14:val="tx1"/>
            </w14:solidFill>
          </w14:textFill>
        </w:rPr>
        <w:t>暂列金额：指已标价工程量清单中所列的暂列金额，用于在签订协议书时尚未确定或不可预见变更的施工及其所需材料、工程设备、服务等的金额，包括以计日工方式支付的金额。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1.1.5.5</w:t>
      </w:r>
      <w:r>
        <w:rPr>
          <w:rFonts w:hAnsi="宋体"/>
          <w:color w:val="000000" w:themeColor="text1"/>
          <w:sz w:val="24"/>
          <w:highlight w:val="none"/>
          <w14:textFill>
            <w14:solidFill>
              <w14:schemeClr w14:val="tx1"/>
            </w14:solidFill>
          </w14:textFill>
        </w:rPr>
        <w:t>暂估价：指发包人在工程量清单中给定的用于支付必然发生但暂时不能确定价格的材料、设备以及专业工程的金额。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1.1.5.6 </w:t>
      </w:r>
      <w:r>
        <w:rPr>
          <w:rFonts w:hAnsi="宋体"/>
          <w:color w:val="000000" w:themeColor="text1"/>
          <w:sz w:val="24"/>
          <w:highlight w:val="none"/>
          <w14:textFill>
            <w14:solidFill>
              <w14:schemeClr w14:val="tx1"/>
            </w14:solidFill>
          </w14:textFill>
        </w:rPr>
        <w:t>计日工：指对零星工作采取的一种计价方式，按合同中的计日工子目及其单价计价付款。</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1.1.5.7 </w:t>
      </w:r>
      <w:r>
        <w:rPr>
          <w:rFonts w:hAnsi="宋体"/>
          <w:color w:val="000000" w:themeColor="text1"/>
          <w:sz w:val="24"/>
          <w:highlight w:val="none"/>
          <w14:textFill>
            <w14:solidFill>
              <w14:schemeClr w14:val="tx1"/>
            </w14:solidFill>
          </w14:textFill>
        </w:rPr>
        <w:t>质量保证金（或称保留金）：指按第</w:t>
      </w:r>
      <w:r>
        <w:rPr>
          <w:color w:val="000000" w:themeColor="text1"/>
          <w:sz w:val="24"/>
          <w:highlight w:val="none"/>
          <w14:textFill>
            <w14:solidFill>
              <w14:schemeClr w14:val="tx1"/>
            </w14:solidFill>
          </w14:textFill>
        </w:rPr>
        <w:t>17.4.1</w:t>
      </w:r>
      <w:r>
        <w:rPr>
          <w:rFonts w:hAnsi="宋体"/>
          <w:color w:val="000000" w:themeColor="text1"/>
          <w:sz w:val="24"/>
          <w:highlight w:val="none"/>
          <w14:textFill>
            <w14:solidFill>
              <w14:schemeClr w14:val="tx1"/>
            </w14:solidFill>
          </w14:textFill>
        </w:rPr>
        <w:t>项约定用于保证在缺陷责任期内履行缺陷修复义务的金额。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1.1.6 </w:t>
      </w:r>
      <w:r>
        <w:rPr>
          <w:rFonts w:hAnsi="宋体"/>
          <w:color w:val="000000" w:themeColor="text1"/>
          <w:sz w:val="24"/>
          <w:highlight w:val="none"/>
          <w14:textFill>
            <w14:solidFill>
              <w14:schemeClr w14:val="tx1"/>
            </w14:solidFill>
          </w14:textFill>
        </w:rPr>
        <w:t>其他</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1.1.6.1 </w:t>
      </w:r>
      <w:r>
        <w:rPr>
          <w:rFonts w:hAnsi="宋体"/>
          <w:color w:val="000000" w:themeColor="text1"/>
          <w:sz w:val="24"/>
          <w:highlight w:val="none"/>
          <w14:textFill>
            <w14:solidFill>
              <w14:schemeClr w14:val="tx1"/>
            </w14:solidFill>
          </w14:textFill>
        </w:rPr>
        <w:t>书面形式：指合同文件、信函、电报、传真等可以有形地表现所载内容的形式。</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4" w:name="_Toc179632631"/>
      <w:bookmarkStart w:id="95" w:name="_Toc152045613"/>
      <w:bookmarkStart w:id="96" w:name="_Toc144974581"/>
      <w:bookmarkStart w:id="97" w:name="_Toc100504116"/>
      <w:bookmarkStart w:id="98" w:name="_Toc15890"/>
      <w:bookmarkStart w:id="99" w:name="_Toc152042391"/>
      <w:bookmarkStart w:id="100" w:name="_Toc10017"/>
      <w:bookmarkStart w:id="101" w:name="_Toc9140"/>
      <w:r>
        <w:rPr>
          <w:rFonts w:eastAsia="宋体" w:cs="Times New Roman"/>
          <w:b/>
          <w:color w:val="000000" w:themeColor="text1"/>
          <w:szCs w:val="24"/>
          <w:highlight w:val="none"/>
          <w14:textFill>
            <w14:solidFill>
              <w14:schemeClr w14:val="tx1"/>
            </w14:solidFill>
          </w14:textFill>
        </w:rPr>
        <w:t>1.2 语言文字</w:t>
      </w:r>
      <w:bookmarkEnd w:id="94"/>
      <w:bookmarkEnd w:id="95"/>
      <w:bookmarkEnd w:id="96"/>
      <w:bookmarkEnd w:id="97"/>
      <w:bookmarkEnd w:id="98"/>
      <w:bookmarkEnd w:id="99"/>
      <w:bookmarkEnd w:id="100"/>
      <w:bookmarkEnd w:id="101"/>
    </w:p>
    <w:p>
      <w:pPr>
        <w:spacing w:line="360" w:lineRule="auto"/>
        <w:ind w:firstLine="464" w:firstLineChars="200"/>
        <w:rPr>
          <w:color w:val="000000" w:themeColor="text1"/>
          <w:spacing w:val="-4"/>
          <w:sz w:val="24"/>
          <w:highlight w:val="none"/>
          <w14:textFill>
            <w14:solidFill>
              <w14:schemeClr w14:val="tx1"/>
            </w14:solidFill>
          </w14:textFill>
        </w:rPr>
      </w:pPr>
      <w:r>
        <w:rPr>
          <w:rFonts w:hAnsi="宋体"/>
          <w:color w:val="000000" w:themeColor="text1"/>
          <w:spacing w:val="-4"/>
          <w:sz w:val="24"/>
          <w:highlight w:val="none"/>
          <w14:textFill>
            <w14:solidFill>
              <w14:schemeClr w14:val="tx1"/>
            </w14:solidFill>
          </w14:textFill>
        </w:rPr>
        <w:t>除专用术语外，合同使用的语言文字为中文。必要时专用术语应附有中文注释。</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2" w:name="_Toc8852"/>
      <w:bookmarkStart w:id="103" w:name="_Toc8165"/>
      <w:bookmarkStart w:id="104" w:name="_Toc152045614"/>
      <w:bookmarkStart w:id="105" w:name="_Toc100504117"/>
      <w:bookmarkStart w:id="106" w:name="_Toc144974582"/>
      <w:bookmarkStart w:id="107" w:name="_Toc1448"/>
      <w:bookmarkStart w:id="108" w:name="_Toc152042392"/>
      <w:bookmarkStart w:id="109" w:name="_Toc179632632"/>
      <w:r>
        <w:rPr>
          <w:rFonts w:eastAsia="宋体" w:cs="Times New Roman"/>
          <w:b/>
          <w:color w:val="000000" w:themeColor="text1"/>
          <w:szCs w:val="24"/>
          <w:highlight w:val="none"/>
          <w14:textFill>
            <w14:solidFill>
              <w14:schemeClr w14:val="tx1"/>
            </w14:solidFill>
          </w14:textFill>
        </w:rPr>
        <w:t>1.3 法律</w:t>
      </w:r>
      <w:bookmarkEnd w:id="102"/>
      <w:bookmarkEnd w:id="103"/>
      <w:bookmarkEnd w:id="104"/>
      <w:bookmarkEnd w:id="105"/>
      <w:bookmarkEnd w:id="106"/>
      <w:bookmarkEnd w:id="107"/>
      <w:bookmarkEnd w:id="108"/>
      <w:bookmarkEnd w:id="109"/>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适用于合同的法律包括中华人民共和国法律、行政法规、部门规章，以及工程所在地的地方法规、自治条例、单行条例和地方政府规章。</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0" w:name="_Toc144974583"/>
      <w:bookmarkStart w:id="111" w:name="_Toc14238"/>
      <w:bookmarkStart w:id="112" w:name="_Toc152045615"/>
      <w:bookmarkStart w:id="113" w:name="_Toc179632633"/>
      <w:bookmarkStart w:id="114" w:name="_Toc100504118"/>
      <w:bookmarkStart w:id="115" w:name="_Toc17592"/>
      <w:bookmarkStart w:id="116" w:name="_Toc152042393"/>
      <w:bookmarkStart w:id="117" w:name="_Toc31121"/>
      <w:r>
        <w:rPr>
          <w:rFonts w:eastAsia="宋体" w:cs="Times New Roman"/>
          <w:b/>
          <w:color w:val="000000" w:themeColor="text1"/>
          <w:szCs w:val="24"/>
          <w:highlight w:val="none"/>
          <w14:textFill>
            <w14:solidFill>
              <w14:schemeClr w14:val="tx1"/>
            </w14:solidFill>
          </w14:textFill>
        </w:rPr>
        <w:t>1.4 合同文件的优先顺序</w:t>
      </w:r>
      <w:bookmarkEnd w:id="110"/>
      <w:bookmarkEnd w:id="111"/>
      <w:bookmarkEnd w:id="112"/>
      <w:bookmarkEnd w:id="113"/>
      <w:bookmarkEnd w:id="114"/>
      <w:bookmarkEnd w:id="115"/>
      <w:bookmarkEnd w:id="116"/>
      <w:bookmarkEnd w:id="11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组成合同的各项文件应互相解释，互为说明。除专用合同条款另有约定外，解释合同文件的优先顺序如下：</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）合同协议书；</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）中标通知书；</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）投标函及投标函附录；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）专用合同条款；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）通用合同条款；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）技术标准和要求；</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）图纸；</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8</w:t>
      </w:r>
      <w:r>
        <w:rPr>
          <w:rFonts w:hAnsi="宋体"/>
          <w:color w:val="000000" w:themeColor="text1"/>
          <w:sz w:val="24"/>
          <w:highlight w:val="none"/>
          <w14:textFill>
            <w14:solidFill>
              <w14:schemeClr w14:val="tx1"/>
            </w14:solidFill>
          </w14:textFill>
        </w:rPr>
        <w:t>）已标价工程量清单；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9</w:t>
      </w:r>
      <w:r>
        <w:rPr>
          <w:rFonts w:hAnsi="宋体"/>
          <w:color w:val="000000" w:themeColor="text1"/>
          <w:sz w:val="24"/>
          <w:highlight w:val="none"/>
          <w14:textFill>
            <w14:solidFill>
              <w14:schemeClr w14:val="tx1"/>
            </w14:solidFill>
          </w14:textFill>
        </w:rPr>
        <w:t>）其他合同文件。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8" w:name="_Toc32516"/>
      <w:bookmarkStart w:id="119" w:name="_Toc152042394"/>
      <w:bookmarkStart w:id="120" w:name="_Toc14280"/>
      <w:bookmarkStart w:id="121" w:name="_Toc152045616"/>
      <w:bookmarkStart w:id="122" w:name="_Toc100504119"/>
      <w:bookmarkStart w:id="123" w:name="_Toc30863"/>
      <w:bookmarkStart w:id="124" w:name="_Toc179632634"/>
      <w:bookmarkStart w:id="125" w:name="_Toc144974584"/>
      <w:r>
        <w:rPr>
          <w:rFonts w:eastAsia="宋体" w:cs="Times New Roman"/>
          <w:b/>
          <w:color w:val="000000" w:themeColor="text1"/>
          <w:szCs w:val="24"/>
          <w:highlight w:val="none"/>
          <w14:textFill>
            <w14:solidFill>
              <w14:schemeClr w14:val="tx1"/>
            </w14:solidFill>
          </w14:textFill>
        </w:rPr>
        <w:t>1.5 合同协议书</w:t>
      </w:r>
      <w:bookmarkEnd w:id="118"/>
      <w:bookmarkEnd w:id="119"/>
      <w:bookmarkEnd w:id="120"/>
      <w:bookmarkEnd w:id="121"/>
      <w:bookmarkEnd w:id="122"/>
      <w:bookmarkEnd w:id="123"/>
      <w:bookmarkEnd w:id="124"/>
      <w:bookmarkEnd w:id="12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承包人按中标通知书规定的时间与发包人签订合同协议书。除法律另有规定或合同另有约定外，发包人和承包人的法定代表人或其委托代理人在合同协议书上签字并盖单位章后，合同生效。</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6" w:name="_Toc144974585"/>
      <w:bookmarkStart w:id="127" w:name="_Toc152045617"/>
      <w:bookmarkStart w:id="128" w:name="_Toc179632635"/>
      <w:bookmarkStart w:id="129" w:name="_Toc100504120"/>
      <w:bookmarkStart w:id="130" w:name="_Toc13037"/>
      <w:bookmarkStart w:id="131" w:name="_Toc32693"/>
      <w:bookmarkStart w:id="132" w:name="_Toc2899"/>
      <w:bookmarkStart w:id="133" w:name="_Toc152042395"/>
      <w:r>
        <w:rPr>
          <w:rFonts w:eastAsia="宋体" w:cs="Times New Roman"/>
          <w:b/>
          <w:color w:val="000000" w:themeColor="text1"/>
          <w:szCs w:val="24"/>
          <w:highlight w:val="none"/>
          <w14:textFill>
            <w14:solidFill>
              <w14:schemeClr w14:val="tx1"/>
            </w14:solidFill>
          </w14:textFill>
        </w:rPr>
        <w:t>1.6 图纸和承包人文件</w:t>
      </w:r>
      <w:bookmarkEnd w:id="126"/>
      <w:bookmarkEnd w:id="127"/>
      <w:bookmarkEnd w:id="128"/>
      <w:bookmarkEnd w:id="129"/>
      <w:bookmarkEnd w:id="130"/>
      <w:bookmarkEnd w:id="131"/>
      <w:bookmarkEnd w:id="132"/>
      <w:bookmarkEnd w:id="13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1.6.1</w:t>
      </w:r>
      <w:r>
        <w:rPr>
          <w:rFonts w:hAnsi="宋体"/>
          <w:color w:val="000000" w:themeColor="text1"/>
          <w:sz w:val="24"/>
          <w:highlight w:val="none"/>
          <w14:textFill>
            <w14:solidFill>
              <w14:schemeClr w14:val="tx1"/>
            </w14:solidFill>
          </w14:textFill>
        </w:rPr>
        <w:t>图纸的提供</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除专用合同条款另有约定外，图纸应在合理的期限内按照合同约定的数量提供给承包人。由于发包人未按时提供图纸造成工期延误的，按第</w:t>
      </w:r>
      <w:r>
        <w:rPr>
          <w:color w:val="000000" w:themeColor="text1"/>
          <w:sz w:val="24"/>
          <w:highlight w:val="none"/>
          <w14:textFill>
            <w14:solidFill>
              <w14:schemeClr w14:val="tx1"/>
            </w14:solidFill>
          </w14:textFill>
        </w:rPr>
        <w:t>11.3</w:t>
      </w:r>
      <w:r>
        <w:rPr>
          <w:rFonts w:hAnsi="宋体"/>
          <w:color w:val="000000" w:themeColor="text1"/>
          <w:sz w:val="24"/>
          <w:highlight w:val="none"/>
          <w14:textFill>
            <w14:solidFill>
              <w14:schemeClr w14:val="tx1"/>
            </w14:solidFill>
          </w14:textFill>
        </w:rPr>
        <w:t>款的约定办理。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1.6.2 </w:t>
      </w:r>
      <w:r>
        <w:rPr>
          <w:rFonts w:hAnsi="宋体"/>
          <w:color w:val="000000" w:themeColor="text1"/>
          <w:sz w:val="24"/>
          <w:highlight w:val="none"/>
          <w14:textFill>
            <w14:solidFill>
              <w14:schemeClr w14:val="tx1"/>
            </w14:solidFill>
          </w14:textFill>
        </w:rPr>
        <w:t>承包人提供的文件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按专用合同条款约定由承包人提供的文件，包括部分工程的大样图、加工图等，承包人应按约定的数量和期限报送监理人。监理人应在专用合同条款约定的期限内批复。</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1.6.3 </w:t>
      </w:r>
      <w:r>
        <w:rPr>
          <w:rFonts w:hAnsi="宋体"/>
          <w:color w:val="000000" w:themeColor="text1"/>
          <w:sz w:val="24"/>
          <w:highlight w:val="none"/>
          <w14:textFill>
            <w14:solidFill>
              <w14:schemeClr w14:val="tx1"/>
            </w14:solidFill>
          </w14:textFill>
        </w:rPr>
        <w:t>图纸的修改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图纸需要修改和补充的，应由监理人取得发包人同意后，在该工程或工程相应部位施工前的合理期限内签发图纸修改图给承包人，具体签发期限在专用合同条款中约定。承包人应按修改后的图纸施工。</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1.6.4 </w:t>
      </w:r>
      <w:r>
        <w:rPr>
          <w:rFonts w:hAnsi="宋体"/>
          <w:color w:val="000000" w:themeColor="text1"/>
          <w:sz w:val="24"/>
          <w:highlight w:val="none"/>
          <w14:textFill>
            <w14:solidFill>
              <w14:schemeClr w14:val="tx1"/>
            </w14:solidFill>
          </w14:textFill>
        </w:rPr>
        <w:t>图纸的错误</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承包人发现发包人提供的图纸存在明显错误或疏忽，应及时通知监理人。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1.6.5 </w:t>
      </w:r>
      <w:r>
        <w:rPr>
          <w:rFonts w:hAnsi="宋体"/>
          <w:color w:val="000000" w:themeColor="text1"/>
          <w:sz w:val="24"/>
          <w:highlight w:val="none"/>
          <w14:textFill>
            <w14:solidFill>
              <w14:schemeClr w14:val="tx1"/>
            </w14:solidFill>
          </w14:textFill>
        </w:rPr>
        <w:t>图纸和承包人文件的保管</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监理人和承包人均应在施工场地各保存一套完整的包含第</w:t>
      </w:r>
      <w:r>
        <w:rPr>
          <w:color w:val="000000" w:themeColor="text1"/>
          <w:sz w:val="24"/>
          <w:highlight w:val="none"/>
          <w14:textFill>
            <w14:solidFill>
              <w14:schemeClr w14:val="tx1"/>
            </w14:solidFill>
          </w14:textFill>
        </w:rPr>
        <w:t>1.6.1</w:t>
      </w:r>
      <w:r>
        <w:rPr>
          <w:rFonts w:hAnsi="宋体"/>
          <w:color w:val="000000" w:themeColor="text1"/>
          <w:sz w:val="24"/>
          <w:highlight w:val="none"/>
          <w14:textFill>
            <w14:solidFill>
              <w14:schemeClr w14:val="tx1"/>
            </w14:solidFill>
          </w14:textFill>
        </w:rPr>
        <w:t>项、第</w:t>
      </w:r>
      <w:r>
        <w:rPr>
          <w:color w:val="000000" w:themeColor="text1"/>
          <w:sz w:val="24"/>
          <w:highlight w:val="none"/>
          <w14:textFill>
            <w14:solidFill>
              <w14:schemeClr w14:val="tx1"/>
            </w14:solidFill>
          </w14:textFill>
        </w:rPr>
        <w:t>1.6.2</w:t>
      </w:r>
      <w:r>
        <w:rPr>
          <w:rFonts w:hAnsi="宋体"/>
          <w:color w:val="000000" w:themeColor="text1"/>
          <w:sz w:val="24"/>
          <w:highlight w:val="none"/>
          <w14:textFill>
            <w14:solidFill>
              <w14:schemeClr w14:val="tx1"/>
            </w14:solidFill>
          </w14:textFill>
        </w:rPr>
        <w:t>项、第</w:t>
      </w:r>
      <w:r>
        <w:rPr>
          <w:color w:val="000000" w:themeColor="text1"/>
          <w:sz w:val="24"/>
          <w:highlight w:val="none"/>
          <w14:textFill>
            <w14:solidFill>
              <w14:schemeClr w14:val="tx1"/>
            </w14:solidFill>
          </w14:textFill>
        </w:rPr>
        <w:t>1.6.3</w:t>
      </w:r>
      <w:r>
        <w:rPr>
          <w:rFonts w:hAnsi="宋体"/>
          <w:color w:val="000000" w:themeColor="text1"/>
          <w:sz w:val="24"/>
          <w:highlight w:val="none"/>
          <w14:textFill>
            <w14:solidFill>
              <w14:schemeClr w14:val="tx1"/>
            </w14:solidFill>
          </w14:textFill>
        </w:rPr>
        <w:t>项约定内容的图纸和承包人文件。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4" w:name="_Toc12597"/>
      <w:bookmarkStart w:id="135" w:name="_Toc152042396"/>
      <w:bookmarkStart w:id="136" w:name="_Toc18221"/>
      <w:bookmarkStart w:id="137" w:name="_Toc7923"/>
      <w:bookmarkStart w:id="138" w:name="_Toc100504121"/>
      <w:bookmarkStart w:id="139" w:name="_Toc144974586"/>
      <w:bookmarkStart w:id="140" w:name="_Toc179632636"/>
      <w:bookmarkStart w:id="141" w:name="_Toc152045618"/>
      <w:r>
        <w:rPr>
          <w:rFonts w:eastAsia="宋体" w:cs="Times New Roman"/>
          <w:b/>
          <w:color w:val="000000" w:themeColor="text1"/>
          <w:szCs w:val="24"/>
          <w:highlight w:val="none"/>
          <w14:textFill>
            <w14:solidFill>
              <w14:schemeClr w14:val="tx1"/>
            </w14:solidFill>
          </w14:textFill>
        </w:rPr>
        <w:t>1.7 联络</w:t>
      </w:r>
      <w:bookmarkEnd w:id="134"/>
      <w:bookmarkEnd w:id="135"/>
      <w:bookmarkEnd w:id="136"/>
      <w:bookmarkEnd w:id="137"/>
      <w:bookmarkEnd w:id="138"/>
      <w:bookmarkEnd w:id="139"/>
      <w:bookmarkEnd w:id="140"/>
      <w:bookmarkEnd w:id="14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 </w:t>
      </w:r>
      <w:r>
        <w:rPr>
          <w:rFonts w:hAnsi="宋体"/>
          <w:color w:val="000000" w:themeColor="text1"/>
          <w:sz w:val="24"/>
          <w:highlight w:val="none"/>
          <w14:textFill>
            <w14:solidFill>
              <w14:schemeClr w14:val="tx1"/>
            </w14:solidFill>
          </w14:textFill>
        </w:rPr>
        <w:t>与合同有关的通知、批准、证明、证书、指示、要求、请求、同意、意见、确定和决定等，均应采用书面形式。</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1.7.2 </w:t>
      </w:r>
      <w:r>
        <w:rPr>
          <w:rFonts w:hAnsi="宋体"/>
          <w:color w:val="000000" w:themeColor="text1"/>
          <w:sz w:val="24"/>
          <w:highlight w:val="none"/>
          <w14:textFill>
            <w14:solidFill>
              <w14:schemeClr w14:val="tx1"/>
            </w14:solidFill>
          </w14:textFill>
        </w:rPr>
        <w:t>第</w:t>
      </w:r>
      <w:r>
        <w:rPr>
          <w:color w:val="000000" w:themeColor="text1"/>
          <w:sz w:val="24"/>
          <w:highlight w:val="none"/>
          <w14:textFill>
            <w14:solidFill>
              <w14:schemeClr w14:val="tx1"/>
            </w14:solidFill>
          </w14:textFill>
        </w:rPr>
        <w:t>1.7.1</w:t>
      </w:r>
      <w:r>
        <w:rPr>
          <w:rFonts w:hAnsi="宋体"/>
          <w:color w:val="000000" w:themeColor="text1"/>
          <w:sz w:val="24"/>
          <w:highlight w:val="none"/>
          <w14:textFill>
            <w14:solidFill>
              <w14:schemeClr w14:val="tx1"/>
            </w14:solidFill>
          </w14:textFill>
        </w:rPr>
        <w:t>项中的通知、批准、证明、证书、指示、要求、请求、同意、意见、确定和决定等来往函件，均应在合同约定的期限内送达指定地点和接收人，并办理签收手续。</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2" w:name="_Toc179632637"/>
      <w:bookmarkStart w:id="143" w:name="_Toc15359"/>
      <w:bookmarkStart w:id="144" w:name="_Toc152045619"/>
      <w:bookmarkStart w:id="145" w:name="_Toc20368"/>
      <w:bookmarkStart w:id="146" w:name="_Toc100504122"/>
      <w:bookmarkStart w:id="147" w:name="_Toc152042397"/>
      <w:bookmarkStart w:id="148" w:name="_Toc3567"/>
      <w:bookmarkStart w:id="149" w:name="_Toc144974587"/>
      <w:r>
        <w:rPr>
          <w:rFonts w:eastAsia="宋体" w:cs="Times New Roman"/>
          <w:b/>
          <w:color w:val="000000" w:themeColor="text1"/>
          <w:szCs w:val="24"/>
          <w:highlight w:val="none"/>
          <w14:textFill>
            <w14:solidFill>
              <w14:schemeClr w14:val="tx1"/>
            </w14:solidFill>
          </w14:textFill>
        </w:rPr>
        <w:t>1.8 转让</w:t>
      </w:r>
      <w:bookmarkEnd w:id="142"/>
      <w:bookmarkEnd w:id="143"/>
      <w:bookmarkEnd w:id="144"/>
      <w:bookmarkEnd w:id="145"/>
      <w:bookmarkEnd w:id="146"/>
      <w:bookmarkEnd w:id="147"/>
      <w:bookmarkEnd w:id="148"/>
      <w:bookmarkEnd w:id="149"/>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除合同另有约定外，未经对方当事人同意，一方当事人不得将合同权利全部或部分转让给第三人，也不得全部或部分转移合同义务。</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0" w:name="_Toc16451"/>
      <w:bookmarkStart w:id="151" w:name="_Toc179632638"/>
      <w:bookmarkStart w:id="152" w:name="_Toc152045620"/>
      <w:bookmarkStart w:id="153" w:name="_Toc144974588"/>
      <w:bookmarkStart w:id="154" w:name="_Toc31091"/>
      <w:bookmarkStart w:id="155" w:name="_Toc5378"/>
      <w:bookmarkStart w:id="156" w:name="_Toc100504123"/>
      <w:bookmarkStart w:id="157" w:name="_Toc152042398"/>
      <w:r>
        <w:rPr>
          <w:rFonts w:eastAsia="宋体" w:cs="Times New Roman"/>
          <w:b/>
          <w:color w:val="000000" w:themeColor="text1"/>
          <w:szCs w:val="24"/>
          <w:highlight w:val="none"/>
          <w14:textFill>
            <w14:solidFill>
              <w14:schemeClr w14:val="tx1"/>
            </w14:solidFill>
          </w14:textFill>
        </w:rPr>
        <w:t>1.9 严禁贿赂</w:t>
      </w:r>
      <w:bookmarkEnd w:id="150"/>
      <w:bookmarkEnd w:id="151"/>
      <w:bookmarkEnd w:id="152"/>
      <w:bookmarkEnd w:id="153"/>
      <w:bookmarkEnd w:id="154"/>
      <w:bookmarkEnd w:id="155"/>
      <w:bookmarkEnd w:id="156"/>
      <w:bookmarkEnd w:id="15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合同双方当事人不得以贿赂或变相贿赂的方式，谋取不当利益或损害对方权益。因贿赂造成对方损失的，行为人应赔偿损失，并承担相应的法律责任。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8" w:name="_Toc15195"/>
      <w:bookmarkStart w:id="159" w:name="_Toc15147"/>
      <w:bookmarkStart w:id="160" w:name="_Toc100504124"/>
      <w:bookmarkStart w:id="161" w:name="_Toc144974589"/>
      <w:bookmarkStart w:id="162" w:name="_Toc152042399"/>
      <w:bookmarkStart w:id="163" w:name="_Toc179632639"/>
      <w:bookmarkStart w:id="164" w:name="_Toc4529"/>
      <w:bookmarkStart w:id="165" w:name="_Toc152045621"/>
      <w:r>
        <w:rPr>
          <w:rFonts w:eastAsia="宋体" w:cs="Times New Roman"/>
          <w:b/>
          <w:color w:val="000000" w:themeColor="text1"/>
          <w:szCs w:val="24"/>
          <w:highlight w:val="none"/>
          <w14:textFill>
            <w14:solidFill>
              <w14:schemeClr w14:val="tx1"/>
            </w14:solidFill>
          </w14:textFill>
        </w:rPr>
        <w:t>1.10 化石、文物</w:t>
      </w:r>
      <w:bookmarkEnd w:id="158"/>
      <w:bookmarkEnd w:id="159"/>
      <w:bookmarkEnd w:id="160"/>
      <w:bookmarkEnd w:id="161"/>
      <w:bookmarkEnd w:id="162"/>
      <w:bookmarkEnd w:id="163"/>
      <w:bookmarkEnd w:id="164"/>
      <w:bookmarkEnd w:id="16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1.10.1 </w:t>
      </w:r>
      <w:r>
        <w:rPr>
          <w:rFonts w:hAnsi="宋体"/>
          <w:color w:val="000000" w:themeColor="text1"/>
          <w:sz w:val="24"/>
          <w:highlight w:val="none"/>
          <w14:textFill>
            <w14:solidFill>
              <w14:schemeClr w14:val="tx1"/>
            </w14:solidFill>
          </w14:textFill>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1.10.2 </w:t>
      </w:r>
      <w:r>
        <w:rPr>
          <w:rFonts w:hAnsi="宋体"/>
          <w:color w:val="000000" w:themeColor="text1"/>
          <w:sz w:val="24"/>
          <w:highlight w:val="none"/>
          <w14:textFill>
            <w14:solidFill>
              <w14:schemeClr w14:val="tx1"/>
            </w14:solidFill>
          </w14:textFill>
        </w:rPr>
        <w:t>承包人发现文物后不及时报告或隐瞒不报，致使文物丢失或损坏的，应赔偿损失，并承担相应的法律责任。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6" w:name="_Toc152045622"/>
      <w:bookmarkStart w:id="167" w:name="_Toc152042400"/>
      <w:bookmarkStart w:id="168" w:name="_Toc100504125"/>
      <w:bookmarkStart w:id="169" w:name="_Toc23776"/>
      <w:bookmarkStart w:id="170" w:name="_Toc4728"/>
      <w:bookmarkStart w:id="171" w:name="_Toc144974590"/>
      <w:bookmarkStart w:id="172" w:name="_Toc31728"/>
      <w:bookmarkStart w:id="173" w:name="_Toc179632640"/>
      <w:r>
        <w:rPr>
          <w:rFonts w:eastAsia="宋体" w:cs="Times New Roman"/>
          <w:b/>
          <w:color w:val="000000" w:themeColor="text1"/>
          <w:szCs w:val="24"/>
          <w:highlight w:val="none"/>
          <w14:textFill>
            <w14:solidFill>
              <w14:schemeClr w14:val="tx1"/>
            </w14:solidFill>
          </w14:textFill>
        </w:rPr>
        <w:t>1.11 专利技术</w:t>
      </w:r>
      <w:bookmarkEnd w:id="166"/>
      <w:bookmarkEnd w:id="167"/>
      <w:bookmarkEnd w:id="168"/>
      <w:bookmarkEnd w:id="169"/>
      <w:bookmarkEnd w:id="170"/>
      <w:bookmarkEnd w:id="171"/>
      <w:bookmarkEnd w:id="172"/>
      <w:bookmarkEnd w:id="17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1.11.1 </w:t>
      </w:r>
      <w:r>
        <w:rPr>
          <w:rFonts w:hAnsi="宋体"/>
          <w:color w:val="000000" w:themeColor="text1"/>
          <w:sz w:val="24"/>
          <w:highlight w:val="none"/>
          <w14:textFill>
            <w14:solidFill>
              <w14:schemeClr w14:val="tx1"/>
            </w14:solidFill>
          </w14:textFill>
        </w:rPr>
        <w:t>承包人在使用任何材料、承包人设备、工程设备或采用施工工艺时，因侵犯专利权或其他知识产权所引起的责任，由承包人承担，但由于遵照发包人提供的设计或技术标准和要求引起的除外。</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1.11.2 </w:t>
      </w:r>
      <w:r>
        <w:rPr>
          <w:rFonts w:hAnsi="宋体"/>
          <w:color w:val="000000" w:themeColor="text1"/>
          <w:sz w:val="24"/>
          <w:highlight w:val="none"/>
          <w14:textFill>
            <w14:solidFill>
              <w14:schemeClr w14:val="tx1"/>
            </w14:solidFill>
          </w14:textFill>
        </w:rPr>
        <w:t>承包人在投标文件中采用专利技术的，专利技术的使用费包含在投标报价内。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1.11.3 </w:t>
      </w:r>
      <w:r>
        <w:rPr>
          <w:rFonts w:hAnsi="宋体"/>
          <w:color w:val="000000" w:themeColor="text1"/>
          <w:sz w:val="24"/>
          <w:highlight w:val="none"/>
          <w14:textFill>
            <w14:solidFill>
              <w14:schemeClr w14:val="tx1"/>
            </w14:solidFill>
          </w14:textFill>
        </w:rPr>
        <w:t>承包人的技术秘密和声明需要保密的资料和信息，发包人和监理人不得为合同以外的目的泄露给他人。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4" w:name="_Toc100504126"/>
      <w:bookmarkStart w:id="175" w:name="_Toc4295"/>
      <w:bookmarkStart w:id="176" w:name="_Toc179632641"/>
      <w:bookmarkStart w:id="177" w:name="_Toc152045623"/>
      <w:bookmarkStart w:id="178" w:name="_Toc30209"/>
      <w:bookmarkStart w:id="179" w:name="_Toc144974591"/>
      <w:bookmarkStart w:id="180" w:name="_Toc152042401"/>
      <w:bookmarkStart w:id="181" w:name="_Toc31602"/>
      <w:r>
        <w:rPr>
          <w:rFonts w:eastAsia="宋体" w:cs="Times New Roman"/>
          <w:b/>
          <w:color w:val="000000" w:themeColor="text1"/>
          <w:szCs w:val="24"/>
          <w:highlight w:val="none"/>
          <w14:textFill>
            <w14:solidFill>
              <w14:schemeClr w14:val="tx1"/>
            </w14:solidFill>
          </w14:textFill>
        </w:rPr>
        <w:t>1.12 图纸和文件的保密</w:t>
      </w:r>
      <w:bookmarkEnd w:id="174"/>
      <w:bookmarkEnd w:id="175"/>
      <w:bookmarkEnd w:id="176"/>
      <w:bookmarkEnd w:id="177"/>
      <w:bookmarkEnd w:id="178"/>
      <w:bookmarkEnd w:id="179"/>
      <w:bookmarkEnd w:id="180"/>
      <w:bookmarkEnd w:id="18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1.12.1 </w:t>
      </w:r>
      <w:r>
        <w:rPr>
          <w:rFonts w:hAnsi="宋体"/>
          <w:color w:val="000000" w:themeColor="text1"/>
          <w:sz w:val="24"/>
          <w:highlight w:val="none"/>
          <w14:textFill>
            <w14:solidFill>
              <w14:schemeClr w14:val="tx1"/>
            </w14:solidFill>
          </w14:textFill>
        </w:rPr>
        <w:t>发包人提供的图纸和文件，未经发包人同意，承包人不得为合同以外的目的泄露给他人或公开发表与引用。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1.12.2 </w:t>
      </w:r>
      <w:r>
        <w:rPr>
          <w:rFonts w:hAnsi="宋体"/>
          <w:color w:val="000000" w:themeColor="text1"/>
          <w:sz w:val="24"/>
          <w:highlight w:val="none"/>
          <w14:textFill>
            <w14:solidFill>
              <w14:schemeClr w14:val="tx1"/>
            </w14:solidFill>
          </w14:textFill>
        </w:rPr>
        <w:t>承包人提供的文件，未经承包人同意，发包人和监理人不得为合同以外的目的泄露给他人或公开发表与引用。</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82" w:name="_Toc4174"/>
      <w:bookmarkStart w:id="183" w:name="_Toc152045624"/>
      <w:bookmarkStart w:id="184" w:name="_Toc100504127"/>
      <w:bookmarkStart w:id="185" w:name="_Toc152042402"/>
      <w:bookmarkStart w:id="186" w:name="_Toc179632642"/>
      <w:bookmarkStart w:id="187" w:name="_Toc24339"/>
      <w:bookmarkStart w:id="188" w:name="_Toc285"/>
      <w:bookmarkStart w:id="189" w:name="_Toc144974592"/>
      <w:r>
        <w:rPr>
          <w:rFonts w:hAnsi="宋体"/>
          <w:b/>
          <w:color w:val="000000" w:themeColor="text1"/>
          <w:sz w:val="24"/>
          <w:highlight w:val="none"/>
          <w14:textFill>
            <w14:solidFill>
              <w14:schemeClr w14:val="tx1"/>
            </w14:solidFill>
          </w14:textFill>
        </w:rPr>
        <w:t>2. 发包人义务</w:t>
      </w:r>
      <w:bookmarkEnd w:id="182"/>
      <w:bookmarkEnd w:id="183"/>
      <w:bookmarkEnd w:id="184"/>
      <w:bookmarkEnd w:id="185"/>
      <w:bookmarkEnd w:id="186"/>
      <w:bookmarkEnd w:id="187"/>
      <w:bookmarkEnd w:id="188"/>
      <w:bookmarkEnd w:id="189"/>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90" w:name="_Toc100504128"/>
      <w:bookmarkStart w:id="191" w:name="_Toc144974593"/>
      <w:bookmarkStart w:id="192" w:name="_Toc19367"/>
      <w:bookmarkStart w:id="193" w:name="_Toc152042403"/>
      <w:bookmarkStart w:id="194" w:name="_Toc152045625"/>
      <w:bookmarkStart w:id="195" w:name="_Toc179632643"/>
      <w:bookmarkStart w:id="196" w:name="_Toc22264"/>
      <w:bookmarkStart w:id="197" w:name="_Toc20248"/>
      <w:r>
        <w:rPr>
          <w:rFonts w:eastAsia="宋体" w:cs="Times New Roman"/>
          <w:b/>
          <w:color w:val="000000" w:themeColor="text1"/>
          <w:szCs w:val="24"/>
          <w:highlight w:val="none"/>
          <w14:textFill>
            <w14:solidFill>
              <w14:schemeClr w14:val="tx1"/>
            </w14:solidFill>
          </w14:textFill>
        </w:rPr>
        <w:t>2.1 遵守法律</w:t>
      </w:r>
      <w:bookmarkEnd w:id="190"/>
      <w:bookmarkEnd w:id="191"/>
      <w:bookmarkEnd w:id="192"/>
      <w:bookmarkEnd w:id="193"/>
      <w:bookmarkEnd w:id="194"/>
      <w:bookmarkEnd w:id="195"/>
      <w:bookmarkEnd w:id="196"/>
      <w:bookmarkEnd w:id="19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发包人在履行合同过程中应遵守法律，并保证承包人免于承担因发包人违反法律而引起的任何责任。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98" w:name="_Toc144974594"/>
      <w:bookmarkStart w:id="199" w:name="_Toc100504129"/>
      <w:bookmarkStart w:id="200" w:name="_Toc152042404"/>
      <w:bookmarkStart w:id="201" w:name="_Toc6744"/>
      <w:bookmarkStart w:id="202" w:name="_Toc13338"/>
      <w:bookmarkStart w:id="203" w:name="_Toc179632644"/>
      <w:bookmarkStart w:id="204" w:name="_Toc19356"/>
      <w:bookmarkStart w:id="205" w:name="_Toc152045626"/>
      <w:r>
        <w:rPr>
          <w:rFonts w:eastAsia="宋体" w:cs="Times New Roman"/>
          <w:b/>
          <w:color w:val="000000" w:themeColor="text1"/>
          <w:szCs w:val="24"/>
          <w:highlight w:val="none"/>
          <w14:textFill>
            <w14:solidFill>
              <w14:schemeClr w14:val="tx1"/>
            </w14:solidFill>
          </w14:textFill>
        </w:rPr>
        <w:t>2.2 发出开工通知</w:t>
      </w:r>
      <w:bookmarkEnd w:id="198"/>
      <w:bookmarkEnd w:id="199"/>
      <w:bookmarkEnd w:id="200"/>
      <w:bookmarkEnd w:id="201"/>
      <w:bookmarkEnd w:id="202"/>
      <w:bookmarkEnd w:id="203"/>
      <w:bookmarkEnd w:id="204"/>
      <w:bookmarkEnd w:id="20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发包人应委托监理人按第</w:t>
      </w:r>
      <w:r>
        <w:rPr>
          <w:color w:val="000000" w:themeColor="text1"/>
          <w:sz w:val="24"/>
          <w:highlight w:val="none"/>
          <w14:textFill>
            <w14:solidFill>
              <w14:schemeClr w14:val="tx1"/>
            </w14:solidFill>
          </w14:textFill>
        </w:rPr>
        <w:t>11.1</w:t>
      </w:r>
      <w:r>
        <w:rPr>
          <w:rFonts w:hAnsi="宋体"/>
          <w:color w:val="000000" w:themeColor="text1"/>
          <w:sz w:val="24"/>
          <w:highlight w:val="none"/>
          <w14:textFill>
            <w14:solidFill>
              <w14:schemeClr w14:val="tx1"/>
            </w14:solidFill>
          </w14:textFill>
        </w:rPr>
        <w:t>款的约定向承包人发出开工通知。</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06" w:name="_Toc179632645"/>
      <w:bookmarkStart w:id="207" w:name="_Toc19108"/>
      <w:bookmarkStart w:id="208" w:name="_Toc144974595"/>
      <w:bookmarkStart w:id="209" w:name="_Toc152045627"/>
      <w:bookmarkStart w:id="210" w:name="_Toc24714"/>
      <w:bookmarkStart w:id="211" w:name="_Toc419"/>
      <w:bookmarkStart w:id="212" w:name="_Toc152042405"/>
      <w:bookmarkStart w:id="213" w:name="_Toc100504130"/>
      <w:r>
        <w:rPr>
          <w:rFonts w:eastAsia="宋体" w:cs="Times New Roman"/>
          <w:b/>
          <w:color w:val="000000" w:themeColor="text1"/>
          <w:szCs w:val="24"/>
          <w:highlight w:val="none"/>
          <w14:textFill>
            <w14:solidFill>
              <w14:schemeClr w14:val="tx1"/>
            </w14:solidFill>
          </w14:textFill>
        </w:rPr>
        <w:t>2.3 提供施工场地</w:t>
      </w:r>
      <w:bookmarkEnd w:id="206"/>
      <w:bookmarkEnd w:id="207"/>
      <w:bookmarkEnd w:id="208"/>
      <w:bookmarkEnd w:id="209"/>
      <w:bookmarkEnd w:id="210"/>
      <w:bookmarkEnd w:id="211"/>
      <w:bookmarkEnd w:id="212"/>
      <w:bookmarkEnd w:id="21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发包人应按专用合同条款约定向承包人提供施工场地，以及施工场地内地下管线和地下设施等有关资料，并保证资料的真实、准确、完整。</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14" w:name="_Toc152042406"/>
      <w:bookmarkStart w:id="215" w:name="_Toc152045628"/>
      <w:bookmarkStart w:id="216" w:name="_Toc32654"/>
      <w:bookmarkStart w:id="217" w:name="_Toc8414"/>
      <w:bookmarkStart w:id="218" w:name="_Toc100504131"/>
      <w:bookmarkStart w:id="219" w:name="_Toc179632646"/>
      <w:bookmarkStart w:id="220" w:name="_Toc16716"/>
      <w:bookmarkStart w:id="221" w:name="_Toc144974596"/>
      <w:r>
        <w:rPr>
          <w:rFonts w:eastAsia="宋体" w:cs="Times New Roman"/>
          <w:b/>
          <w:color w:val="000000" w:themeColor="text1"/>
          <w:szCs w:val="24"/>
          <w:highlight w:val="none"/>
          <w14:textFill>
            <w14:solidFill>
              <w14:schemeClr w14:val="tx1"/>
            </w14:solidFill>
          </w14:textFill>
        </w:rPr>
        <w:t>2.4 协助承包人办理证件和批件</w:t>
      </w:r>
      <w:bookmarkEnd w:id="214"/>
      <w:bookmarkEnd w:id="215"/>
      <w:bookmarkEnd w:id="216"/>
      <w:bookmarkEnd w:id="217"/>
      <w:bookmarkEnd w:id="218"/>
      <w:bookmarkEnd w:id="219"/>
      <w:bookmarkEnd w:id="220"/>
      <w:bookmarkEnd w:id="22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发包人应协助承包人办理法律规定的有关施工证件和批件。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22" w:name="_Toc28596"/>
      <w:bookmarkStart w:id="223" w:name="_Toc29796"/>
      <w:bookmarkStart w:id="224" w:name="_Toc152045629"/>
      <w:bookmarkStart w:id="225" w:name="_Toc100504132"/>
      <w:bookmarkStart w:id="226" w:name="_Toc9645"/>
      <w:bookmarkStart w:id="227" w:name="_Toc179632647"/>
      <w:bookmarkStart w:id="228" w:name="_Toc152042407"/>
      <w:bookmarkStart w:id="229" w:name="_Toc144974597"/>
      <w:r>
        <w:rPr>
          <w:rFonts w:eastAsia="宋体" w:cs="Times New Roman"/>
          <w:b/>
          <w:color w:val="000000" w:themeColor="text1"/>
          <w:szCs w:val="24"/>
          <w:highlight w:val="none"/>
          <w14:textFill>
            <w14:solidFill>
              <w14:schemeClr w14:val="tx1"/>
            </w14:solidFill>
          </w14:textFill>
        </w:rPr>
        <w:t>2.5 组织设计交底</w:t>
      </w:r>
      <w:bookmarkEnd w:id="222"/>
      <w:bookmarkEnd w:id="223"/>
      <w:bookmarkEnd w:id="224"/>
      <w:bookmarkEnd w:id="225"/>
      <w:bookmarkEnd w:id="226"/>
      <w:bookmarkEnd w:id="227"/>
      <w:bookmarkEnd w:id="228"/>
      <w:bookmarkEnd w:id="229"/>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发包人应根据合同进度计划，组织设计单位向承包人进行设计交底。</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30" w:name="_Toc15487"/>
      <w:bookmarkStart w:id="231" w:name="_Toc152045630"/>
      <w:bookmarkStart w:id="232" w:name="_Toc152042408"/>
      <w:bookmarkStart w:id="233" w:name="_Toc179632648"/>
      <w:bookmarkStart w:id="234" w:name="_Toc27693"/>
      <w:bookmarkStart w:id="235" w:name="_Toc10686"/>
      <w:bookmarkStart w:id="236" w:name="_Toc100504133"/>
      <w:bookmarkStart w:id="237" w:name="_Toc144974598"/>
      <w:r>
        <w:rPr>
          <w:rFonts w:eastAsia="宋体" w:cs="Times New Roman"/>
          <w:b/>
          <w:color w:val="000000" w:themeColor="text1"/>
          <w:szCs w:val="24"/>
          <w:highlight w:val="none"/>
          <w14:textFill>
            <w14:solidFill>
              <w14:schemeClr w14:val="tx1"/>
            </w14:solidFill>
          </w14:textFill>
        </w:rPr>
        <w:t>2.6 支付合同价款</w:t>
      </w:r>
      <w:bookmarkEnd w:id="230"/>
      <w:bookmarkEnd w:id="231"/>
      <w:bookmarkEnd w:id="232"/>
      <w:bookmarkEnd w:id="233"/>
      <w:bookmarkEnd w:id="234"/>
      <w:bookmarkEnd w:id="235"/>
      <w:bookmarkEnd w:id="236"/>
      <w:bookmarkEnd w:id="23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发包人应按合同约定向承包人及时支付合同价款。</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38" w:name="_Toc144974599"/>
      <w:bookmarkStart w:id="239" w:name="_Toc17291"/>
      <w:bookmarkStart w:id="240" w:name="_Toc24103"/>
      <w:bookmarkStart w:id="241" w:name="_Toc152045631"/>
      <w:bookmarkStart w:id="242" w:name="_Toc179632649"/>
      <w:bookmarkStart w:id="243" w:name="_Toc100504134"/>
      <w:bookmarkStart w:id="244" w:name="_Toc152042409"/>
      <w:bookmarkStart w:id="245" w:name="_Toc5438"/>
      <w:r>
        <w:rPr>
          <w:rFonts w:eastAsia="宋体" w:cs="Times New Roman"/>
          <w:b/>
          <w:color w:val="000000" w:themeColor="text1"/>
          <w:szCs w:val="24"/>
          <w:highlight w:val="none"/>
          <w14:textFill>
            <w14:solidFill>
              <w14:schemeClr w14:val="tx1"/>
            </w14:solidFill>
          </w14:textFill>
        </w:rPr>
        <w:t>2.7 组织竣工验收</w:t>
      </w:r>
      <w:bookmarkEnd w:id="238"/>
      <w:bookmarkEnd w:id="239"/>
      <w:bookmarkEnd w:id="240"/>
      <w:bookmarkEnd w:id="241"/>
      <w:bookmarkEnd w:id="242"/>
      <w:bookmarkEnd w:id="243"/>
      <w:bookmarkEnd w:id="244"/>
      <w:bookmarkEnd w:id="24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发包人应按合同约定及时组织竣工验收。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46" w:name="_Toc5976"/>
      <w:bookmarkStart w:id="247" w:name="_Toc10156"/>
      <w:bookmarkStart w:id="248" w:name="_Toc100504135"/>
      <w:bookmarkStart w:id="249" w:name="_Toc19603"/>
      <w:bookmarkStart w:id="250" w:name="_Toc152042410"/>
      <w:bookmarkStart w:id="251" w:name="_Toc144974600"/>
      <w:bookmarkStart w:id="252" w:name="_Toc179632650"/>
      <w:bookmarkStart w:id="253" w:name="_Toc152045632"/>
      <w:r>
        <w:rPr>
          <w:rFonts w:eastAsia="宋体" w:cs="Times New Roman"/>
          <w:b/>
          <w:color w:val="000000" w:themeColor="text1"/>
          <w:szCs w:val="24"/>
          <w:highlight w:val="none"/>
          <w14:textFill>
            <w14:solidFill>
              <w14:schemeClr w14:val="tx1"/>
            </w14:solidFill>
          </w14:textFill>
        </w:rPr>
        <w:t>2.8 其他义务</w:t>
      </w:r>
      <w:bookmarkEnd w:id="246"/>
      <w:bookmarkEnd w:id="247"/>
      <w:bookmarkEnd w:id="248"/>
      <w:bookmarkEnd w:id="249"/>
      <w:bookmarkEnd w:id="250"/>
      <w:bookmarkEnd w:id="251"/>
      <w:bookmarkEnd w:id="252"/>
      <w:bookmarkEnd w:id="25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发包人应履行合同约定的其他义务。</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254" w:name="_Toc152042411"/>
      <w:bookmarkStart w:id="255" w:name="_Toc152045633"/>
      <w:bookmarkStart w:id="256" w:name="_Toc179632651"/>
      <w:bookmarkStart w:id="257" w:name="_Toc22093"/>
      <w:bookmarkStart w:id="258" w:name="_Toc144974601"/>
      <w:bookmarkStart w:id="259" w:name="_Toc3462"/>
      <w:bookmarkStart w:id="260" w:name="_Toc10865"/>
      <w:bookmarkStart w:id="261" w:name="_Toc100504136"/>
      <w:r>
        <w:rPr>
          <w:rFonts w:hAnsi="宋体"/>
          <w:b/>
          <w:color w:val="000000" w:themeColor="text1"/>
          <w:sz w:val="24"/>
          <w:highlight w:val="none"/>
          <w14:textFill>
            <w14:solidFill>
              <w14:schemeClr w14:val="tx1"/>
            </w14:solidFill>
          </w14:textFill>
        </w:rPr>
        <w:t>3. 监理人</w:t>
      </w:r>
      <w:bookmarkEnd w:id="254"/>
      <w:bookmarkEnd w:id="255"/>
      <w:bookmarkEnd w:id="256"/>
      <w:bookmarkEnd w:id="257"/>
      <w:bookmarkEnd w:id="258"/>
      <w:bookmarkEnd w:id="259"/>
      <w:bookmarkEnd w:id="260"/>
      <w:bookmarkEnd w:id="261"/>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62" w:name="_Toc152045634"/>
      <w:bookmarkStart w:id="263" w:name="_Toc5805"/>
      <w:bookmarkStart w:id="264" w:name="_Toc144974602"/>
      <w:bookmarkStart w:id="265" w:name="_Toc3235"/>
      <w:bookmarkStart w:id="266" w:name="_Toc2836"/>
      <w:bookmarkStart w:id="267" w:name="_Toc179632652"/>
      <w:bookmarkStart w:id="268" w:name="_Toc152042412"/>
      <w:bookmarkStart w:id="269" w:name="_Toc100504137"/>
      <w:r>
        <w:rPr>
          <w:rFonts w:eastAsia="宋体" w:cs="Times New Roman"/>
          <w:b/>
          <w:color w:val="000000" w:themeColor="text1"/>
          <w:szCs w:val="24"/>
          <w:highlight w:val="none"/>
          <w14:textFill>
            <w14:solidFill>
              <w14:schemeClr w14:val="tx1"/>
            </w14:solidFill>
          </w14:textFill>
        </w:rPr>
        <w:t>3.1 监理人的职责和权力</w:t>
      </w:r>
      <w:bookmarkEnd w:id="262"/>
      <w:bookmarkEnd w:id="263"/>
      <w:bookmarkEnd w:id="264"/>
      <w:bookmarkEnd w:id="265"/>
      <w:bookmarkEnd w:id="266"/>
      <w:bookmarkEnd w:id="267"/>
      <w:bookmarkEnd w:id="268"/>
      <w:bookmarkEnd w:id="26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3.1.1 </w:t>
      </w:r>
      <w:r>
        <w:rPr>
          <w:rFonts w:hAnsi="宋体"/>
          <w:color w:val="000000" w:themeColor="text1"/>
          <w:sz w:val="24"/>
          <w:highlight w:val="none"/>
          <w14:textFill>
            <w14:solidFill>
              <w14:schemeClr w14:val="tx1"/>
            </w14:solidFill>
          </w14:textFill>
        </w:rPr>
        <w:t>监理人受发包人委托，享有合同约定的权力。监理人在行使某项权力前需要经发包人事先批准而通用合同条款没有指明的，应在专用合同条款中指明。</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3.1.2 </w:t>
      </w:r>
      <w:r>
        <w:rPr>
          <w:rFonts w:hAnsi="宋体"/>
          <w:color w:val="000000" w:themeColor="text1"/>
          <w:sz w:val="24"/>
          <w:highlight w:val="none"/>
          <w14:textFill>
            <w14:solidFill>
              <w14:schemeClr w14:val="tx1"/>
            </w14:solidFill>
          </w14:textFill>
        </w:rPr>
        <w:t>监理人发出的任何指示应视为已得到发包人的批准，但监理人无权免除或变更合同约定的发包人和承包人的权利、义务和责任。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3.1.3 </w:t>
      </w:r>
      <w:r>
        <w:rPr>
          <w:rFonts w:hAnsi="宋体"/>
          <w:color w:val="000000" w:themeColor="text1"/>
          <w:sz w:val="24"/>
          <w:highlight w:val="none"/>
          <w14:textFill>
            <w14:solidFill>
              <w14:schemeClr w14:val="tx1"/>
            </w14:solidFill>
          </w14:textFill>
        </w:rPr>
        <w:t>合同约定应由承包人承担的义务和责任，不因监理人对承包人提交文件的审查或批准，对工程、材料和设备的检查和检验，以及为实施监理作出的指示等职务行为而减轻或解除。</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70" w:name="_Toc144974603"/>
      <w:bookmarkStart w:id="271" w:name="_Toc14039"/>
      <w:bookmarkStart w:id="272" w:name="_Toc152045635"/>
      <w:bookmarkStart w:id="273" w:name="_Toc22919"/>
      <w:bookmarkStart w:id="274" w:name="_Toc100504138"/>
      <w:bookmarkStart w:id="275" w:name="_Toc152042413"/>
      <w:bookmarkStart w:id="276" w:name="_Toc179632653"/>
      <w:bookmarkStart w:id="277" w:name="_Toc1792"/>
      <w:r>
        <w:rPr>
          <w:rFonts w:eastAsia="宋体" w:cs="Times New Roman"/>
          <w:b/>
          <w:color w:val="000000" w:themeColor="text1"/>
          <w:szCs w:val="24"/>
          <w:highlight w:val="none"/>
          <w14:textFill>
            <w14:solidFill>
              <w14:schemeClr w14:val="tx1"/>
            </w14:solidFill>
          </w14:textFill>
        </w:rPr>
        <w:t>3.2 总监理工程师</w:t>
      </w:r>
      <w:bookmarkEnd w:id="270"/>
      <w:bookmarkEnd w:id="271"/>
      <w:bookmarkEnd w:id="272"/>
      <w:bookmarkEnd w:id="273"/>
      <w:bookmarkEnd w:id="274"/>
      <w:bookmarkEnd w:id="275"/>
      <w:bookmarkEnd w:id="276"/>
      <w:bookmarkEnd w:id="27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发包人应在发出开工通知前将总监理工程师的任命通知承包人。总监理工程师更换时，应在调离</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天前通知承包人。总监理工程师短期离开施工场地的，应委派代表代行其职责，并通知承包人。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78" w:name="_Toc144974604"/>
      <w:bookmarkStart w:id="279" w:name="_Toc23432"/>
      <w:bookmarkStart w:id="280" w:name="_Toc152042414"/>
      <w:bookmarkStart w:id="281" w:name="_Toc100504139"/>
      <w:bookmarkStart w:id="282" w:name="_Toc152045636"/>
      <w:bookmarkStart w:id="283" w:name="_Toc5811"/>
      <w:bookmarkStart w:id="284" w:name="_Toc179632654"/>
      <w:bookmarkStart w:id="285" w:name="_Toc14328"/>
      <w:r>
        <w:rPr>
          <w:rFonts w:eastAsia="宋体" w:cs="Times New Roman"/>
          <w:b/>
          <w:color w:val="000000" w:themeColor="text1"/>
          <w:szCs w:val="24"/>
          <w:highlight w:val="none"/>
          <w14:textFill>
            <w14:solidFill>
              <w14:schemeClr w14:val="tx1"/>
            </w14:solidFill>
          </w14:textFill>
        </w:rPr>
        <w:t>3.3 监理人员</w:t>
      </w:r>
      <w:bookmarkEnd w:id="278"/>
      <w:bookmarkEnd w:id="279"/>
      <w:bookmarkEnd w:id="280"/>
      <w:bookmarkEnd w:id="281"/>
      <w:bookmarkEnd w:id="282"/>
      <w:bookmarkEnd w:id="283"/>
      <w:bookmarkEnd w:id="284"/>
      <w:bookmarkEnd w:id="28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3.3.1 </w:t>
      </w:r>
      <w:r>
        <w:rPr>
          <w:rFonts w:hAnsi="宋体"/>
          <w:color w:val="000000" w:themeColor="text1"/>
          <w:sz w:val="24"/>
          <w:highlight w:val="none"/>
          <w14:textFill>
            <w14:solidFill>
              <w14:schemeClr w14:val="tx1"/>
            </w14:solidFill>
          </w14:textFill>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3.3.2 </w:t>
      </w:r>
      <w:r>
        <w:rPr>
          <w:rFonts w:hAnsi="宋体"/>
          <w:color w:val="000000" w:themeColor="text1"/>
          <w:sz w:val="24"/>
          <w:highlight w:val="none"/>
          <w14:textFill>
            <w14:solidFill>
              <w14:schemeClr w14:val="tx1"/>
            </w14:solidFill>
          </w14:textFill>
        </w:rPr>
        <w:t>监理人员对承包人的任何工作、工程或其采用的材料和工程设备未在约定的或合理的期限内提出否定意见的，视为已获批准，但不影响监理人在以后拒绝该项工作、工程、材料或工程设备的权利。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3.3.3 </w:t>
      </w:r>
      <w:r>
        <w:rPr>
          <w:rFonts w:hAnsi="宋体"/>
          <w:color w:val="000000" w:themeColor="text1"/>
          <w:sz w:val="24"/>
          <w:highlight w:val="none"/>
          <w14:textFill>
            <w14:solidFill>
              <w14:schemeClr w14:val="tx1"/>
            </w14:solidFill>
          </w14:textFill>
        </w:rPr>
        <w:t>承包人对总监理工程师授权的监理人员发出的指示有疑问的，可向总监理工程师提出书面异议，总监理工程师应在</w:t>
      </w:r>
      <w:r>
        <w:rPr>
          <w:color w:val="000000" w:themeColor="text1"/>
          <w:sz w:val="24"/>
          <w:highlight w:val="none"/>
          <w14:textFill>
            <w14:solidFill>
              <w14:schemeClr w14:val="tx1"/>
            </w14:solidFill>
          </w14:textFill>
        </w:rPr>
        <w:t>48</w:t>
      </w:r>
      <w:r>
        <w:rPr>
          <w:rFonts w:hAnsi="宋体"/>
          <w:color w:val="000000" w:themeColor="text1"/>
          <w:sz w:val="24"/>
          <w:highlight w:val="none"/>
          <w14:textFill>
            <w14:solidFill>
              <w14:schemeClr w14:val="tx1"/>
            </w14:solidFill>
          </w14:textFill>
        </w:rPr>
        <w:t>小时内对该指示予以确认、更改或撤销。</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3.3.4 </w:t>
      </w:r>
      <w:r>
        <w:rPr>
          <w:rFonts w:hAnsi="宋体"/>
          <w:color w:val="000000" w:themeColor="text1"/>
          <w:sz w:val="24"/>
          <w:highlight w:val="none"/>
          <w14:textFill>
            <w14:solidFill>
              <w14:schemeClr w14:val="tx1"/>
            </w14:solidFill>
          </w14:textFill>
        </w:rPr>
        <w:t>除专用合同条款另有约定外，总监理工程师不应将第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款约定应由总监理工程师作出确定的权力授权或委托给其他监理人员。</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86" w:name="_Toc4649"/>
      <w:bookmarkStart w:id="287" w:name="_Toc7252"/>
      <w:bookmarkStart w:id="288" w:name="_Toc152042415"/>
      <w:bookmarkStart w:id="289" w:name="_Toc179632655"/>
      <w:bookmarkStart w:id="290" w:name="_Toc152045637"/>
      <w:bookmarkStart w:id="291" w:name="_Toc100504140"/>
      <w:bookmarkStart w:id="292" w:name="_Toc10559"/>
      <w:bookmarkStart w:id="293" w:name="_Toc144974605"/>
      <w:r>
        <w:rPr>
          <w:rFonts w:eastAsia="宋体" w:cs="Times New Roman"/>
          <w:b/>
          <w:color w:val="000000" w:themeColor="text1"/>
          <w:szCs w:val="24"/>
          <w:highlight w:val="none"/>
          <w14:textFill>
            <w14:solidFill>
              <w14:schemeClr w14:val="tx1"/>
            </w14:solidFill>
          </w14:textFill>
        </w:rPr>
        <w:t>3.4 监理人的指示</w:t>
      </w:r>
      <w:bookmarkEnd w:id="286"/>
      <w:bookmarkEnd w:id="287"/>
      <w:bookmarkEnd w:id="288"/>
      <w:bookmarkEnd w:id="289"/>
      <w:bookmarkEnd w:id="290"/>
      <w:bookmarkEnd w:id="291"/>
      <w:bookmarkEnd w:id="292"/>
      <w:bookmarkEnd w:id="29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3.4.1 </w:t>
      </w:r>
      <w:r>
        <w:rPr>
          <w:rFonts w:hAnsi="宋体"/>
          <w:color w:val="000000" w:themeColor="text1"/>
          <w:sz w:val="24"/>
          <w:highlight w:val="none"/>
          <w14:textFill>
            <w14:solidFill>
              <w14:schemeClr w14:val="tx1"/>
            </w14:solidFill>
          </w14:textFill>
        </w:rPr>
        <w:t>监理人应按第</w:t>
      </w:r>
      <w:r>
        <w:rPr>
          <w:color w:val="000000" w:themeColor="text1"/>
          <w:sz w:val="24"/>
          <w:highlight w:val="none"/>
          <w14:textFill>
            <w14:solidFill>
              <w14:schemeClr w14:val="tx1"/>
            </w14:solidFill>
          </w14:textFill>
        </w:rPr>
        <w:t>3.1</w:t>
      </w:r>
      <w:r>
        <w:rPr>
          <w:rFonts w:hAnsi="宋体"/>
          <w:color w:val="000000" w:themeColor="text1"/>
          <w:sz w:val="24"/>
          <w:highlight w:val="none"/>
          <w14:textFill>
            <w14:solidFill>
              <w14:schemeClr w14:val="tx1"/>
            </w14:solidFill>
          </w14:textFill>
        </w:rPr>
        <w:t>款的约定向承包人发出指示，监理人的指示应盖有监理人授权的施工场地机构章，并由总监理工程师或总监理工程师按第</w:t>
      </w:r>
      <w:r>
        <w:rPr>
          <w:color w:val="000000" w:themeColor="text1"/>
          <w:sz w:val="24"/>
          <w:highlight w:val="none"/>
          <w14:textFill>
            <w14:solidFill>
              <w14:schemeClr w14:val="tx1"/>
            </w14:solidFill>
          </w14:textFill>
        </w:rPr>
        <w:t>3.3.1</w:t>
      </w:r>
      <w:r>
        <w:rPr>
          <w:rFonts w:hAnsi="宋体"/>
          <w:color w:val="000000" w:themeColor="text1"/>
          <w:sz w:val="24"/>
          <w:highlight w:val="none"/>
          <w14:textFill>
            <w14:solidFill>
              <w14:schemeClr w14:val="tx1"/>
            </w14:solidFill>
          </w14:textFill>
        </w:rPr>
        <w:t>项约定授权的监理人员签字。</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3.4.2 </w:t>
      </w:r>
      <w:r>
        <w:rPr>
          <w:rFonts w:hAnsi="宋体"/>
          <w:color w:val="000000" w:themeColor="text1"/>
          <w:sz w:val="24"/>
          <w:highlight w:val="none"/>
          <w14:textFill>
            <w14:solidFill>
              <w14:schemeClr w14:val="tx1"/>
            </w14:solidFill>
          </w14:textFill>
        </w:rPr>
        <w:t>承包人收到监理人按第</w:t>
      </w:r>
      <w:r>
        <w:rPr>
          <w:color w:val="000000" w:themeColor="text1"/>
          <w:sz w:val="24"/>
          <w:highlight w:val="none"/>
          <w14:textFill>
            <w14:solidFill>
              <w14:schemeClr w14:val="tx1"/>
            </w14:solidFill>
          </w14:textFill>
        </w:rPr>
        <w:t>3.4.1</w:t>
      </w:r>
      <w:r>
        <w:rPr>
          <w:rFonts w:hAnsi="宋体"/>
          <w:color w:val="000000" w:themeColor="text1"/>
          <w:sz w:val="24"/>
          <w:highlight w:val="none"/>
          <w14:textFill>
            <w14:solidFill>
              <w14:schemeClr w14:val="tx1"/>
            </w14:solidFill>
          </w14:textFill>
        </w:rPr>
        <w:t>项作出的指示后应遵照执行。指示构成变更的，应按第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条处理。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3.4.3 </w:t>
      </w:r>
      <w:r>
        <w:rPr>
          <w:rFonts w:hAnsi="宋体"/>
          <w:color w:val="000000" w:themeColor="text1"/>
          <w:sz w:val="24"/>
          <w:highlight w:val="none"/>
          <w14:textFill>
            <w14:solidFill>
              <w14:schemeClr w14:val="tx1"/>
            </w14:solidFill>
          </w14:textFill>
        </w:rPr>
        <w:t>在紧急情况下，总监理工程师或被授权的监理人员可以当场签发临时书面指示，承包人应遵照执行。承包人应在收到上述临时书面指示后</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小时内，向监理人发出书面确认函。监理人在收到书面确认函后</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小时内未予答复的，该书面确认函应被视为监理人的正式指示。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3.4.4 </w:t>
      </w:r>
      <w:r>
        <w:rPr>
          <w:rFonts w:hAnsi="宋体"/>
          <w:color w:val="000000" w:themeColor="text1"/>
          <w:sz w:val="24"/>
          <w:highlight w:val="none"/>
          <w14:textFill>
            <w14:solidFill>
              <w14:schemeClr w14:val="tx1"/>
            </w14:solidFill>
          </w14:textFill>
        </w:rPr>
        <w:t>除合同另有约定外，承包人只从总监理工程师或按第</w:t>
      </w:r>
      <w:r>
        <w:rPr>
          <w:color w:val="000000" w:themeColor="text1"/>
          <w:sz w:val="24"/>
          <w:highlight w:val="none"/>
          <w14:textFill>
            <w14:solidFill>
              <w14:schemeClr w14:val="tx1"/>
            </w14:solidFill>
          </w14:textFill>
        </w:rPr>
        <w:t>3.3.1</w:t>
      </w:r>
      <w:r>
        <w:rPr>
          <w:rFonts w:hAnsi="宋体"/>
          <w:color w:val="000000" w:themeColor="text1"/>
          <w:sz w:val="24"/>
          <w:highlight w:val="none"/>
          <w14:textFill>
            <w14:solidFill>
              <w14:schemeClr w14:val="tx1"/>
            </w14:solidFill>
          </w14:textFill>
        </w:rPr>
        <w:t>项被授权的监理人员处取得指示。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3.4.5 </w:t>
      </w:r>
      <w:r>
        <w:rPr>
          <w:rFonts w:hAnsi="宋体"/>
          <w:color w:val="000000" w:themeColor="text1"/>
          <w:sz w:val="24"/>
          <w:highlight w:val="none"/>
          <w14:textFill>
            <w14:solidFill>
              <w14:schemeClr w14:val="tx1"/>
            </w14:solidFill>
          </w14:textFill>
        </w:rPr>
        <w:t>由于监理人未能按合同约定发出指示、指示延误或指示错误而导致承包人费用增加和（或）工期延误的，由发包人承担赔偿责任。</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294" w:name="_Toc9742"/>
      <w:bookmarkStart w:id="295" w:name="_Toc144974606"/>
      <w:bookmarkStart w:id="296" w:name="_Toc27211"/>
      <w:bookmarkStart w:id="297" w:name="_Toc179632656"/>
      <w:bookmarkStart w:id="298" w:name="_Toc17193"/>
      <w:bookmarkStart w:id="299" w:name="_Toc100504141"/>
      <w:bookmarkStart w:id="300" w:name="_Toc152042416"/>
      <w:bookmarkStart w:id="301" w:name="_Toc152045638"/>
      <w:r>
        <w:rPr>
          <w:rFonts w:eastAsia="宋体" w:cs="Times New Roman"/>
          <w:b/>
          <w:color w:val="000000" w:themeColor="text1"/>
          <w:szCs w:val="24"/>
          <w:highlight w:val="none"/>
          <w14:textFill>
            <w14:solidFill>
              <w14:schemeClr w14:val="tx1"/>
            </w14:solidFill>
          </w14:textFill>
        </w:rPr>
        <w:t>3.5 商定或确定</w:t>
      </w:r>
      <w:bookmarkEnd w:id="294"/>
      <w:bookmarkEnd w:id="295"/>
      <w:bookmarkEnd w:id="296"/>
      <w:bookmarkEnd w:id="297"/>
      <w:bookmarkEnd w:id="298"/>
      <w:bookmarkEnd w:id="299"/>
      <w:bookmarkEnd w:id="300"/>
      <w:bookmarkEnd w:id="30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3.5.1</w:t>
      </w:r>
      <w:r>
        <w:rPr>
          <w:rFonts w:hAnsi="宋体"/>
          <w:color w:val="000000" w:themeColor="text1"/>
          <w:sz w:val="24"/>
          <w:highlight w:val="none"/>
          <w14:textFill>
            <w14:solidFill>
              <w14:schemeClr w14:val="tx1"/>
            </w14:solidFill>
          </w14:textFill>
        </w:rPr>
        <w:t>合同约定总监理工程师应按照本款对任何事项进行商定或确定时，总监理工程师应与合同当事人协商，尽量达成一致。不能达成一致的，总监理工程师应认真研究后审慎确定。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3.5.2 </w:t>
      </w:r>
      <w:r>
        <w:rPr>
          <w:rFonts w:hAnsi="宋体"/>
          <w:color w:val="000000" w:themeColor="text1"/>
          <w:sz w:val="24"/>
          <w:highlight w:val="none"/>
          <w14:textFill>
            <w14:solidFill>
              <w14:schemeClr w14:val="tx1"/>
            </w14:solidFill>
          </w14:textFill>
        </w:rPr>
        <w:t>总监理工程师应将商定或确定的事项通知合同当事人，并附详细依据。对总监理工程师的确定有异议的，构成争议，按照第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条的约定处理。在争议解决前，双方应暂按总监理工程师的确定执行，按照第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条的约定对总监理工程师的确定作出修改的，按修改后的结果执行。</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302" w:name="_Toc26081"/>
      <w:bookmarkStart w:id="303" w:name="_Toc6149"/>
      <w:bookmarkStart w:id="304" w:name="_Toc100504142"/>
      <w:bookmarkStart w:id="305" w:name="_Toc179632657"/>
      <w:bookmarkStart w:id="306" w:name="_Toc4409"/>
      <w:bookmarkStart w:id="307" w:name="_Toc144974607"/>
      <w:bookmarkStart w:id="308" w:name="_Toc152045639"/>
      <w:bookmarkStart w:id="309" w:name="_Toc152042417"/>
      <w:r>
        <w:rPr>
          <w:rFonts w:hAnsi="宋体"/>
          <w:b/>
          <w:color w:val="000000" w:themeColor="text1"/>
          <w:sz w:val="24"/>
          <w:highlight w:val="none"/>
          <w14:textFill>
            <w14:solidFill>
              <w14:schemeClr w14:val="tx1"/>
            </w14:solidFill>
          </w14:textFill>
        </w:rPr>
        <w:t>4. 承包人</w:t>
      </w:r>
      <w:bookmarkEnd w:id="302"/>
      <w:bookmarkEnd w:id="303"/>
      <w:bookmarkEnd w:id="304"/>
      <w:bookmarkEnd w:id="305"/>
      <w:bookmarkEnd w:id="306"/>
      <w:bookmarkEnd w:id="307"/>
      <w:bookmarkEnd w:id="308"/>
      <w:bookmarkEnd w:id="309"/>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10" w:name="_Toc144974608"/>
      <w:bookmarkStart w:id="311" w:name="_Toc11746"/>
      <w:bookmarkStart w:id="312" w:name="_Toc152045640"/>
      <w:bookmarkStart w:id="313" w:name="_Toc100504143"/>
      <w:bookmarkStart w:id="314" w:name="_Toc28194"/>
      <w:bookmarkStart w:id="315" w:name="_Toc16194"/>
      <w:bookmarkStart w:id="316" w:name="_Toc179632658"/>
      <w:bookmarkStart w:id="317" w:name="_Toc152042418"/>
      <w:r>
        <w:rPr>
          <w:rFonts w:eastAsia="宋体" w:cs="Times New Roman"/>
          <w:b/>
          <w:color w:val="000000" w:themeColor="text1"/>
          <w:szCs w:val="24"/>
          <w:highlight w:val="none"/>
          <w14:textFill>
            <w14:solidFill>
              <w14:schemeClr w14:val="tx1"/>
            </w14:solidFill>
          </w14:textFill>
        </w:rPr>
        <w:t>4.1 承包人的一般义务</w:t>
      </w:r>
      <w:bookmarkEnd w:id="310"/>
      <w:bookmarkEnd w:id="311"/>
      <w:bookmarkEnd w:id="312"/>
      <w:bookmarkEnd w:id="313"/>
      <w:bookmarkEnd w:id="314"/>
      <w:bookmarkEnd w:id="315"/>
      <w:bookmarkEnd w:id="316"/>
      <w:bookmarkEnd w:id="31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4.1.1 </w:t>
      </w:r>
      <w:r>
        <w:rPr>
          <w:rFonts w:hAnsi="宋体"/>
          <w:color w:val="000000" w:themeColor="text1"/>
          <w:sz w:val="24"/>
          <w:highlight w:val="none"/>
          <w14:textFill>
            <w14:solidFill>
              <w14:schemeClr w14:val="tx1"/>
            </w14:solidFill>
          </w14:textFill>
        </w:rPr>
        <w:t>遵守法律</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承包人在履行合同过程中应遵守法律，并保证发包人免于承担因承包人违反法律而引起的任何责任。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4.1.2 </w:t>
      </w:r>
      <w:r>
        <w:rPr>
          <w:rFonts w:hAnsi="宋体"/>
          <w:color w:val="000000" w:themeColor="text1"/>
          <w:sz w:val="24"/>
          <w:highlight w:val="none"/>
          <w14:textFill>
            <w14:solidFill>
              <w14:schemeClr w14:val="tx1"/>
            </w14:solidFill>
          </w14:textFill>
        </w:rPr>
        <w:t>依法纳税</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承包人应按有关法律规定纳税，应缴纳的税金包括在合同价格内。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4.1.3 </w:t>
      </w:r>
      <w:r>
        <w:rPr>
          <w:rFonts w:hAnsi="宋体"/>
          <w:color w:val="000000" w:themeColor="text1"/>
          <w:sz w:val="24"/>
          <w:highlight w:val="none"/>
          <w14:textFill>
            <w14:solidFill>
              <w14:schemeClr w14:val="tx1"/>
            </w14:solidFill>
          </w14:textFill>
        </w:rPr>
        <w:t>完成各项承包工作</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承包人应按合同约定以及监理人根据第</w:t>
      </w:r>
      <w:r>
        <w:rPr>
          <w:color w:val="000000" w:themeColor="text1"/>
          <w:sz w:val="24"/>
          <w:highlight w:val="none"/>
          <w14:textFill>
            <w14:solidFill>
              <w14:schemeClr w14:val="tx1"/>
            </w14:solidFill>
          </w14:textFill>
        </w:rPr>
        <w:t>3.4</w:t>
      </w:r>
      <w:r>
        <w:rPr>
          <w:rFonts w:hAnsi="宋体"/>
          <w:color w:val="000000" w:themeColor="text1"/>
          <w:sz w:val="24"/>
          <w:highlight w:val="none"/>
          <w14:textFill>
            <w14:solidFill>
              <w14:schemeClr w14:val="tx1"/>
            </w14:solidFill>
          </w14:textFill>
        </w:rPr>
        <w:t>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4.1.4 </w:t>
      </w:r>
      <w:r>
        <w:rPr>
          <w:rFonts w:hAnsi="宋体"/>
          <w:color w:val="000000" w:themeColor="text1"/>
          <w:sz w:val="24"/>
          <w:highlight w:val="none"/>
          <w14:textFill>
            <w14:solidFill>
              <w14:schemeClr w14:val="tx1"/>
            </w14:solidFill>
          </w14:textFill>
        </w:rPr>
        <w:t>对施工作业和施工方法的完备性负责</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承包人应按合同约定的工作内容和施工进度要求，编制施工组织设计和施工措施计划，并对所有施工作业和施工方法的完备性和安全可靠性负责。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4.1.5 </w:t>
      </w:r>
      <w:r>
        <w:rPr>
          <w:rFonts w:hAnsi="宋体"/>
          <w:color w:val="000000" w:themeColor="text1"/>
          <w:sz w:val="24"/>
          <w:highlight w:val="none"/>
          <w14:textFill>
            <w14:solidFill>
              <w14:schemeClr w14:val="tx1"/>
            </w14:solidFill>
          </w14:textFill>
        </w:rPr>
        <w:t>保证工程施工和人员的安全</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承包人应按第</w:t>
      </w:r>
      <w:r>
        <w:rPr>
          <w:color w:val="000000" w:themeColor="text1"/>
          <w:sz w:val="24"/>
          <w:highlight w:val="none"/>
          <w14:textFill>
            <w14:solidFill>
              <w14:schemeClr w14:val="tx1"/>
            </w14:solidFill>
          </w14:textFill>
        </w:rPr>
        <w:t>9.2</w:t>
      </w:r>
      <w:r>
        <w:rPr>
          <w:rFonts w:hAnsi="宋体"/>
          <w:color w:val="000000" w:themeColor="text1"/>
          <w:sz w:val="24"/>
          <w:highlight w:val="none"/>
          <w14:textFill>
            <w14:solidFill>
              <w14:schemeClr w14:val="tx1"/>
            </w14:solidFill>
          </w14:textFill>
        </w:rPr>
        <w:t>款约定采取施工安全措施，确保工程及其人员、材料、设备和设施的安全，防止因工程施工造成的人身伤害和财产损失。</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4.1.6 </w:t>
      </w:r>
      <w:r>
        <w:rPr>
          <w:rFonts w:hAnsi="宋体"/>
          <w:color w:val="000000" w:themeColor="text1"/>
          <w:sz w:val="24"/>
          <w:highlight w:val="none"/>
          <w14:textFill>
            <w14:solidFill>
              <w14:schemeClr w14:val="tx1"/>
            </w14:solidFill>
          </w14:textFill>
        </w:rPr>
        <w:t>负责施工场地及其周边环境与生态的保护工作</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承包人应按照第</w:t>
      </w:r>
      <w:r>
        <w:rPr>
          <w:color w:val="000000" w:themeColor="text1"/>
          <w:sz w:val="24"/>
          <w:highlight w:val="none"/>
          <w14:textFill>
            <w14:solidFill>
              <w14:schemeClr w14:val="tx1"/>
            </w14:solidFill>
          </w14:textFill>
        </w:rPr>
        <w:t>9.4</w:t>
      </w:r>
      <w:r>
        <w:rPr>
          <w:rFonts w:hAnsi="宋体"/>
          <w:color w:val="000000" w:themeColor="text1"/>
          <w:sz w:val="24"/>
          <w:highlight w:val="none"/>
          <w14:textFill>
            <w14:solidFill>
              <w14:schemeClr w14:val="tx1"/>
            </w14:solidFill>
          </w14:textFill>
        </w:rPr>
        <w:t>款约定负责施工场地及其周边环境与生态的保护工作。</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4.1.7 </w:t>
      </w:r>
      <w:r>
        <w:rPr>
          <w:rFonts w:hAnsi="宋体"/>
          <w:color w:val="000000" w:themeColor="text1"/>
          <w:sz w:val="24"/>
          <w:highlight w:val="none"/>
          <w14:textFill>
            <w14:solidFill>
              <w14:schemeClr w14:val="tx1"/>
            </w14:solidFill>
          </w14:textFill>
        </w:rPr>
        <w:t>避免施工对公众与他人的利益造成损害</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4.1.8 </w:t>
      </w:r>
      <w:r>
        <w:rPr>
          <w:rFonts w:hAnsi="宋体"/>
          <w:color w:val="000000" w:themeColor="text1"/>
          <w:sz w:val="24"/>
          <w:highlight w:val="none"/>
          <w14:textFill>
            <w14:solidFill>
              <w14:schemeClr w14:val="tx1"/>
            </w14:solidFill>
          </w14:textFill>
        </w:rPr>
        <w:t>为他人提供方便</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承包人应按监理人的指示为他人在施工场地或附近实施与工程有关的其他各项工作提供可能的条件。除合同另有约定外，提供有关条件的内容和可能发生的费用，由监理人按第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4.1.9 </w:t>
      </w:r>
      <w:r>
        <w:rPr>
          <w:rFonts w:hAnsi="宋体"/>
          <w:color w:val="000000" w:themeColor="text1"/>
          <w:sz w:val="24"/>
          <w:highlight w:val="none"/>
          <w14:textFill>
            <w14:solidFill>
              <w14:schemeClr w14:val="tx1"/>
            </w14:solidFill>
          </w14:textFill>
        </w:rPr>
        <w:t>工程的维护和照管</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工程接收证书颁发前，承包人应负责照管和维护工程。工程接收证书颁发时尚有部分未竣工工程的，承包人还应负责该未竣工工程的照管和维护工作，直至竣工后移交给发包人为止。</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4.1.10 </w:t>
      </w:r>
      <w:r>
        <w:rPr>
          <w:rFonts w:hAnsi="宋体"/>
          <w:color w:val="000000" w:themeColor="text1"/>
          <w:sz w:val="24"/>
          <w:highlight w:val="none"/>
          <w14:textFill>
            <w14:solidFill>
              <w14:schemeClr w14:val="tx1"/>
            </w14:solidFill>
          </w14:textFill>
        </w:rPr>
        <w:t>其他义务</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承包人应履行合同约定的其他义务。</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18" w:name="_Toc152045641"/>
      <w:bookmarkStart w:id="319" w:name="_Toc29336"/>
      <w:bookmarkStart w:id="320" w:name="_Toc100504144"/>
      <w:bookmarkStart w:id="321" w:name="_Toc152042419"/>
      <w:bookmarkStart w:id="322" w:name="_Toc6391"/>
      <w:bookmarkStart w:id="323" w:name="_Toc144974609"/>
      <w:bookmarkStart w:id="324" w:name="_Toc2778"/>
      <w:bookmarkStart w:id="325" w:name="_Toc179632659"/>
      <w:r>
        <w:rPr>
          <w:rFonts w:eastAsia="宋体" w:cs="Times New Roman"/>
          <w:b/>
          <w:color w:val="000000" w:themeColor="text1"/>
          <w:szCs w:val="24"/>
          <w:highlight w:val="none"/>
          <w14:textFill>
            <w14:solidFill>
              <w14:schemeClr w14:val="tx1"/>
            </w14:solidFill>
          </w14:textFill>
        </w:rPr>
        <w:t>4.2 履约担保</w:t>
      </w:r>
      <w:bookmarkEnd w:id="318"/>
      <w:bookmarkEnd w:id="319"/>
      <w:bookmarkEnd w:id="320"/>
      <w:bookmarkEnd w:id="321"/>
      <w:bookmarkEnd w:id="322"/>
      <w:bookmarkEnd w:id="323"/>
      <w:bookmarkEnd w:id="324"/>
      <w:bookmarkEnd w:id="32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承包人应保证其履约担保在发包人颁发工程接收证书前一直有效。发包人应在工程接收证书颁发后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天内把履约担保退还给承包人。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26" w:name="_Toc179632660"/>
      <w:bookmarkStart w:id="327" w:name="_Toc6909"/>
      <w:bookmarkStart w:id="328" w:name="_Toc28758"/>
      <w:bookmarkStart w:id="329" w:name="_Toc144974610"/>
      <w:bookmarkStart w:id="330" w:name="_Toc100504145"/>
      <w:bookmarkStart w:id="331" w:name="_Toc25912"/>
      <w:bookmarkStart w:id="332" w:name="_Toc152045642"/>
      <w:bookmarkStart w:id="333" w:name="_Toc152042420"/>
      <w:r>
        <w:rPr>
          <w:rFonts w:eastAsia="宋体" w:cs="Times New Roman"/>
          <w:b/>
          <w:color w:val="000000" w:themeColor="text1"/>
          <w:szCs w:val="24"/>
          <w:highlight w:val="none"/>
          <w14:textFill>
            <w14:solidFill>
              <w14:schemeClr w14:val="tx1"/>
            </w14:solidFill>
          </w14:textFill>
        </w:rPr>
        <w:t>4.3 分包</w:t>
      </w:r>
      <w:bookmarkEnd w:id="326"/>
      <w:bookmarkEnd w:id="327"/>
      <w:bookmarkEnd w:id="328"/>
      <w:bookmarkEnd w:id="329"/>
      <w:bookmarkEnd w:id="330"/>
      <w:bookmarkEnd w:id="331"/>
      <w:bookmarkEnd w:id="332"/>
      <w:bookmarkEnd w:id="33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4.3.1 </w:t>
      </w:r>
      <w:r>
        <w:rPr>
          <w:rFonts w:hAnsi="宋体"/>
          <w:color w:val="000000" w:themeColor="text1"/>
          <w:sz w:val="24"/>
          <w:highlight w:val="none"/>
          <w14:textFill>
            <w14:solidFill>
              <w14:schemeClr w14:val="tx1"/>
            </w14:solidFill>
          </w14:textFill>
        </w:rPr>
        <w:t>承包人不得将其承包的全部工程转包给第三人，或将其承包的全部工程肢解后以分包的名义转包给第三人。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4.3.2 </w:t>
      </w:r>
      <w:r>
        <w:rPr>
          <w:rFonts w:hAnsi="宋体"/>
          <w:color w:val="000000" w:themeColor="text1"/>
          <w:sz w:val="24"/>
          <w:highlight w:val="none"/>
          <w14:textFill>
            <w14:solidFill>
              <w14:schemeClr w14:val="tx1"/>
            </w14:solidFill>
          </w14:textFill>
        </w:rPr>
        <w:t>承包人不得将工程主体、关键性工作分包给第三人。除专用合同条款另有约定外，未经发包人同意，承包人不得将工程的其他部分或工作分包给第三人。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4.3.3 </w:t>
      </w:r>
      <w:r>
        <w:rPr>
          <w:rFonts w:hAnsi="宋体"/>
          <w:color w:val="000000" w:themeColor="text1"/>
          <w:sz w:val="24"/>
          <w:highlight w:val="none"/>
          <w14:textFill>
            <w14:solidFill>
              <w14:schemeClr w14:val="tx1"/>
            </w14:solidFill>
          </w14:textFill>
        </w:rPr>
        <w:t>分包人的资格能力应与其分包工程的标准和规模相适应。</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4.3.4 </w:t>
      </w:r>
      <w:r>
        <w:rPr>
          <w:rFonts w:hAnsi="宋体"/>
          <w:color w:val="000000" w:themeColor="text1"/>
          <w:sz w:val="24"/>
          <w:highlight w:val="none"/>
          <w14:textFill>
            <w14:solidFill>
              <w14:schemeClr w14:val="tx1"/>
            </w14:solidFill>
          </w14:textFill>
        </w:rPr>
        <w:t>按投标函附录约定分包工程的，承包人应向发包人和监理人提交分包合同副本。</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4.3.5 </w:t>
      </w:r>
      <w:r>
        <w:rPr>
          <w:rFonts w:hAnsi="宋体"/>
          <w:color w:val="000000" w:themeColor="text1"/>
          <w:sz w:val="24"/>
          <w:highlight w:val="none"/>
          <w14:textFill>
            <w14:solidFill>
              <w14:schemeClr w14:val="tx1"/>
            </w14:solidFill>
          </w14:textFill>
        </w:rPr>
        <w:t>承包人应与分包人就分包工程向发包人承担连带责任。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34" w:name="_Toc179632661"/>
      <w:bookmarkStart w:id="335" w:name="_Toc144974611"/>
      <w:bookmarkStart w:id="336" w:name="_Toc32679"/>
      <w:bookmarkStart w:id="337" w:name="_Toc23424"/>
      <w:bookmarkStart w:id="338" w:name="_Toc152045643"/>
      <w:bookmarkStart w:id="339" w:name="_Toc25960"/>
      <w:bookmarkStart w:id="340" w:name="_Toc152042421"/>
      <w:bookmarkStart w:id="341" w:name="_Toc100504146"/>
      <w:r>
        <w:rPr>
          <w:rFonts w:eastAsia="宋体" w:cs="Times New Roman"/>
          <w:b/>
          <w:color w:val="000000" w:themeColor="text1"/>
          <w:szCs w:val="24"/>
          <w:highlight w:val="none"/>
          <w14:textFill>
            <w14:solidFill>
              <w14:schemeClr w14:val="tx1"/>
            </w14:solidFill>
          </w14:textFill>
        </w:rPr>
        <w:t>4.4 联合体</w:t>
      </w:r>
      <w:bookmarkEnd w:id="334"/>
      <w:bookmarkEnd w:id="335"/>
      <w:bookmarkEnd w:id="336"/>
      <w:bookmarkEnd w:id="337"/>
      <w:bookmarkEnd w:id="338"/>
      <w:bookmarkEnd w:id="339"/>
      <w:bookmarkEnd w:id="340"/>
      <w:bookmarkEnd w:id="34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4.4.1 </w:t>
      </w:r>
      <w:r>
        <w:rPr>
          <w:rFonts w:hAnsi="宋体"/>
          <w:color w:val="000000" w:themeColor="text1"/>
          <w:sz w:val="24"/>
          <w:highlight w:val="none"/>
          <w14:textFill>
            <w14:solidFill>
              <w14:schemeClr w14:val="tx1"/>
            </w14:solidFill>
          </w14:textFill>
        </w:rPr>
        <w:t>联合体各方应共同与发包人签订合同协议书。联合体各方应为履行合同承担连带责任。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4.4.2 </w:t>
      </w:r>
      <w:r>
        <w:rPr>
          <w:rFonts w:hAnsi="宋体"/>
          <w:color w:val="000000" w:themeColor="text1"/>
          <w:sz w:val="24"/>
          <w:highlight w:val="none"/>
          <w14:textFill>
            <w14:solidFill>
              <w14:schemeClr w14:val="tx1"/>
            </w14:solidFill>
          </w14:textFill>
        </w:rPr>
        <w:t>联合体协议经发包人确认后作为合同附件。在履行合同过程中，未经发包人同意，不得修改联合体协议。</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4.4.3 </w:t>
      </w:r>
      <w:r>
        <w:rPr>
          <w:rFonts w:hAnsi="宋体"/>
          <w:color w:val="000000" w:themeColor="text1"/>
          <w:sz w:val="24"/>
          <w:highlight w:val="none"/>
          <w14:textFill>
            <w14:solidFill>
              <w14:schemeClr w14:val="tx1"/>
            </w14:solidFill>
          </w14:textFill>
        </w:rPr>
        <w:t>联合体牵头人负责与发包人和监理人联系，并接受指示，负责组织联合体各成员全面履行合同。</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42" w:name="_Toc152042422"/>
      <w:bookmarkStart w:id="343" w:name="_Toc31301"/>
      <w:bookmarkStart w:id="344" w:name="_Toc23267"/>
      <w:bookmarkStart w:id="345" w:name="_Toc152045644"/>
      <w:bookmarkStart w:id="346" w:name="_Toc144974612"/>
      <w:bookmarkStart w:id="347" w:name="_Toc7407"/>
      <w:bookmarkStart w:id="348" w:name="_Toc100504147"/>
      <w:bookmarkStart w:id="349" w:name="_Toc179632662"/>
      <w:r>
        <w:rPr>
          <w:rFonts w:eastAsia="宋体" w:cs="Times New Roman"/>
          <w:b/>
          <w:color w:val="000000" w:themeColor="text1"/>
          <w:szCs w:val="24"/>
          <w:highlight w:val="none"/>
          <w14:textFill>
            <w14:solidFill>
              <w14:schemeClr w14:val="tx1"/>
            </w14:solidFill>
          </w14:textFill>
        </w:rPr>
        <w:t>4.5 承包人项目经理</w:t>
      </w:r>
      <w:bookmarkEnd w:id="342"/>
      <w:bookmarkEnd w:id="343"/>
      <w:bookmarkEnd w:id="344"/>
      <w:bookmarkEnd w:id="345"/>
      <w:bookmarkEnd w:id="346"/>
      <w:bookmarkEnd w:id="347"/>
      <w:bookmarkEnd w:id="348"/>
      <w:bookmarkEnd w:id="34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4.5.1</w:t>
      </w:r>
      <w:r>
        <w:rPr>
          <w:rFonts w:hAnsi="宋体"/>
          <w:color w:val="000000" w:themeColor="text1"/>
          <w:sz w:val="24"/>
          <w:highlight w:val="none"/>
          <w14:textFill>
            <w14:solidFill>
              <w14:schemeClr w14:val="tx1"/>
            </w14:solidFill>
          </w14:textFill>
        </w:rPr>
        <w:t>承包人应按合同约定指派项目经理，并在约定的期限内到职。承包人更换项目经理应事先征得发包人同意，并应在更换</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天前通知发包人和监理人。承包人项目经理短期离开施工场地，应事先征得监理人同意，并委派代表代行其职责。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4.5.2 </w:t>
      </w:r>
      <w:r>
        <w:rPr>
          <w:rFonts w:hAnsi="宋体"/>
          <w:color w:val="000000" w:themeColor="text1"/>
          <w:sz w:val="24"/>
          <w:highlight w:val="none"/>
          <w14:textFill>
            <w14:solidFill>
              <w14:schemeClr w14:val="tx1"/>
            </w14:solidFill>
          </w14:textFill>
        </w:rPr>
        <w:t>承包人项目经理应按合同约定以及监理人按第</w:t>
      </w:r>
      <w:r>
        <w:rPr>
          <w:color w:val="000000" w:themeColor="text1"/>
          <w:sz w:val="24"/>
          <w:highlight w:val="none"/>
          <w14:textFill>
            <w14:solidFill>
              <w14:schemeClr w14:val="tx1"/>
            </w14:solidFill>
          </w14:textFill>
        </w:rPr>
        <w:t>3.4</w:t>
      </w:r>
      <w:r>
        <w:rPr>
          <w:rFonts w:hAnsi="宋体"/>
          <w:color w:val="000000" w:themeColor="text1"/>
          <w:sz w:val="24"/>
          <w:highlight w:val="none"/>
          <w14:textFill>
            <w14:solidFill>
              <w14:schemeClr w14:val="tx1"/>
            </w14:solidFill>
          </w14:textFill>
        </w:rPr>
        <w:t>款作出的指示，负责组织合同工程的实施。在情况紧急且无法与监理人取得联系时，可采取保证工程和人员生命财产安全的紧急措施，并在采取措施后</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小时内向监理人提交书面报告。</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4.5.3</w:t>
      </w:r>
      <w:r>
        <w:rPr>
          <w:rFonts w:hAnsi="宋体"/>
          <w:color w:val="000000" w:themeColor="text1"/>
          <w:sz w:val="24"/>
          <w:highlight w:val="none"/>
          <w14:textFill>
            <w14:solidFill>
              <w14:schemeClr w14:val="tx1"/>
            </w14:solidFill>
          </w14:textFill>
        </w:rPr>
        <w:t>承包人为履行合同发出的一切函件均应盖有承包人授权的施工场地管理机构章，并由承包人项目经理或其授权代表签字。</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4.5.4 </w:t>
      </w:r>
      <w:r>
        <w:rPr>
          <w:rFonts w:hAnsi="宋体"/>
          <w:color w:val="000000" w:themeColor="text1"/>
          <w:sz w:val="24"/>
          <w:highlight w:val="none"/>
          <w14:textFill>
            <w14:solidFill>
              <w14:schemeClr w14:val="tx1"/>
            </w14:solidFill>
          </w14:textFill>
        </w:rPr>
        <w:t>承包人项目经理可以授权其下属人员履行其某项职责，但事先应将这些人员的姓名和授权范围通知监理人。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50" w:name="_Toc100504148"/>
      <w:bookmarkStart w:id="351" w:name="_Toc2602"/>
      <w:bookmarkStart w:id="352" w:name="_Toc152045645"/>
      <w:bookmarkStart w:id="353" w:name="_Toc179632663"/>
      <w:bookmarkStart w:id="354" w:name="_Toc3704"/>
      <w:bookmarkStart w:id="355" w:name="_Toc152042423"/>
      <w:bookmarkStart w:id="356" w:name="_Toc27054"/>
      <w:bookmarkStart w:id="357" w:name="_Toc144974613"/>
      <w:r>
        <w:rPr>
          <w:rFonts w:eastAsia="宋体" w:cs="Times New Roman"/>
          <w:b/>
          <w:color w:val="000000" w:themeColor="text1"/>
          <w:szCs w:val="24"/>
          <w:highlight w:val="none"/>
          <w14:textFill>
            <w14:solidFill>
              <w14:schemeClr w14:val="tx1"/>
            </w14:solidFill>
          </w14:textFill>
        </w:rPr>
        <w:t>4.6 承包人人员的管理</w:t>
      </w:r>
      <w:bookmarkEnd w:id="350"/>
      <w:bookmarkEnd w:id="351"/>
      <w:bookmarkEnd w:id="352"/>
      <w:bookmarkEnd w:id="353"/>
      <w:bookmarkEnd w:id="354"/>
      <w:bookmarkEnd w:id="355"/>
      <w:bookmarkEnd w:id="356"/>
      <w:bookmarkEnd w:id="35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4.6.1 </w:t>
      </w:r>
      <w:r>
        <w:rPr>
          <w:rFonts w:hAnsi="宋体"/>
          <w:color w:val="000000" w:themeColor="text1"/>
          <w:sz w:val="24"/>
          <w:highlight w:val="none"/>
          <w14:textFill>
            <w14:solidFill>
              <w14:schemeClr w14:val="tx1"/>
            </w14:solidFill>
          </w14:textFill>
        </w:rPr>
        <w:t>承包人应在接到开工通知后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4.6.2 </w:t>
      </w:r>
      <w:r>
        <w:rPr>
          <w:rFonts w:hAnsi="宋体"/>
          <w:color w:val="000000" w:themeColor="text1"/>
          <w:sz w:val="24"/>
          <w:highlight w:val="none"/>
          <w14:textFill>
            <w14:solidFill>
              <w14:schemeClr w14:val="tx1"/>
            </w14:solidFill>
          </w14:textFill>
        </w:rPr>
        <w:t>为完成合同约定的各项工作，承包人应向施工场地派遣或雇佣足够数量的下列人员：</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）具有相应资格的专业技工和合格的普工；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）具有相应施工经验的技术人员；</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）具有相应岗位资格的各级管理人员。</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4.6.3 </w:t>
      </w:r>
      <w:r>
        <w:rPr>
          <w:rFonts w:hAnsi="宋体"/>
          <w:color w:val="000000" w:themeColor="text1"/>
          <w:sz w:val="24"/>
          <w:highlight w:val="none"/>
          <w14:textFill>
            <w14:solidFill>
              <w14:schemeClr w14:val="tx1"/>
            </w14:solidFill>
          </w14:textFill>
        </w:rPr>
        <w:t>承包人安排在施工场地的主要管理人员和技术骨干应相对稳定。承包人更换主要管理人员和技术骨干时，应取得监理人的同意。</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4.6.4 </w:t>
      </w:r>
      <w:r>
        <w:rPr>
          <w:rFonts w:hAnsi="宋体"/>
          <w:color w:val="000000" w:themeColor="text1"/>
          <w:sz w:val="24"/>
          <w:highlight w:val="none"/>
          <w14:textFill>
            <w14:solidFill>
              <w14:schemeClr w14:val="tx1"/>
            </w14:solidFill>
          </w14:textFill>
        </w:rPr>
        <w:t>特殊岗位的工作人员均应持有相应的资格证明，监理人有权随时检查。监理人认为有必要时，可进行现场考核。</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58" w:name="_Toc179632664"/>
      <w:bookmarkStart w:id="359" w:name="_Toc144974614"/>
      <w:bookmarkStart w:id="360" w:name="_Toc26446"/>
      <w:bookmarkStart w:id="361" w:name="_Toc12008"/>
      <w:bookmarkStart w:id="362" w:name="_Toc100504149"/>
      <w:bookmarkStart w:id="363" w:name="_Toc152042424"/>
      <w:bookmarkStart w:id="364" w:name="_Toc28749"/>
      <w:bookmarkStart w:id="365" w:name="_Toc152045646"/>
      <w:r>
        <w:rPr>
          <w:rFonts w:eastAsia="宋体" w:cs="Times New Roman"/>
          <w:b/>
          <w:color w:val="000000" w:themeColor="text1"/>
          <w:szCs w:val="24"/>
          <w:highlight w:val="none"/>
          <w14:textFill>
            <w14:solidFill>
              <w14:schemeClr w14:val="tx1"/>
            </w14:solidFill>
          </w14:textFill>
        </w:rPr>
        <w:t>4.7 撤换承包人项目经理和其他人员</w:t>
      </w:r>
      <w:bookmarkEnd w:id="358"/>
      <w:bookmarkEnd w:id="359"/>
      <w:bookmarkEnd w:id="360"/>
      <w:bookmarkEnd w:id="361"/>
      <w:bookmarkEnd w:id="362"/>
      <w:bookmarkEnd w:id="363"/>
      <w:bookmarkEnd w:id="364"/>
      <w:bookmarkEnd w:id="36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承包人应对其项目经理和其他人员进行有效管理。监理人要求撤换不能胜任本职工作、行为不端或玩忽职守的承包人项目经理和其他人员的，承包人应予以撤换。</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66" w:name="_Toc152042425"/>
      <w:bookmarkStart w:id="367" w:name="_Toc24495"/>
      <w:bookmarkStart w:id="368" w:name="_Toc100504150"/>
      <w:bookmarkStart w:id="369" w:name="_Toc152045647"/>
      <w:bookmarkStart w:id="370" w:name="_Toc18778"/>
      <w:bookmarkStart w:id="371" w:name="_Toc179632665"/>
      <w:bookmarkStart w:id="372" w:name="_Toc2137"/>
      <w:bookmarkStart w:id="373" w:name="_Toc144974615"/>
      <w:r>
        <w:rPr>
          <w:rFonts w:eastAsia="宋体" w:cs="Times New Roman"/>
          <w:b/>
          <w:color w:val="000000" w:themeColor="text1"/>
          <w:szCs w:val="24"/>
          <w:highlight w:val="none"/>
          <w14:textFill>
            <w14:solidFill>
              <w14:schemeClr w14:val="tx1"/>
            </w14:solidFill>
          </w14:textFill>
        </w:rPr>
        <w:t>4.8 保障承包人人员的合法权益</w:t>
      </w:r>
      <w:bookmarkEnd w:id="366"/>
      <w:bookmarkEnd w:id="367"/>
      <w:bookmarkEnd w:id="368"/>
      <w:bookmarkEnd w:id="369"/>
      <w:bookmarkEnd w:id="370"/>
      <w:bookmarkEnd w:id="371"/>
      <w:bookmarkEnd w:id="372"/>
      <w:bookmarkEnd w:id="37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4.8.1 </w:t>
      </w:r>
      <w:r>
        <w:rPr>
          <w:rFonts w:hAnsi="宋体"/>
          <w:color w:val="000000" w:themeColor="text1"/>
          <w:sz w:val="24"/>
          <w:highlight w:val="none"/>
          <w14:textFill>
            <w14:solidFill>
              <w14:schemeClr w14:val="tx1"/>
            </w14:solidFill>
          </w14:textFill>
        </w:rPr>
        <w:t>承包人应与其雇佣的人员签订劳动合同，并按时发放工资。</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4.8.2 </w:t>
      </w:r>
      <w:r>
        <w:rPr>
          <w:rFonts w:hAnsi="宋体"/>
          <w:color w:val="000000" w:themeColor="text1"/>
          <w:sz w:val="24"/>
          <w:highlight w:val="none"/>
          <w14:textFill>
            <w14:solidFill>
              <w14:schemeClr w14:val="tx1"/>
            </w14:solidFill>
          </w14:textFill>
        </w:rPr>
        <w:t>承包人应按劳动法的规定安排工作时间，保证其雇佣人员享有休息和休假的权利。因工程施工的特殊需要占用休假日或延长工作时间的，应不超过法律规定的限度，并按法律规定给予补休或付酬。</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4.8.3 </w:t>
      </w:r>
      <w:r>
        <w:rPr>
          <w:rFonts w:hAnsi="宋体"/>
          <w:color w:val="000000" w:themeColor="text1"/>
          <w:sz w:val="24"/>
          <w:highlight w:val="none"/>
          <w14:textFill>
            <w14:solidFill>
              <w14:schemeClr w14:val="tx1"/>
            </w14:solidFill>
          </w14:textFill>
        </w:rPr>
        <w:t>承包人应为其雇佣人员提供必要的食宿条件，以及符合环境保护和卫生要求的生活环境，在远离城镇的施工场地，还应配备必要的伤病防治和急救的医务人员与医疗设施。</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4.8.4 </w:t>
      </w:r>
      <w:r>
        <w:rPr>
          <w:rFonts w:hAnsi="宋体"/>
          <w:color w:val="000000" w:themeColor="text1"/>
          <w:sz w:val="24"/>
          <w:highlight w:val="none"/>
          <w14:textFill>
            <w14:solidFill>
              <w14:schemeClr w14:val="tx1"/>
            </w14:solidFill>
          </w14:textFill>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4.8.5 </w:t>
      </w:r>
      <w:r>
        <w:rPr>
          <w:rFonts w:hAnsi="宋体"/>
          <w:color w:val="000000" w:themeColor="text1"/>
          <w:sz w:val="24"/>
          <w:highlight w:val="none"/>
          <w14:textFill>
            <w14:solidFill>
              <w14:schemeClr w14:val="tx1"/>
            </w14:solidFill>
          </w14:textFill>
        </w:rPr>
        <w:t>承包人应按有关法律规定和合同约定，为其雇佣人员办理保险。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4.8.6 </w:t>
      </w:r>
      <w:r>
        <w:rPr>
          <w:rFonts w:hAnsi="宋体"/>
          <w:color w:val="000000" w:themeColor="text1"/>
          <w:sz w:val="24"/>
          <w:highlight w:val="none"/>
          <w14:textFill>
            <w14:solidFill>
              <w14:schemeClr w14:val="tx1"/>
            </w14:solidFill>
          </w14:textFill>
        </w:rPr>
        <w:t>承包人应负责处理其雇佣人员因工伤亡事故的善后事宜。</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74" w:name="_Toc18339"/>
      <w:bookmarkStart w:id="375" w:name="_Toc152042426"/>
      <w:bookmarkStart w:id="376" w:name="_Toc27226"/>
      <w:bookmarkStart w:id="377" w:name="_Toc179632666"/>
      <w:bookmarkStart w:id="378" w:name="_Toc100504151"/>
      <w:bookmarkStart w:id="379" w:name="_Toc144974616"/>
      <w:bookmarkStart w:id="380" w:name="_Toc5687"/>
      <w:bookmarkStart w:id="381" w:name="_Toc152045648"/>
      <w:r>
        <w:rPr>
          <w:rFonts w:eastAsia="宋体" w:cs="Times New Roman"/>
          <w:b/>
          <w:color w:val="000000" w:themeColor="text1"/>
          <w:szCs w:val="24"/>
          <w:highlight w:val="none"/>
          <w14:textFill>
            <w14:solidFill>
              <w14:schemeClr w14:val="tx1"/>
            </w14:solidFill>
          </w14:textFill>
        </w:rPr>
        <w:t>4.9 工程价款应专款专用</w:t>
      </w:r>
      <w:bookmarkEnd w:id="374"/>
      <w:bookmarkEnd w:id="375"/>
      <w:bookmarkEnd w:id="376"/>
      <w:bookmarkEnd w:id="377"/>
      <w:bookmarkEnd w:id="378"/>
      <w:bookmarkEnd w:id="379"/>
      <w:bookmarkEnd w:id="380"/>
      <w:bookmarkEnd w:id="38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发包人按合同约定支付给承包人的各项价款应专用于合同工程。</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82" w:name="_Toc179632667"/>
      <w:bookmarkStart w:id="383" w:name="_Toc2683"/>
      <w:bookmarkStart w:id="384" w:name="_Toc100504152"/>
      <w:bookmarkStart w:id="385" w:name="_Toc152042427"/>
      <w:bookmarkStart w:id="386" w:name="_Toc152045649"/>
      <w:bookmarkStart w:id="387" w:name="_Toc32752"/>
      <w:bookmarkStart w:id="388" w:name="_Toc144974617"/>
      <w:bookmarkStart w:id="389" w:name="_Toc14739"/>
      <w:r>
        <w:rPr>
          <w:rFonts w:eastAsia="宋体" w:cs="Times New Roman"/>
          <w:b/>
          <w:color w:val="000000" w:themeColor="text1"/>
          <w:szCs w:val="24"/>
          <w:highlight w:val="none"/>
          <w14:textFill>
            <w14:solidFill>
              <w14:schemeClr w14:val="tx1"/>
            </w14:solidFill>
          </w14:textFill>
        </w:rPr>
        <w:t>4.10 承包人现场查勘</w:t>
      </w:r>
      <w:bookmarkEnd w:id="382"/>
      <w:bookmarkEnd w:id="383"/>
      <w:bookmarkEnd w:id="384"/>
      <w:bookmarkEnd w:id="385"/>
      <w:bookmarkEnd w:id="386"/>
      <w:bookmarkEnd w:id="387"/>
      <w:bookmarkEnd w:id="388"/>
      <w:bookmarkEnd w:id="389"/>
      <w:r>
        <w:rPr>
          <w:rFonts w:eastAsia="宋体" w:cs="Times New Roman"/>
          <w:b/>
          <w:color w:val="000000" w:themeColor="text1"/>
          <w:szCs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4.10.1 </w:t>
      </w:r>
      <w:r>
        <w:rPr>
          <w:rFonts w:hAnsi="宋体"/>
          <w:color w:val="000000" w:themeColor="text1"/>
          <w:sz w:val="24"/>
          <w:highlight w:val="none"/>
          <w14:textFill>
            <w14:solidFill>
              <w14:schemeClr w14:val="tx1"/>
            </w14:solidFill>
          </w14:textFill>
        </w:rPr>
        <w:t>发包人应将其持有的现场地质勘探资料、水文气象资料提供给承包人，并对其准确性负责。但承包人应对其阅读上述有关资料后所作出的解释和推断负责。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4.10.2 </w:t>
      </w:r>
      <w:r>
        <w:rPr>
          <w:rFonts w:hAnsi="宋体"/>
          <w:color w:val="000000" w:themeColor="text1"/>
          <w:sz w:val="24"/>
          <w:highlight w:val="none"/>
          <w14:textFill>
            <w14:solidFill>
              <w14:schemeClr w14:val="tx1"/>
            </w14:solidFill>
          </w14:textFill>
        </w:rPr>
        <w:t>承包人应对施工场地和周围环境进行查勘，并收集有关地质、水文、气象条件、交通条件、风俗习惯以及其他为完成合同工作有关的当地资料。在全部合同工作中，应视为承包人已充分估计了应承担的责任和风险。</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390" w:name="_Toc152045650"/>
      <w:bookmarkStart w:id="391" w:name="_Toc20782"/>
      <w:bookmarkStart w:id="392" w:name="_Toc20162"/>
      <w:bookmarkStart w:id="393" w:name="_Toc179632668"/>
      <w:bookmarkStart w:id="394" w:name="_Toc144974618"/>
      <w:bookmarkStart w:id="395" w:name="_Toc152042428"/>
      <w:bookmarkStart w:id="396" w:name="_Toc7233"/>
      <w:bookmarkStart w:id="397" w:name="_Toc100504153"/>
      <w:r>
        <w:rPr>
          <w:rFonts w:eastAsia="宋体" w:cs="Times New Roman"/>
          <w:b/>
          <w:color w:val="000000" w:themeColor="text1"/>
          <w:szCs w:val="24"/>
          <w:highlight w:val="none"/>
          <w14:textFill>
            <w14:solidFill>
              <w14:schemeClr w14:val="tx1"/>
            </w14:solidFill>
          </w14:textFill>
        </w:rPr>
        <w:t>4.11 不利物质条件</w:t>
      </w:r>
      <w:bookmarkEnd w:id="390"/>
      <w:bookmarkEnd w:id="391"/>
      <w:bookmarkEnd w:id="392"/>
      <w:bookmarkEnd w:id="393"/>
      <w:bookmarkEnd w:id="394"/>
      <w:bookmarkEnd w:id="395"/>
      <w:bookmarkEnd w:id="396"/>
      <w:bookmarkEnd w:id="39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4.11.1 </w:t>
      </w:r>
      <w:r>
        <w:rPr>
          <w:rFonts w:hAnsi="宋体"/>
          <w:color w:val="000000" w:themeColor="text1"/>
          <w:sz w:val="24"/>
          <w:highlight w:val="none"/>
          <w14:textFill>
            <w14:solidFill>
              <w14:schemeClr w14:val="tx1"/>
            </w14:solidFill>
          </w14:textFill>
        </w:rPr>
        <w:t>不利物质条件，除专用合同条款另有约定外，是指承包人在施工场地遇到的不可预见的自然物质条件、非自然的物质障碍和污染物，包括地下和水文条件，但不包括气候条件。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4.11.2 </w:t>
      </w:r>
      <w:r>
        <w:rPr>
          <w:rFonts w:hAnsi="宋体"/>
          <w:color w:val="000000" w:themeColor="text1"/>
          <w:sz w:val="24"/>
          <w:highlight w:val="none"/>
          <w14:textFill>
            <w14:solidFill>
              <w14:schemeClr w14:val="tx1"/>
            </w14:solidFill>
          </w14:textFill>
        </w:rPr>
        <w:t>承包人遇到不利物质条件时，应采取适应不利物质条件的合理措施继续施工，并及时通知监理人。监理人应当及时发出指示，指示构成变更的，按第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条约定办理。监理人没有发出指示的，承包人因采取合理措施而增加的费用和（或）工期延误，由发包人承担。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398" w:name="_Toc100504154"/>
      <w:bookmarkStart w:id="399" w:name="_Toc7061"/>
      <w:bookmarkStart w:id="400" w:name="_Toc179632669"/>
      <w:bookmarkStart w:id="401" w:name="_Toc152045651"/>
      <w:bookmarkStart w:id="402" w:name="_Toc152042429"/>
      <w:bookmarkStart w:id="403" w:name="_Toc28325"/>
      <w:bookmarkStart w:id="404" w:name="_Toc16821"/>
      <w:bookmarkStart w:id="405" w:name="_Toc144974619"/>
      <w:r>
        <w:rPr>
          <w:rFonts w:hAnsi="宋体"/>
          <w:b/>
          <w:color w:val="000000" w:themeColor="text1"/>
          <w:sz w:val="24"/>
          <w:highlight w:val="none"/>
          <w14:textFill>
            <w14:solidFill>
              <w14:schemeClr w14:val="tx1"/>
            </w14:solidFill>
          </w14:textFill>
        </w:rPr>
        <w:t>5. 材料和工程设备</w:t>
      </w:r>
      <w:bookmarkEnd w:id="398"/>
      <w:bookmarkEnd w:id="399"/>
      <w:bookmarkEnd w:id="400"/>
      <w:bookmarkEnd w:id="401"/>
      <w:bookmarkEnd w:id="402"/>
      <w:bookmarkEnd w:id="403"/>
      <w:bookmarkEnd w:id="404"/>
      <w:bookmarkEnd w:id="40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06" w:name="_Toc100504155"/>
      <w:bookmarkStart w:id="407" w:name="_Toc6408"/>
      <w:bookmarkStart w:id="408" w:name="_Toc152042430"/>
      <w:bookmarkStart w:id="409" w:name="_Toc152045652"/>
      <w:bookmarkStart w:id="410" w:name="_Toc29938"/>
      <w:bookmarkStart w:id="411" w:name="_Toc144974620"/>
      <w:bookmarkStart w:id="412" w:name="_Toc179632670"/>
      <w:bookmarkStart w:id="413" w:name="_Toc13448"/>
      <w:r>
        <w:rPr>
          <w:rFonts w:eastAsia="宋体" w:cs="Times New Roman"/>
          <w:b/>
          <w:color w:val="000000" w:themeColor="text1"/>
          <w:szCs w:val="24"/>
          <w:highlight w:val="none"/>
          <w14:textFill>
            <w14:solidFill>
              <w14:schemeClr w14:val="tx1"/>
            </w14:solidFill>
          </w14:textFill>
        </w:rPr>
        <w:t>5.1 承包人提供的材料和工程设备</w:t>
      </w:r>
      <w:bookmarkEnd w:id="406"/>
      <w:bookmarkEnd w:id="407"/>
      <w:bookmarkEnd w:id="408"/>
      <w:bookmarkEnd w:id="409"/>
      <w:bookmarkEnd w:id="410"/>
      <w:bookmarkEnd w:id="411"/>
      <w:bookmarkEnd w:id="412"/>
      <w:bookmarkEnd w:id="413"/>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5.1.1 </w:t>
      </w:r>
      <w:r>
        <w:rPr>
          <w:rFonts w:hAnsi="宋体"/>
          <w:color w:val="000000" w:themeColor="text1"/>
          <w:sz w:val="24"/>
          <w:highlight w:val="none"/>
          <w14:textFill>
            <w14:solidFill>
              <w14:schemeClr w14:val="tx1"/>
            </w14:solidFill>
          </w14:textFill>
        </w:rPr>
        <w:t>除专用合同条款另有约定外，承包人提供的材料和工程设备均由承包人负责采购、运输和保管。承包人应对其采购的材料和工程设备负责。</w:t>
      </w:r>
      <w:r>
        <w:rPr>
          <w:rFonts w:hint="eastAsia" w:hAnsi="宋体"/>
          <w:color w:val="000000" w:themeColor="text1"/>
          <w:sz w:val="24"/>
          <w:highlight w:val="none"/>
          <w14:textFill>
            <w14:solidFill>
              <w14:schemeClr w14:val="tx1"/>
            </w14:solidFill>
          </w14:textFill>
        </w:rPr>
        <w:t>承包人不得以设备的供货期无法满足工程进度为理由提出变更品牌，否则视为违约。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5.1.2 </w:t>
      </w:r>
      <w:r>
        <w:rPr>
          <w:rFonts w:hAnsi="宋体"/>
          <w:color w:val="000000" w:themeColor="text1"/>
          <w:sz w:val="24"/>
          <w:highlight w:val="none"/>
          <w14:textFill>
            <w14:solidFill>
              <w14:schemeClr w14:val="tx1"/>
            </w14:solidFill>
          </w14:textFill>
        </w:rPr>
        <w:t>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5.1.3</w:t>
      </w:r>
      <w:r>
        <w:rPr>
          <w:rFonts w:hAnsi="宋体"/>
          <w:color w:val="000000" w:themeColor="text1"/>
          <w:sz w:val="24"/>
          <w:highlight w:val="none"/>
          <w14:textFill>
            <w14:solidFill>
              <w14:schemeClr w14:val="tx1"/>
            </w14:solidFill>
          </w14:textFill>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14" w:name="_Toc3975"/>
      <w:bookmarkStart w:id="415" w:name="_Toc152045653"/>
      <w:bookmarkStart w:id="416" w:name="_Toc144974621"/>
      <w:bookmarkStart w:id="417" w:name="_Toc9789"/>
      <w:bookmarkStart w:id="418" w:name="_Toc152042431"/>
      <w:bookmarkStart w:id="419" w:name="_Toc19241"/>
      <w:bookmarkStart w:id="420" w:name="_Toc100504156"/>
      <w:bookmarkStart w:id="421" w:name="_Toc179632671"/>
      <w:r>
        <w:rPr>
          <w:rFonts w:eastAsia="宋体" w:cs="Times New Roman"/>
          <w:b/>
          <w:color w:val="000000" w:themeColor="text1"/>
          <w:szCs w:val="24"/>
          <w:highlight w:val="none"/>
          <w14:textFill>
            <w14:solidFill>
              <w14:schemeClr w14:val="tx1"/>
            </w14:solidFill>
          </w14:textFill>
        </w:rPr>
        <w:t>5.2 发包人提供的材料和工程设备</w:t>
      </w:r>
      <w:bookmarkEnd w:id="414"/>
      <w:bookmarkEnd w:id="415"/>
      <w:bookmarkEnd w:id="416"/>
      <w:bookmarkEnd w:id="417"/>
      <w:bookmarkEnd w:id="418"/>
      <w:bookmarkEnd w:id="419"/>
      <w:bookmarkEnd w:id="420"/>
      <w:bookmarkEnd w:id="42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5.2.1 </w:t>
      </w:r>
      <w:r>
        <w:rPr>
          <w:rFonts w:hAnsi="宋体"/>
          <w:color w:val="000000" w:themeColor="text1"/>
          <w:sz w:val="24"/>
          <w:highlight w:val="none"/>
          <w14:textFill>
            <w14:solidFill>
              <w14:schemeClr w14:val="tx1"/>
            </w14:solidFill>
          </w14:textFill>
        </w:rPr>
        <w:t>发包人提供的材料和工程设备，应在专用合同条款中写明材料和工程设备的名称、规格、数量、价格、交货方式、交货地点和计划交货日期等。</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5.2.2 </w:t>
      </w:r>
      <w:r>
        <w:rPr>
          <w:rFonts w:hAnsi="宋体"/>
          <w:color w:val="000000" w:themeColor="text1"/>
          <w:sz w:val="24"/>
          <w:highlight w:val="none"/>
          <w14:textFill>
            <w14:solidFill>
              <w14:schemeClr w14:val="tx1"/>
            </w14:solidFill>
          </w14:textFill>
        </w:rPr>
        <w:t>承包人应根据合同进度计划的安排，向监理人报送要求发包人交货的日期计划。发包人应按照监理人与合同双方当事人商定的交货日期，向承包人提交材料和工程设备。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5.2.3 </w:t>
      </w:r>
      <w:r>
        <w:rPr>
          <w:rFonts w:hAnsi="宋体"/>
          <w:color w:val="000000" w:themeColor="text1"/>
          <w:sz w:val="24"/>
          <w:highlight w:val="none"/>
          <w14:textFill>
            <w14:solidFill>
              <w14:schemeClr w14:val="tx1"/>
            </w14:solidFill>
          </w14:textFill>
        </w:rPr>
        <w:t>发包人应在材料和工程设备到货</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天前通知承包人，承包人应会同监理人在约定的时间内，赴交货地点共同进行验收。除专用合同条款另有约定外，发包人提供的材料和工程设备验收后，由承包人负责接收、运输和保管。</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5.2.4 </w:t>
      </w:r>
      <w:r>
        <w:rPr>
          <w:rFonts w:hAnsi="宋体"/>
          <w:color w:val="000000" w:themeColor="text1"/>
          <w:sz w:val="24"/>
          <w:highlight w:val="none"/>
          <w14:textFill>
            <w14:solidFill>
              <w14:schemeClr w14:val="tx1"/>
            </w14:solidFill>
          </w14:textFill>
        </w:rPr>
        <w:t>发包人要求向承包人提前交货的，承包人不得拒绝，但发包人应承担承包人由此增加的费用。</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5.2.5 </w:t>
      </w:r>
      <w:r>
        <w:rPr>
          <w:rFonts w:hAnsi="宋体"/>
          <w:color w:val="000000" w:themeColor="text1"/>
          <w:sz w:val="24"/>
          <w:highlight w:val="none"/>
          <w14:textFill>
            <w14:solidFill>
              <w14:schemeClr w14:val="tx1"/>
            </w14:solidFill>
          </w14:textFill>
        </w:rPr>
        <w:t>承包人要求更改交货日期或地点的，应事先报请监理人批准。由于承包人要求更改交货时间或地点所增加的费用和（或）工期延误由承包人承担。</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5.2.6 </w:t>
      </w:r>
      <w:r>
        <w:rPr>
          <w:rFonts w:hAnsi="宋体"/>
          <w:color w:val="000000" w:themeColor="text1"/>
          <w:sz w:val="24"/>
          <w:highlight w:val="none"/>
          <w14:textFill>
            <w14:solidFill>
              <w14:schemeClr w14:val="tx1"/>
            </w14:solidFill>
          </w14:textFill>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22" w:name="_Toc144974622"/>
      <w:bookmarkStart w:id="423" w:name="_Toc152042432"/>
      <w:bookmarkStart w:id="424" w:name="_Toc179632672"/>
      <w:bookmarkStart w:id="425" w:name="_Toc100504157"/>
      <w:bookmarkStart w:id="426" w:name="_Toc29339"/>
      <w:bookmarkStart w:id="427" w:name="_Toc152045654"/>
      <w:bookmarkStart w:id="428" w:name="_Toc20454"/>
      <w:bookmarkStart w:id="429" w:name="_Toc8726"/>
      <w:r>
        <w:rPr>
          <w:rFonts w:eastAsia="宋体" w:cs="Times New Roman"/>
          <w:b/>
          <w:color w:val="000000" w:themeColor="text1"/>
          <w:szCs w:val="24"/>
          <w:highlight w:val="none"/>
          <w14:textFill>
            <w14:solidFill>
              <w14:schemeClr w14:val="tx1"/>
            </w14:solidFill>
          </w14:textFill>
        </w:rPr>
        <w:t>5.3 材料和工程设备专用于合同工程</w:t>
      </w:r>
      <w:bookmarkEnd w:id="422"/>
      <w:bookmarkEnd w:id="423"/>
      <w:bookmarkEnd w:id="424"/>
      <w:bookmarkEnd w:id="425"/>
      <w:bookmarkEnd w:id="426"/>
      <w:bookmarkEnd w:id="427"/>
      <w:bookmarkEnd w:id="428"/>
      <w:bookmarkEnd w:id="42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5.3.1</w:t>
      </w:r>
      <w:r>
        <w:rPr>
          <w:rFonts w:hAnsi="宋体"/>
          <w:color w:val="000000" w:themeColor="text1"/>
          <w:sz w:val="24"/>
          <w:highlight w:val="none"/>
          <w14:textFill>
            <w14:solidFill>
              <w14:schemeClr w14:val="tx1"/>
            </w14:solidFill>
          </w14:textFill>
        </w:rPr>
        <w:t>运入施工场地的材料、工程设备，包括备品备件、安装专用工器具与随机资料，必须专用于合同工程，未经监理人同意，承包人不得运出施工场地或挪作他用。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5.3.2 </w:t>
      </w:r>
      <w:r>
        <w:rPr>
          <w:rFonts w:hAnsi="宋体"/>
          <w:color w:val="000000" w:themeColor="text1"/>
          <w:sz w:val="24"/>
          <w:highlight w:val="none"/>
          <w14:textFill>
            <w14:solidFill>
              <w14:schemeClr w14:val="tx1"/>
            </w14:solidFill>
          </w14:textFill>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30" w:name="_Toc144974623"/>
      <w:bookmarkStart w:id="431" w:name="_Toc152045655"/>
      <w:bookmarkStart w:id="432" w:name="_Toc1526"/>
      <w:bookmarkStart w:id="433" w:name="_Toc179632673"/>
      <w:bookmarkStart w:id="434" w:name="_Toc31036"/>
      <w:bookmarkStart w:id="435" w:name="_Toc100504158"/>
      <w:bookmarkStart w:id="436" w:name="_Toc3506"/>
      <w:bookmarkStart w:id="437" w:name="_Toc152042433"/>
      <w:r>
        <w:rPr>
          <w:rFonts w:eastAsia="宋体" w:cs="Times New Roman"/>
          <w:b/>
          <w:color w:val="000000" w:themeColor="text1"/>
          <w:szCs w:val="24"/>
          <w:highlight w:val="none"/>
          <w14:textFill>
            <w14:solidFill>
              <w14:schemeClr w14:val="tx1"/>
            </w14:solidFill>
          </w14:textFill>
        </w:rPr>
        <w:t>5.4 禁止使用不合格的材料和工程设备</w:t>
      </w:r>
      <w:bookmarkEnd w:id="430"/>
      <w:bookmarkEnd w:id="431"/>
      <w:bookmarkEnd w:id="432"/>
      <w:bookmarkEnd w:id="433"/>
      <w:bookmarkEnd w:id="434"/>
      <w:bookmarkEnd w:id="435"/>
      <w:bookmarkEnd w:id="436"/>
      <w:bookmarkEnd w:id="43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5.4.1 </w:t>
      </w:r>
      <w:r>
        <w:rPr>
          <w:rFonts w:hAnsi="宋体"/>
          <w:color w:val="000000" w:themeColor="text1"/>
          <w:sz w:val="24"/>
          <w:highlight w:val="none"/>
          <w14:textFill>
            <w14:solidFill>
              <w14:schemeClr w14:val="tx1"/>
            </w14:solidFill>
          </w14:textFill>
        </w:rPr>
        <w:t>监理人有权拒绝承包人提供的不合格材料或工程设备，并要求承包人立即进行更换。监理人应在更换后再次进行检查和检验，由此增加的费用和（或）工期延误由承包人承担。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5.4.2 </w:t>
      </w:r>
      <w:r>
        <w:rPr>
          <w:rFonts w:hAnsi="宋体"/>
          <w:color w:val="000000" w:themeColor="text1"/>
          <w:sz w:val="24"/>
          <w:highlight w:val="none"/>
          <w14:textFill>
            <w14:solidFill>
              <w14:schemeClr w14:val="tx1"/>
            </w14:solidFill>
          </w14:textFill>
        </w:rPr>
        <w:t>监理人发现承包人使用了不合格的材料和工程设备，应即时发出指示要求承包人立即改正，并禁止在工程中继续使用不合格的材料和工程设备。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5.4.3 </w:t>
      </w:r>
      <w:r>
        <w:rPr>
          <w:rFonts w:hAnsi="宋体"/>
          <w:color w:val="000000" w:themeColor="text1"/>
          <w:sz w:val="24"/>
          <w:highlight w:val="none"/>
          <w14:textFill>
            <w14:solidFill>
              <w14:schemeClr w14:val="tx1"/>
            </w14:solidFill>
          </w14:textFill>
        </w:rPr>
        <w:t>发包人提供的材料或工程设备不符合合同要求的，承包人有权拒绝，并可要求发包人更换，由此增加的费用和（或）工期延误由发包人承担。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438" w:name="_Toc11644"/>
      <w:bookmarkStart w:id="439" w:name="_Toc100504159"/>
      <w:bookmarkStart w:id="440" w:name="_Toc13600"/>
      <w:bookmarkStart w:id="441" w:name="_Toc152045656"/>
      <w:bookmarkStart w:id="442" w:name="_Toc26453"/>
      <w:bookmarkStart w:id="443" w:name="_Toc179632674"/>
      <w:bookmarkStart w:id="444" w:name="_Toc152042434"/>
      <w:bookmarkStart w:id="445" w:name="_Toc144974624"/>
      <w:r>
        <w:rPr>
          <w:rFonts w:hAnsi="宋体"/>
          <w:b/>
          <w:color w:val="000000" w:themeColor="text1"/>
          <w:sz w:val="24"/>
          <w:highlight w:val="none"/>
          <w14:textFill>
            <w14:solidFill>
              <w14:schemeClr w14:val="tx1"/>
            </w14:solidFill>
          </w14:textFill>
        </w:rPr>
        <w:t>6. 施工设备和临时设施</w:t>
      </w:r>
      <w:bookmarkEnd w:id="438"/>
      <w:bookmarkEnd w:id="439"/>
      <w:bookmarkEnd w:id="440"/>
      <w:bookmarkEnd w:id="441"/>
      <w:bookmarkEnd w:id="442"/>
      <w:bookmarkEnd w:id="443"/>
      <w:bookmarkEnd w:id="444"/>
      <w:bookmarkEnd w:id="44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46" w:name="_Toc22114"/>
      <w:bookmarkStart w:id="447" w:name="_Toc179632675"/>
      <w:bookmarkStart w:id="448" w:name="_Toc100504160"/>
      <w:bookmarkStart w:id="449" w:name="_Toc152042435"/>
      <w:bookmarkStart w:id="450" w:name="_Toc31787"/>
      <w:bookmarkStart w:id="451" w:name="_Toc20211"/>
      <w:bookmarkStart w:id="452" w:name="_Toc144974625"/>
      <w:bookmarkStart w:id="453" w:name="_Toc152045657"/>
      <w:r>
        <w:rPr>
          <w:rFonts w:eastAsia="宋体" w:cs="Times New Roman"/>
          <w:b/>
          <w:color w:val="000000" w:themeColor="text1"/>
          <w:szCs w:val="24"/>
          <w:highlight w:val="none"/>
          <w14:textFill>
            <w14:solidFill>
              <w14:schemeClr w14:val="tx1"/>
            </w14:solidFill>
          </w14:textFill>
        </w:rPr>
        <w:t>6.1 承包人提供的施工设备和临时设施</w:t>
      </w:r>
      <w:bookmarkEnd w:id="446"/>
      <w:bookmarkEnd w:id="447"/>
      <w:bookmarkEnd w:id="448"/>
      <w:bookmarkEnd w:id="449"/>
      <w:bookmarkEnd w:id="450"/>
      <w:bookmarkEnd w:id="451"/>
      <w:bookmarkEnd w:id="452"/>
      <w:bookmarkEnd w:id="45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6.1.1 </w:t>
      </w:r>
      <w:r>
        <w:rPr>
          <w:rFonts w:hAnsi="宋体"/>
          <w:color w:val="000000" w:themeColor="text1"/>
          <w:sz w:val="24"/>
          <w:highlight w:val="none"/>
          <w14:textFill>
            <w14:solidFill>
              <w14:schemeClr w14:val="tx1"/>
            </w14:solidFill>
          </w14:textFill>
        </w:rPr>
        <w:t>承包人应按合同进度计划的要求，及时配置施工设备和修建临时设施。进入施工场地的承包人设备需经监理人核查后才能投入使用。承包人更换合同约定的承包人设备的，应报监理人批准。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6.1.2</w:t>
      </w:r>
      <w:r>
        <w:rPr>
          <w:rFonts w:hAnsi="宋体"/>
          <w:color w:val="000000" w:themeColor="text1"/>
          <w:sz w:val="24"/>
          <w:highlight w:val="none"/>
          <w14:textFill>
            <w14:solidFill>
              <w14:schemeClr w14:val="tx1"/>
            </w14:solidFill>
          </w14:textFill>
        </w:rPr>
        <w:t>除专用合同条款另有约定外，承包人应自行承担修建临时设施的费用，需要临时占地的，应由发包人办理申请手续并承担相应费用。</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54" w:name="_Toc9335"/>
      <w:bookmarkStart w:id="455" w:name="_Toc100504161"/>
      <w:bookmarkStart w:id="456" w:name="_Toc152042436"/>
      <w:bookmarkStart w:id="457" w:name="_Toc18283"/>
      <w:bookmarkStart w:id="458" w:name="_Toc12572"/>
      <w:bookmarkStart w:id="459" w:name="_Toc144974626"/>
      <w:bookmarkStart w:id="460" w:name="_Toc179632676"/>
      <w:bookmarkStart w:id="461" w:name="_Toc152045658"/>
      <w:r>
        <w:rPr>
          <w:rFonts w:eastAsia="宋体" w:cs="Times New Roman"/>
          <w:b/>
          <w:color w:val="000000" w:themeColor="text1"/>
          <w:szCs w:val="24"/>
          <w:highlight w:val="none"/>
          <w14:textFill>
            <w14:solidFill>
              <w14:schemeClr w14:val="tx1"/>
            </w14:solidFill>
          </w14:textFill>
        </w:rPr>
        <w:t>6.2 发包人提供的施工设备和临时设施</w:t>
      </w:r>
      <w:bookmarkEnd w:id="454"/>
      <w:bookmarkEnd w:id="455"/>
      <w:bookmarkEnd w:id="456"/>
      <w:bookmarkEnd w:id="457"/>
      <w:bookmarkEnd w:id="458"/>
      <w:bookmarkEnd w:id="459"/>
      <w:bookmarkEnd w:id="460"/>
      <w:bookmarkEnd w:id="46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发包人提供的施工设备或临时设施在专用合同条款中约定。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62" w:name="_Toc28122"/>
      <w:bookmarkStart w:id="463" w:name="_Toc15124"/>
      <w:bookmarkStart w:id="464" w:name="_Toc179632677"/>
      <w:bookmarkStart w:id="465" w:name="_Toc100504162"/>
      <w:bookmarkStart w:id="466" w:name="_Toc144974627"/>
      <w:bookmarkStart w:id="467" w:name="_Toc152042437"/>
      <w:bookmarkStart w:id="468" w:name="_Toc12328"/>
      <w:bookmarkStart w:id="469" w:name="_Toc152045659"/>
      <w:r>
        <w:rPr>
          <w:rFonts w:eastAsia="宋体" w:cs="Times New Roman"/>
          <w:b/>
          <w:color w:val="000000" w:themeColor="text1"/>
          <w:szCs w:val="24"/>
          <w:highlight w:val="none"/>
          <w14:textFill>
            <w14:solidFill>
              <w14:schemeClr w14:val="tx1"/>
            </w14:solidFill>
          </w14:textFill>
        </w:rPr>
        <w:t>6.3 要求承包人增加或更换施工设备</w:t>
      </w:r>
      <w:bookmarkEnd w:id="462"/>
      <w:bookmarkEnd w:id="463"/>
      <w:bookmarkEnd w:id="464"/>
      <w:bookmarkEnd w:id="465"/>
      <w:bookmarkEnd w:id="466"/>
      <w:bookmarkEnd w:id="467"/>
      <w:bookmarkEnd w:id="468"/>
      <w:bookmarkEnd w:id="469"/>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承包人使用的施工设备不能满足合同进度计划和（或）质量要求时，监理人有权要求承包人增加或更换施工设备，承包人应及时增加或更换，由此增加的费用和（或）工期延误由承包人承担。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70" w:name="_Toc11775"/>
      <w:bookmarkStart w:id="471" w:name="_Toc144974628"/>
      <w:bookmarkStart w:id="472" w:name="_Toc152045660"/>
      <w:bookmarkStart w:id="473" w:name="_Toc17179"/>
      <w:bookmarkStart w:id="474" w:name="_Toc179632678"/>
      <w:bookmarkStart w:id="475" w:name="_Toc18635"/>
      <w:bookmarkStart w:id="476" w:name="_Toc152042438"/>
      <w:bookmarkStart w:id="477" w:name="_Toc100504163"/>
      <w:r>
        <w:rPr>
          <w:rFonts w:eastAsia="宋体" w:cs="Times New Roman"/>
          <w:b/>
          <w:color w:val="000000" w:themeColor="text1"/>
          <w:szCs w:val="24"/>
          <w:highlight w:val="none"/>
          <w14:textFill>
            <w14:solidFill>
              <w14:schemeClr w14:val="tx1"/>
            </w14:solidFill>
          </w14:textFill>
        </w:rPr>
        <w:t>6.4 施工设备和临时设施专用于合同工程</w:t>
      </w:r>
      <w:bookmarkEnd w:id="470"/>
      <w:bookmarkEnd w:id="471"/>
      <w:bookmarkEnd w:id="472"/>
      <w:bookmarkEnd w:id="473"/>
      <w:bookmarkEnd w:id="474"/>
      <w:bookmarkEnd w:id="475"/>
      <w:bookmarkEnd w:id="476"/>
      <w:bookmarkEnd w:id="47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6.4.1</w:t>
      </w:r>
      <w:r>
        <w:rPr>
          <w:rFonts w:hAnsi="宋体"/>
          <w:color w:val="000000" w:themeColor="text1"/>
          <w:sz w:val="24"/>
          <w:highlight w:val="none"/>
          <w14:textFill>
            <w14:solidFill>
              <w14:schemeClr w14:val="tx1"/>
            </w14:solidFill>
          </w14:textFill>
        </w:rPr>
        <w:t>除合同另有约定外，运入施工场地的所有施工设备以及在施工场地建设的临时设施应专用于合同工程。未经监理人同意，不得将上述施工设备和临时设施中的任何部分运出施工场地或挪作他用。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6.4.2 </w:t>
      </w:r>
      <w:r>
        <w:rPr>
          <w:rFonts w:hAnsi="宋体"/>
          <w:color w:val="000000" w:themeColor="text1"/>
          <w:sz w:val="24"/>
          <w:highlight w:val="none"/>
          <w14:textFill>
            <w14:solidFill>
              <w14:schemeClr w14:val="tx1"/>
            </w14:solidFill>
          </w14:textFill>
        </w:rPr>
        <w:t>经监理人同意，承包人可根据合同进度计划撤走闲置的施工设备。</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478" w:name="_Toc144974629"/>
      <w:bookmarkStart w:id="479" w:name="_Toc27244"/>
      <w:bookmarkStart w:id="480" w:name="_Toc100504164"/>
      <w:bookmarkStart w:id="481" w:name="_Toc17657"/>
      <w:bookmarkStart w:id="482" w:name="_Toc1625"/>
      <w:bookmarkStart w:id="483" w:name="_Toc152042439"/>
      <w:bookmarkStart w:id="484" w:name="_Toc179632679"/>
      <w:bookmarkStart w:id="485" w:name="_Toc152045661"/>
      <w:r>
        <w:rPr>
          <w:rFonts w:hAnsi="宋体"/>
          <w:b/>
          <w:color w:val="000000" w:themeColor="text1"/>
          <w:sz w:val="24"/>
          <w:highlight w:val="none"/>
          <w14:textFill>
            <w14:solidFill>
              <w14:schemeClr w14:val="tx1"/>
            </w14:solidFill>
          </w14:textFill>
        </w:rPr>
        <w:t>7. 交通运输</w:t>
      </w:r>
      <w:bookmarkEnd w:id="478"/>
      <w:bookmarkEnd w:id="479"/>
      <w:bookmarkEnd w:id="480"/>
      <w:bookmarkEnd w:id="481"/>
      <w:bookmarkEnd w:id="482"/>
      <w:bookmarkEnd w:id="483"/>
      <w:bookmarkEnd w:id="484"/>
      <w:bookmarkEnd w:id="48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86" w:name="_Toc845"/>
      <w:bookmarkStart w:id="487" w:name="_Toc25743"/>
      <w:bookmarkStart w:id="488" w:name="_Toc100504165"/>
      <w:bookmarkStart w:id="489" w:name="_Toc144974630"/>
      <w:bookmarkStart w:id="490" w:name="_Toc152045662"/>
      <w:bookmarkStart w:id="491" w:name="_Toc9952"/>
      <w:bookmarkStart w:id="492" w:name="_Toc179632680"/>
      <w:bookmarkStart w:id="493" w:name="_Toc152042440"/>
      <w:r>
        <w:rPr>
          <w:rFonts w:eastAsia="宋体" w:cs="Times New Roman"/>
          <w:b/>
          <w:color w:val="000000" w:themeColor="text1"/>
          <w:szCs w:val="24"/>
          <w:highlight w:val="none"/>
          <w14:textFill>
            <w14:solidFill>
              <w14:schemeClr w14:val="tx1"/>
            </w14:solidFill>
          </w14:textFill>
        </w:rPr>
        <w:t>7.1 道路通行权和场外设施</w:t>
      </w:r>
      <w:bookmarkEnd w:id="486"/>
      <w:bookmarkEnd w:id="487"/>
      <w:bookmarkEnd w:id="488"/>
      <w:bookmarkEnd w:id="489"/>
      <w:bookmarkEnd w:id="490"/>
      <w:bookmarkEnd w:id="491"/>
      <w:bookmarkEnd w:id="492"/>
      <w:bookmarkEnd w:id="49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494" w:name="_Toc179632681"/>
      <w:bookmarkStart w:id="495" w:name="_Toc32046"/>
      <w:bookmarkStart w:id="496" w:name="_Toc152042441"/>
      <w:bookmarkStart w:id="497" w:name="_Toc8621"/>
      <w:bookmarkStart w:id="498" w:name="_Toc100504166"/>
      <w:bookmarkStart w:id="499" w:name="_Toc144974631"/>
      <w:bookmarkStart w:id="500" w:name="_Toc152045663"/>
      <w:bookmarkStart w:id="501" w:name="_Toc18771"/>
      <w:r>
        <w:rPr>
          <w:rFonts w:eastAsia="宋体" w:cs="Times New Roman"/>
          <w:b/>
          <w:color w:val="000000" w:themeColor="text1"/>
          <w:szCs w:val="24"/>
          <w:highlight w:val="none"/>
          <w14:textFill>
            <w14:solidFill>
              <w14:schemeClr w14:val="tx1"/>
            </w14:solidFill>
          </w14:textFill>
        </w:rPr>
        <w:t>7.2 场内施工道路</w:t>
      </w:r>
      <w:bookmarkEnd w:id="494"/>
      <w:bookmarkEnd w:id="495"/>
      <w:bookmarkEnd w:id="496"/>
      <w:bookmarkEnd w:id="497"/>
      <w:bookmarkEnd w:id="498"/>
      <w:bookmarkEnd w:id="499"/>
      <w:bookmarkEnd w:id="500"/>
      <w:bookmarkEnd w:id="50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7.2.1 </w:t>
      </w:r>
      <w:r>
        <w:rPr>
          <w:rFonts w:hAnsi="宋体"/>
          <w:color w:val="000000" w:themeColor="text1"/>
          <w:sz w:val="24"/>
          <w:highlight w:val="none"/>
          <w14:textFill>
            <w14:solidFill>
              <w14:schemeClr w14:val="tx1"/>
            </w14:solidFill>
          </w14:textFill>
        </w:rPr>
        <w:t>除专用合同条款另有约定外，承包人应负责修建、维修、养护和管理施工所需的临时道路和交通设施，包括维修、养护和管理发包人提供的道路和交通设施，并承担相应费用。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7.2.2 </w:t>
      </w:r>
      <w:r>
        <w:rPr>
          <w:rFonts w:hAnsi="宋体"/>
          <w:color w:val="000000" w:themeColor="text1"/>
          <w:sz w:val="24"/>
          <w:highlight w:val="none"/>
          <w14:textFill>
            <w14:solidFill>
              <w14:schemeClr w14:val="tx1"/>
            </w14:solidFill>
          </w14:textFill>
        </w:rPr>
        <w:t>除专用合同条款另有约定外，承包人修建的临时道路和交通设施应免费提供发包人和监理人使用。</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02" w:name="_Toc9272"/>
      <w:bookmarkStart w:id="503" w:name="_Toc19916"/>
      <w:bookmarkStart w:id="504" w:name="_Toc152042442"/>
      <w:bookmarkStart w:id="505" w:name="_Toc144974632"/>
      <w:bookmarkStart w:id="506" w:name="_Toc100504167"/>
      <w:bookmarkStart w:id="507" w:name="_Toc7769"/>
      <w:bookmarkStart w:id="508" w:name="_Toc179632682"/>
      <w:bookmarkStart w:id="509" w:name="_Toc152045664"/>
      <w:r>
        <w:rPr>
          <w:rFonts w:eastAsia="宋体" w:cs="Times New Roman"/>
          <w:b/>
          <w:color w:val="000000" w:themeColor="text1"/>
          <w:szCs w:val="24"/>
          <w:highlight w:val="none"/>
          <w14:textFill>
            <w14:solidFill>
              <w14:schemeClr w14:val="tx1"/>
            </w14:solidFill>
          </w14:textFill>
        </w:rPr>
        <w:t>7.3 场外交通</w:t>
      </w:r>
      <w:bookmarkEnd w:id="502"/>
      <w:bookmarkEnd w:id="503"/>
      <w:bookmarkEnd w:id="504"/>
      <w:bookmarkEnd w:id="505"/>
      <w:bookmarkEnd w:id="506"/>
      <w:bookmarkEnd w:id="507"/>
      <w:bookmarkEnd w:id="508"/>
      <w:bookmarkEnd w:id="50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7.3.1 </w:t>
      </w:r>
      <w:r>
        <w:rPr>
          <w:rFonts w:hAnsi="宋体"/>
          <w:color w:val="000000" w:themeColor="text1"/>
          <w:sz w:val="24"/>
          <w:highlight w:val="none"/>
          <w14:textFill>
            <w14:solidFill>
              <w14:schemeClr w14:val="tx1"/>
            </w14:solidFill>
          </w14:textFill>
        </w:rPr>
        <w:t>承包人车辆外出行驶所需的场外公共道路的通行费、养路费和税款等由承包人承担。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7.3.2 </w:t>
      </w:r>
      <w:r>
        <w:rPr>
          <w:rFonts w:hAnsi="宋体"/>
          <w:color w:val="000000" w:themeColor="text1"/>
          <w:sz w:val="24"/>
          <w:highlight w:val="none"/>
          <w14:textFill>
            <w14:solidFill>
              <w14:schemeClr w14:val="tx1"/>
            </w14:solidFill>
          </w14:textFill>
        </w:rPr>
        <w:t>承包人应遵守有关交通法规，严格按照道路和桥梁的限制荷重安全行驶，并服从交通管理部门的检查和监督。</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10" w:name="_Toc152045665"/>
      <w:bookmarkStart w:id="511" w:name="_Toc21807"/>
      <w:bookmarkStart w:id="512" w:name="_Toc31090"/>
      <w:bookmarkStart w:id="513" w:name="_Toc152042443"/>
      <w:bookmarkStart w:id="514" w:name="_Toc100504168"/>
      <w:bookmarkStart w:id="515" w:name="_Toc17967"/>
      <w:bookmarkStart w:id="516" w:name="_Toc144974633"/>
      <w:bookmarkStart w:id="517" w:name="_Toc179632683"/>
      <w:r>
        <w:rPr>
          <w:rFonts w:eastAsia="宋体" w:cs="Times New Roman"/>
          <w:b/>
          <w:color w:val="000000" w:themeColor="text1"/>
          <w:szCs w:val="24"/>
          <w:highlight w:val="none"/>
          <w14:textFill>
            <w14:solidFill>
              <w14:schemeClr w14:val="tx1"/>
            </w14:solidFill>
          </w14:textFill>
        </w:rPr>
        <w:t>7.4 超大件和超重件的运输</w:t>
      </w:r>
      <w:bookmarkEnd w:id="510"/>
      <w:bookmarkEnd w:id="511"/>
      <w:bookmarkEnd w:id="512"/>
      <w:bookmarkEnd w:id="513"/>
      <w:bookmarkEnd w:id="514"/>
      <w:bookmarkEnd w:id="515"/>
      <w:bookmarkEnd w:id="516"/>
      <w:bookmarkEnd w:id="51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18" w:name="_Toc179632684"/>
      <w:bookmarkStart w:id="519" w:name="_Toc1882"/>
      <w:bookmarkStart w:id="520" w:name="_Toc152045666"/>
      <w:bookmarkStart w:id="521" w:name="_Toc548"/>
      <w:bookmarkStart w:id="522" w:name="_Toc100504169"/>
      <w:bookmarkStart w:id="523" w:name="_Toc30542"/>
      <w:bookmarkStart w:id="524" w:name="_Toc144974634"/>
      <w:bookmarkStart w:id="525" w:name="_Toc152042444"/>
      <w:r>
        <w:rPr>
          <w:rFonts w:eastAsia="宋体" w:cs="Times New Roman"/>
          <w:b/>
          <w:color w:val="000000" w:themeColor="text1"/>
          <w:szCs w:val="24"/>
          <w:highlight w:val="none"/>
          <w14:textFill>
            <w14:solidFill>
              <w14:schemeClr w14:val="tx1"/>
            </w14:solidFill>
          </w14:textFill>
        </w:rPr>
        <w:t>7.5 道路和桥梁的损坏责任</w:t>
      </w:r>
      <w:bookmarkEnd w:id="518"/>
      <w:bookmarkEnd w:id="519"/>
      <w:bookmarkEnd w:id="520"/>
      <w:bookmarkEnd w:id="521"/>
      <w:bookmarkEnd w:id="522"/>
      <w:bookmarkEnd w:id="523"/>
      <w:bookmarkEnd w:id="524"/>
      <w:bookmarkEnd w:id="52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因承包人运输造成施工场地内外公共道路和桥梁损坏的，由承包人承担修复损坏的全部费用和可能引起的赔偿。</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26" w:name="_Toc144974635"/>
      <w:bookmarkStart w:id="527" w:name="_Toc152045667"/>
      <w:bookmarkStart w:id="528" w:name="_Toc100504170"/>
      <w:bookmarkStart w:id="529" w:name="_Toc17423"/>
      <w:bookmarkStart w:id="530" w:name="_Toc179632685"/>
      <w:bookmarkStart w:id="531" w:name="_Toc12832"/>
      <w:bookmarkStart w:id="532" w:name="_Toc152042445"/>
      <w:bookmarkStart w:id="533" w:name="_Toc18887"/>
      <w:r>
        <w:rPr>
          <w:rFonts w:eastAsia="宋体" w:cs="Times New Roman"/>
          <w:b/>
          <w:color w:val="000000" w:themeColor="text1"/>
          <w:szCs w:val="24"/>
          <w:highlight w:val="none"/>
          <w14:textFill>
            <w14:solidFill>
              <w14:schemeClr w14:val="tx1"/>
            </w14:solidFill>
          </w14:textFill>
        </w:rPr>
        <w:t>7.6 水路和航空运输</w:t>
      </w:r>
      <w:bookmarkEnd w:id="526"/>
      <w:bookmarkEnd w:id="527"/>
      <w:bookmarkEnd w:id="528"/>
      <w:bookmarkEnd w:id="529"/>
      <w:bookmarkEnd w:id="530"/>
      <w:bookmarkEnd w:id="531"/>
      <w:bookmarkEnd w:id="532"/>
      <w:bookmarkEnd w:id="53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本条上述各款的内容适用于水路运输和航空运输，其中</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道路</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一词的涵义包括河道、航线、船闸、机场、码头、堤防以及水路或航空运输中其他相似结构物；</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车辆</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一词的涵义包括船舶和飞机等。</w:t>
      </w:r>
      <w:r>
        <w:rPr>
          <w:color w:val="000000" w:themeColor="text1"/>
          <w:sz w:val="24"/>
          <w:highlight w:val="none"/>
          <w14:textFill>
            <w14:solidFill>
              <w14:schemeClr w14:val="tx1"/>
            </w14:solidFill>
          </w14:textFill>
        </w:rPr>
        <w:t xml:space="preserve"> </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534" w:name="_Toc8422"/>
      <w:bookmarkStart w:id="535" w:name="_Toc152045668"/>
      <w:bookmarkStart w:id="536" w:name="_Toc179632686"/>
      <w:bookmarkStart w:id="537" w:name="_Toc144974636"/>
      <w:bookmarkStart w:id="538" w:name="_Toc23140"/>
      <w:bookmarkStart w:id="539" w:name="_Toc152042446"/>
      <w:bookmarkStart w:id="540" w:name="_Toc28835"/>
      <w:bookmarkStart w:id="541" w:name="_Toc100504171"/>
      <w:r>
        <w:rPr>
          <w:rFonts w:hAnsi="宋体"/>
          <w:b/>
          <w:color w:val="000000" w:themeColor="text1"/>
          <w:sz w:val="24"/>
          <w:highlight w:val="none"/>
          <w14:textFill>
            <w14:solidFill>
              <w14:schemeClr w14:val="tx1"/>
            </w14:solidFill>
          </w14:textFill>
        </w:rPr>
        <w:t>8. 测量放线</w:t>
      </w:r>
      <w:bookmarkEnd w:id="534"/>
      <w:bookmarkEnd w:id="535"/>
      <w:bookmarkEnd w:id="536"/>
      <w:bookmarkEnd w:id="537"/>
      <w:bookmarkEnd w:id="538"/>
      <w:bookmarkEnd w:id="539"/>
      <w:bookmarkEnd w:id="540"/>
      <w:bookmarkEnd w:id="541"/>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42" w:name="_Toc29113"/>
      <w:bookmarkStart w:id="543" w:name="_Toc152045669"/>
      <w:bookmarkStart w:id="544" w:name="_Toc144974637"/>
      <w:bookmarkStart w:id="545" w:name="_Toc152042447"/>
      <w:bookmarkStart w:id="546" w:name="_Toc100504172"/>
      <w:bookmarkStart w:id="547" w:name="_Toc28110"/>
      <w:bookmarkStart w:id="548" w:name="_Toc28618"/>
      <w:bookmarkStart w:id="549" w:name="_Toc179632687"/>
      <w:r>
        <w:rPr>
          <w:rFonts w:eastAsia="宋体" w:cs="Times New Roman"/>
          <w:b/>
          <w:color w:val="000000" w:themeColor="text1"/>
          <w:szCs w:val="24"/>
          <w:highlight w:val="none"/>
          <w14:textFill>
            <w14:solidFill>
              <w14:schemeClr w14:val="tx1"/>
            </w14:solidFill>
          </w14:textFill>
        </w:rPr>
        <w:t>8.1 施工控制网</w:t>
      </w:r>
      <w:bookmarkEnd w:id="542"/>
      <w:bookmarkEnd w:id="543"/>
      <w:bookmarkEnd w:id="544"/>
      <w:bookmarkEnd w:id="545"/>
      <w:bookmarkEnd w:id="546"/>
      <w:bookmarkEnd w:id="547"/>
      <w:bookmarkEnd w:id="548"/>
      <w:bookmarkEnd w:id="54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8.1.1</w:t>
      </w:r>
      <w:r>
        <w:rPr>
          <w:rFonts w:hAnsi="宋体"/>
          <w:color w:val="000000" w:themeColor="text1"/>
          <w:sz w:val="24"/>
          <w:highlight w:val="none"/>
          <w14:textFill>
            <w14:solidFill>
              <w14:schemeClr w14:val="tx1"/>
            </w14:solidFill>
          </w14:textFill>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8.1.2</w:t>
      </w:r>
      <w:r>
        <w:rPr>
          <w:rFonts w:hAnsi="宋体"/>
          <w:color w:val="000000" w:themeColor="text1"/>
          <w:sz w:val="24"/>
          <w:highlight w:val="none"/>
          <w14:textFill>
            <w14:solidFill>
              <w14:schemeClr w14:val="tx1"/>
            </w14:solidFill>
          </w14:textFill>
        </w:rPr>
        <w:t>承包人应负责管理施工控制网点。施工控制网点丢失或损坏的，承包人应及时修复。承包人应承担施工控制网点的管理与修复费用，并在工程竣工后将施工控制网点移交发包人。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50" w:name="_Toc152045670"/>
      <w:bookmarkStart w:id="551" w:name="_Toc144974638"/>
      <w:bookmarkStart w:id="552" w:name="_Toc100504173"/>
      <w:bookmarkStart w:id="553" w:name="_Toc14347"/>
      <w:bookmarkStart w:id="554" w:name="_Toc13870"/>
      <w:bookmarkStart w:id="555" w:name="_Toc152042448"/>
      <w:bookmarkStart w:id="556" w:name="_Toc31559"/>
      <w:bookmarkStart w:id="557" w:name="_Toc179632688"/>
      <w:r>
        <w:rPr>
          <w:rFonts w:eastAsia="宋体" w:cs="Times New Roman"/>
          <w:b/>
          <w:color w:val="000000" w:themeColor="text1"/>
          <w:szCs w:val="24"/>
          <w:highlight w:val="none"/>
          <w14:textFill>
            <w14:solidFill>
              <w14:schemeClr w14:val="tx1"/>
            </w14:solidFill>
          </w14:textFill>
        </w:rPr>
        <w:t>8.2 施工测量</w:t>
      </w:r>
      <w:bookmarkEnd w:id="550"/>
      <w:bookmarkEnd w:id="551"/>
      <w:bookmarkEnd w:id="552"/>
      <w:bookmarkEnd w:id="553"/>
      <w:bookmarkEnd w:id="554"/>
      <w:bookmarkEnd w:id="555"/>
      <w:bookmarkEnd w:id="556"/>
      <w:bookmarkEnd w:id="55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8.2.1</w:t>
      </w:r>
      <w:r>
        <w:rPr>
          <w:rFonts w:hAnsi="宋体"/>
          <w:color w:val="000000" w:themeColor="text1"/>
          <w:sz w:val="24"/>
          <w:highlight w:val="none"/>
          <w14:textFill>
            <w14:solidFill>
              <w14:schemeClr w14:val="tx1"/>
            </w14:solidFill>
          </w14:textFill>
        </w:rPr>
        <w:t>承包人应负责施工过程中的全部施工测量放线工作，并配置合格的人员、仪器、设备和其他物品。</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8.2.2</w:t>
      </w:r>
      <w:r>
        <w:rPr>
          <w:rFonts w:hAnsi="宋体"/>
          <w:color w:val="000000" w:themeColor="text1"/>
          <w:sz w:val="24"/>
          <w:highlight w:val="none"/>
          <w14:textFill>
            <w14:solidFill>
              <w14:schemeClr w14:val="tx1"/>
            </w14:solidFill>
          </w14:textFill>
        </w:rPr>
        <w:t>监理人可以指示承包人进行抽样复测，当复测中发现错误或出现超过合同约定的误差时，承包人应按监理人指示进行修正或补测，并承担相应的复测费用。</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58" w:name="_Toc144974639"/>
      <w:bookmarkStart w:id="559" w:name="_Toc23264"/>
      <w:bookmarkStart w:id="560" w:name="_Toc6168"/>
      <w:bookmarkStart w:id="561" w:name="_Toc27500"/>
      <w:bookmarkStart w:id="562" w:name="_Toc152045671"/>
      <w:bookmarkStart w:id="563" w:name="_Toc100504174"/>
      <w:bookmarkStart w:id="564" w:name="_Toc179632689"/>
      <w:bookmarkStart w:id="565" w:name="_Toc152042449"/>
      <w:r>
        <w:rPr>
          <w:rFonts w:eastAsia="宋体" w:cs="Times New Roman"/>
          <w:b/>
          <w:color w:val="000000" w:themeColor="text1"/>
          <w:szCs w:val="24"/>
          <w:highlight w:val="none"/>
          <w14:textFill>
            <w14:solidFill>
              <w14:schemeClr w14:val="tx1"/>
            </w14:solidFill>
          </w14:textFill>
        </w:rPr>
        <w:t>8.3 基准资料错误的责任</w:t>
      </w:r>
      <w:bookmarkEnd w:id="558"/>
      <w:bookmarkEnd w:id="559"/>
      <w:bookmarkEnd w:id="560"/>
      <w:bookmarkEnd w:id="561"/>
      <w:bookmarkEnd w:id="562"/>
      <w:bookmarkEnd w:id="563"/>
      <w:bookmarkEnd w:id="564"/>
      <w:bookmarkEnd w:id="56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66" w:name="_Toc152042450"/>
      <w:bookmarkStart w:id="567" w:name="_Toc7989"/>
      <w:bookmarkStart w:id="568" w:name="_Toc152045672"/>
      <w:bookmarkStart w:id="569" w:name="_Toc179632690"/>
      <w:bookmarkStart w:id="570" w:name="_Toc100504175"/>
      <w:bookmarkStart w:id="571" w:name="_Toc22574"/>
      <w:bookmarkStart w:id="572" w:name="_Toc144974640"/>
      <w:bookmarkStart w:id="573" w:name="_Toc27656"/>
      <w:r>
        <w:rPr>
          <w:rFonts w:eastAsia="宋体" w:cs="Times New Roman"/>
          <w:b/>
          <w:color w:val="000000" w:themeColor="text1"/>
          <w:szCs w:val="24"/>
          <w:highlight w:val="none"/>
          <w14:textFill>
            <w14:solidFill>
              <w14:schemeClr w14:val="tx1"/>
            </w14:solidFill>
          </w14:textFill>
        </w:rPr>
        <w:t>8.4 监理人使用施工控制网</w:t>
      </w:r>
      <w:bookmarkEnd w:id="566"/>
      <w:bookmarkEnd w:id="567"/>
      <w:bookmarkEnd w:id="568"/>
      <w:bookmarkEnd w:id="569"/>
      <w:bookmarkEnd w:id="570"/>
      <w:bookmarkEnd w:id="571"/>
      <w:bookmarkEnd w:id="572"/>
      <w:bookmarkEnd w:id="573"/>
    </w:p>
    <w:p>
      <w:pPr>
        <w:spacing w:line="360" w:lineRule="auto"/>
        <w:ind w:firstLine="480" w:firstLineChars="200"/>
        <w:rPr>
          <w:dstrike/>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监理人需要使用施工控制网的，承包人应提供必要的协助，发包人不再为此支付费用。</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574" w:name="_Toc152042451"/>
      <w:bookmarkStart w:id="575" w:name="_Toc144974641"/>
      <w:bookmarkStart w:id="576" w:name="_Toc152045673"/>
      <w:bookmarkStart w:id="577" w:name="_Toc19294"/>
      <w:bookmarkStart w:id="578" w:name="_Toc30531"/>
      <w:bookmarkStart w:id="579" w:name="_Toc7274"/>
      <w:bookmarkStart w:id="580" w:name="_Toc100504176"/>
      <w:bookmarkStart w:id="581" w:name="_Toc179632691"/>
      <w:r>
        <w:rPr>
          <w:rFonts w:hAnsi="宋体"/>
          <w:b/>
          <w:color w:val="000000" w:themeColor="text1"/>
          <w:sz w:val="24"/>
          <w:highlight w:val="none"/>
          <w14:textFill>
            <w14:solidFill>
              <w14:schemeClr w14:val="tx1"/>
            </w14:solidFill>
          </w14:textFill>
        </w:rPr>
        <w:t>9. 施工安全、治安保卫和环境保护</w:t>
      </w:r>
      <w:bookmarkEnd w:id="574"/>
      <w:bookmarkEnd w:id="575"/>
      <w:bookmarkEnd w:id="576"/>
      <w:bookmarkEnd w:id="577"/>
      <w:bookmarkEnd w:id="578"/>
      <w:bookmarkEnd w:id="579"/>
      <w:bookmarkEnd w:id="580"/>
      <w:bookmarkEnd w:id="581"/>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82" w:name="_Toc21665"/>
      <w:bookmarkStart w:id="583" w:name="_Toc179632692"/>
      <w:bookmarkStart w:id="584" w:name="_Toc152045674"/>
      <w:bookmarkStart w:id="585" w:name="_Toc144974642"/>
      <w:bookmarkStart w:id="586" w:name="_Toc152042452"/>
      <w:bookmarkStart w:id="587" w:name="_Toc100504177"/>
      <w:bookmarkStart w:id="588" w:name="_Toc26791"/>
      <w:bookmarkStart w:id="589" w:name="_Toc11603"/>
      <w:r>
        <w:rPr>
          <w:rFonts w:eastAsia="宋体" w:cs="Times New Roman"/>
          <w:b/>
          <w:color w:val="000000" w:themeColor="text1"/>
          <w:szCs w:val="24"/>
          <w:highlight w:val="none"/>
          <w14:textFill>
            <w14:solidFill>
              <w14:schemeClr w14:val="tx1"/>
            </w14:solidFill>
          </w14:textFill>
        </w:rPr>
        <w:t>9.1 发包人的施工安全责任</w:t>
      </w:r>
      <w:bookmarkEnd w:id="582"/>
      <w:bookmarkEnd w:id="583"/>
      <w:bookmarkEnd w:id="584"/>
      <w:bookmarkEnd w:id="585"/>
      <w:bookmarkEnd w:id="586"/>
      <w:bookmarkEnd w:id="587"/>
      <w:bookmarkEnd w:id="588"/>
      <w:bookmarkEnd w:id="58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9.1.1 </w:t>
      </w:r>
      <w:r>
        <w:rPr>
          <w:rFonts w:hAnsi="宋体"/>
          <w:color w:val="000000" w:themeColor="text1"/>
          <w:sz w:val="24"/>
          <w:highlight w:val="none"/>
          <w14:textFill>
            <w14:solidFill>
              <w14:schemeClr w14:val="tx1"/>
            </w14:solidFill>
          </w14:textFill>
        </w:rPr>
        <w:t>发包人应按合同约定履行安全职责，授权监理人按合同约定的安全工作内容监督、检查承包人安全工作的实施，组织承包人和有关单位进行安全检查。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9.1.2 </w:t>
      </w:r>
      <w:r>
        <w:rPr>
          <w:rFonts w:hAnsi="宋体"/>
          <w:color w:val="000000" w:themeColor="text1"/>
          <w:sz w:val="24"/>
          <w:highlight w:val="none"/>
          <w14:textFill>
            <w14:solidFill>
              <w14:schemeClr w14:val="tx1"/>
            </w14:solidFill>
          </w14:textFill>
        </w:rPr>
        <w:t>发包人应对其现场机构雇佣的全部人员的工伤事故承担责任，但由于承包人原因造成发包人人员工伤的，应由承包人承担责任。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9.1.3 </w:t>
      </w:r>
      <w:r>
        <w:rPr>
          <w:rFonts w:hAnsi="宋体"/>
          <w:color w:val="000000" w:themeColor="text1"/>
          <w:sz w:val="24"/>
          <w:highlight w:val="none"/>
          <w14:textFill>
            <w14:solidFill>
              <w14:schemeClr w14:val="tx1"/>
            </w14:solidFill>
          </w14:textFill>
        </w:rPr>
        <w:t>发包人应负责赔偿以下各种情况造成的第三者人身伤亡和财产损失：</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工程或工程的任何部分对土地的占用所造成的第三者财产损失；</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由于发包人原因在施工场地及其毗邻地带造成的第三者人身伤亡和财产损失。</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90" w:name="_Toc10850"/>
      <w:bookmarkStart w:id="591" w:name="_Toc179632693"/>
      <w:bookmarkStart w:id="592" w:name="_Toc14515"/>
      <w:bookmarkStart w:id="593" w:name="_Toc144974643"/>
      <w:bookmarkStart w:id="594" w:name="_Toc100504178"/>
      <w:bookmarkStart w:id="595" w:name="_Toc152045675"/>
      <w:bookmarkStart w:id="596" w:name="_Toc152042453"/>
      <w:bookmarkStart w:id="597" w:name="_Toc19936"/>
      <w:r>
        <w:rPr>
          <w:rFonts w:eastAsia="宋体" w:cs="Times New Roman"/>
          <w:b/>
          <w:color w:val="000000" w:themeColor="text1"/>
          <w:szCs w:val="24"/>
          <w:highlight w:val="none"/>
          <w14:textFill>
            <w14:solidFill>
              <w14:schemeClr w14:val="tx1"/>
            </w14:solidFill>
          </w14:textFill>
        </w:rPr>
        <w:t>9.2 承包人的施工安全责任</w:t>
      </w:r>
      <w:bookmarkEnd w:id="590"/>
      <w:bookmarkEnd w:id="591"/>
      <w:bookmarkEnd w:id="592"/>
      <w:bookmarkEnd w:id="593"/>
      <w:bookmarkEnd w:id="594"/>
      <w:bookmarkEnd w:id="595"/>
      <w:bookmarkEnd w:id="596"/>
      <w:bookmarkEnd w:id="59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9.2.1 </w:t>
      </w:r>
      <w:r>
        <w:rPr>
          <w:rFonts w:hAnsi="宋体"/>
          <w:color w:val="000000" w:themeColor="text1"/>
          <w:sz w:val="24"/>
          <w:highlight w:val="none"/>
          <w14:textFill>
            <w14:solidFill>
              <w14:schemeClr w14:val="tx1"/>
            </w14:solidFill>
          </w14:textFill>
        </w:rPr>
        <w:t>承包人应按合同约定履行安全职责</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执行监理人有关安全工作的指示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并在专用合同条款约定的期限内，按合同约定的安全工作内容，编制施工安全措施计划报送监理人审批。</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9.2.2 </w:t>
      </w:r>
      <w:r>
        <w:rPr>
          <w:rFonts w:hAnsi="宋体"/>
          <w:color w:val="000000" w:themeColor="text1"/>
          <w:sz w:val="24"/>
          <w:highlight w:val="none"/>
          <w14:textFill>
            <w14:solidFill>
              <w14:schemeClr w14:val="tx1"/>
            </w14:solidFill>
          </w14:textFill>
        </w:rPr>
        <w:t>承包人应加强施工作业安全管理，特别应加强易燃、易爆材料、火工器材、有毒与腐蚀性材料和其他危险品的管理，以及对爆破作业和地下工程施工等危险作业的管理。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9.2.3 </w:t>
      </w:r>
      <w:r>
        <w:rPr>
          <w:rFonts w:hAnsi="宋体"/>
          <w:color w:val="000000" w:themeColor="text1"/>
          <w:sz w:val="24"/>
          <w:highlight w:val="none"/>
          <w14:textFill>
            <w14:solidFill>
              <w14:schemeClr w14:val="tx1"/>
            </w14:solidFill>
          </w14:textFill>
        </w:rPr>
        <w:t>承包人应严格按照国家安全标准制定施工安全操作规程，配备必要的安全生产和劳动保护设施，加强对承包人人员的安全教育，并发放安全工作手册和劳动保护用具。</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9.2.4 </w:t>
      </w:r>
      <w:r>
        <w:rPr>
          <w:rFonts w:hAnsi="宋体"/>
          <w:color w:val="000000" w:themeColor="text1"/>
          <w:sz w:val="24"/>
          <w:highlight w:val="none"/>
          <w14:textFill>
            <w14:solidFill>
              <w14:schemeClr w14:val="tx1"/>
            </w14:solidFill>
          </w14:textFill>
        </w:rPr>
        <w:t>承包人应按监理人的指示制定应对灾害的紧急预案，报送监理人审批。承包人还应按预案做好安全检查，配置必要的救助物资和器材，切实保护好有关人员的人身和财产安全。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9.2.5 </w:t>
      </w:r>
      <w:r>
        <w:rPr>
          <w:rFonts w:hAnsi="宋体"/>
          <w:color w:val="000000" w:themeColor="text1"/>
          <w:sz w:val="24"/>
          <w:highlight w:val="none"/>
          <w14:textFill>
            <w14:solidFill>
              <w14:schemeClr w14:val="tx1"/>
            </w14:solidFill>
          </w14:textFill>
        </w:rPr>
        <w:t>合同约定的安全作业环境及安全施工措施所需费用应遵守有关规定，并包括在相关工作的合同价格中。因采取合同未约定的安全作业环境及安全施工措施增加的费用，由监理人按第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9.2.6 </w:t>
      </w:r>
      <w:r>
        <w:rPr>
          <w:rFonts w:hAnsi="宋体"/>
          <w:color w:val="000000" w:themeColor="text1"/>
          <w:sz w:val="24"/>
          <w:highlight w:val="none"/>
          <w14:textFill>
            <w14:solidFill>
              <w14:schemeClr w14:val="tx1"/>
            </w14:solidFill>
          </w14:textFill>
        </w:rPr>
        <w:t>承包人应对其履行合同所雇佣的全部人员，包括分包人人员的工伤事故承担责任，但由于发包人原因造成承包人人员工伤事故的，应由发包人承担责任。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9.2.7 </w:t>
      </w:r>
      <w:r>
        <w:rPr>
          <w:rFonts w:hAnsi="宋体"/>
          <w:color w:val="000000" w:themeColor="text1"/>
          <w:sz w:val="24"/>
          <w:highlight w:val="none"/>
          <w14:textFill>
            <w14:solidFill>
              <w14:schemeClr w14:val="tx1"/>
            </w14:solidFill>
          </w14:textFill>
        </w:rPr>
        <w:t>由于承包人原因在施工场地内及其毗邻地带造成的第三者人员伤亡和财产损失，由承包人负责赔偿。</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598" w:name="_Toc8711"/>
      <w:bookmarkStart w:id="599" w:name="_Toc10314"/>
      <w:bookmarkStart w:id="600" w:name="_Toc152045676"/>
      <w:bookmarkStart w:id="601" w:name="_Toc27531"/>
      <w:bookmarkStart w:id="602" w:name="_Toc179632694"/>
      <w:bookmarkStart w:id="603" w:name="_Toc100504179"/>
      <w:bookmarkStart w:id="604" w:name="_Toc152042454"/>
      <w:bookmarkStart w:id="605" w:name="_Toc144974644"/>
      <w:r>
        <w:rPr>
          <w:rFonts w:eastAsia="宋体" w:cs="Times New Roman"/>
          <w:b/>
          <w:color w:val="000000" w:themeColor="text1"/>
          <w:szCs w:val="24"/>
          <w:highlight w:val="none"/>
          <w14:textFill>
            <w14:solidFill>
              <w14:schemeClr w14:val="tx1"/>
            </w14:solidFill>
          </w14:textFill>
        </w:rPr>
        <w:t>9.3 治安保卫</w:t>
      </w:r>
      <w:bookmarkEnd w:id="598"/>
      <w:bookmarkEnd w:id="599"/>
      <w:bookmarkEnd w:id="600"/>
      <w:bookmarkEnd w:id="601"/>
      <w:bookmarkEnd w:id="602"/>
      <w:bookmarkEnd w:id="603"/>
      <w:bookmarkEnd w:id="604"/>
      <w:bookmarkEnd w:id="60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9.3.1 </w:t>
      </w:r>
      <w:r>
        <w:rPr>
          <w:rFonts w:hAnsi="宋体"/>
          <w:color w:val="000000" w:themeColor="text1"/>
          <w:sz w:val="24"/>
          <w:highlight w:val="none"/>
          <w14:textFill>
            <w14:solidFill>
              <w14:schemeClr w14:val="tx1"/>
            </w14:solidFill>
          </w14:textFill>
        </w:rPr>
        <w:t>除合同另有约定外，发包人应与当地公安部门协商，在现场建立治安管理机构或联防组织，统一管理施工场地的治安保卫事项，履行合同工程的治安保卫职责。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9.3.2 </w:t>
      </w:r>
      <w:r>
        <w:rPr>
          <w:rFonts w:hAnsi="宋体"/>
          <w:color w:val="000000" w:themeColor="text1"/>
          <w:sz w:val="24"/>
          <w:highlight w:val="none"/>
          <w14:textFill>
            <w14:solidFill>
              <w14:schemeClr w14:val="tx1"/>
            </w14:solidFill>
          </w14:textFill>
        </w:rPr>
        <w:t>发包人和承包人除应协助现场治安管理机构或联防组织维护施工场地的社会治安外，还应做好包括生活区在内的各自管辖区的治安保卫工作。</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9.3.3 </w:t>
      </w:r>
      <w:r>
        <w:rPr>
          <w:rFonts w:hAnsi="宋体"/>
          <w:color w:val="000000" w:themeColor="text1"/>
          <w:sz w:val="24"/>
          <w:highlight w:val="none"/>
          <w14:textFill>
            <w14:solidFill>
              <w14:schemeClr w14:val="tx1"/>
            </w14:solidFill>
          </w14:textFill>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06" w:name="_Toc23040"/>
      <w:bookmarkStart w:id="607" w:name="_Toc6156"/>
      <w:bookmarkStart w:id="608" w:name="_Toc144974645"/>
      <w:bookmarkStart w:id="609" w:name="_Toc179632695"/>
      <w:bookmarkStart w:id="610" w:name="_Toc152042455"/>
      <w:bookmarkStart w:id="611" w:name="_Toc13326"/>
      <w:bookmarkStart w:id="612" w:name="_Toc100504180"/>
      <w:bookmarkStart w:id="613" w:name="_Toc152045677"/>
      <w:r>
        <w:rPr>
          <w:rFonts w:eastAsia="宋体" w:cs="Times New Roman"/>
          <w:b/>
          <w:color w:val="000000" w:themeColor="text1"/>
          <w:szCs w:val="24"/>
          <w:highlight w:val="none"/>
          <w14:textFill>
            <w14:solidFill>
              <w14:schemeClr w14:val="tx1"/>
            </w14:solidFill>
          </w14:textFill>
        </w:rPr>
        <w:t>9.4 环境保护</w:t>
      </w:r>
      <w:bookmarkEnd w:id="606"/>
      <w:bookmarkEnd w:id="607"/>
      <w:bookmarkEnd w:id="608"/>
      <w:bookmarkEnd w:id="609"/>
      <w:bookmarkEnd w:id="610"/>
      <w:bookmarkEnd w:id="611"/>
      <w:bookmarkEnd w:id="612"/>
      <w:bookmarkEnd w:id="61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9.4.1 </w:t>
      </w:r>
      <w:r>
        <w:rPr>
          <w:rFonts w:hAnsi="宋体"/>
          <w:color w:val="000000" w:themeColor="text1"/>
          <w:sz w:val="24"/>
          <w:highlight w:val="none"/>
          <w14:textFill>
            <w14:solidFill>
              <w14:schemeClr w14:val="tx1"/>
            </w14:solidFill>
          </w14:textFill>
        </w:rPr>
        <w:t>承包人在施工过程中，应遵守有关环境保护的法律，履行合同约定的环境保护义务，并对违反法律和合同约定义务所造成的环境破坏、人身伤害和财产损失负责。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9.4.2 </w:t>
      </w:r>
      <w:r>
        <w:rPr>
          <w:rFonts w:hAnsi="宋体"/>
          <w:color w:val="000000" w:themeColor="text1"/>
          <w:sz w:val="24"/>
          <w:highlight w:val="none"/>
          <w14:textFill>
            <w14:solidFill>
              <w14:schemeClr w14:val="tx1"/>
            </w14:solidFill>
          </w14:textFill>
        </w:rPr>
        <w:t>承包人应按合同约定的环保工作内容，编制施工环保措施计划，报送监理人审批。</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9.4.3 </w:t>
      </w:r>
      <w:r>
        <w:rPr>
          <w:rFonts w:hAnsi="宋体"/>
          <w:color w:val="000000" w:themeColor="text1"/>
          <w:sz w:val="24"/>
          <w:highlight w:val="none"/>
          <w14:textFill>
            <w14:solidFill>
              <w14:schemeClr w14:val="tx1"/>
            </w14:solidFill>
          </w14:textFill>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9.4.4 </w:t>
      </w:r>
      <w:r>
        <w:rPr>
          <w:rFonts w:hAnsi="宋体"/>
          <w:color w:val="000000" w:themeColor="text1"/>
          <w:sz w:val="24"/>
          <w:highlight w:val="none"/>
          <w14:textFill>
            <w14:solidFill>
              <w14:schemeClr w14:val="tx1"/>
            </w14:solidFill>
          </w14:textFill>
        </w:rPr>
        <w:t>承包人应按合同约定采取有效措施，对施工开挖的边坡及时进行支护</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维护排水设施，并进行水土保护，避免因施工造成的地质灾害。</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9.4.5 </w:t>
      </w:r>
      <w:r>
        <w:rPr>
          <w:rFonts w:hAnsi="宋体"/>
          <w:color w:val="000000" w:themeColor="text1"/>
          <w:sz w:val="24"/>
          <w:highlight w:val="none"/>
          <w14:textFill>
            <w14:solidFill>
              <w14:schemeClr w14:val="tx1"/>
            </w14:solidFill>
          </w14:textFill>
        </w:rPr>
        <w:t>承包人应按国家饮用水管理标准定期对饮用水源进行监测，防止施工活动污染饮用水源。</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9.4.6 </w:t>
      </w:r>
      <w:r>
        <w:rPr>
          <w:rFonts w:hAnsi="宋体"/>
          <w:color w:val="000000" w:themeColor="text1"/>
          <w:sz w:val="24"/>
          <w:highlight w:val="none"/>
          <w14:textFill>
            <w14:solidFill>
              <w14:schemeClr w14:val="tx1"/>
            </w14:solidFill>
          </w14:textFill>
        </w:rPr>
        <w:t>承包人应按合同约定，加强对噪声、粉尘、废气、废水和废油的控制，努力降低噪声，控制粉尘和废气浓度，做好废水和废油的治理和排放。</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14" w:name="_Toc179632696"/>
      <w:bookmarkStart w:id="615" w:name="_Toc152045678"/>
      <w:bookmarkStart w:id="616" w:name="_Toc6007"/>
      <w:bookmarkStart w:id="617" w:name="_Toc152042456"/>
      <w:bookmarkStart w:id="618" w:name="_Toc704"/>
      <w:bookmarkStart w:id="619" w:name="_Toc100504181"/>
      <w:bookmarkStart w:id="620" w:name="_Toc144974646"/>
      <w:bookmarkStart w:id="621" w:name="_Toc27092"/>
      <w:r>
        <w:rPr>
          <w:rFonts w:eastAsia="宋体" w:cs="Times New Roman"/>
          <w:b/>
          <w:color w:val="000000" w:themeColor="text1"/>
          <w:szCs w:val="24"/>
          <w:highlight w:val="none"/>
          <w14:textFill>
            <w14:solidFill>
              <w14:schemeClr w14:val="tx1"/>
            </w14:solidFill>
          </w14:textFill>
        </w:rPr>
        <w:t>9.5 事故处理</w:t>
      </w:r>
      <w:bookmarkEnd w:id="614"/>
      <w:bookmarkEnd w:id="615"/>
      <w:bookmarkEnd w:id="616"/>
      <w:bookmarkEnd w:id="617"/>
      <w:bookmarkEnd w:id="618"/>
      <w:bookmarkEnd w:id="619"/>
      <w:bookmarkEnd w:id="620"/>
      <w:bookmarkEnd w:id="62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622" w:name="_Toc31044"/>
      <w:bookmarkStart w:id="623" w:name="_Toc6185"/>
      <w:bookmarkStart w:id="624" w:name="_Toc179632697"/>
      <w:bookmarkStart w:id="625" w:name="_Toc2576"/>
      <w:bookmarkStart w:id="626" w:name="_Toc100504182"/>
      <w:bookmarkStart w:id="627" w:name="_Toc152045679"/>
      <w:bookmarkStart w:id="628" w:name="_Toc144974647"/>
      <w:bookmarkStart w:id="629" w:name="_Toc152042457"/>
      <w:r>
        <w:rPr>
          <w:rFonts w:hAnsi="宋体"/>
          <w:b/>
          <w:color w:val="000000" w:themeColor="text1"/>
          <w:sz w:val="24"/>
          <w:highlight w:val="none"/>
          <w14:textFill>
            <w14:solidFill>
              <w14:schemeClr w14:val="tx1"/>
            </w14:solidFill>
          </w14:textFill>
        </w:rPr>
        <w:t>10. 进度计划</w:t>
      </w:r>
      <w:bookmarkEnd w:id="622"/>
      <w:bookmarkEnd w:id="623"/>
      <w:bookmarkEnd w:id="624"/>
      <w:bookmarkEnd w:id="625"/>
      <w:bookmarkEnd w:id="626"/>
      <w:bookmarkEnd w:id="627"/>
      <w:bookmarkEnd w:id="628"/>
      <w:bookmarkEnd w:id="629"/>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30" w:name="_Toc179632698"/>
      <w:bookmarkStart w:id="631" w:name="_Toc23324"/>
      <w:bookmarkStart w:id="632" w:name="_Toc144974648"/>
      <w:bookmarkStart w:id="633" w:name="_Toc152045680"/>
      <w:bookmarkStart w:id="634" w:name="_Toc2282"/>
      <w:bookmarkStart w:id="635" w:name="_Toc25961"/>
      <w:bookmarkStart w:id="636" w:name="_Toc100504183"/>
      <w:bookmarkStart w:id="637" w:name="_Toc152042458"/>
      <w:r>
        <w:rPr>
          <w:rFonts w:eastAsia="宋体" w:cs="Times New Roman"/>
          <w:b/>
          <w:color w:val="000000" w:themeColor="text1"/>
          <w:szCs w:val="24"/>
          <w:highlight w:val="none"/>
          <w14:textFill>
            <w14:solidFill>
              <w14:schemeClr w14:val="tx1"/>
            </w14:solidFill>
          </w14:textFill>
        </w:rPr>
        <w:t>10.1 合同进度计划</w:t>
      </w:r>
      <w:bookmarkEnd w:id="630"/>
      <w:bookmarkEnd w:id="631"/>
      <w:bookmarkEnd w:id="632"/>
      <w:bookmarkEnd w:id="633"/>
      <w:bookmarkEnd w:id="634"/>
      <w:bookmarkEnd w:id="635"/>
      <w:bookmarkEnd w:id="636"/>
      <w:bookmarkEnd w:id="63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38" w:name="_Toc144974649"/>
      <w:bookmarkStart w:id="639" w:name="_Toc24543"/>
      <w:bookmarkStart w:id="640" w:name="_Toc152042459"/>
      <w:bookmarkStart w:id="641" w:name="_Toc24027"/>
      <w:bookmarkStart w:id="642" w:name="_Toc152045681"/>
      <w:bookmarkStart w:id="643" w:name="_Toc179632699"/>
      <w:bookmarkStart w:id="644" w:name="_Toc100504184"/>
      <w:bookmarkStart w:id="645" w:name="_Toc19672"/>
      <w:r>
        <w:rPr>
          <w:rFonts w:eastAsia="宋体" w:cs="Times New Roman"/>
          <w:b/>
          <w:color w:val="000000" w:themeColor="text1"/>
          <w:szCs w:val="24"/>
          <w:highlight w:val="none"/>
          <w14:textFill>
            <w14:solidFill>
              <w14:schemeClr w14:val="tx1"/>
            </w14:solidFill>
          </w14:textFill>
        </w:rPr>
        <w:t>10.2 合同进度计划的修订</w:t>
      </w:r>
      <w:bookmarkEnd w:id="638"/>
      <w:bookmarkEnd w:id="639"/>
      <w:bookmarkEnd w:id="640"/>
      <w:bookmarkEnd w:id="641"/>
      <w:bookmarkEnd w:id="642"/>
      <w:bookmarkEnd w:id="643"/>
      <w:bookmarkEnd w:id="644"/>
      <w:bookmarkEnd w:id="64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不论何种原因造成工程的实际进度与第</w:t>
      </w:r>
      <w:r>
        <w:rPr>
          <w:color w:val="000000" w:themeColor="text1"/>
          <w:sz w:val="24"/>
          <w:highlight w:val="none"/>
          <w14:textFill>
            <w14:solidFill>
              <w14:schemeClr w14:val="tx1"/>
            </w14:solidFill>
          </w14:textFill>
        </w:rPr>
        <w:t>10.1</w:t>
      </w:r>
      <w:r>
        <w:rPr>
          <w:rFonts w:hAnsi="宋体"/>
          <w:color w:val="000000" w:themeColor="text1"/>
          <w:sz w:val="24"/>
          <w:highlight w:val="none"/>
          <w14:textFill>
            <w14:solidFill>
              <w14:schemeClr w14:val="tx1"/>
            </w14:solidFill>
          </w14:textFill>
        </w:rPr>
        <w:t>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646" w:name="_Toc152045682"/>
      <w:bookmarkStart w:id="647" w:name="_Toc12871"/>
      <w:bookmarkStart w:id="648" w:name="_Toc18700"/>
      <w:bookmarkStart w:id="649" w:name="_Toc100504185"/>
      <w:bookmarkStart w:id="650" w:name="_Toc152042460"/>
      <w:bookmarkStart w:id="651" w:name="_Toc144974650"/>
      <w:bookmarkStart w:id="652" w:name="_Toc179632700"/>
      <w:bookmarkStart w:id="653" w:name="_Toc13180"/>
      <w:r>
        <w:rPr>
          <w:rFonts w:hAnsi="宋体"/>
          <w:b/>
          <w:color w:val="000000" w:themeColor="text1"/>
          <w:sz w:val="24"/>
          <w:highlight w:val="none"/>
          <w14:textFill>
            <w14:solidFill>
              <w14:schemeClr w14:val="tx1"/>
            </w14:solidFill>
          </w14:textFill>
        </w:rPr>
        <w:t>11. 开工和竣工</w:t>
      </w:r>
      <w:bookmarkEnd w:id="646"/>
      <w:bookmarkEnd w:id="647"/>
      <w:bookmarkEnd w:id="648"/>
      <w:bookmarkEnd w:id="649"/>
      <w:bookmarkEnd w:id="650"/>
      <w:bookmarkEnd w:id="651"/>
      <w:bookmarkEnd w:id="652"/>
      <w:bookmarkEnd w:id="653"/>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54" w:name="_Toc7400"/>
      <w:bookmarkStart w:id="655" w:name="_Toc144974651"/>
      <w:bookmarkStart w:id="656" w:name="_Toc179632701"/>
      <w:bookmarkStart w:id="657" w:name="_Toc21742"/>
      <w:bookmarkStart w:id="658" w:name="_Toc22079"/>
      <w:bookmarkStart w:id="659" w:name="_Toc152042461"/>
      <w:bookmarkStart w:id="660" w:name="_Toc100504186"/>
      <w:bookmarkStart w:id="661" w:name="_Toc152045683"/>
      <w:r>
        <w:rPr>
          <w:rFonts w:eastAsia="宋体" w:cs="Times New Roman"/>
          <w:b/>
          <w:color w:val="000000" w:themeColor="text1"/>
          <w:szCs w:val="24"/>
          <w:highlight w:val="none"/>
          <w14:textFill>
            <w14:solidFill>
              <w14:schemeClr w14:val="tx1"/>
            </w14:solidFill>
          </w14:textFill>
        </w:rPr>
        <w:t>11.1 开工</w:t>
      </w:r>
      <w:bookmarkEnd w:id="654"/>
      <w:bookmarkEnd w:id="655"/>
      <w:bookmarkEnd w:id="656"/>
      <w:bookmarkEnd w:id="657"/>
      <w:bookmarkEnd w:id="658"/>
      <w:bookmarkEnd w:id="659"/>
      <w:bookmarkEnd w:id="660"/>
      <w:bookmarkEnd w:id="66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11.1.1 </w:t>
      </w:r>
      <w:r>
        <w:rPr>
          <w:rFonts w:hAnsi="宋体"/>
          <w:color w:val="000000" w:themeColor="text1"/>
          <w:sz w:val="24"/>
          <w:highlight w:val="none"/>
          <w14:textFill>
            <w14:solidFill>
              <w14:schemeClr w14:val="tx1"/>
            </w14:solidFill>
          </w14:textFill>
        </w:rPr>
        <w:t>监理人应在开工日期</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天前向承包人发出开工通知。监理人在发出开工通知前应获得发包人同意。工期自监理人发出的开工通知中载明的开工日期起计算。承包人应在开工日期后尽快施工。</w:t>
      </w:r>
    </w:p>
    <w:p>
      <w:pPr>
        <w:spacing w:line="360" w:lineRule="auto"/>
        <w:ind w:firstLine="480" w:firstLineChars="200"/>
        <w:rPr>
          <w:color w:val="000000" w:themeColor="text1"/>
          <w:sz w:val="24"/>
          <w:highlight w:val="none"/>
          <w:shd w:val="pct10" w:color="auto" w:fill="FFFFFF"/>
          <w14:textFill>
            <w14:solidFill>
              <w14:schemeClr w14:val="tx1"/>
            </w14:solidFill>
          </w14:textFill>
        </w:rPr>
      </w:pPr>
      <w:r>
        <w:rPr>
          <w:color w:val="000000" w:themeColor="text1"/>
          <w:sz w:val="24"/>
          <w:highlight w:val="none"/>
          <w14:textFill>
            <w14:solidFill>
              <w14:schemeClr w14:val="tx1"/>
            </w14:solidFill>
          </w14:textFill>
        </w:rPr>
        <w:t xml:space="preserve">11.1.2 </w:t>
      </w:r>
      <w:r>
        <w:rPr>
          <w:rFonts w:hAnsi="宋体"/>
          <w:color w:val="000000" w:themeColor="text1"/>
          <w:sz w:val="24"/>
          <w:highlight w:val="none"/>
          <w14:textFill>
            <w14:solidFill>
              <w14:schemeClr w14:val="tx1"/>
            </w14:solidFill>
          </w14:textFill>
        </w:rPr>
        <w:t>承包人应按第</w:t>
      </w:r>
      <w:r>
        <w:rPr>
          <w:color w:val="000000" w:themeColor="text1"/>
          <w:sz w:val="24"/>
          <w:highlight w:val="none"/>
          <w14:textFill>
            <w14:solidFill>
              <w14:schemeClr w14:val="tx1"/>
            </w14:solidFill>
          </w14:textFill>
        </w:rPr>
        <w:t>10.1</w:t>
      </w:r>
      <w:r>
        <w:rPr>
          <w:rFonts w:hAnsi="宋体"/>
          <w:color w:val="000000" w:themeColor="text1"/>
          <w:sz w:val="24"/>
          <w:highlight w:val="none"/>
          <w14:textFill>
            <w14:solidFill>
              <w14:schemeClr w14:val="tx1"/>
            </w14:solidFill>
          </w14:textFill>
        </w:rPr>
        <w:t>款约定的合同进度计划，向监理人提交工程开工报审表，经监理人审批后执行。开工报审表应详细说明按合同进度计划正常施工所需的施工道路、临时设施、材料和工程设备、施工人员等施工组织措施的落实情况以及工程的进度安排。</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62" w:name="_Toc100504187"/>
      <w:bookmarkStart w:id="663" w:name="_Toc152042462"/>
      <w:bookmarkStart w:id="664" w:name="_Toc179632702"/>
      <w:bookmarkStart w:id="665" w:name="_Toc30139"/>
      <w:bookmarkStart w:id="666" w:name="_Toc144974652"/>
      <w:bookmarkStart w:id="667" w:name="_Toc152045684"/>
      <w:bookmarkStart w:id="668" w:name="_Toc5576"/>
      <w:bookmarkStart w:id="669" w:name="_Toc1005"/>
      <w:r>
        <w:rPr>
          <w:rFonts w:eastAsia="宋体" w:cs="Times New Roman"/>
          <w:b/>
          <w:color w:val="000000" w:themeColor="text1"/>
          <w:szCs w:val="24"/>
          <w:highlight w:val="none"/>
          <w14:textFill>
            <w14:solidFill>
              <w14:schemeClr w14:val="tx1"/>
            </w14:solidFill>
          </w14:textFill>
        </w:rPr>
        <w:t>11.2 竣工</w:t>
      </w:r>
      <w:bookmarkEnd w:id="662"/>
      <w:bookmarkEnd w:id="663"/>
      <w:bookmarkEnd w:id="664"/>
      <w:bookmarkEnd w:id="665"/>
      <w:bookmarkEnd w:id="666"/>
      <w:bookmarkEnd w:id="667"/>
      <w:bookmarkEnd w:id="668"/>
      <w:bookmarkEnd w:id="669"/>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承包人应在第</w:t>
      </w:r>
      <w:r>
        <w:rPr>
          <w:color w:val="000000" w:themeColor="text1"/>
          <w:sz w:val="24"/>
          <w:highlight w:val="none"/>
          <w14:textFill>
            <w14:solidFill>
              <w14:schemeClr w14:val="tx1"/>
            </w14:solidFill>
          </w14:textFill>
        </w:rPr>
        <w:t>1.1.4.3</w:t>
      </w:r>
      <w:r>
        <w:rPr>
          <w:rFonts w:hAnsi="宋体"/>
          <w:color w:val="000000" w:themeColor="text1"/>
          <w:sz w:val="24"/>
          <w:highlight w:val="none"/>
          <w14:textFill>
            <w14:solidFill>
              <w14:schemeClr w14:val="tx1"/>
            </w14:solidFill>
          </w14:textFill>
        </w:rPr>
        <w:t>目约定的期限内完成合同工程。实际竣工日期在接收证书中写明。</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70" w:name="_Toc19586"/>
      <w:bookmarkStart w:id="671" w:name="_Toc179632703"/>
      <w:bookmarkStart w:id="672" w:name="_Toc7311"/>
      <w:bookmarkStart w:id="673" w:name="_Toc32537"/>
      <w:bookmarkStart w:id="674" w:name="_Toc100504188"/>
      <w:bookmarkStart w:id="675" w:name="_Toc152042463"/>
      <w:bookmarkStart w:id="676" w:name="_Toc152045685"/>
      <w:bookmarkStart w:id="677" w:name="_Toc144974653"/>
      <w:r>
        <w:rPr>
          <w:rFonts w:eastAsia="宋体" w:cs="Times New Roman"/>
          <w:b/>
          <w:color w:val="000000" w:themeColor="text1"/>
          <w:szCs w:val="24"/>
          <w:highlight w:val="none"/>
          <w14:textFill>
            <w14:solidFill>
              <w14:schemeClr w14:val="tx1"/>
            </w14:solidFill>
          </w14:textFill>
        </w:rPr>
        <w:t>11.3 发包人的工期延误</w:t>
      </w:r>
      <w:bookmarkEnd w:id="670"/>
      <w:bookmarkEnd w:id="671"/>
      <w:bookmarkEnd w:id="672"/>
      <w:bookmarkEnd w:id="673"/>
      <w:bookmarkEnd w:id="674"/>
      <w:bookmarkEnd w:id="675"/>
      <w:bookmarkEnd w:id="676"/>
      <w:bookmarkEnd w:id="67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在履行合同过程中，由于发包人的下列原因造成工期延误的，承包人有权要求发包人延长工期和（或）增加费用，并支付合理利润。需要修订合同进度计划的，按照第</w:t>
      </w:r>
      <w:r>
        <w:rPr>
          <w:color w:val="000000" w:themeColor="text1"/>
          <w:sz w:val="24"/>
          <w:highlight w:val="none"/>
          <w14:textFill>
            <w14:solidFill>
              <w14:schemeClr w14:val="tx1"/>
            </w14:solidFill>
          </w14:textFill>
        </w:rPr>
        <w:t>10.2</w:t>
      </w:r>
      <w:r>
        <w:rPr>
          <w:rFonts w:hAnsi="宋体"/>
          <w:color w:val="000000" w:themeColor="text1"/>
          <w:sz w:val="24"/>
          <w:highlight w:val="none"/>
          <w14:textFill>
            <w14:solidFill>
              <w14:schemeClr w14:val="tx1"/>
            </w14:solidFill>
          </w14:textFill>
        </w:rPr>
        <w:t>款的约定办理。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）增加合同工作内容；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）改变合同中任何一项工作的质量要求或其他特性；</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）发包人迟延提供材料、工程设备或变更交货地点的；</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）因发包人原因导致的暂停施工；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）提供图纸延误；</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）未按合同约定及时支付预付款、进度款；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）发包人造成工期延误的其他原因。</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78" w:name="_Toc32586"/>
      <w:bookmarkStart w:id="679" w:name="_Toc25070"/>
      <w:bookmarkStart w:id="680" w:name="_Toc144974654"/>
      <w:bookmarkStart w:id="681" w:name="_Toc11575"/>
      <w:bookmarkStart w:id="682" w:name="_Toc152045686"/>
      <w:bookmarkStart w:id="683" w:name="_Toc100504189"/>
      <w:bookmarkStart w:id="684" w:name="_Toc152042464"/>
      <w:bookmarkStart w:id="685" w:name="_Toc179632704"/>
      <w:r>
        <w:rPr>
          <w:rFonts w:eastAsia="宋体" w:cs="Times New Roman"/>
          <w:b/>
          <w:color w:val="000000" w:themeColor="text1"/>
          <w:szCs w:val="24"/>
          <w:highlight w:val="none"/>
          <w14:textFill>
            <w14:solidFill>
              <w14:schemeClr w14:val="tx1"/>
            </w14:solidFill>
          </w14:textFill>
        </w:rPr>
        <w:t>11.4 异常恶劣的气候条件</w:t>
      </w:r>
      <w:bookmarkEnd w:id="678"/>
      <w:bookmarkEnd w:id="679"/>
      <w:bookmarkEnd w:id="680"/>
      <w:bookmarkEnd w:id="681"/>
      <w:bookmarkEnd w:id="682"/>
      <w:bookmarkEnd w:id="683"/>
      <w:bookmarkEnd w:id="684"/>
      <w:bookmarkEnd w:id="685"/>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由于出现专用合同条款规定的异常恶劣气候的条件导致工期延误的，承包人有权要求发包人延长工期。</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86" w:name="_Toc179632705"/>
      <w:bookmarkStart w:id="687" w:name="_Toc144974655"/>
      <w:bookmarkStart w:id="688" w:name="_Toc23450"/>
      <w:bookmarkStart w:id="689" w:name="_Toc18222"/>
      <w:bookmarkStart w:id="690" w:name="_Toc100504190"/>
      <w:bookmarkStart w:id="691" w:name="_Toc28937"/>
      <w:bookmarkStart w:id="692" w:name="_Toc152045687"/>
      <w:bookmarkStart w:id="693" w:name="_Toc152042465"/>
      <w:r>
        <w:rPr>
          <w:rFonts w:eastAsia="宋体" w:cs="Times New Roman"/>
          <w:b/>
          <w:color w:val="000000" w:themeColor="text1"/>
          <w:szCs w:val="24"/>
          <w:highlight w:val="none"/>
          <w14:textFill>
            <w14:solidFill>
              <w14:schemeClr w14:val="tx1"/>
            </w14:solidFill>
          </w14:textFill>
        </w:rPr>
        <w:t>11.5 承包人的工期延误</w:t>
      </w:r>
      <w:bookmarkEnd w:id="686"/>
      <w:bookmarkEnd w:id="687"/>
      <w:bookmarkEnd w:id="688"/>
      <w:bookmarkEnd w:id="689"/>
      <w:bookmarkEnd w:id="690"/>
      <w:bookmarkEnd w:id="691"/>
      <w:bookmarkEnd w:id="692"/>
      <w:bookmarkEnd w:id="69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694" w:name="_Toc144974656"/>
      <w:bookmarkStart w:id="695" w:name="_Toc362"/>
      <w:bookmarkStart w:id="696" w:name="_Toc3722"/>
      <w:bookmarkStart w:id="697" w:name="_Toc11894"/>
      <w:bookmarkStart w:id="698" w:name="_Toc100504191"/>
      <w:bookmarkStart w:id="699" w:name="_Toc152042466"/>
      <w:bookmarkStart w:id="700" w:name="_Toc179632706"/>
      <w:bookmarkStart w:id="701" w:name="_Toc152045688"/>
      <w:r>
        <w:rPr>
          <w:rFonts w:eastAsia="宋体" w:cs="Times New Roman"/>
          <w:b/>
          <w:color w:val="000000" w:themeColor="text1"/>
          <w:szCs w:val="24"/>
          <w:highlight w:val="none"/>
          <w14:textFill>
            <w14:solidFill>
              <w14:schemeClr w14:val="tx1"/>
            </w14:solidFill>
          </w14:textFill>
        </w:rPr>
        <w:t>11.6</w:t>
      </w:r>
      <w:bookmarkEnd w:id="694"/>
      <w:bookmarkStart w:id="702" w:name="_Toc144974657"/>
      <w:r>
        <w:rPr>
          <w:rFonts w:eastAsia="宋体" w:cs="Times New Roman"/>
          <w:b/>
          <w:color w:val="000000" w:themeColor="text1"/>
          <w:szCs w:val="24"/>
          <w:highlight w:val="none"/>
          <w14:textFill>
            <w14:solidFill>
              <w14:schemeClr w14:val="tx1"/>
            </w14:solidFill>
          </w14:textFill>
        </w:rPr>
        <w:t xml:space="preserve"> 工期提前</w:t>
      </w:r>
      <w:bookmarkEnd w:id="695"/>
      <w:bookmarkEnd w:id="696"/>
      <w:bookmarkEnd w:id="697"/>
      <w:bookmarkEnd w:id="698"/>
      <w:bookmarkEnd w:id="699"/>
      <w:bookmarkEnd w:id="700"/>
      <w:bookmarkEnd w:id="701"/>
      <w:bookmarkEnd w:id="702"/>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r>
        <w:rPr>
          <w:color w:val="000000" w:themeColor="text1"/>
          <w:sz w:val="24"/>
          <w:highlight w:val="none"/>
          <w14:textFill>
            <w14:solidFill>
              <w14:schemeClr w14:val="tx1"/>
            </w14:solidFill>
          </w14:textFill>
        </w:rPr>
        <w:t xml:space="preserve"> </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703" w:name="_Toc152045689"/>
      <w:bookmarkStart w:id="704" w:name="_Toc27489"/>
      <w:bookmarkStart w:id="705" w:name="_Toc152042467"/>
      <w:bookmarkStart w:id="706" w:name="_Toc179632707"/>
      <w:bookmarkStart w:id="707" w:name="_Toc144974658"/>
      <w:bookmarkStart w:id="708" w:name="_Toc19858"/>
      <w:bookmarkStart w:id="709" w:name="_Toc100504192"/>
      <w:bookmarkStart w:id="710" w:name="_Toc11135"/>
      <w:r>
        <w:rPr>
          <w:rFonts w:hAnsi="宋体"/>
          <w:b/>
          <w:color w:val="000000" w:themeColor="text1"/>
          <w:sz w:val="24"/>
          <w:highlight w:val="none"/>
          <w14:textFill>
            <w14:solidFill>
              <w14:schemeClr w14:val="tx1"/>
            </w14:solidFill>
          </w14:textFill>
        </w:rPr>
        <w:t>12. 暂停施工</w:t>
      </w:r>
      <w:bookmarkEnd w:id="703"/>
      <w:bookmarkEnd w:id="704"/>
      <w:bookmarkEnd w:id="705"/>
      <w:bookmarkEnd w:id="706"/>
      <w:bookmarkEnd w:id="707"/>
      <w:bookmarkEnd w:id="708"/>
      <w:bookmarkEnd w:id="709"/>
      <w:bookmarkEnd w:id="71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11" w:name="_Toc152045690"/>
      <w:bookmarkStart w:id="712" w:name="_Toc3938"/>
      <w:bookmarkStart w:id="713" w:name="_Toc8659"/>
      <w:bookmarkStart w:id="714" w:name="_Toc179632708"/>
      <w:bookmarkStart w:id="715" w:name="_Toc3447"/>
      <w:bookmarkStart w:id="716" w:name="_Toc152042468"/>
      <w:bookmarkStart w:id="717" w:name="_Toc100504193"/>
      <w:bookmarkStart w:id="718" w:name="_Toc144974659"/>
      <w:r>
        <w:rPr>
          <w:rFonts w:eastAsia="宋体" w:cs="Times New Roman"/>
          <w:b/>
          <w:color w:val="000000" w:themeColor="text1"/>
          <w:szCs w:val="24"/>
          <w:highlight w:val="none"/>
          <w14:textFill>
            <w14:solidFill>
              <w14:schemeClr w14:val="tx1"/>
            </w14:solidFill>
          </w14:textFill>
        </w:rPr>
        <w:t>12.1 承包人暂停施工的责任</w:t>
      </w:r>
      <w:bookmarkEnd w:id="711"/>
      <w:bookmarkEnd w:id="712"/>
      <w:bookmarkEnd w:id="713"/>
      <w:bookmarkEnd w:id="714"/>
      <w:bookmarkEnd w:id="715"/>
      <w:bookmarkEnd w:id="716"/>
      <w:bookmarkEnd w:id="717"/>
      <w:bookmarkEnd w:id="718"/>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因下列暂停施工增加的费用和（或）工期延误由承包人承担：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）承包人违约引起的暂停施工；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）由于承包人原因为工程合理施工和安全保障所必需的暂停施工；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）承包人擅自暂停施工；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）承包人其他原因引起的暂停施工；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）专用合同条款约定由承包人承担的其他暂停施工。</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19" w:name="_Toc13154"/>
      <w:bookmarkStart w:id="720" w:name="_Toc179632709"/>
      <w:bookmarkStart w:id="721" w:name="_Toc152042469"/>
      <w:bookmarkStart w:id="722" w:name="_Toc144974660"/>
      <w:bookmarkStart w:id="723" w:name="_Toc152045691"/>
      <w:bookmarkStart w:id="724" w:name="_Toc100504194"/>
      <w:bookmarkStart w:id="725" w:name="_Toc16113"/>
      <w:bookmarkStart w:id="726" w:name="_Toc24393"/>
      <w:r>
        <w:rPr>
          <w:rFonts w:eastAsia="宋体" w:cs="Times New Roman"/>
          <w:b/>
          <w:color w:val="000000" w:themeColor="text1"/>
          <w:szCs w:val="24"/>
          <w:highlight w:val="none"/>
          <w14:textFill>
            <w14:solidFill>
              <w14:schemeClr w14:val="tx1"/>
            </w14:solidFill>
          </w14:textFill>
        </w:rPr>
        <w:t>12.2 发包人暂停施工的责任</w:t>
      </w:r>
      <w:bookmarkEnd w:id="719"/>
      <w:bookmarkEnd w:id="720"/>
      <w:bookmarkEnd w:id="721"/>
      <w:bookmarkEnd w:id="722"/>
      <w:bookmarkEnd w:id="723"/>
      <w:bookmarkEnd w:id="724"/>
      <w:bookmarkEnd w:id="725"/>
      <w:bookmarkEnd w:id="72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由于发包人原因引起的暂停施工造成工期延误的，承包人有权要求发包人延长工期和（或）增加费用，并支付合理利润。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27" w:name="_Toc28711"/>
      <w:bookmarkStart w:id="728" w:name="_Toc100504195"/>
      <w:bookmarkStart w:id="729" w:name="_Toc152042470"/>
      <w:bookmarkStart w:id="730" w:name="_Toc6406"/>
      <w:bookmarkStart w:id="731" w:name="_Toc22289"/>
      <w:bookmarkStart w:id="732" w:name="_Toc144974661"/>
      <w:bookmarkStart w:id="733" w:name="_Toc152045692"/>
      <w:bookmarkStart w:id="734" w:name="_Toc179632710"/>
      <w:r>
        <w:rPr>
          <w:rFonts w:eastAsia="宋体" w:cs="Times New Roman"/>
          <w:b/>
          <w:color w:val="000000" w:themeColor="text1"/>
          <w:szCs w:val="24"/>
          <w:highlight w:val="none"/>
          <w14:textFill>
            <w14:solidFill>
              <w14:schemeClr w14:val="tx1"/>
            </w14:solidFill>
          </w14:textFill>
        </w:rPr>
        <w:t>12.3 监理人暂停施工指示</w:t>
      </w:r>
      <w:bookmarkEnd w:id="727"/>
      <w:bookmarkEnd w:id="728"/>
      <w:bookmarkEnd w:id="729"/>
      <w:bookmarkEnd w:id="730"/>
      <w:bookmarkEnd w:id="731"/>
      <w:bookmarkEnd w:id="732"/>
      <w:bookmarkEnd w:id="733"/>
      <w:bookmarkEnd w:id="734"/>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12.3.1 </w:t>
      </w:r>
      <w:r>
        <w:rPr>
          <w:rFonts w:hAnsi="宋体"/>
          <w:color w:val="000000" w:themeColor="text1"/>
          <w:sz w:val="24"/>
          <w:highlight w:val="none"/>
          <w14:textFill>
            <w14:solidFill>
              <w14:schemeClr w14:val="tx1"/>
            </w14:solidFill>
          </w14:textFill>
        </w:rPr>
        <w:t>监理人认为有必要时，可向承包人作出暂停施工的指示，承包人应按监理人指示暂停施工。不论由于何种原因引起的暂停施工，暂停施工期间承包人应负责妥善保护工程并提供安全保障。</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12.3.2 </w:t>
      </w:r>
      <w:r>
        <w:rPr>
          <w:rFonts w:hAnsi="宋体"/>
          <w:color w:val="000000" w:themeColor="text1"/>
          <w:sz w:val="24"/>
          <w:highlight w:val="none"/>
          <w14:textFill>
            <w14:solidFill>
              <w14:schemeClr w14:val="tx1"/>
            </w14:solidFill>
          </w14:textFill>
        </w:rPr>
        <w:t>由于发包人的原因发生暂停施工的紧急情况，且监理人未及时下达暂停施工指示的，承包人可先暂停施工，并及时向监理人提出暂停施工的书面请求。监理人应在接到书面请求后的</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小时内予以答复，逾期未答复的，视为同意承包人的暂停施工请求。</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35" w:name="_Toc152042471"/>
      <w:bookmarkStart w:id="736" w:name="_Toc144974662"/>
      <w:bookmarkStart w:id="737" w:name="_Toc152045693"/>
      <w:bookmarkStart w:id="738" w:name="_Toc68"/>
      <w:bookmarkStart w:id="739" w:name="_Toc11803"/>
      <w:bookmarkStart w:id="740" w:name="_Toc27312"/>
      <w:bookmarkStart w:id="741" w:name="_Toc179632711"/>
      <w:bookmarkStart w:id="742" w:name="_Toc100504196"/>
      <w:r>
        <w:rPr>
          <w:rFonts w:eastAsia="宋体" w:cs="Times New Roman"/>
          <w:b/>
          <w:color w:val="000000" w:themeColor="text1"/>
          <w:szCs w:val="24"/>
          <w:highlight w:val="none"/>
          <w14:textFill>
            <w14:solidFill>
              <w14:schemeClr w14:val="tx1"/>
            </w14:solidFill>
          </w14:textFill>
        </w:rPr>
        <w:t>12.4 暂停施工后的复工</w:t>
      </w:r>
      <w:bookmarkEnd w:id="735"/>
      <w:bookmarkEnd w:id="736"/>
      <w:bookmarkEnd w:id="737"/>
      <w:bookmarkEnd w:id="738"/>
      <w:bookmarkEnd w:id="739"/>
      <w:bookmarkEnd w:id="740"/>
      <w:bookmarkEnd w:id="741"/>
      <w:bookmarkEnd w:id="74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12.4.1 </w:t>
      </w:r>
      <w:r>
        <w:rPr>
          <w:rFonts w:hAnsi="宋体"/>
          <w:color w:val="000000" w:themeColor="text1"/>
          <w:sz w:val="24"/>
          <w:highlight w:val="none"/>
          <w14:textFill>
            <w14:solidFill>
              <w14:schemeClr w14:val="tx1"/>
            </w14:solidFill>
          </w14:textFill>
        </w:rPr>
        <w:t>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12.4.2 </w:t>
      </w:r>
      <w:r>
        <w:rPr>
          <w:rFonts w:hAnsi="宋体"/>
          <w:color w:val="000000" w:themeColor="text1"/>
          <w:sz w:val="24"/>
          <w:highlight w:val="none"/>
          <w14:textFill>
            <w14:solidFill>
              <w14:schemeClr w14:val="tx1"/>
            </w14:solidFill>
          </w14:textFill>
        </w:rPr>
        <w:t>承包人无故拖延和拒绝复工的，由此增加的费用和工期延误由承包人承担；因发包人原因无法按时复工的，承包人有权要求发包人延长工期和（或）增加费用，并支付合理利润。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43" w:name="_Toc179632712"/>
      <w:bookmarkStart w:id="744" w:name="_Toc152042472"/>
      <w:bookmarkStart w:id="745" w:name="_Toc152045694"/>
      <w:bookmarkStart w:id="746" w:name="_Toc27746"/>
      <w:bookmarkStart w:id="747" w:name="_Toc100504197"/>
      <w:bookmarkStart w:id="748" w:name="_Toc144974663"/>
      <w:bookmarkStart w:id="749" w:name="_Toc27294"/>
      <w:bookmarkStart w:id="750" w:name="_Toc11031"/>
      <w:r>
        <w:rPr>
          <w:rFonts w:eastAsia="宋体" w:cs="Times New Roman"/>
          <w:b/>
          <w:color w:val="000000" w:themeColor="text1"/>
          <w:szCs w:val="24"/>
          <w:highlight w:val="none"/>
          <w14:textFill>
            <w14:solidFill>
              <w14:schemeClr w14:val="tx1"/>
            </w14:solidFill>
          </w14:textFill>
        </w:rPr>
        <w:t>12.5 暂停施工持续56天以上</w:t>
      </w:r>
      <w:bookmarkEnd w:id="743"/>
      <w:bookmarkEnd w:id="744"/>
      <w:bookmarkEnd w:id="745"/>
      <w:bookmarkEnd w:id="746"/>
      <w:bookmarkEnd w:id="747"/>
      <w:bookmarkEnd w:id="748"/>
      <w:bookmarkEnd w:id="749"/>
      <w:bookmarkEnd w:id="75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12.5.1 </w:t>
      </w:r>
      <w:r>
        <w:rPr>
          <w:rFonts w:hAnsi="宋体"/>
          <w:color w:val="000000" w:themeColor="text1"/>
          <w:sz w:val="24"/>
          <w:highlight w:val="none"/>
          <w14:textFill>
            <w14:solidFill>
              <w14:schemeClr w14:val="tx1"/>
            </w14:solidFill>
          </w14:textFill>
        </w:rPr>
        <w:t>监理人发出暂停施工指示后</w:t>
      </w:r>
      <w:r>
        <w:rPr>
          <w:color w:val="000000" w:themeColor="text1"/>
          <w:sz w:val="24"/>
          <w:highlight w:val="none"/>
          <w14:textFill>
            <w14:solidFill>
              <w14:schemeClr w14:val="tx1"/>
            </w14:solidFill>
          </w14:textFill>
        </w:rPr>
        <w:t>56</w:t>
      </w:r>
      <w:r>
        <w:rPr>
          <w:rFonts w:hAnsi="宋体"/>
          <w:color w:val="000000" w:themeColor="text1"/>
          <w:sz w:val="24"/>
          <w:highlight w:val="none"/>
          <w14:textFill>
            <w14:solidFill>
              <w14:schemeClr w14:val="tx1"/>
            </w14:solidFill>
          </w14:textFill>
        </w:rPr>
        <w:t>天内未向承包人发出复工通知，除了该项停工属于第</w:t>
      </w:r>
      <w:r>
        <w:rPr>
          <w:color w:val="000000" w:themeColor="text1"/>
          <w:sz w:val="24"/>
          <w:highlight w:val="none"/>
          <w14:textFill>
            <w14:solidFill>
              <w14:schemeClr w14:val="tx1"/>
            </w14:solidFill>
          </w14:textFill>
        </w:rPr>
        <w:t>12.1</w:t>
      </w:r>
      <w:r>
        <w:rPr>
          <w:rFonts w:hAnsi="宋体"/>
          <w:color w:val="000000" w:themeColor="text1"/>
          <w:sz w:val="24"/>
          <w:highlight w:val="none"/>
          <w14:textFill>
            <w14:solidFill>
              <w14:schemeClr w14:val="tx1"/>
            </w14:solidFill>
          </w14:textFill>
        </w:rPr>
        <w:t>款的情况外，承包人可向监理人提交书面通知，要求监理人在收到书面通知后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天内准许已暂停施工的工程或其中一部分工程继续施工。如监理人逾期不予批准，则承包人可以通知监理人，将工程受影响的部分视为按第</w:t>
      </w:r>
      <w:r>
        <w:rPr>
          <w:color w:val="000000" w:themeColor="text1"/>
          <w:sz w:val="24"/>
          <w:highlight w:val="none"/>
          <w14:textFill>
            <w14:solidFill>
              <w14:schemeClr w14:val="tx1"/>
            </w14:solidFill>
          </w14:textFill>
        </w:rPr>
        <w:t>15.1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）项的可取消工作。如暂停施工影响到整个工程，可视为发包人违约，应按第</w:t>
      </w:r>
      <w:r>
        <w:rPr>
          <w:color w:val="000000" w:themeColor="text1"/>
          <w:sz w:val="24"/>
          <w:highlight w:val="none"/>
          <w14:textFill>
            <w14:solidFill>
              <w14:schemeClr w14:val="tx1"/>
            </w14:solidFill>
          </w14:textFill>
        </w:rPr>
        <w:t>22.2</w:t>
      </w:r>
      <w:r>
        <w:rPr>
          <w:rFonts w:hAnsi="宋体"/>
          <w:color w:val="000000" w:themeColor="text1"/>
          <w:sz w:val="24"/>
          <w:highlight w:val="none"/>
          <w14:textFill>
            <w14:solidFill>
              <w14:schemeClr w14:val="tx1"/>
            </w14:solidFill>
          </w14:textFill>
        </w:rPr>
        <w:t>款的规定办理。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12.5.2 </w:t>
      </w:r>
      <w:r>
        <w:rPr>
          <w:rFonts w:hAnsi="宋体"/>
          <w:color w:val="000000" w:themeColor="text1"/>
          <w:sz w:val="24"/>
          <w:highlight w:val="none"/>
          <w14:textFill>
            <w14:solidFill>
              <w14:schemeClr w14:val="tx1"/>
            </w14:solidFill>
          </w14:textFill>
        </w:rPr>
        <w:t>由于承包人责任引起的暂停施工，如承包人在收到监理人暂停施工指示后</w:t>
      </w:r>
      <w:r>
        <w:rPr>
          <w:color w:val="000000" w:themeColor="text1"/>
          <w:sz w:val="24"/>
          <w:highlight w:val="none"/>
          <w14:textFill>
            <w14:solidFill>
              <w14:schemeClr w14:val="tx1"/>
            </w14:solidFill>
          </w14:textFill>
        </w:rPr>
        <w:t>56</w:t>
      </w:r>
      <w:r>
        <w:rPr>
          <w:rFonts w:hAnsi="宋体"/>
          <w:color w:val="000000" w:themeColor="text1"/>
          <w:sz w:val="24"/>
          <w:highlight w:val="none"/>
          <w14:textFill>
            <w14:solidFill>
              <w14:schemeClr w14:val="tx1"/>
            </w14:solidFill>
          </w14:textFill>
        </w:rPr>
        <w:t>天内不认真采取有效的复工措施，造成工期延误，可视为承包人违约，应按第</w:t>
      </w:r>
      <w:r>
        <w:rPr>
          <w:color w:val="000000" w:themeColor="text1"/>
          <w:sz w:val="24"/>
          <w:highlight w:val="none"/>
          <w14:textFill>
            <w14:solidFill>
              <w14:schemeClr w14:val="tx1"/>
            </w14:solidFill>
          </w14:textFill>
        </w:rPr>
        <w:t>22.1</w:t>
      </w:r>
      <w:r>
        <w:rPr>
          <w:rFonts w:hAnsi="宋体"/>
          <w:color w:val="000000" w:themeColor="text1"/>
          <w:sz w:val="24"/>
          <w:highlight w:val="none"/>
          <w14:textFill>
            <w14:solidFill>
              <w14:schemeClr w14:val="tx1"/>
            </w14:solidFill>
          </w14:textFill>
        </w:rPr>
        <w:t>款的规定办理。</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751" w:name="_Toc152045695"/>
      <w:bookmarkStart w:id="752" w:name="_Toc152042473"/>
      <w:bookmarkStart w:id="753" w:name="_Toc100504198"/>
      <w:bookmarkStart w:id="754" w:name="_Toc5512"/>
      <w:bookmarkStart w:id="755" w:name="_Toc30565"/>
      <w:bookmarkStart w:id="756" w:name="_Toc179632713"/>
      <w:bookmarkStart w:id="757" w:name="_Toc144974664"/>
      <w:bookmarkStart w:id="758" w:name="_Toc31640"/>
      <w:r>
        <w:rPr>
          <w:rFonts w:hAnsi="宋体"/>
          <w:b/>
          <w:color w:val="000000" w:themeColor="text1"/>
          <w:sz w:val="24"/>
          <w:highlight w:val="none"/>
          <w14:textFill>
            <w14:solidFill>
              <w14:schemeClr w14:val="tx1"/>
            </w14:solidFill>
          </w14:textFill>
        </w:rPr>
        <w:t>13. 工程质量</w:t>
      </w:r>
      <w:bookmarkEnd w:id="751"/>
      <w:bookmarkEnd w:id="752"/>
      <w:bookmarkEnd w:id="753"/>
      <w:bookmarkEnd w:id="754"/>
      <w:bookmarkEnd w:id="755"/>
      <w:bookmarkEnd w:id="756"/>
      <w:bookmarkEnd w:id="757"/>
      <w:bookmarkEnd w:id="758"/>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59" w:name="_Toc26877"/>
      <w:bookmarkStart w:id="760" w:name="_Toc13455"/>
      <w:bookmarkStart w:id="761" w:name="_Toc152042474"/>
      <w:bookmarkStart w:id="762" w:name="_Toc6262"/>
      <w:bookmarkStart w:id="763" w:name="_Toc100504199"/>
      <w:bookmarkStart w:id="764" w:name="_Toc152045696"/>
      <w:bookmarkStart w:id="765" w:name="_Toc144974665"/>
      <w:bookmarkStart w:id="766" w:name="_Toc179632714"/>
      <w:r>
        <w:rPr>
          <w:rFonts w:eastAsia="宋体" w:cs="Times New Roman"/>
          <w:b/>
          <w:color w:val="000000" w:themeColor="text1"/>
          <w:szCs w:val="24"/>
          <w:highlight w:val="none"/>
          <w14:textFill>
            <w14:solidFill>
              <w14:schemeClr w14:val="tx1"/>
            </w14:solidFill>
          </w14:textFill>
        </w:rPr>
        <w:t>13.1 工程质量要求</w:t>
      </w:r>
      <w:bookmarkEnd w:id="759"/>
      <w:bookmarkEnd w:id="760"/>
      <w:bookmarkEnd w:id="761"/>
      <w:bookmarkEnd w:id="762"/>
      <w:bookmarkEnd w:id="763"/>
      <w:bookmarkEnd w:id="764"/>
      <w:bookmarkEnd w:id="765"/>
      <w:bookmarkEnd w:id="76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13.1.1 </w:t>
      </w:r>
      <w:r>
        <w:rPr>
          <w:rFonts w:hAnsi="宋体"/>
          <w:color w:val="000000" w:themeColor="text1"/>
          <w:sz w:val="24"/>
          <w:highlight w:val="none"/>
          <w14:textFill>
            <w14:solidFill>
              <w14:schemeClr w14:val="tx1"/>
            </w14:solidFill>
          </w14:textFill>
        </w:rPr>
        <w:t>工程质量验收按合同约定验收标准执行。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13.1.2 </w:t>
      </w:r>
      <w:r>
        <w:rPr>
          <w:rFonts w:hAnsi="宋体"/>
          <w:color w:val="000000" w:themeColor="text1"/>
          <w:sz w:val="24"/>
          <w:highlight w:val="none"/>
          <w14:textFill>
            <w14:solidFill>
              <w14:schemeClr w14:val="tx1"/>
            </w14:solidFill>
          </w14:textFill>
        </w:rPr>
        <w:t>因承包人原因造成工程质量达不到合同约定验收标准的，监理人有权要求承包人返工直至符合合同要求为止，由此造成的费用增加和（或）工期延误由承包人承担。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13.1.3 </w:t>
      </w:r>
      <w:r>
        <w:rPr>
          <w:rFonts w:hAnsi="宋体"/>
          <w:color w:val="000000" w:themeColor="text1"/>
          <w:sz w:val="24"/>
          <w:highlight w:val="none"/>
          <w14:textFill>
            <w14:solidFill>
              <w14:schemeClr w14:val="tx1"/>
            </w14:solidFill>
          </w14:textFill>
        </w:rPr>
        <w:t>因发包人原因造成工程质量达不到合同约定验收标准的，发包人应承担由于承包人返工造成的费用增加和（或）工期延误，并支付承包人合理利润。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67" w:name="_Toc30469"/>
      <w:bookmarkStart w:id="768" w:name="_Toc152042475"/>
      <w:bookmarkStart w:id="769" w:name="_Toc100504200"/>
      <w:bookmarkStart w:id="770" w:name="_Toc144974666"/>
      <w:bookmarkStart w:id="771" w:name="_Toc152045697"/>
      <w:bookmarkStart w:id="772" w:name="_Toc21193"/>
      <w:bookmarkStart w:id="773" w:name="_Toc9393"/>
      <w:bookmarkStart w:id="774" w:name="_Toc179632715"/>
      <w:r>
        <w:rPr>
          <w:rFonts w:eastAsia="宋体" w:cs="Times New Roman"/>
          <w:b/>
          <w:color w:val="000000" w:themeColor="text1"/>
          <w:szCs w:val="24"/>
          <w:highlight w:val="none"/>
          <w14:textFill>
            <w14:solidFill>
              <w14:schemeClr w14:val="tx1"/>
            </w14:solidFill>
          </w14:textFill>
        </w:rPr>
        <w:t>13.2 承包人的质量管理</w:t>
      </w:r>
      <w:bookmarkEnd w:id="767"/>
      <w:bookmarkEnd w:id="768"/>
      <w:bookmarkEnd w:id="769"/>
      <w:bookmarkEnd w:id="770"/>
      <w:bookmarkEnd w:id="771"/>
      <w:bookmarkEnd w:id="772"/>
      <w:bookmarkEnd w:id="773"/>
      <w:bookmarkEnd w:id="774"/>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13.2.1 </w:t>
      </w:r>
      <w:r>
        <w:rPr>
          <w:rFonts w:hAnsi="宋体"/>
          <w:color w:val="000000" w:themeColor="text1"/>
          <w:sz w:val="24"/>
          <w:highlight w:val="none"/>
          <w14:textFill>
            <w14:solidFill>
              <w14:schemeClr w14:val="tx1"/>
            </w14:solidFill>
          </w14:textFill>
        </w:rPr>
        <w:t>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13.2.2 </w:t>
      </w:r>
      <w:r>
        <w:rPr>
          <w:rFonts w:hAnsi="宋体"/>
          <w:color w:val="000000" w:themeColor="text1"/>
          <w:sz w:val="24"/>
          <w:highlight w:val="none"/>
          <w14:textFill>
            <w14:solidFill>
              <w14:schemeClr w14:val="tx1"/>
            </w14:solidFill>
          </w14:textFill>
        </w:rPr>
        <w:t>承包人应加强对施工人员的质量教育和技术培训，定期考核施工人员的劳动技能，严格执行规范和操作规程。</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75" w:name="_Toc24508"/>
      <w:bookmarkStart w:id="776" w:name="_Toc5236"/>
      <w:bookmarkStart w:id="777" w:name="_Toc17413"/>
      <w:bookmarkStart w:id="778" w:name="_Toc144974667"/>
      <w:bookmarkStart w:id="779" w:name="_Toc152045698"/>
      <w:bookmarkStart w:id="780" w:name="_Toc179632716"/>
      <w:bookmarkStart w:id="781" w:name="_Toc152042476"/>
      <w:bookmarkStart w:id="782" w:name="_Toc100504201"/>
      <w:r>
        <w:rPr>
          <w:rFonts w:eastAsia="宋体" w:cs="Times New Roman"/>
          <w:b/>
          <w:color w:val="000000" w:themeColor="text1"/>
          <w:szCs w:val="24"/>
          <w:highlight w:val="none"/>
          <w14:textFill>
            <w14:solidFill>
              <w14:schemeClr w14:val="tx1"/>
            </w14:solidFill>
          </w14:textFill>
        </w:rPr>
        <w:t>13.3 承包人的质量检查</w:t>
      </w:r>
      <w:bookmarkEnd w:id="775"/>
      <w:bookmarkEnd w:id="776"/>
      <w:bookmarkEnd w:id="777"/>
      <w:bookmarkEnd w:id="778"/>
      <w:bookmarkEnd w:id="779"/>
      <w:bookmarkEnd w:id="780"/>
      <w:bookmarkEnd w:id="781"/>
      <w:bookmarkEnd w:id="782"/>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承包人应按合同约定对材料、工程设备以及工程的所有部位及其施工工艺进行全过程的质量检查和检验，并作详细记录，编制工程质量报表，报送监理人审查。</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83" w:name="_Toc152042477"/>
      <w:bookmarkStart w:id="784" w:name="_Toc30991"/>
      <w:bookmarkStart w:id="785" w:name="_Toc179632717"/>
      <w:bookmarkStart w:id="786" w:name="_Toc100504202"/>
      <w:bookmarkStart w:id="787" w:name="_Toc21924"/>
      <w:bookmarkStart w:id="788" w:name="_Toc144974668"/>
      <w:bookmarkStart w:id="789" w:name="_Toc152045699"/>
      <w:bookmarkStart w:id="790" w:name="_Toc20651"/>
      <w:r>
        <w:rPr>
          <w:rFonts w:eastAsia="宋体" w:cs="Times New Roman"/>
          <w:b/>
          <w:color w:val="000000" w:themeColor="text1"/>
          <w:szCs w:val="24"/>
          <w:highlight w:val="none"/>
          <w14:textFill>
            <w14:solidFill>
              <w14:schemeClr w14:val="tx1"/>
            </w14:solidFill>
          </w14:textFill>
        </w:rPr>
        <w:t>13.4 监理人的质量检查</w:t>
      </w:r>
      <w:bookmarkEnd w:id="783"/>
      <w:bookmarkEnd w:id="784"/>
      <w:bookmarkEnd w:id="785"/>
      <w:bookmarkEnd w:id="786"/>
      <w:bookmarkEnd w:id="787"/>
      <w:bookmarkEnd w:id="788"/>
      <w:bookmarkEnd w:id="789"/>
      <w:bookmarkEnd w:id="790"/>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91" w:name="_Toc100504203"/>
      <w:bookmarkStart w:id="792" w:name="_Toc179632718"/>
      <w:bookmarkStart w:id="793" w:name="_Toc152045700"/>
      <w:bookmarkStart w:id="794" w:name="_Toc152042478"/>
      <w:bookmarkStart w:id="795" w:name="_Toc11727"/>
      <w:bookmarkStart w:id="796" w:name="_Toc144974669"/>
      <w:bookmarkStart w:id="797" w:name="_Toc1288"/>
      <w:bookmarkStart w:id="798" w:name="_Toc20675"/>
      <w:r>
        <w:rPr>
          <w:rFonts w:eastAsia="宋体" w:cs="Times New Roman"/>
          <w:b/>
          <w:color w:val="000000" w:themeColor="text1"/>
          <w:szCs w:val="24"/>
          <w:highlight w:val="none"/>
          <w14:textFill>
            <w14:solidFill>
              <w14:schemeClr w14:val="tx1"/>
            </w14:solidFill>
          </w14:textFill>
        </w:rPr>
        <w:t>13.5 工程隐蔽部位覆盖前的检查</w:t>
      </w:r>
      <w:bookmarkEnd w:id="791"/>
      <w:bookmarkEnd w:id="792"/>
      <w:bookmarkEnd w:id="793"/>
      <w:bookmarkEnd w:id="794"/>
      <w:bookmarkEnd w:id="795"/>
      <w:bookmarkEnd w:id="796"/>
      <w:bookmarkEnd w:id="797"/>
      <w:bookmarkEnd w:id="79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13.5.1 </w:t>
      </w:r>
      <w:r>
        <w:rPr>
          <w:rFonts w:hAnsi="宋体"/>
          <w:color w:val="000000" w:themeColor="text1"/>
          <w:sz w:val="24"/>
          <w:highlight w:val="none"/>
          <w14:textFill>
            <w14:solidFill>
              <w14:schemeClr w14:val="tx1"/>
            </w14:solidFill>
          </w14:textFill>
        </w:rPr>
        <w:t>通知监理人检查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13.5.2 </w:t>
      </w:r>
      <w:r>
        <w:rPr>
          <w:rFonts w:hAnsi="宋体"/>
          <w:color w:val="000000" w:themeColor="text1"/>
          <w:sz w:val="24"/>
          <w:highlight w:val="none"/>
          <w14:textFill>
            <w14:solidFill>
              <w14:schemeClr w14:val="tx1"/>
            </w14:solidFill>
          </w14:textFill>
        </w:rPr>
        <w:t>监理人未到场检查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监理人未按第</w:t>
      </w:r>
      <w:r>
        <w:rPr>
          <w:color w:val="000000" w:themeColor="text1"/>
          <w:sz w:val="24"/>
          <w:highlight w:val="none"/>
          <w14:textFill>
            <w14:solidFill>
              <w14:schemeClr w14:val="tx1"/>
            </w14:solidFill>
          </w14:textFill>
        </w:rPr>
        <w:t>13.5.1</w:t>
      </w:r>
      <w:r>
        <w:rPr>
          <w:rFonts w:hAnsi="宋体"/>
          <w:color w:val="000000" w:themeColor="text1"/>
          <w:sz w:val="24"/>
          <w:highlight w:val="none"/>
          <w14:textFill>
            <w14:solidFill>
              <w14:schemeClr w14:val="tx1"/>
            </w14:solidFill>
          </w14:textFill>
        </w:rPr>
        <w:t>项约定的时间进行检查的，除监理人另有指示外，承包人可自行完成覆盖工作，并作相应记录报送监理人，监理人应签字确认。监理人事后对检查记录有疑问的，可按第</w:t>
      </w:r>
      <w:r>
        <w:rPr>
          <w:color w:val="000000" w:themeColor="text1"/>
          <w:sz w:val="24"/>
          <w:highlight w:val="none"/>
          <w14:textFill>
            <w14:solidFill>
              <w14:schemeClr w14:val="tx1"/>
            </w14:solidFill>
          </w14:textFill>
        </w:rPr>
        <w:t>13.5.3</w:t>
      </w:r>
      <w:r>
        <w:rPr>
          <w:rFonts w:hAnsi="宋体"/>
          <w:color w:val="000000" w:themeColor="text1"/>
          <w:sz w:val="24"/>
          <w:highlight w:val="none"/>
          <w14:textFill>
            <w14:solidFill>
              <w14:schemeClr w14:val="tx1"/>
            </w14:solidFill>
          </w14:textFill>
        </w:rPr>
        <w:t>项的约定重新检查。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13.5.3 </w:t>
      </w:r>
      <w:r>
        <w:rPr>
          <w:rFonts w:hAnsi="宋体"/>
          <w:color w:val="000000" w:themeColor="text1"/>
          <w:sz w:val="24"/>
          <w:highlight w:val="none"/>
          <w14:textFill>
            <w14:solidFill>
              <w14:schemeClr w14:val="tx1"/>
            </w14:solidFill>
          </w14:textFill>
        </w:rPr>
        <w:t>监理人重新检查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承包人按第</w:t>
      </w:r>
      <w:r>
        <w:rPr>
          <w:color w:val="000000" w:themeColor="text1"/>
          <w:sz w:val="24"/>
          <w:highlight w:val="none"/>
          <w14:textFill>
            <w14:solidFill>
              <w14:schemeClr w14:val="tx1"/>
            </w14:solidFill>
          </w14:textFill>
        </w:rPr>
        <w:t>13.5.1</w:t>
      </w:r>
      <w:r>
        <w:rPr>
          <w:rFonts w:hAnsi="宋体"/>
          <w:color w:val="000000" w:themeColor="text1"/>
          <w:sz w:val="24"/>
          <w:highlight w:val="none"/>
          <w14:textFill>
            <w14:solidFill>
              <w14:schemeClr w14:val="tx1"/>
            </w14:solidFill>
          </w14:textFill>
        </w:rPr>
        <w:t>项或第</w:t>
      </w:r>
      <w:r>
        <w:rPr>
          <w:color w:val="000000" w:themeColor="text1"/>
          <w:sz w:val="24"/>
          <w:highlight w:val="none"/>
          <w14:textFill>
            <w14:solidFill>
              <w14:schemeClr w14:val="tx1"/>
            </w14:solidFill>
          </w14:textFill>
        </w:rPr>
        <w:t>13.5.2</w:t>
      </w:r>
      <w:r>
        <w:rPr>
          <w:rFonts w:hAnsi="宋体"/>
          <w:color w:val="000000" w:themeColor="text1"/>
          <w:sz w:val="24"/>
          <w:highlight w:val="none"/>
          <w14:textFill>
            <w14:solidFill>
              <w14:schemeClr w14:val="tx1"/>
            </w14:solidFill>
          </w14:textFill>
        </w:rPr>
        <w:t>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13.5.4 </w:t>
      </w:r>
      <w:r>
        <w:rPr>
          <w:rFonts w:hAnsi="宋体"/>
          <w:color w:val="000000" w:themeColor="text1"/>
          <w:sz w:val="24"/>
          <w:highlight w:val="none"/>
          <w14:textFill>
            <w14:solidFill>
              <w14:schemeClr w14:val="tx1"/>
            </w14:solidFill>
          </w14:textFill>
        </w:rPr>
        <w:t>承包人私自覆盖</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承包人未通知监理人到场检查，私自将工程隐蔽部位覆盖的，监理人有权指示承包人钻孔探测或揭开检查，由此增加的费用和（或）工期延误由承包人承担。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799" w:name="_Toc179632719"/>
      <w:bookmarkStart w:id="800" w:name="_Toc22925"/>
      <w:bookmarkStart w:id="801" w:name="_Toc19064"/>
      <w:bookmarkStart w:id="802" w:name="_Toc29198"/>
      <w:bookmarkStart w:id="803" w:name="_Toc144974670"/>
      <w:bookmarkStart w:id="804" w:name="_Toc152042479"/>
      <w:bookmarkStart w:id="805" w:name="_Toc152045701"/>
      <w:bookmarkStart w:id="806" w:name="_Toc100504204"/>
      <w:r>
        <w:rPr>
          <w:rFonts w:eastAsia="宋体" w:cs="Times New Roman"/>
          <w:b/>
          <w:color w:val="000000" w:themeColor="text1"/>
          <w:szCs w:val="24"/>
          <w:highlight w:val="none"/>
          <w14:textFill>
            <w14:solidFill>
              <w14:schemeClr w14:val="tx1"/>
            </w14:solidFill>
          </w14:textFill>
        </w:rPr>
        <w:t>13.6 清除不合格工程</w:t>
      </w:r>
      <w:bookmarkEnd w:id="799"/>
      <w:bookmarkEnd w:id="800"/>
      <w:bookmarkEnd w:id="801"/>
      <w:bookmarkEnd w:id="802"/>
      <w:bookmarkEnd w:id="803"/>
      <w:bookmarkEnd w:id="804"/>
      <w:bookmarkEnd w:id="805"/>
      <w:bookmarkEnd w:id="80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13.6.1 </w:t>
      </w:r>
      <w:r>
        <w:rPr>
          <w:rFonts w:hAnsi="宋体"/>
          <w:color w:val="000000" w:themeColor="text1"/>
          <w:sz w:val="24"/>
          <w:highlight w:val="none"/>
          <w14:textFill>
            <w14:solidFill>
              <w14:schemeClr w14:val="tx1"/>
            </w14:solidFill>
          </w14:textFill>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13.6.2 </w:t>
      </w:r>
      <w:r>
        <w:rPr>
          <w:rFonts w:hAnsi="宋体"/>
          <w:color w:val="000000" w:themeColor="text1"/>
          <w:sz w:val="24"/>
          <w:highlight w:val="none"/>
          <w14:textFill>
            <w14:solidFill>
              <w14:schemeClr w14:val="tx1"/>
            </w14:solidFill>
          </w14:textFill>
        </w:rPr>
        <w:t>由于发包人提供的材料或工程设备不合格造成的工程不合格，需要承包人采取措施补救的，发包人应承担由此增加的费用和（或）工期延误，并支付承包人合理利润。</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807" w:name="_Toc152045702"/>
      <w:bookmarkStart w:id="808" w:name="_Toc100504205"/>
      <w:bookmarkStart w:id="809" w:name="_Toc179632720"/>
      <w:bookmarkStart w:id="810" w:name="_Toc15936"/>
      <w:bookmarkStart w:id="811" w:name="_Toc152042480"/>
      <w:bookmarkStart w:id="812" w:name="_Toc6828"/>
      <w:bookmarkStart w:id="813" w:name="_Toc144974671"/>
      <w:bookmarkStart w:id="814" w:name="_Toc25414"/>
      <w:r>
        <w:rPr>
          <w:rFonts w:hAnsi="宋体"/>
          <w:b/>
          <w:color w:val="000000" w:themeColor="text1"/>
          <w:sz w:val="24"/>
          <w:highlight w:val="none"/>
          <w14:textFill>
            <w14:solidFill>
              <w14:schemeClr w14:val="tx1"/>
            </w14:solidFill>
          </w14:textFill>
        </w:rPr>
        <w:t>14. 试验和检验</w:t>
      </w:r>
      <w:bookmarkEnd w:id="807"/>
      <w:bookmarkEnd w:id="808"/>
      <w:bookmarkEnd w:id="809"/>
      <w:bookmarkEnd w:id="810"/>
      <w:bookmarkEnd w:id="811"/>
      <w:bookmarkEnd w:id="812"/>
      <w:bookmarkEnd w:id="813"/>
      <w:bookmarkEnd w:id="814"/>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15" w:name="_Toc100504206"/>
      <w:bookmarkStart w:id="816" w:name="_Toc25135"/>
      <w:bookmarkStart w:id="817" w:name="_Toc152045703"/>
      <w:bookmarkStart w:id="818" w:name="_Toc179632721"/>
      <w:bookmarkStart w:id="819" w:name="_Toc152042481"/>
      <w:bookmarkStart w:id="820" w:name="_Toc5002"/>
      <w:bookmarkStart w:id="821" w:name="_Toc10819"/>
      <w:bookmarkStart w:id="822" w:name="_Toc144974672"/>
      <w:r>
        <w:rPr>
          <w:rFonts w:eastAsia="宋体" w:cs="Times New Roman"/>
          <w:b/>
          <w:color w:val="000000" w:themeColor="text1"/>
          <w:szCs w:val="24"/>
          <w:highlight w:val="none"/>
          <w14:textFill>
            <w14:solidFill>
              <w14:schemeClr w14:val="tx1"/>
            </w14:solidFill>
          </w14:textFill>
        </w:rPr>
        <w:t>14.1 材料、工程设备和工程的试验和检验</w:t>
      </w:r>
      <w:bookmarkEnd w:id="815"/>
      <w:bookmarkEnd w:id="816"/>
      <w:bookmarkEnd w:id="817"/>
      <w:bookmarkEnd w:id="818"/>
      <w:bookmarkEnd w:id="819"/>
      <w:bookmarkEnd w:id="820"/>
      <w:bookmarkEnd w:id="821"/>
      <w:bookmarkEnd w:id="82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14.1.1 </w:t>
      </w:r>
      <w:r>
        <w:rPr>
          <w:rFonts w:hAnsi="宋体"/>
          <w:color w:val="000000" w:themeColor="text1"/>
          <w:sz w:val="24"/>
          <w:highlight w:val="none"/>
          <w14:textFill>
            <w14:solidFill>
              <w14:schemeClr w14:val="tx1"/>
            </w14:solidFill>
          </w14:textFill>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14.1.2 </w:t>
      </w:r>
      <w:r>
        <w:rPr>
          <w:rFonts w:hAnsi="宋体"/>
          <w:color w:val="000000" w:themeColor="text1"/>
          <w:sz w:val="24"/>
          <w:highlight w:val="none"/>
          <w14:textFill>
            <w14:solidFill>
              <w14:schemeClr w14:val="tx1"/>
            </w14:solidFill>
          </w14:textFill>
        </w:rPr>
        <w:t>监理人未按合同约定派员参加试验和检验的，除监理人另有指示外，承包人可自行试验和检验，并应立即将试验和检验结果报送监理人，监理人应签字确认。</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14.1.3 </w:t>
      </w:r>
      <w:r>
        <w:rPr>
          <w:rFonts w:hAnsi="宋体"/>
          <w:color w:val="000000" w:themeColor="text1"/>
          <w:sz w:val="24"/>
          <w:highlight w:val="none"/>
          <w14:textFill>
            <w14:solidFill>
              <w14:schemeClr w14:val="tx1"/>
            </w14:solidFill>
          </w14:textFill>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23" w:name="_Toc179632722"/>
      <w:bookmarkStart w:id="824" w:name="_Toc152042482"/>
      <w:bookmarkStart w:id="825" w:name="_Toc100504207"/>
      <w:bookmarkStart w:id="826" w:name="_Toc19196"/>
      <w:bookmarkStart w:id="827" w:name="_Toc152045704"/>
      <w:bookmarkStart w:id="828" w:name="_Toc2152"/>
      <w:bookmarkStart w:id="829" w:name="_Toc4694"/>
      <w:bookmarkStart w:id="830" w:name="_Toc144974673"/>
      <w:r>
        <w:rPr>
          <w:rFonts w:eastAsia="宋体" w:cs="Times New Roman"/>
          <w:b/>
          <w:color w:val="000000" w:themeColor="text1"/>
          <w:szCs w:val="24"/>
          <w:highlight w:val="none"/>
          <w14:textFill>
            <w14:solidFill>
              <w14:schemeClr w14:val="tx1"/>
            </w14:solidFill>
          </w14:textFill>
        </w:rPr>
        <w:t>14.2 现场材料试验</w:t>
      </w:r>
      <w:bookmarkEnd w:id="823"/>
      <w:bookmarkEnd w:id="824"/>
      <w:bookmarkEnd w:id="825"/>
      <w:bookmarkEnd w:id="826"/>
      <w:bookmarkEnd w:id="827"/>
      <w:bookmarkEnd w:id="828"/>
      <w:bookmarkEnd w:id="829"/>
      <w:bookmarkEnd w:id="83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14.2.1 </w:t>
      </w:r>
      <w:r>
        <w:rPr>
          <w:rFonts w:hAnsi="宋体"/>
          <w:color w:val="000000" w:themeColor="text1"/>
          <w:sz w:val="24"/>
          <w:highlight w:val="none"/>
          <w14:textFill>
            <w14:solidFill>
              <w14:schemeClr w14:val="tx1"/>
            </w14:solidFill>
          </w14:textFill>
        </w:rPr>
        <w:t>承包人根据合同约定或监理人指示进行的现场材料试验，应由承包人提供试验场所、试验人员、试验设备器材以及其他必要的试验条件。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14.2.2 </w:t>
      </w:r>
      <w:r>
        <w:rPr>
          <w:rFonts w:hAnsi="宋体"/>
          <w:color w:val="000000" w:themeColor="text1"/>
          <w:sz w:val="24"/>
          <w:highlight w:val="none"/>
          <w14:textFill>
            <w14:solidFill>
              <w14:schemeClr w14:val="tx1"/>
            </w14:solidFill>
          </w14:textFill>
        </w:rPr>
        <w:t>监理人在必要时可以使用承包人的试验场所、试验设备器材以及其他试验条件，进行以工程质量检查为目的的复核性材料试验，承包人应予以协助。</w:t>
      </w:r>
    </w:p>
    <w:p>
      <w:pPr>
        <w:pStyle w:val="67"/>
        <w:keepNext w:val="0"/>
        <w:keepLines w:val="0"/>
        <w:spacing w:line="360" w:lineRule="auto"/>
        <w:ind w:firstLine="480" w:firstLineChars="200"/>
        <w:rPr>
          <w:rFonts w:eastAsia="宋体" w:cs="Times New Roman"/>
          <w:color w:val="000000" w:themeColor="text1"/>
          <w:szCs w:val="24"/>
          <w:highlight w:val="none"/>
          <w14:textFill>
            <w14:solidFill>
              <w14:schemeClr w14:val="tx1"/>
            </w14:solidFill>
          </w14:textFill>
        </w:rPr>
      </w:pPr>
      <w:bookmarkStart w:id="831" w:name="_Toc100504208"/>
      <w:bookmarkStart w:id="832" w:name="_Toc144974674"/>
      <w:bookmarkStart w:id="833" w:name="_Toc152042483"/>
      <w:bookmarkStart w:id="834" w:name="_Toc152045705"/>
      <w:bookmarkStart w:id="835" w:name="_Toc25386"/>
      <w:bookmarkStart w:id="836" w:name="_Toc1874"/>
      <w:bookmarkStart w:id="837" w:name="_Toc15369"/>
      <w:bookmarkStart w:id="838" w:name="_Toc179632723"/>
      <w:r>
        <w:rPr>
          <w:rFonts w:eastAsia="宋体" w:cs="Times New Roman"/>
          <w:color w:val="000000" w:themeColor="text1"/>
          <w:szCs w:val="24"/>
          <w:highlight w:val="none"/>
          <w14:textFill>
            <w14:solidFill>
              <w14:schemeClr w14:val="tx1"/>
            </w14:solidFill>
          </w14:textFill>
        </w:rPr>
        <w:t xml:space="preserve">14.3 </w:t>
      </w:r>
      <w:r>
        <w:rPr>
          <w:rFonts w:hAnsi="宋体" w:eastAsia="宋体" w:cs="Times New Roman"/>
          <w:color w:val="000000" w:themeColor="text1"/>
          <w:szCs w:val="24"/>
          <w:highlight w:val="none"/>
          <w14:textFill>
            <w14:solidFill>
              <w14:schemeClr w14:val="tx1"/>
            </w14:solidFill>
          </w14:textFill>
        </w:rPr>
        <w:t>现场工艺试验</w:t>
      </w:r>
      <w:bookmarkEnd w:id="831"/>
      <w:bookmarkEnd w:id="832"/>
      <w:bookmarkEnd w:id="833"/>
      <w:bookmarkEnd w:id="834"/>
      <w:bookmarkEnd w:id="835"/>
      <w:bookmarkEnd w:id="836"/>
      <w:bookmarkEnd w:id="837"/>
      <w:bookmarkEnd w:id="838"/>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承包人应按合同约定或监理人指示进行现场工艺试验。对大型的现场工艺试验，监理人认为必要时，应由承包人根据监理人提出的工艺试验要求，编制工艺试验措施计划，报送监理人审批。</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839" w:name="_Toc29120"/>
      <w:bookmarkStart w:id="840" w:name="_Toc179632724"/>
      <w:bookmarkStart w:id="841" w:name="_Toc144974675"/>
      <w:bookmarkStart w:id="842" w:name="_Toc152042484"/>
      <w:bookmarkStart w:id="843" w:name="_Toc26078"/>
      <w:bookmarkStart w:id="844" w:name="_Toc26245"/>
      <w:bookmarkStart w:id="845" w:name="_Toc152045706"/>
      <w:bookmarkStart w:id="846" w:name="_Toc100504209"/>
      <w:r>
        <w:rPr>
          <w:rFonts w:hAnsi="宋体"/>
          <w:b/>
          <w:color w:val="000000" w:themeColor="text1"/>
          <w:sz w:val="24"/>
          <w:highlight w:val="none"/>
          <w14:textFill>
            <w14:solidFill>
              <w14:schemeClr w14:val="tx1"/>
            </w14:solidFill>
          </w14:textFill>
        </w:rPr>
        <w:t>15. 变更</w:t>
      </w:r>
      <w:bookmarkEnd w:id="839"/>
      <w:bookmarkEnd w:id="840"/>
      <w:bookmarkEnd w:id="841"/>
      <w:bookmarkEnd w:id="842"/>
      <w:bookmarkEnd w:id="843"/>
      <w:bookmarkEnd w:id="844"/>
      <w:bookmarkEnd w:id="845"/>
      <w:bookmarkEnd w:id="84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47" w:name="_Toc144974676"/>
      <w:bookmarkStart w:id="848" w:name="_Toc152045707"/>
      <w:bookmarkStart w:id="849" w:name="_Toc19846"/>
      <w:bookmarkStart w:id="850" w:name="_Toc152042485"/>
      <w:bookmarkStart w:id="851" w:name="_Toc179632725"/>
      <w:bookmarkStart w:id="852" w:name="_Toc100504210"/>
      <w:bookmarkStart w:id="853" w:name="_Toc25348"/>
      <w:bookmarkStart w:id="854" w:name="_Toc18571"/>
      <w:r>
        <w:rPr>
          <w:rFonts w:eastAsia="宋体" w:cs="Times New Roman"/>
          <w:b/>
          <w:color w:val="000000" w:themeColor="text1"/>
          <w:szCs w:val="24"/>
          <w:highlight w:val="none"/>
          <w14:textFill>
            <w14:solidFill>
              <w14:schemeClr w14:val="tx1"/>
            </w14:solidFill>
          </w14:textFill>
        </w:rPr>
        <w:t>15.1 变更的范围和内容</w:t>
      </w:r>
      <w:bookmarkEnd w:id="847"/>
      <w:bookmarkEnd w:id="848"/>
      <w:bookmarkEnd w:id="849"/>
      <w:bookmarkEnd w:id="850"/>
      <w:bookmarkEnd w:id="851"/>
      <w:bookmarkEnd w:id="852"/>
      <w:bookmarkEnd w:id="853"/>
      <w:bookmarkEnd w:id="85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除专用合同条款另有约定外，在履行合同中发生以下情形之一，应按照本条规定进行变更。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）取消合同中任何一项工作，但被取消的工作不能转由发包人或其他人实施；</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）改变合同中任何一项工作的质量或其他特性；</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）改变合同工程的基线、标高、位置或尺寸；</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）改变合同中任何一项工作的施工时间或改变已批准的施工工艺或顺序；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）为完成工程需要追加的额外工作。</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55" w:name="_Toc25781"/>
      <w:bookmarkStart w:id="856" w:name="_Toc152045708"/>
      <w:bookmarkStart w:id="857" w:name="_Toc144974677"/>
      <w:bookmarkStart w:id="858" w:name="_Toc21873"/>
      <w:bookmarkStart w:id="859" w:name="_Toc152042486"/>
      <w:bookmarkStart w:id="860" w:name="_Toc179632726"/>
      <w:bookmarkStart w:id="861" w:name="_Toc6471"/>
      <w:bookmarkStart w:id="862" w:name="_Toc100504211"/>
      <w:r>
        <w:rPr>
          <w:rFonts w:eastAsia="宋体" w:cs="Times New Roman"/>
          <w:b/>
          <w:color w:val="000000" w:themeColor="text1"/>
          <w:szCs w:val="24"/>
          <w:highlight w:val="none"/>
          <w14:textFill>
            <w14:solidFill>
              <w14:schemeClr w14:val="tx1"/>
            </w14:solidFill>
          </w14:textFill>
        </w:rPr>
        <w:t>15.2 变更权</w:t>
      </w:r>
      <w:bookmarkEnd w:id="855"/>
      <w:bookmarkEnd w:id="856"/>
      <w:bookmarkEnd w:id="857"/>
      <w:bookmarkEnd w:id="858"/>
      <w:bookmarkEnd w:id="859"/>
      <w:bookmarkEnd w:id="860"/>
      <w:bookmarkEnd w:id="861"/>
      <w:bookmarkEnd w:id="862"/>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在履行合同过程中，经发包人同意，监理人可按第</w:t>
      </w:r>
      <w:r>
        <w:rPr>
          <w:color w:val="000000" w:themeColor="text1"/>
          <w:sz w:val="24"/>
          <w:highlight w:val="none"/>
          <w14:textFill>
            <w14:solidFill>
              <w14:schemeClr w14:val="tx1"/>
            </w14:solidFill>
          </w14:textFill>
        </w:rPr>
        <w:t>15.3</w:t>
      </w:r>
      <w:r>
        <w:rPr>
          <w:rFonts w:hAnsi="宋体"/>
          <w:color w:val="000000" w:themeColor="text1"/>
          <w:sz w:val="24"/>
          <w:highlight w:val="none"/>
          <w14:textFill>
            <w14:solidFill>
              <w14:schemeClr w14:val="tx1"/>
            </w14:solidFill>
          </w14:textFill>
        </w:rPr>
        <w:t>款约定的变更程序向承包人作出变更指示，承包人应遵照执行。没有监理人的变更指示，承包人不得擅自变更。</w:t>
      </w:r>
    </w:p>
    <w:p>
      <w:pPr>
        <w:spacing w:line="360" w:lineRule="auto"/>
        <w:ind w:firstLine="480" w:firstLineChars="200"/>
        <w:rPr>
          <w:rFonts w:hint="eastAsia"/>
          <w:color w:val="000000" w:themeColor="text1"/>
          <w:sz w:val="24"/>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63" w:name="_Toc22338"/>
      <w:bookmarkStart w:id="864" w:name="_Toc144974678"/>
      <w:bookmarkStart w:id="865" w:name="_Toc25566"/>
      <w:bookmarkStart w:id="866" w:name="_Toc30214"/>
      <w:bookmarkStart w:id="867" w:name="_Toc152045709"/>
      <w:bookmarkStart w:id="868" w:name="_Toc152042487"/>
      <w:bookmarkStart w:id="869" w:name="_Toc100504212"/>
      <w:bookmarkStart w:id="870" w:name="_Toc179632727"/>
      <w:r>
        <w:rPr>
          <w:rFonts w:eastAsia="宋体" w:cs="Times New Roman"/>
          <w:b/>
          <w:color w:val="000000" w:themeColor="text1"/>
          <w:szCs w:val="24"/>
          <w:highlight w:val="none"/>
          <w14:textFill>
            <w14:solidFill>
              <w14:schemeClr w14:val="tx1"/>
            </w14:solidFill>
          </w14:textFill>
        </w:rPr>
        <w:t>15.3 变更程序</w:t>
      </w:r>
      <w:bookmarkEnd w:id="863"/>
      <w:bookmarkEnd w:id="864"/>
      <w:bookmarkEnd w:id="865"/>
      <w:bookmarkEnd w:id="866"/>
      <w:bookmarkEnd w:id="867"/>
      <w:bookmarkEnd w:id="868"/>
      <w:bookmarkEnd w:id="869"/>
      <w:bookmarkEnd w:id="87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15.3.1 </w:t>
      </w:r>
      <w:r>
        <w:rPr>
          <w:rFonts w:hAnsi="宋体"/>
          <w:color w:val="000000" w:themeColor="text1"/>
          <w:sz w:val="24"/>
          <w:highlight w:val="none"/>
          <w14:textFill>
            <w14:solidFill>
              <w14:schemeClr w14:val="tx1"/>
            </w14:solidFill>
          </w14:textFill>
        </w:rPr>
        <w:t>变更的提出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）在合同履行过程中，可能发生第</w:t>
      </w:r>
      <w:r>
        <w:rPr>
          <w:color w:val="000000" w:themeColor="text1"/>
          <w:sz w:val="24"/>
          <w:highlight w:val="none"/>
          <w14:textFill>
            <w14:solidFill>
              <w14:schemeClr w14:val="tx1"/>
            </w14:solidFill>
          </w14:textFill>
        </w:rPr>
        <w:t>15.1</w:t>
      </w:r>
      <w:r>
        <w:rPr>
          <w:rFonts w:hAnsi="宋体"/>
          <w:color w:val="000000" w:themeColor="text1"/>
          <w:sz w:val="24"/>
          <w:highlight w:val="none"/>
          <w14:textFill>
            <w14:solidFill>
              <w14:schemeClr w14:val="tx1"/>
            </w14:solidFill>
          </w14:textFill>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Pr>
          <w:color w:val="000000" w:themeColor="text1"/>
          <w:sz w:val="24"/>
          <w:highlight w:val="none"/>
          <w14:textFill>
            <w14:solidFill>
              <w14:schemeClr w14:val="tx1"/>
            </w14:solidFill>
          </w14:textFill>
        </w:rPr>
        <w:t>15.3.3</w:t>
      </w:r>
      <w:r>
        <w:rPr>
          <w:rFonts w:hAnsi="宋体"/>
          <w:color w:val="000000" w:themeColor="text1"/>
          <w:sz w:val="24"/>
          <w:highlight w:val="none"/>
          <w14:textFill>
            <w14:solidFill>
              <w14:schemeClr w14:val="tx1"/>
            </w14:solidFill>
          </w14:textFill>
        </w:rPr>
        <w:t>项约定发出变更指示。</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）在合同履行过程中，发生第</w:t>
      </w:r>
      <w:r>
        <w:rPr>
          <w:color w:val="000000" w:themeColor="text1"/>
          <w:sz w:val="24"/>
          <w:highlight w:val="none"/>
          <w14:textFill>
            <w14:solidFill>
              <w14:schemeClr w14:val="tx1"/>
            </w14:solidFill>
          </w14:textFill>
        </w:rPr>
        <w:t>15.1</w:t>
      </w:r>
      <w:r>
        <w:rPr>
          <w:rFonts w:hAnsi="宋体"/>
          <w:color w:val="000000" w:themeColor="text1"/>
          <w:sz w:val="24"/>
          <w:highlight w:val="none"/>
          <w14:textFill>
            <w14:solidFill>
              <w14:schemeClr w14:val="tx1"/>
            </w14:solidFill>
          </w14:textFill>
        </w:rPr>
        <w:t>款约定情形的，监理人应按照第</w:t>
      </w:r>
      <w:r>
        <w:rPr>
          <w:color w:val="000000" w:themeColor="text1"/>
          <w:sz w:val="24"/>
          <w:highlight w:val="none"/>
          <w14:textFill>
            <w14:solidFill>
              <w14:schemeClr w14:val="tx1"/>
            </w14:solidFill>
          </w14:textFill>
        </w:rPr>
        <w:t>15.3.3</w:t>
      </w:r>
      <w:r>
        <w:rPr>
          <w:rFonts w:hAnsi="宋体"/>
          <w:color w:val="000000" w:themeColor="text1"/>
          <w:sz w:val="24"/>
          <w:highlight w:val="none"/>
          <w14:textFill>
            <w14:solidFill>
              <w14:schemeClr w14:val="tx1"/>
            </w14:solidFill>
          </w14:textFill>
        </w:rPr>
        <w:t>项约定向承包人发出变更指示。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）承包人收到监理人按合同约定发出的图纸和文件，经检查认为其中存在第</w:t>
      </w:r>
      <w:r>
        <w:rPr>
          <w:color w:val="000000" w:themeColor="text1"/>
          <w:sz w:val="24"/>
          <w:highlight w:val="none"/>
          <w14:textFill>
            <w14:solidFill>
              <w14:schemeClr w14:val="tx1"/>
            </w14:solidFill>
          </w14:textFill>
        </w:rPr>
        <w:t>15.1</w:t>
      </w:r>
      <w:r>
        <w:rPr>
          <w:rFonts w:hAnsi="宋体"/>
          <w:color w:val="000000" w:themeColor="text1"/>
          <w:sz w:val="24"/>
          <w:highlight w:val="none"/>
          <w14:textFill>
            <w14:solidFill>
              <w14:schemeClr w14:val="tx1"/>
            </w14:solidFill>
          </w14:textFill>
        </w:rPr>
        <w:t>款约定情形的，可向监理人提出书面变更建议。变更建议应阐明要求变更的依据，并附必要的图纸和说明。监理人收到承包人书面建议后，应与发包人共同研究，确认存在变更的，应在收到承包人书面建议后的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天内作出变更指示。经研究后不同意作为变更的，应由监理人书面答复承包人。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）若承包人收到监理人的变更意向书后认为难以实施此项变更，应立即通知监理人，说明原因并附详细依据。监理人与承包人和发包人协商后确定撤销、改变或不改变原变更意向书。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15.3.2 </w:t>
      </w:r>
      <w:r>
        <w:rPr>
          <w:rFonts w:hAnsi="宋体"/>
          <w:color w:val="000000" w:themeColor="text1"/>
          <w:sz w:val="24"/>
          <w:highlight w:val="none"/>
          <w14:textFill>
            <w14:solidFill>
              <w14:schemeClr w14:val="tx1"/>
            </w14:solidFill>
          </w14:textFill>
        </w:rPr>
        <w:t>变更估价</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）除专用合同条款对期限另有约定外，承包人应在收到变更指示或变更意向书后的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天内，向监理人提交变更报价书，报价内容应根据第</w:t>
      </w:r>
      <w:r>
        <w:rPr>
          <w:color w:val="000000" w:themeColor="text1"/>
          <w:sz w:val="24"/>
          <w:highlight w:val="none"/>
          <w14:textFill>
            <w14:solidFill>
              <w14:schemeClr w14:val="tx1"/>
            </w14:solidFill>
          </w14:textFill>
        </w:rPr>
        <w:t>15.4</w:t>
      </w:r>
      <w:r>
        <w:rPr>
          <w:rFonts w:hAnsi="宋体"/>
          <w:color w:val="000000" w:themeColor="text1"/>
          <w:sz w:val="24"/>
          <w:highlight w:val="none"/>
          <w14:textFill>
            <w14:solidFill>
              <w14:schemeClr w14:val="tx1"/>
            </w14:solidFill>
          </w14:textFill>
        </w:rPr>
        <w:t>款约定的估价原则，详细开列变更工作的价格组成及其依据，并附必要的施工方法说明和有关图纸。</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）变更工作影响工期的，承包人应提出调整工期的具体细节。监理人认为有必要时，可要求承包人提交要求提前或延长工期的施工进度计划及相应施工措施等详细资料。</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）除专用合同条款对期限另有约定外，监理人收到承包人变更报价书后的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天内，根据第</w:t>
      </w:r>
      <w:r>
        <w:rPr>
          <w:color w:val="000000" w:themeColor="text1"/>
          <w:sz w:val="24"/>
          <w:highlight w:val="none"/>
          <w14:textFill>
            <w14:solidFill>
              <w14:schemeClr w14:val="tx1"/>
            </w14:solidFill>
          </w14:textFill>
        </w:rPr>
        <w:t>15.4</w:t>
      </w:r>
      <w:r>
        <w:rPr>
          <w:rFonts w:hAnsi="宋体"/>
          <w:color w:val="000000" w:themeColor="text1"/>
          <w:sz w:val="24"/>
          <w:highlight w:val="none"/>
          <w14:textFill>
            <w14:solidFill>
              <w14:schemeClr w14:val="tx1"/>
            </w14:solidFill>
          </w14:textFill>
        </w:rPr>
        <w:t>款约定的估价原则，按照第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款商定或确定变更价格。</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15.3.3 </w:t>
      </w:r>
      <w:r>
        <w:rPr>
          <w:rFonts w:hAnsi="宋体"/>
          <w:color w:val="000000" w:themeColor="text1"/>
          <w:sz w:val="24"/>
          <w:highlight w:val="none"/>
          <w14:textFill>
            <w14:solidFill>
              <w14:schemeClr w14:val="tx1"/>
            </w14:solidFill>
          </w14:textFill>
        </w:rPr>
        <w:t>变更指示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）变更指示只能由监理人发出。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）变更指示应说明变更的目的、范围、变更内容以及变更的工程量及其进度和技术要求，并附有关图纸和文件。承包人收到变更指示后，应按变更指示进行变更工作。</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71" w:name="_Toc100504213"/>
      <w:bookmarkStart w:id="872" w:name="_Toc28453"/>
      <w:bookmarkStart w:id="873" w:name="_Toc32075"/>
      <w:bookmarkStart w:id="874" w:name="_Toc152042488"/>
      <w:bookmarkStart w:id="875" w:name="_Toc31319"/>
      <w:bookmarkStart w:id="876" w:name="_Toc144974679"/>
      <w:bookmarkStart w:id="877" w:name="_Toc152045710"/>
      <w:bookmarkStart w:id="878" w:name="_Toc179632728"/>
      <w:r>
        <w:rPr>
          <w:rFonts w:eastAsia="宋体" w:cs="Times New Roman"/>
          <w:b/>
          <w:color w:val="000000" w:themeColor="text1"/>
          <w:szCs w:val="24"/>
          <w:highlight w:val="none"/>
          <w14:textFill>
            <w14:solidFill>
              <w14:schemeClr w14:val="tx1"/>
            </w14:solidFill>
          </w14:textFill>
        </w:rPr>
        <w:t>15.4 变更的估价原则</w:t>
      </w:r>
      <w:bookmarkEnd w:id="871"/>
      <w:bookmarkEnd w:id="872"/>
      <w:bookmarkEnd w:id="873"/>
      <w:bookmarkEnd w:id="874"/>
      <w:bookmarkEnd w:id="875"/>
      <w:bookmarkEnd w:id="876"/>
      <w:bookmarkEnd w:id="877"/>
      <w:bookmarkEnd w:id="878"/>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除专用合同条款另有约定外，因变更引起的价格调整按照本款约定处理。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15.4.1 </w:t>
      </w:r>
      <w:r>
        <w:rPr>
          <w:rFonts w:hAnsi="宋体"/>
          <w:color w:val="000000" w:themeColor="text1"/>
          <w:sz w:val="24"/>
          <w:highlight w:val="none"/>
          <w14:textFill>
            <w14:solidFill>
              <w14:schemeClr w14:val="tx1"/>
            </w14:solidFill>
          </w14:textFill>
        </w:rPr>
        <w:t>已标价工程量清单中有适用于变更工作的子目的，采用该子目的单价。</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15.4.2 </w:t>
      </w:r>
      <w:r>
        <w:rPr>
          <w:rFonts w:hAnsi="宋体"/>
          <w:color w:val="000000" w:themeColor="text1"/>
          <w:sz w:val="24"/>
          <w:highlight w:val="none"/>
          <w14:textFill>
            <w14:solidFill>
              <w14:schemeClr w14:val="tx1"/>
            </w14:solidFill>
          </w14:textFill>
        </w:rPr>
        <w:t>已标价工程量清单中无适用于变更工作的子目，但有类似子目的，可在合理范围内参照类似子目的单价，由监理人按第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款商定或确定变更工作的单价。</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15.4.3 </w:t>
      </w:r>
      <w:r>
        <w:rPr>
          <w:rFonts w:hAnsi="宋体"/>
          <w:color w:val="000000" w:themeColor="text1"/>
          <w:sz w:val="24"/>
          <w:highlight w:val="none"/>
          <w14:textFill>
            <w14:solidFill>
              <w14:schemeClr w14:val="tx1"/>
            </w14:solidFill>
          </w14:textFill>
        </w:rPr>
        <w:t>已标价工程量清单中无适用或类似子目的单价，可按照成本加利润的原则，由监理人按第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款商定或确定变更工作的单价。</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79" w:name="_Toc144974680"/>
      <w:bookmarkStart w:id="880" w:name="_Toc179632729"/>
      <w:bookmarkStart w:id="881" w:name="_Toc152045711"/>
      <w:bookmarkStart w:id="882" w:name="_Toc100504214"/>
      <w:bookmarkStart w:id="883" w:name="_Toc152042489"/>
      <w:bookmarkStart w:id="884" w:name="_Toc12952"/>
      <w:bookmarkStart w:id="885" w:name="_Toc24629"/>
      <w:bookmarkStart w:id="886" w:name="_Toc18311"/>
      <w:r>
        <w:rPr>
          <w:rFonts w:eastAsia="宋体" w:cs="Times New Roman"/>
          <w:b/>
          <w:color w:val="000000" w:themeColor="text1"/>
          <w:szCs w:val="24"/>
          <w:highlight w:val="none"/>
          <w14:textFill>
            <w14:solidFill>
              <w14:schemeClr w14:val="tx1"/>
            </w14:solidFill>
          </w14:textFill>
        </w:rPr>
        <w:t>15.5 承包人的合理化建议</w:t>
      </w:r>
      <w:bookmarkEnd w:id="879"/>
      <w:bookmarkEnd w:id="880"/>
      <w:bookmarkEnd w:id="881"/>
      <w:bookmarkEnd w:id="882"/>
      <w:bookmarkEnd w:id="883"/>
      <w:bookmarkEnd w:id="884"/>
      <w:bookmarkEnd w:id="885"/>
      <w:bookmarkEnd w:id="88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15.5.1 </w:t>
      </w:r>
      <w:r>
        <w:rPr>
          <w:rFonts w:hAnsi="宋体"/>
          <w:color w:val="000000" w:themeColor="text1"/>
          <w:sz w:val="24"/>
          <w:highlight w:val="none"/>
          <w14:textFill>
            <w14:solidFill>
              <w14:schemeClr w14:val="tx1"/>
            </w14:solidFill>
          </w14:textFill>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color w:val="000000" w:themeColor="text1"/>
          <w:sz w:val="24"/>
          <w:highlight w:val="none"/>
          <w14:textFill>
            <w14:solidFill>
              <w14:schemeClr w14:val="tx1"/>
            </w14:solidFill>
          </w14:textFill>
        </w:rPr>
        <w:t>15.3.3</w:t>
      </w:r>
      <w:r>
        <w:rPr>
          <w:rFonts w:hAnsi="宋体"/>
          <w:color w:val="000000" w:themeColor="text1"/>
          <w:sz w:val="24"/>
          <w:highlight w:val="none"/>
          <w14:textFill>
            <w14:solidFill>
              <w14:schemeClr w14:val="tx1"/>
            </w14:solidFill>
          </w14:textFill>
        </w:rPr>
        <w:t>项约定向承包人发出变更指示。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15.5.2 </w:t>
      </w:r>
      <w:r>
        <w:rPr>
          <w:rFonts w:hAnsi="宋体"/>
          <w:color w:val="000000" w:themeColor="text1"/>
          <w:sz w:val="24"/>
          <w:highlight w:val="none"/>
          <w14:textFill>
            <w14:solidFill>
              <w14:schemeClr w14:val="tx1"/>
            </w14:solidFill>
          </w14:textFill>
        </w:rPr>
        <w:t>承包人提出的合理化建议降低了合同价格、缩短了工期或者提高了工程经济效益的，发包人可按国家有关规定在专用合同条款中约定给予奖励。</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87" w:name="_Toc100504215"/>
      <w:bookmarkStart w:id="888" w:name="_Toc179632730"/>
      <w:bookmarkStart w:id="889" w:name="_Toc6548"/>
      <w:bookmarkStart w:id="890" w:name="_Toc152045712"/>
      <w:bookmarkStart w:id="891" w:name="_Toc152042490"/>
      <w:bookmarkStart w:id="892" w:name="_Toc2234"/>
      <w:bookmarkStart w:id="893" w:name="_Toc144974681"/>
      <w:bookmarkStart w:id="894" w:name="_Toc23960"/>
      <w:r>
        <w:rPr>
          <w:rFonts w:eastAsia="宋体" w:cs="Times New Roman"/>
          <w:b/>
          <w:color w:val="000000" w:themeColor="text1"/>
          <w:szCs w:val="24"/>
          <w:highlight w:val="none"/>
          <w14:textFill>
            <w14:solidFill>
              <w14:schemeClr w14:val="tx1"/>
            </w14:solidFill>
          </w14:textFill>
        </w:rPr>
        <w:t>15.6 暂列金额</w:t>
      </w:r>
      <w:bookmarkEnd w:id="887"/>
      <w:bookmarkEnd w:id="888"/>
      <w:bookmarkEnd w:id="889"/>
      <w:bookmarkEnd w:id="890"/>
      <w:bookmarkEnd w:id="891"/>
      <w:bookmarkEnd w:id="892"/>
      <w:bookmarkEnd w:id="893"/>
      <w:bookmarkEnd w:id="89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暂列金额只能按照监理人的指示使用，并对合同价格进行相应调整。</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895" w:name="_Toc152042491"/>
      <w:bookmarkStart w:id="896" w:name="_Toc179632731"/>
      <w:bookmarkStart w:id="897" w:name="_Toc100504216"/>
      <w:bookmarkStart w:id="898" w:name="_Toc152045713"/>
      <w:bookmarkStart w:id="899" w:name="_Toc19710"/>
      <w:bookmarkStart w:id="900" w:name="_Toc144974682"/>
      <w:bookmarkStart w:id="901" w:name="_Toc25926"/>
      <w:bookmarkStart w:id="902" w:name="_Toc25490"/>
      <w:r>
        <w:rPr>
          <w:rFonts w:eastAsia="宋体" w:cs="Times New Roman"/>
          <w:b/>
          <w:color w:val="000000" w:themeColor="text1"/>
          <w:szCs w:val="24"/>
          <w:highlight w:val="none"/>
          <w14:textFill>
            <w14:solidFill>
              <w14:schemeClr w14:val="tx1"/>
            </w14:solidFill>
          </w14:textFill>
        </w:rPr>
        <w:t>15.7 计日工</w:t>
      </w:r>
      <w:bookmarkEnd w:id="895"/>
      <w:bookmarkEnd w:id="896"/>
      <w:bookmarkEnd w:id="897"/>
      <w:bookmarkEnd w:id="898"/>
      <w:bookmarkEnd w:id="899"/>
      <w:bookmarkEnd w:id="900"/>
      <w:bookmarkEnd w:id="901"/>
      <w:bookmarkEnd w:id="902"/>
    </w:p>
    <w:p>
      <w:pPr>
        <w:spacing w:line="360" w:lineRule="auto"/>
        <w:ind w:firstLine="480" w:firstLineChars="200"/>
        <w:rPr>
          <w:color w:val="000000" w:themeColor="text1"/>
          <w:sz w:val="24"/>
          <w:highlight w:val="none"/>
          <w:shd w:val="pct10" w:color="auto" w:fill="FFFFFF"/>
          <w14:textFill>
            <w14:solidFill>
              <w14:schemeClr w14:val="tx1"/>
            </w14:solidFill>
          </w14:textFill>
        </w:rPr>
      </w:pPr>
      <w:r>
        <w:rPr>
          <w:color w:val="000000" w:themeColor="text1"/>
          <w:sz w:val="24"/>
          <w:highlight w:val="none"/>
          <w14:textFill>
            <w14:solidFill>
              <w14:schemeClr w14:val="tx1"/>
            </w14:solidFill>
          </w14:textFill>
        </w:rPr>
        <w:t xml:space="preserve">15.7.1 </w:t>
      </w:r>
      <w:r>
        <w:rPr>
          <w:rFonts w:hAnsi="宋体"/>
          <w:color w:val="000000" w:themeColor="text1"/>
          <w:sz w:val="24"/>
          <w:highlight w:val="none"/>
          <w14:textFill>
            <w14:solidFill>
              <w14:schemeClr w14:val="tx1"/>
            </w14:solidFill>
          </w14:textFill>
        </w:rPr>
        <w:t>发包人认为有必要时，由监理人通知承包人以计日工方式实施变更的零星工作。其价款按列入已标价工程量清单中的计日工计价子目及其单价进行计算。</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15.7.2 </w:t>
      </w:r>
      <w:r>
        <w:rPr>
          <w:rFonts w:hAnsi="宋体"/>
          <w:color w:val="000000" w:themeColor="text1"/>
          <w:sz w:val="24"/>
          <w:highlight w:val="none"/>
          <w14:textFill>
            <w14:solidFill>
              <w14:schemeClr w14:val="tx1"/>
            </w14:solidFill>
          </w14:textFill>
        </w:rPr>
        <w:t>采用计日工计价的任何一项变更工作，应从暂列金额中支付，承包人应在该项变更的实施过程中，每天提交以下报表和有关凭证报送监理人审批：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）工作名称、内容和数量；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）投入该工作所有人员的姓名、工种、级别和耗用工时；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）投入该工作的材料类别和数量；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）投入该工作的施工设备型号、台数和耗用台时；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）监理人要求提交的其他资料和凭证。</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15.7.3 </w:t>
      </w:r>
      <w:r>
        <w:rPr>
          <w:rFonts w:hAnsi="宋体"/>
          <w:color w:val="000000" w:themeColor="text1"/>
          <w:sz w:val="24"/>
          <w:highlight w:val="none"/>
          <w14:textFill>
            <w14:solidFill>
              <w14:schemeClr w14:val="tx1"/>
            </w14:solidFill>
          </w14:textFill>
        </w:rPr>
        <w:t>计日工由承包人汇总后，按第</w:t>
      </w:r>
      <w:r>
        <w:rPr>
          <w:color w:val="000000" w:themeColor="text1"/>
          <w:sz w:val="24"/>
          <w:highlight w:val="none"/>
          <w14:textFill>
            <w14:solidFill>
              <w14:schemeClr w14:val="tx1"/>
            </w14:solidFill>
          </w14:textFill>
        </w:rPr>
        <w:t>17.3.2</w:t>
      </w:r>
      <w:r>
        <w:rPr>
          <w:rFonts w:hAnsi="宋体"/>
          <w:color w:val="000000" w:themeColor="text1"/>
          <w:sz w:val="24"/>
          <w:highlight w:val="none"/>
          <w14:textFill>
            <w14:solidFill>
              <w14:schemeClr w14:val="tx1"/>
            </w14:solidFill>
          </w14:textFill>
        </w:rPr>
        <w:t>项的约定列入进度付款申请单，由监理人复核并经发包人同意后列入进度付款。</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03" w:name="_Toc100504217"/>
      <w:bookmarkStart w:id="904" w:name="_Toc144974683"/>
      <w:bookmarkStart w:id="905" w:name="_Toc179632732"/>
      <w:bookmarkStart w:id="906" w:name="_Toc24550"/>
      <w:bookmarkStart w:id="907" w:name="_Toc152045714"/>
      <w:bookmarkStart w:id="908" w:name="_Toc152042492"/>
      <w:bookmarkStart w:id="909" w:name="_Toc31822"/>
      <w:bookmarkStart w:id="910" w:name="_Toc3576"/>
      <w:r>
        <w:rPr>
          <w:rFonts w:eastAsia="宋体" w:cs="Times New Roman"/>
          <w:b/>
          <w:color w:val="000000" w:themeColor="text1"/>
          <w:szCs w:val="24"/>
          <w:highlight w:val="none"/>
          <w14:textFill>
            <w14:solidFill>
              <w14:schemeClr w14:val="tx1"/>
            </w14:solidFill>
          </w14:textFill>
        </w:rPr>
        <w:t>15.8 暂估价</w:t>
      </w:r>
      <w:bookmarkEnd w:id="903"/>
      <w:bookmarkEnd w:id="904"/>
      <w:bookmarkEnd w:id="905"/>
      <w:bookmarkEnd w:id="906"/>
      <w:bookmarkEnd w:id="907"/>
      <w:bookmarkEnd w:id="908"/>
      <w:bookmarkEnd w:id="909"/>
      <w:bookmarkEnd w:id="91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15.8.1 </w:t>
      </w:r>
      <w:r>
        <w:rPr>
          <w:rFonts w:hAnsi="宋体"/>
          <w:color w:val="000000" w:themeColor="text1"/>
          <w:sz w:val="24"/>
          <w:highlight w:val="none"/>
          <w14:textFill>
            <w14:solidFill>
              <w14:schemeClr w14:val="tx1"/>
            </w14:solidFill>
          </w14:textFill>
        </w:rPr>
        <w:t>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15.8.2 </w:t>
      </w:r>
      <w:r>
        <w:rPr>
          <w:rFonts w:hAnsi="宋体"/>
          <w:color w:val="000000" w:themeColor="text1"/>
          <w:sz w:val="24"/>
          <w:highlight w:val="none"/>
          <w14:textFill>
            <w14:solidFill>
              <w14:schemeClr w14:val="tx1"/>
            </w14:solidFill>
          </w14:textFill>
        </w:rPr>
        <w:t>发包人在工程量清单中给定暂估价的材料和工程设备不属于依法必须招标的范围或未达到规定的规模标准的，应由承包人按第</w:t>
      </w:r>
      <w:r>
        <w:rPr>
          <w:color w:val="000000" w:themeColor="text1"/>
          <w:sz w:val="24"/>
          <w:highlight w:val="none"/>
          <w14:textFill>
            <w14:solidFill>
              <w14:schemeClr w14:val="tx1"/>
            </w14:solidFill>
          </w14:textFill>
        </w:rPr>
        <w:t>5.1</w:t>
      </w:r>
      <w:r>
        <w:rPr>
          <w:rFonts w:hAnsi="宋体"/>
          <w:color w:val="000000" w:themeColor="text1"/>
          <w:sz w:val="24"/>
          <w:highlight w:val="none"/>
          <w14:textFill>
            <w14:solidFill>
              <w14:schemeClr w14:val="tx1"/>
            </w14:solidFill>
          </w14:textFill>
        </w:rPr>
        <w:t>款的约定提供。经监理人确认的材料、工程设备的价格与工程量清单中所列的暂估价的金额差以及相应的税金等其他费用列入合同价格。</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15.8.3 </w:t>
      </w:r>
      <w:r>
        <w:rPr>
          <w:rFonts w:hAnsi="宋体"/>
          <w:color w:val="000000" w:themeColor="text1"/>
          <w:sz w:val="24"/>
          <w:highlight w:val="none"/>
          <w14:textFill>
            <w14:solidFill>
              <w14:schemeClr w14:val="tx1"/>
            </w14:solidFill>
          </w14:textFill>
        </w:rPr>
        <w:t>发包人在工程量清单中给定暂估价的专业工程不属于依法必须招标的范围或未达到规定的规模标准的，由监理人按照第</w:t>
      </w:r>
      <w:r>
        <w:rPr>
          <w:color w:val="000000" w:themeColor="text1"/>
          <w:sz w:val="24"/>
          <w:highlight w:val="none"/>
          <w14:textFill>
            <w14:solidFill>
              <w14:schemeClr w14:val="tx1"/>
            </w14:solidFill>
          </w14:textFill>
        </w:rPr>
        <w:t>15.4</w:t>
      </w:r>
      <w:r>
        <w:rPr>
          <w:rFonts w:hAnsi="宋体"/>
          <w:color w:val="000000" w:themeColor="text1"/>
          <w:sz w:val="24"/>
          <w:highlight w:val="none"/>
          <w14:textFill>
            <w14:solidFill>
              <w14:schemeClr w14:val="tx1"/>
            </w14:solidFill>
          </w14:textFill>
        </w:rPr>
        <w:t>款进行估价，但专用合同条款另有约定的除外。经估价的专业工程与工程量清单中所列的暂估价的金额差以及相应的税金等其他费用列入合同价格。</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911" w:name="_Toc144974684"/>
      <w:bookmarkStart w:id="912" w:name="_Toc30104"/>
      <w:bookmarkStart w:id="913" w:name="_Toc1044"/>
      <w:bookmarkStart w:id="914" w:name="_Toc179632733"/>
      <w:bookmarkStart w:id="915" w:name="_Toc152045715"/>
      <w:bookmarkStart w:id="916" w:name="_Toc152042493"/>
      <w:bookmarkStart w:id="917" w:name="_Toc100504218"/>
      <w:bookmarkStart w:id="918" w:name="_Toc18881"/>
      <w:r>
        <w:rPr>
          <w:rFonts w:hAnsi="宋体"/>
          <w:b/>
          <w:color w:val="000000" w:themeColor="text1"/>
          <w:sz w:val="24"/>
          <w:highlight w:val="none"/>
          <w14:textFill>
            <w14:solidFill>
              <w14:schemeClr w14:val="tx1"/>
            </w14:solidFill>
          </w14:textFill>
        </w:rPr>
        <w:t>16. 价格调整</w:t>
      </w:r>
      <w:bookmarkEnd w:id="911"/>
      <w:bookmarkEnd w:id="912"/>
      <w:bookmarkEnd w:id="913"/>
      <w:bookmarkEnd w:id="914"/>
      <w:bookmarkEnd w:id="915"/>
      <w:bookmarkEnd w:id="916"/>
      <w:bookmarkEnd w:id="917"/>
      <w:bookmarkEnd w:id="918"/>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19" w:name="_Toc8356"/>
      <w:bookmarkStart w:id="920" w:name="_Toc152045716"/>
      <w:bookmarkStart w:id="921" w:name="_Toc179632734"/>
      <w:bookmarkStart w:id="922" w:name="_Toc100504219"/>
      <w:bookmarkStart w:id="923" w:name="_Toc4974"/>
      <w:bookmarkStart w:id="924" w:name="_Toc19057"/>
      <w:bookmarkStart w:id="925" w:name="_Toc152042494"/>
      <w:bookmarkStart w:id="926" w:name="_Toc144974685"/>
      <w:r>
        <w:rPr>
          <w:rFonts w:eastAsia="宋体" w:cs="Times New Roman"/>
          <w:b/>
          <w:color w:val="000000" w:themeColor="text1"/>
          <w:szCs w:val="24"/>
          <w:highlight w:val="none"/>
          <w14:textFill>
            <w14:solidFill>
              <w14:schemeClr w14:val="tx1"/>
            </w14:solidFill>
          </w14:textFill>
        </w:rPr>
        <w:t>16.1 物价波动引起的价格调整</w:t>
      </w:r>
      <w:bookmarkEnd w:id="919"/>
      <w:bookmarkEnd w:id="920"/>
      <w:bookmarkEnd w:id="921"/>
      <w:bookmarkEnd w:id="922"/>
      <w:bookmarkEnd w:id="923"/>
      <w:bookmarkEnd w:id="924"/>
      <w:bookmarkEnd w:id="925"/>
      <w:bookmarkEnd w:id="926"/>
    </w:p>
    <w:p>
      <w:pPr>
        <w:spacing w:line="360" w:lineRule="auto"/>
        <w:ind w:firstLine="456" w:firstLineChars="200"/>
        <w:rPr>
          <w:color w:val="000000" w:themeColor="text1"/>
          <w:spacing w:val="-6"/>
          <w:sz w:val="24"/>
          <w:highlight w:val="none"/>
          <w14:textFill>
            <w14:solidFill>
              <w14:schemeClr w14:val="tx1"/>
            </w14:solidFill>
          </w14:textFill>
        </w:rPr>
      </w:pPr>
      <w:r>
        <w:rPr>
          <w:rFonts w:hAnsi="宋体"/>
          <w:color w:val="000000" w:themeColor="text1"/>
          <w:spacing w:val="-6"/>
          <w:sz w:val="24"/>
          <w:highlight w:val="none"/>
          <w14:textFill>
            <w14:solidFill>
              <w14:schemeClr w14:val="tx1"/>
            </w14:solidFill>
          </w14:textFill>
        </w:rPr>
        <w:t>除专用合同条款另有约定外，因物价波动引起的价格调整按照本款约定处理。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16.1.1 </w:t>
      </w:r>
      <w:r>
        <w:rPr>
          <w:rFonts w:hAnsi="宋体"/>
          <w:color w:val="000000" w:themeColor="text1"/>
          <w:sz w:val="24"/>
          <w:highlight w:val="none"/>
          <w14:textFill>
            <w14:solidFill>
              <w14:schemeClr w14:val="tx1"/>
            </w14:solidFill>
          </w14:textFill>
        </w:rPr>
        <w:t>采用价格指数调整价格差额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16.1.1.1 </w:t>
      </w:r>
      <w:r>
        <w:rPr>
          <w:rFonts w:hAnsi="宋体"/>
          <w:color w:val="000000" w:themeColor="text1"/>
          <w:sz w:val="24"/>
          <w:highlight w:val="none"/>
          <w14:textFill>
            <w14:solidFill>
              <w14:schemeClr w14:val="tx1"/>
            </w14:solidFill>
          </w14:textFill>
        </w:rPr>
        <w:t>价格调整公式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因人工、材料和设备等价格波动影响合同价格时，根据投标函附录中的价格指数和权重表约定的数据，按以下公式计算差额并调整合同价格。</w:t>
      </w:r>
    </w:p>
    <w:p>
      <w:pPr>
        <w:autoSpaceDE w:val="0"/>
        <w:autoSpaceDN w:val="0"/>
        <w:adjustRightInd w:val="0"/>
        <w:spacing w:line="360" w:lineRule="auto"/>
        <w:ind w:firstLine="482" w:firstLineChars="200"/>
        <w:rPr>
          <w:color w:val="000000" w:themeColor="text1"/>
          <w:sz w:val="24"/>
          <w:highlight w:val="none"/>
          <w14:textFill>
            <w14:solidFill>
              <w14:schemeClr w14:val="tx1"/>
            </w14:solidFill>
          </w14:textFill>
        </w:rPr>
      </w:pPr>
      <w:r>
        <w:rPr>
          <w:b/>
          <w:bCs/>
          <w:color w:val="000000" w:themeColor="text1"/>
          <w:kern w:val="0"/>
          <w:sz w:val="24"/>
          <w:highlight w:val="none"/>
          <w:lang w:val="zh-CN"/>
          <w14:textFill>
            <w14:solidFill>
              <w14:schemeClr w14:val="tx1"/>
            </w14:solidFill>
          </w14:textFill>
        </w:rPr>
        <w:t xml:space="preserve">        </w:t>
      </w:r>
      <w:r>
        <w:rPr>
          <w:color w:val="000000" w:themeColor="text1"/>
          <w:position w:val="-34"/>
          <w:sz w:val="24"/>
          <w:highlight w:val="none"/>
          <w14:textFill>
            <w14:solidFill>
              <w14:schemeClr w14:val="tx1"/>
            </w14:solidFill>
          </w14:textFill>
        </w:rPr>
        <w:drawing>
          <wp:inline distT="0" distB="0" distL="114300" distR="114300">
            <wp:extent cx="3886200" cy="508000"/>
            <wp:effectExtent l="0" t="0" r="0" b="5715"/>
            <wp:docPr id="1"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6"/>
                    <pic:cNvPicPr>
                      <a:picLocks noChangeAspect="1"/>
                    </pic:cNvPicPr>
                  </pic:nvPicPr>
                  <pic:blipFill>
                    <a:blip r:embed="rId16"/>
                    <a:stretch>
                      <a:fillRect/>
                    </a:stretch>
                  </pic:blipFill>
                  <pic:spPr>
                    <a:xfrm>
                      <a:off x="0" y="0"/>
                      <a:ext cx="3886200" cy="508000"/>
                    </a:xfrm>
                    <a:prstGeom prst="rect">
                      <a:avLst/>
                    </a:prstGeom>
                    <a:noFill/>
                    <a:ln>
                      <a:noFill/>
                    </a:ln>
                  </pic:spPr>
                </pic:pic>
              </a:graphicData>
            </a:graphic>
          </wp:inline>
        </w:drawing>
      </w:r>
    </w:p>
    <w:p>
      <w:pPr>
        <w:tabs>
          <w:tab w:val="left" w:pos="12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式中：</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 xml:space="preserve">P -- </w:t>
      </w:r>
      <w:r>
        <w:rPr>
          <w:rFonts w:hAnsi="宋体"/>
          <w:color w:val="000000" w:themeColor="text1"/>
          <w:sz w:val="24"/>
          <w:highlight w:val="none"/>
          <w14:textFill>
            <w14:solidFill>
              <w14:schemeClr w14:val="tx1"/>
            </w14:solidFill>
          </w14:textFill>
        </w:rPr>
        <w:t>需调整的价格差额；</w:t>
      </w:r>
    </w:p>
    <w:p>
      <w:pPr>
        <w:tabs>
          <w:tab w:val="left" w:pos="12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ab/>
      </w:r>
      <w:r>
        <w:rPr>
          <w:color w:val="000000" w:themeColor="text1"/>
          <w:sz w:val="24"/>
          <w:highlight w:val="none"/>
          <w14:textFill>
            <w14:solidFill>
              <w14:schemeClr w14:val="tx1"/>
            </w14:solidFill>
          </w14:textFill>
        </w:rPr>
        <w:t>P</w:t>
      </w:r>
      <w:r>
        <w:rPr>
          <w:color w:val="000000" w:themeColor="text1"/>
          <w:sz w:val="24"/>
          <w:highlight w:val="none"/>
          <w:vertAlign w:val="subscript"/>
          <w14:textFill>
            <w14:solidFill>
              <w14:schemeClr w14:val="tx1"/>
            </w14:solidFill>
          </w14:textFill>
        </w:rPr>
        <w:t>0</w:t>
      </w:r>
      <w:r>
        <w:rPr>
          <w:color w:val="000000" w:themeColor="text1"/>
          <w:sz w:val="24"/>
          <w:highlight w:val="none"/>
          <w14:textFill>
            <w14:solidFill>
              <w14:schemeClr w14:val="tx1"/>
            </w14:solidFill>
          </w14:textFill>
        </w:rPr>
        <w:t xml:space="preserve"> -- </w:t>
      </w:r>
      <w:r>
        <w:rPr>
          <w:rFonts w:hAnsi="宋体"/>
          <w:color w:val="000000" w:themeColor="text1"/>
          <w:sz w:val="24"/>
          <w:highlight w:val="none"/>
          <w14:textFill>
            <w14:solidFill>
              <w14:schemeClr w14:val="tx1"/>
            </w14:solidFill>
          </w14:textFill>
        </w:rPr>
        <w:t>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项、第</w:t>
      </w:r>
      <w:r>
        <w:rPr>
          <w:color w:val="000000" w:themeColor="text1"/>
          <w:sz w:val="24"/>
          <w:highlight w:val="none"/>
          <w14:textFill>
            <w14:solidFill>
              <w14:schemeClr w14:val="tx1"/>
            </w14:solidFill>
          </w14:textFill>
        </w:rPr>
        <w:t>17.5.2</w:t>
      </w:r>
      <w:r>
        <w:rPr>
          <w:rFonts w:hAnsi="宋体"/>
          <w:color w:val="000000" w:themeColor="text1"/>
          <w:sz w:val="24"/>
          <w:highlight w:val="none"/>
          <w14:textFill>
            <w14:solidFill>
              <w14:schemeClr w14:val="tx1"/>
            </w14:solidFill>
          </w14:textFill>
        </w:rPr>
        <w:t>项和第</w:t>
      </w:r>
      <w:r>
        <w:rPr>
          <w:color w:val="000000" w:themeColor="text1"/>
          <w:sz w:val="24"/>
          <w:highlight w:val="none"/>
          <w14:textFill>
            <w14:solidFill>
              <w14:schemeClr w14:val="tx1"/>
            </w14:solidFill>
          </w14:textFill>
        </w:rPr>
        <w:t>17.6.2</w:t>
      </w:r>
      <w:r>
        <w:rPr>
          <w:rFonts w:hAnsi="宋体"/>
          <w:color w:val="000000" w:themeColor="text1"/>
          <w:sz w:val="24"/>
          <w:highlight w:val="none"/>
          <w14:textFill>
            <w14:solidFill>
              <w14:schemeClr w14:val="tx1"/>
            </w14:solidFill>
          </w14:textFill>
        </w:rPr>
        <w:t>项约定的付款证书中承包人应得到的已完成工程量的金额。此项金额应不包括价格调整、不计质量保证金的扣留和支付、预付款的支付和扣回。第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条约定的变更及其他金额已按现行价格计价的，也不计在内；</w:t>
      </w:r>
    </w:p>
    <w:p>
      <w:pPr>
        <w:tabs>
          <w:tab w:val="left" w:pos="1260"/>
        </w:tabs>
        <w:spacing w:line="360" w:lineRule="auto"/>
        <w:ind w:firstLine="480" w:firstLineChars="200"/>
        <w:rPr>
          <w:color w:val="000000" w:themeColor="text1"/>
          <w:sz w:val="24"/>
          <w:highlight w:val="none"/>
          <w14:textFill>
            <w14:solidFill>
              <w14:schemeClr w14:val="tx1"/>
            </w14:solidFill>
          </w14:textFill>
        </w:rPr>
      </w:pPr>
      <w:bookmarkStart w:id="927" w:name="_Toc144974686"/>
      <w:bookmarkStart w:id="928" w:name="_Toc152042495"/>
      <w:r>
        <w:rPr>
          <w:color w:val="000000" w:themeColor="text1"/>
          <w:sz w:val="24"/>
          <w:highlight w:val="none"/>
          <w14:textFill>
            <w14:solidFill>
              <w14:schemeClr w14:val="tx1"/>
            </w14:solidFill>
          </w14:textFill>
        </w:rPr>
        <w:t xml:space="preserve">A -- </w:t>
      </w:r>
      <w:r>
        <w:rPr>
          <w:rFonts w:hAnsi="宋体"/>
          <w:color w:val="000000" w:themeColor="text1"/>
          <w:sz w:val="24"/>
          <w:highlight w:val="none"/>
          <w14:textFill>
            <w14:solidFill>
              <w14:schemeClr w14:val="tx1"/>
            </w14:solidFill>
          </w14:textFill>
        </w:rPr>
        <w:t>定值权重</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即不调部分的权重</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bookmarkEnd w:id="927"/>
      <w:bookmarkEnd w:id="928"/>
    </w:p>
    <w:p>
      <w:pPr>
        <w:tabs>
          <w:tab w:val="left" w:pos="12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B</w:t>
      </w:r>
      <w:r>
        <w:rPr>
          <w:color w:val="000000" w:themeColor="text1"/>
          <w:sz w:val="24"/>
          <w:highlight w:val="none"/>
          <w:vertAlign w:val="subscript"/>
          <w14:textFill>
            <w14:solidFill>
              <w14:schemeClr w14:val="tx1"/>
            </w14:solidFill>
          </w14:textFill>
        </w:rPr>
        <w:t>1</w:t>
      </w:r>
      <w:r>
        <w:rPr>
          <w:color w:val="000000" w:themeColor="text1"/>
          <w:sz w:val="24"/>
          <w:highlight w:val="none"/>
          <w14:textFill>
            <w14:solidFill>
              <w14:schemeClr w14:val="tx1"/>
            </w14:solidFill>
          </w14:textFill>
        </w:rPr>
        <w:t>; B</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 xml:space="preserve"> ;B</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·····B</w:t>
      </w:r>
      <w:r>
        <w:rPr>
          <w:color w:val="000000" w:themeColor="text1"/>
          <w:sz w:val="24"/>
          <w:highlight w:val="none"/>
          <w:vertAlign w:val="subscript"/>
          <w14:textFill>
            <w14:solidFill>
              <w14:schemeClr w14:val="tx1"/>
            </w14:solidFill>
          </w14:textFill>
        </w:rPr>
        <w:t>n</w:t>
      </w:r>
      <w:r>
        <w:rPr>
          <w:color w:val="000000" w:themeColor="text1"/>
          <w:sz w:val="24"/>
          <w:highlight w:val="none"/>
          <w14:textFill>
            <w14:solidFill>
              <w14:schemeClr w14:val="tx1"/>
            </w14:solidFill>
          </w14:textFill>
        </w:rPr>
        <w:t xml:space="preserve"> -- </w:t>
      </w:r>
      <w:r>
        <w:rPr>
          <w:rFonts w:hAnsi="宋体"/>
          <w:color w:val="000000" w:themeColor="text1"/>
          <w:sz w:val="24"/>
          <w:highlight w:val="none"/>
          <w14:textFill>
            <w14:solidFill>
              <w14:schemeClr w14:val="tx1"/>
            </w14:solidFill>
          </w14:textFill>
        </w:rPr>
        <w:t>各可调因子的变值权重</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即可调部分的权重</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为各可调因子在投标函投标总报价中所占的比例；</w:t>
      </w:r>
    </w:p>
    <w:p>
      <w:pPr>
        <w:tabs>
          <w:tab w:val="left" w:pos="12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F</w:t>
      </w:r>
      <w:r>
        <w:rPr>
          <w:color w:val="000000" w:themeColor="text1"/>
          <w:sz w:val="24"/>
          <w:highlight w:val="none"/>
          <w:vertAlign w:val="subscript"/>
          <w14:textFill>
            <w14:solidFill>
              <w14:schemeClr w14:val="tx1"/>
            </w14:solidFill>
          </w14:textFill>
        </w:rPr>
        <w:t>t1</w:t>
      </w:r>
      <w:r>
        <w:rPr>
          <w:color w:val="000000" w:themeColor="text1"/>
          <w:sz w:val="24"/>
          <w:highlight w:val="none"/>
          <w14:textFill>
            <w14:solidFill>
              <w14:schemeClr w14:val="tx1"/>
            </w14:solidFill>
          </w14:textFill>
        </w:rPr>
        <w:t xml:space="preserve"> ;F</w:t>
      </w:r>
      <w:r>
        <w:rPr>
          <w:color w:val="000000" w:themeColor="text1"/>
          <w:sz w:val="24"/>
          <w:highlight w:val="none"/>
          <w:vertAlign w:val="subscript"/>
          <w14:textFill>
            <w14:solidFill>
              <w14:schemeClr w14:val="tx1"/>
            </w14:solidFill>
          </w14:textFill>
        </w:rPr>
        <w:t>t2</w:t>
      </w:r>
      <w:r>
        <w:rPr>
          <w:color w:val="000000" w:themeColor="text1"/>
          <w:sz w:val="24"/>
          <w:highlight w:val="none"/>
          <w14:textFill>
            <w14:solidFill>
              <w14:schemeClr w14:val="tx1"/>
            </w14:solidFill>
          </w14:textFill>
        </w:rPr>
        <w:t xml:space="preserve"> ;F</w:t>
      </w:r>
      <w:r>
        <w:rPr>
          <w:color w:val="000000" w:themeColor="text1"/>
          <w:sz w:val="24"/>
          <w:highlight w:val="none"/>
          <w:vertAlign w:val="subscript"/>
          <w14:textFill>
            <w14:solidFill>
              <w14:schemeClr w14:val="tx1"/>
            </w14:solidFill>
          </w14:textFill>
        </w:rPr>
        <w:t>t3</w:t>
      </w:r>
      <w:r>
        <w:rPr>
          <w:color w:val="000000" w:themeColor="text1"/>
          <w:sz w:val="24"/>
          <w:highlight w:val="none"/>
          <w14:textFill>
            <w14:solidFill>
              <w14:schemeClr w14:val="tx1"/>
            </w14:solidFill>
          </w14:textFill>
        </w:rPr>
        <w:t>·····F</w:t>
      </w:r>
      <w:r>
        <w:rPr>
          <w:color w:val="000000" w:themeColor="text1"/>
          <w:sz w:val="24"/>
          <w:highlight w:val="none"/>
          <w:vertAlign w:val="subscript"/>
          <w14:textFill>
            <w14:solidFill>
              <w14:schemeClr w14:val="tx1"/>
            </w14:solidFill>
          </w14:textFill>
        </w:rPr>
        <w:t>tn</w:t>
      </w:r>
      <w:r>
        <w:rPr>
          <w:color w:val="000000" w:themeColor="text1"/>
          <w:sz w:val="24"/>
          <w:highlight w:val="none"/>
          <w14:textFill>
            <w14:solidFill>
              <w14:schemeClr w14:val="tx1"/>
            </w14:solidFill>
          </w14:textFill>
        </w:rPr>
        <w:t xml:space="preserve"> -- </w:t>
      </w:r>
      <w:r>
        <w:rPr>
          <w:rFonts w:hAnsi="宋体"/>
          <w:color w:val="000000" w:themeColor="text1"/>
          <w:sz w:val="24"/>
          <w:highlight w:val="none"/>
          <w14:textFill>
            <w14:solidFill>
              <w14:schemeClr w14:val="tx1"/>
            </w14:solidFill>
          </w14:textFill>
        </w:rPr>
        <w:t>各可调因子的现行价格指数，指第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项、第</w:t>
      </w:r>
      <w:r>
        <w:rPr>
          <w:color w:val="000000" w:themeColor="text1"/>
          <w:sz w:val="24"/>
          <w:highlight w:val="none"/>
          <w14:textFill>
            <w14:solidFill>
              <w14:schemeClr w14:val="tx1"/>
            </w14:solidFill>
          </w14:textFill>
        </w:rPr>
        <w:t>17.5.2</w:t>
      </w:r>
      <w:r>
        <w:rPr>
          <w:rFonts w:hAnsi="宋体"/>
          <w:color w:val="000000" w:themeColor="text1"/>
          <w:sz w:val="24"/>
          <w:highlight w:val="none"/>
          <w14:textFill>
            <w14:solidFill>
              <w14:schemeClr w14:val="tx1"/>
            </w14:solidFill>
          </w14:textFill>
        </w:rPr>
        <w:t>项和第</w:t>
      </w:r>
      <w:r>
        <w:rPr>
          <w:color w:val="000000" w:themeColor="text1"/>
          <w:sz w:val="24"/>
          <w:highlight w:val="none"/>
          <w14:textFill>
            <w14:solidFill>
              <w14:schemeClr w14:val="tx1"/>
            </w14:solidFill>
          </w14:textFill>
        </w:rPr>
        <w:t>17.6.2</w:t>
      </w:r>
      <w:r>
        <w:rPr>
          <w:rFonts w:hAnsi="宋体"/>
          <w:color w:val="000000" w:themeColor="text1"/>
          <w:sz w:val="24"/>
          <w:highlight w:val="none"/>
          <w14:textFill>
            <w14:solidFill>
              <w14:schemeClr w14:val="tx1"/>
            </w14:solidFill>
          </w14:textFill>
        </w:rPr>
        <w:t>项约定的付款证书相关周期最后一天的前</w:t>
      </w:r>
      <w:r>
        <w:rPr>
          <w:color w:val="000000" w:themeColor="text1"/>
          <w:sz w:val="24"/>
          <w:highlight w:val="none"/>
          <w14:textFill>
            <w14:solidFill>
              <w14:schemeClr w14:val="tx1"/>
            </w14:solidFill>
          </w14:textFill>
        </w:rPr>
        <w:t>42</w:t>
      </w:r>
      <w:r>
        <w:rPr>
          <w:rFonts w:hAnsi="宋体"/>
          <w:color w:val="000000" w:themeColor="text1"/>
          <w:sz w:val="24"/>
          <w:highlight w:val="none"/>
          <w14:textFill>
            <w14:solidFill>
              <w14:schemeClr w14:val="tx1"/>
            </w14:solidFill>
          </w14:textFill>
        </w:rPr>
        <w:t>天的各可调因子的价格指数；</w:t>
      </w:r>
    </w:p>
    <w:p>
      <w:pPr>
        <w:tabs>
          <w:tab w:val="left" w:pos="1260"/>
        </w:tabs>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F</w:t>
      </w:r>
      <w:r>
        <w:rPr>
          <w:color w:val="000000" w:themeColor="text1"/>
          <w:sz w:val="24"/>
          <w:highlight w:val="none"/>
          <w:vertAlign w:val="subscript"/>
          <w14:textFill>
            <w14:solidFill>
              <w14:schemeClr w14:val="tx1"/>
            </w14:solidFill>
          </w14:textFill>
        </w:rPr>
        <w:t>o1</w:t>
      </w:r>
      <w:r>
        <w:rPr>
          <w:color w:val="000000" w:themeColor="text1"/>
          <w:sz w:val="24"/>
          <w:highlight w:val="none"/>
          <w14:textFill>
            <w14:solidFill>
              <w14:schemeClr w14:val="tx1"/>
            </w14:solidFill>
          </w14:textFill>
        </w:rPr>
        <w:t>; F</w:t>
      </w:r>
      <w:r>
        <w:rPr>
          <w:color w:val="000000" w:themeColor="text1"/>
          <w:sz w:val="24"/>
          <w:highlight w:val="none"/>
          <w:vertAlign w:val="subscript"/>
          <w14:textFill>
            <w14:solidFill>
              <w14:schemeClr w14:val="tx1"/>
            </w14:solidFill>
          </w14:textFill>
        </w:rPr>
        <w:t>o2</w:t>
      </w:r>
      <w:r>
        <w:rPr>
          <w:color w:val="000000" w:themeColor="text1"/>
          <w:sz w:val="24"/>
          <w:highlight w:val="none"/>
          <w14:textFill>
            <w14:solidFill>
              <w14:schemeClr w14:val="tx1"/>
            </w14:solidFill>
          </w14:textFill>
        </w:rPr>
        <w:t>; F</w:t>
      </w:r>
      <w:r>
        <w:rPr>
          <w:color w:val="000000" w:themeColor="text1"/>
          <w:sz w:val="24"/>
          <w:highlight w:val="none"/>
          <w:vertAlign w:val="subscript"/>
          <w14:textFill>
            <w14:solidFill>
              <w14:schemeClr w14:val="tx1"/>
            </w14:solidFill>
          </w14:textFill>
        </w:rPr>
        <w:t>o3</w:t>
      </w:r>
      <w:r>
        <w:rPr>
          <w:color w:val="000000" w:themeColor="text1"/>
          <w:sz w:val="24"/>
          <w:highlight w:val="none"/>
          <w14:textFill>
            <w14:solidFill>
              <w14:schemeClr w14:val="tx1"/>
            </w14:solidFill>
          </w14:textFill>
        </w:rPr>
        <w:t>·····F</w:t>
      </w:r>
      <w:r>
        <w:rPr>
          <w:color w:val="000000" w:themeColor="text1"/>
          <w:sz w:val="24"/>
          <w:highlight w:val="none"/>
          <w:vertAlign w:val="subscript"/>
          <w14:textFill>
            <w14:solidFill>
              <w14:schemeClr w14:val="tx1"/>
            </w14:solidFill>
          </w14:textFill>
        </w:rPr>
        <w:t>on</w:t>
      </w:r>
      <w:r>
        <w:rPr>
          <w:color w:val="000000" w:themeColor="text1"/>
          <w:sz w:val="24"/>
          <w:highlight w:val="none"/>
          <w14:textFill>
            <w14:solidFill>
              <w14:schemeClr w14:val="tx1"/>
            </w14:solidFill>
          </w14:textFill>
        </w:rPr>
        <w:t xml:space="preserve"> -- </w:t>
      </w:r>
      <w:r>
        <w:rPr>
          <w:rFonts w:hAnsi="宋体"/>
          <w:color w:val="000000" w:themeColor="text1"/>
          <w:sz w:val="24"/>
          <w:highlight w:val="none"/>
          <w14:textFill>
            <w14:solidFill>
              <w14:schemeClr w14:val="tx1"/>
            </w14:solidFill>
          </w14:textFill>
        </w:rPr>
        <w:t>各可调因子的基本价格指数，指基准日期的各可调因子的价格指数。</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16.1.1.2 </w:t>
      </w:r>
      <w:r>
        <w:rPr>
          <w:rFonts w:hAnsi="宋体"/>
          <w:color w:val="000000" w:themeColor="text1"/>
          <w:sz w:val="24"/>
          <w:highlight w:val="none"/>
          <w14:textFill>
            <w14:solidFill>
              <w14:schemeClr w14:val="tx1"/>
            </w14:solidFill>
          </w14:textFill>
        </w:rPr>
        <w:t>暂时确定调整差额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在计算调整差额时得不到现行价格指数的，可暂用上一次价格指数计算，并在以后的付款中再按实际价格指数进行调整。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16.1.1.3 </w:t>
      </w:r>
      <w:r>
        <w:rPr>
          <w:rFonts w:hAnsi="宋体"/>
          <w:color w:val="000000" w:themeColor="text1"/>
          <w:sz w:val="24"/>
          <w:highlight w:val="none"/>
          <w14:textFill>
            <w14:solidFill>
              <w14:schemeClr w14:val="tx1"/>
            </w14:solidFill>
          </w14:textFill>
        </w:rPr>
        <w:t>权重的调整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按第</w:t>
      </w:r>
      <w:r>
        <w:rPr>
          <w:color w:val="000000" w:themeColor="text1"/>
          <w:sz w:val="24"/>
          <w:highlight w:val="none"/>
          <w14:textFill>
            <w14:solidFill>
              <w14:schemeClr w14:val="tx1"/>
            </w14:solidFill>
          </w14:textFill>
        </w:rPr>
        <w:t>15.1</w:t>
      </w:r>
      <w:r>
        <w:rPr>
          <w:rFonts w:hAnsi="宋体"/>
          <w:color w:val="000000" w:themeColor="text1"/>
          <w:sz w:val="24"/>
          <w:highlight w:val="none"/>
          <w14:textFill>
            <w14:solidFill>
              <w14:schemeClr w14:val="tx1"/>
            </w14:solidFill>
          </w14:textFill>
        </w:rPr>
        <w:t>款约定的变更导致原定合同中的权重不合理时，由监理人与承包人和发包人协商后进行调整。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16.1.1.4 </w:t>
      </w:r>
      <w:r>
        <w:rPr>
          <w:rFonts w:hAnsi="宋体"/>
          <w:color w:val="000000" w:themeColor="text1"/>
          <w:sz w:val="24"/>
          <w:highlight w:val="none"/>
          <w14:textFill>
            <w14:solidFill>
              <w14:schemeClr w14:val="tx1"/>
            </w14:solidFill>
          </w14:textFill>
        </w:rPr>
        <w:t>承包人工期延误后的价格调整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由于承包人原因未在约定的工期内竣工的，则对原约定竣工日期后继续施工的工程，在使用第</w:t>
      </w:r>
      <w:r>
        <w:rPr>
          <w:color w:val="000000" w:themeColor="text1"/>
          <w:sz w:val="24"/>
          <w:highlight w:val="none"/>
          <w14:textFill>
            <w14:solidFill>
              <w14:schemeClr w14:val="tx1"/>
            </w14:solidFill>
          </w14:textFill>
        </w:rPr>
        <w:t>16.1.1.1</w:t>
      </w:r>
      <w:r>
        <w:rPr>
          <w:rFonts w:hAnsi="宋体"/>
          <w:color w:val="000000" w:themeColor="text1"/>
          <w:sz w:val="24"/>
          <w:highlight w:val="none"/>
          <w14:textFill>
            <w14:solidFill>
              <w14:schemeClr w14:val="tx1"/>
            </w14:solidFill>
          </w14:textFill>
        </w:rPr>
        <w:t>目价格调整公式时，应采用原约定竣工日期与实际竣工日期的两个价格指数中较低的一个作为现行价格指数。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16.1.2 </w:t>
      </w:r>
      <w:r>
        <w:rPr>
          <w:rFonts w:hAnsi="宋体"/>
          <w:color w:val="000000" w:themeColor="text1"/>
          <w:sz w:val="24"/>
          <w:highlight w:val="none"/>
          <w14:textFill>
            <w14:solidFill>
              <w14:schemeClr w14:val="tx1"/>
            </w14:solidFill>
          </w14:textFill>
        </w:rPr>
        <w:t>采用造价信息调整价格差额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29" w:name="_Toc152042496"/>
      <w:bookmarkStart w:id="930" w:name="_Toc3793"/>
      <w:bookmarkStart w:id="931" w:name="_Toc152045717"/>
      <w:bookmarkStart w:id="932" w:name="_Toc5062"/>
      <w:bookmarkStart w:id="933" w:name="_Toc10282"/>
      <w:bookmarkStart w:id="934" w:name="_Toc144974688"/>
      <w:bookmarkStart w:id="935" w:name="_Toc100504220"/>
      <w:bookmarkStart w:id="936" w:name="_Toc179632735"/>
      <w:r>
        <w:rPr>
          <w:rFonts w:eastAsia="宋体" w:cs="Times New Roman"/>
          <w:b/>
          <w:color w:val="000000" w:themeColor="text1"/>
          <w:szCs w:val="24"/>
          <w:highlight w:val="none"/>
          <w14:textFill>
            <w14:solidFill>
              <w14:schemeClr w14:val="tx1"/>
            </w14:solidFill>
          </w14:textFill>
        </w:rPr>
        <w:t>16.2 法律变化引起的价格调整</w:t>
      </w:r>
      <w:bookmarkEnd w:id="929"/>
      <w:bookmarkEnd w:id="930"/>
      <w:bookmarkEnd w:id="931"/>
      <w:bookmarkEnd w:id="932"/>
      <w:bookmarkEnd w:id="933"/>
      <w:bookmarkEnd w:id="934"/>
      <w:bookmarkEnd w:id="935"/>
      <w:bookmarkEnd w:id="93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在基准日后，因法律变化导致承包人在合同履行中所需要的工程费用发生除第</w:t>
      </w:r>
      <w:r>
        <w:rPr>
          <w:color w:val="000000" w:themeColor="text1"/>
          <w:sz w:val="24"/>
          <w:highlight w:val="none"/>
          <w14:textFill>
            <w14:solidFill>
              <w14:schemeClr w14:val="tx1"/>
            </w14:solidFill>
          </w14:textFill>
        </w:rPr>
        <w:t>16.1</w:t>
      </w:r>
      <w:r>
        <w:rPr>
          <w:rFonts w:hAnsi="宋体"/>
          <w:color w:val="000000" w:themeColor="text1"/>
          <w:sz w:val="24"/>
          <w:highlight w:val="none"/>
          <w14:textFill>
            <w14:solidFill>
              <w14:schemeClr w14:val="tx1"/>
            </w14:solidFill>
          </w14:textFill>
        </w:rPr>
        <w:t>款约定以外的增减时，监理人应根据法律、国家或省、自治区、直辖市有关部门的规定，按第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款商定或确定需调整的合同价款。</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937" w:name="_Toc16800"/>
      <w:bookmarkStart w:id="938" w:name="_Toc24661"/>
      <w:bookmarkStart w:id="939" w:name="_Toc179632736"/>
      <w:bookmarkStart w:id="940" w:name="_Toc144974689"/>
      <w:bookmarkStart w:id="941" w:name="_Toc152042497"/>
      <w:bookmarkStart w:id="942" w:name="_Toc15328"/>
      <w:bookmarkStart w:id="943" w:name="_Toc152045718"/>
      <w:bookmarkStart w:id="944" w:name="_Toc100504221"/>
      <w:r>
        <w:rPr>
          <w:rFonts w:hAnsi="宋体"/>
          <w:b/>
          <w:color w:val="000000" w:themeColor="text1"/>
          <w:sz w:val="24"/>
          <w:highlight w:val="none"/>
          <w14:textFill>
            <w14:solidFill>
              <w14:schemeClr w14:val="tx1"/>
            </w14:solidFill>
          </w14:textFill>
        </w:rPr>
        <w:t>17. 计量与支付</w:t>
      </w:r>
      <w:bookmarkEnd w:id="937"/>
      <w:bookmarkEnd w:id="938"/>
      <w:bookmarkEnd w:id="939"/>
      <w:bookmarkEnd w:id="940"/>
      <w:bookmarkEnd w:id="941"/>
      <w:bookmarkEnd w:id="942"/>
      <w:bookmarkEnd w:id="943"/>
      <w:bookmarkEnd w:id="944"/>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45" w:name="_Toc5724"/>
      <w:bookmarkStart w:id="946" w:name="_Toc100504222"/>
      <w:bookmarkStart w:id="947" w:name="_Toc179632737"/>
      <w:bookmarkStart w:id="948" w:name="_Toc29961"/>
      <w:bookmarkStart w:id="949" w:name="_Toc8404"/>
      <w:bookmarkStart w:id="950" w:name="_Toc152042498"/>
      <w:bookmarkStart w:id="951" w:name="_Toc144974690"/>
      <w:bookmarkStart w:id="952" w:name="_Toc152045719"/>
      <w:r>
        <w:rPr>
          <w:rFonts w:eastAsia="宋体" w:cs="Times New Roman"/>
          <w:b/>
          <w:color w:val="000000" w:themeColor="text1"/>
          <w:szCs w:val="24"/>
          <w:highlight w:val="none"/>
          <w14:textFill>
            <w14:solidFill>
              <w14:schemeClr w14:val="tx1"/>
            </w14:solidFill>
          </w14:textFill>
        </w:rPr>
        <w:t>17.1 计量</w:t>
      </w:r>
      <w:bookmarkEnd w:id="945"/>
      <w:bookmarkEnd w:id="946"/>
      <w:bookmarkEnd w:id="947"/>
      <w:bookmarkEnd w:id="948"/>
      <w:bookmarkEnd w:id="949"/>
      <w:bookmarkEnd w:id="950"/>
      <w:bookmarkEnd w:id="951"/>
      <w:bookmarkEnd w:id="95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17.1.1 </w:t>
      </w:r>
      <w:r>
        <w:rPr>
          <w:rFonts w:hAnsi="宋体"/>
          <w:color w:val="000000" w:themeColor="text1"/>
          <w:sz w:val="24"/>
          <w:highlight w:val="none"/>
          <w14:textFill>
            <w14:solidFill>
              <w14:schemeClr w14:val="tx1"/>
            </w14:solidFill>
          </w14:textFill>
        </w:rPr>
        <w:t>计量单位</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计量采用国家法定的计量单位。</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17.1.2 </w:t>
      </w:r>
      <w:r>
        <w:rPr>
          <w:rFonts w:hAnsi="宋体"/>
          <w:color w:val="000000" w:themeColor="text1"/>
          <w:sz w:val="24"/>
          <w:highlight w:val="none"/>
          <w14:textFill>
            <w14:solidFill>
              <w14:schemeClr w14:val="tx1"/>
            </w14:solidFill>
          </w14:textFill>
        </w:rPr>
        <w:t>计量方法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工程量清单中的工程量计算规则应按有关国家标准、行业标准的规定，并在合同中约定执行。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17.1.3 </w:t>
      </w:r>
      <w:r>
        <w:rPr>
          <w:rFonts w:hAnsi="宋体"/>
          <w:color w:val="000000" w:themeColor="text1"/>
          <w:sz w:val="24"/>
          <w:highlight w:val="none"/>
          <w14:textFill>
            <w14:solidFill>
              <w14:schemeClr w14:val="tx1"/>
            </w14:solidFill>
          </w14:textFill>
        </w:rPr>
        <w:t>计量周期</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除专用合同条款另有约定外，单价子目已完成工程量按月计量，总价子目的计量周期按批准的支付分解报告确定。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17.1.4 </w:t>
      </w:r>
      <w:r>
        <w:rPr>
          <w:rFonts w:hAnsi="宋体"/>
          <w:color w:val="000000" w:themeColor="text1"/>
          <w:sz w:val="24"/>
          <w:highlight w:val="none"/>
          <w14:textFill>
            <w14:solidFill>
              <w14:schemeClr w14:val="tx1"/>
            </w14:solidFill>
          </w14:textFill>
        </w:rPr>
        <w:t>单价子目的计量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）已标价工程量清单中的单价子目工程量为估算工程量。结算工程量是承包人实际完成的，并按合同约定的计量方法进行计量的工程量。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）承包人对已完成的工程进行计量，向监理人提交进度付款申请单、已完成工程量报表和有关计量资料。</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）监理人对承包人提交的工程量报表进行复核，以确定实际完成的工程量。对数量有异议的，可要求承包人按第</w:t>
      </w:r>
      <w:r>
        <w:rPr>
          <w:color w:val="000000" w:themeColor="text1"/>
          <w:sz w:val="24"/>
          <w:highlight w:val="none"/>
          <w14:textFill>
            <w14:solidFill>
              <w14:schemeClr w14:val="tx1"/>
            </w14:solidFill>
          </w14:textFill>
        </w:rPr>
        <w:t>8.2</w:t>
      </w:r>
      <w:r>
        <w:rPr>
          <w:rFonts w:hAnsi="宋体"/>
          <w:color w:val="000000" w:themeColor="text1"/>
          <w:sz w:val="24"/>
          <w:highlight w:val="none"/>
          <w14:textFill>
            <w14:solidFill>
              <w14:schemeClr w14:val="tx1"/>
            </w14:solidFill>
          </w14:textFill>
        </w:rPr>
        <w:t>款约定进行共同复核和抽样复测。承包人应协助监理人进行复核并按监理人要求提供补充计量资料。承包人未按监理人要求参加复核，监理人复核或修正的工程量视为承包人实际完成的工程量。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）监理人认为有必要时，可通知承包人共同进行联合测量、计量，承包人应遵照执行。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）监理人应在收到承包人提交的工程量报表后的</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天内进行复核，监理人未在约定时间内复核的，承包人提交的工程量报表中的工程量视为承包人实际完成的工程量，据此计算工程价款。</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17.1.5 </w:t>
      </w:r>
      <w:r>
        <w:rPr>
          <w:rFonts w:hAnsi="宋体"/>
          <w:color w:val="000000" w:themeColor="text1"/>
          <w:sz w:val="24"/>
          <w:highlight w:val="none"/>
          <w14:textFill>
            <w14:solidFill>
              <w14:schemeClr w14:val="tx1"/>
            </w14:solidFill>
          </w14:textFill>
        </w:rPr>
        <w:t>总价子目的计量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除专用合同条款另有约定外，总价子目的分解和计量按照下述约定进行。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）总价子目的计量和支付应以总价为基础，不因第</w:t>
      </w:r>
      <w:r>
        <w:rPr>
          <w:color w:val="000000" w:themeColor="text1"/>
          <w:sz w:val="24"/>
          <w:highlight w:val="none"/>
          <w14:textFill>
            <w14:solidFill>
              <w14:schemeClr w14:val="tx1"/>
            </w14:solidFill>
          </w14:textFill>
        </w:rPr>
        <w:t>16.1</w:t>
      </w:r>
      <w:r>
        <w:rPr>
          <w:rFonts w:hAnsi="宋体"/>
          <w:color w:val="000000" w:themeColor="text1"/>
          <w:sz w:val="24"/>
          <w:highlight w:val="none"/>
          <w14:textFill>
            <w14:solidFill>
              <w14:schemeClr w14:val="tx1"/>
            </w14:solidFill>
          </w14:textFill>
        </w:rPr>
        <w:t>款中的因素而进行调整。承包人实际完成的工程量，是进行工程目标管理和控制进度支付的依据。</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）监理人对承包人提交的上述资料进行复核，以确定分阶段实际完成的工程量和工程形象目标。对其有异议的，可要求承包人按第</w:t>
      </w:r>
      <w:r>
        <w:rPr>
          <w:color w:val="000000" w:themeColor="text1"/>
          <w:sz w:val="24"/>
          <w:highlight w:val="none"/>
          <w14:textFill>
            <w14:solidFill>
              <w14:schemeClr w14:val="tx1"/>
            </w14:solidFill>
          </w14:textFill>
        </w:rPr>
        <w:t>8.2</w:t>
      </w:r>
      <w:r>
        <w:rPr>
          <w:rFonts w:hAnsi="宋体"/>
          <w:color w:val="000000" w:themeColor="text1"/>
          <w:sz w:val="24"/>
          <w:highlight w:val="none"/>
          <w14:textFill>
            <w14:solidFill>
              <w14:schemeClr w14:val="tx1"/>
            </w14:solidFill>
          </w14:textFill>
        </w:rPr>
        <w:t>款约定进行共同复核和抽样复测。</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）除按照第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条约定的变更外，总价子目的工程量是承包人用于结算的最终工程量。</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53" w:name="_Toc15327"/>
      <w:bookmarkStart w:id="954" w:name="_Toc24860"/>
      <w:bookmarkStart w:id="955" w:name="_Toc179632738"/>
      <w:bookmarkStart w:id="956" w:name="_Toc144974691"/>
      <w:bookmarkStart w:id="957" w:name="_Toc152042499"/>
      <w:bookmarkStart w:id="958" w:name="_Toc100504223"/>
      <w:bookmarkStart w:id="959" w:name="_Toc152045720"/>
      <w:bookmarkStart w:id="960" w:name="_Toc5"/>
      <w:r>
        <w:rPr>
          <w:rFonts w:eastAsia="宋体" w:cs="Times New Roman"/>
          <w:b/>
          <w:color w:val="000000" w:themeColor="text1"/>
          <w:szCs w:val="24"/>
          <w:highlight w:val="none"/>
          <w14:textFill>
            <w14:solidFill>
              <w14:schemeClr w14:val="tx1"/>
            </w14:solidFill>
          </w14:textFill>
        </w:rPr>
        <w:t>17.2 预付款</w:t>
      </w:r>
      <w:bookmarkEnd w:id="953"/>
      <w:bookmarkEnd w:id="954"/>
      <w:bookmarkEnd w:id="955"/>
      <w:bookmarkEnd w:id="956"/>
      <w:bookmarkEnd w:id="957"/>
      <w:bookmarkEnd w:id="958"/>
      <w:bookmarkEnd w:id="959"/>
      <w:bookmarkEnd w:id="96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17.2.1 </w:t>
      </w:r>
      <w:r>
        <w:rPr>
          <w:rFonts w:hAnsi="宋体"/>
          <w:color w:val="000000" w:themeColor="text1"/>
          <w:sz w:val="24"/>
          <w:highlight w:val="none"/>
          <w14:textFill>
            <w14:solidFill>
              <w14:schemeClr w14:val="tx1"/>
            </w14:solidFill>
          </w14:textFill>
        </w:rPr>
        <w:t>预付款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预付款用于承包人为合同工程施工购置材料、工程设备、施工设备、修建临时设施以及组织施工队伍进场等。预付款的额度和预付办法在专用合同条款中约定。预付款必须专用于合同工程。</w:t>
      </w:r>
    </w:p>
    <w:p>
      <w:pPr>
        <w:spacing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 xml:space="preserve">17.2.2 </w:t>
      </w:r>
      <w:r>
        <w:rPr>
          <w:rFonts w:hAnsi="宋体"/>
          <w:color w:val="000000" w:themeColor="text1"/>
          <w:sz w:val="24"/>
          <w:highlight w:val="none"/>
          <w14:textFill>
            <w14:solidFill>
              <w14:schemeClr w14:val="tx1"/>
            </w14:solidFill>
          </w14:textFill>
        </w:rPr>
        <w:t>预付款保函</w:t>
      </w:r>
      <w:r>
        <w:rPr>
          <w:rFonts w:hint="eastAsia" w:hAnsi="宋体"/>
          <w:color w:val="000000" w:themeColor="text1"/>
          <w:sz w:val="24"/>
          <w:highlight w:val="none"/>
          <w:lang w:eastAsia="zh-CN"/>
          <w14:textFill>
            <w14:solidFill>
              <w14:schemeClr w14:val="tx1"/>
            </w14:solidFill>
          </w14:textFill>
        </w:rPr>
        <w:t>（本条款删除）</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除专用合同条款另有约定外，承包人应在收到预付款的同时向发包人提交预付款保函，预付款保函的担保金额应与预付款金额相同。保函的担保金额可根据预付款扣回的金额相应递减。</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17.2.3 </w:t>
      </w:r>
      <w:r>
        <w:rPr>
          <w:rFonts w:hAnsi="宋体"/>
          <w:color w:val="000000" w:themeColor="text1"/>
          <w:sz w:val="24"/>
          <w:highlight w:val="none"/>
          <w14:textFill>
            <w14:solidFill>
              <w14:schemeClr w14:val="tx1"/>
            </w14:solidFill>
          </w14:textFill>
        </w:rPr>
        <w:t>预付款的扣回与还清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预付款在进度付款中扣回，扣回办法在专用合同条款中约定。在颁发工程接收证书前，由于不可抗力或其他原因解除合同时，预付款尚未扣清的，尚未扣清的预付款余额应作为承包人的到期应付款。</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61" w:name="_Toc25304"/>
      <w:bookmarkStart w:id="962" w:name="_Toc144974692"/>
      <w:bookmarkStart w:id="963" w:name="_Toc1749"/>
      <w:bookmarkStart w:id="964" w:name="_Toc179632739"/>
      <w:bookmarkStart w:id="965" w:name="_Toc13488"/>
      <w:bookmarkStart w:id="966" w:name="_Toc152045721"/>
      <w:bookmarkStart w:id="967" w:name="_Toc152042500"/>
      <w:bookmarkStart w:id="968" w:name="_Toc100504224"/>
      <w:r>
        <w:rPr>
          <w:rFonts w:eastAsia="宋体" w:cs="Times New Roman"/>
          <w:b/>
          <w:color w:val="000000" w:themeColor="text1"/>
          <w:szCs w:val="24"/>
          <w:highlight w:val="none"/>
          <w14:textFill>
            <w14:solidFill>
              <w14:schemeClr w14:val="tx1"/>
            </w14:solidFill>
          </w14:textFill>
        </w:rPr>
        <w:t>17.3 工程进度付款</w:t>
      </w:r>
      <w:bookmarkEnd w:id="961"/>
      <w:bookmarkEnd w:id="962"/>
      <w:bookmarkEnd w:id="963"/>
      <w:bookmarkEnd w:id="964"/>
      <w:bookmarkEnd w:id="965"/>
      <w:bookmarkEnd w:id="966"/>
      <w:bookmarkEnd w:id="967"/>
      <w:bookmarkEnd w:id="96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17.3.1 </w:t>
      </w:r>
      <w:r>
        <w:rPr>
          <w:rFonts w:hAnsi="宋体"/>
          <w:color w:val="000000" w:themeColor="text1"/>
          <w:sz w:val="24"/>
          <w:highlight w:val="none"/>
          <w14:textFill>
            <w14:solidFill>
              <w14:schemeClr w14:val="tx1"/>
            </w14:solidFill>
          </w14:textFill>
        </w:rPr>
        <w:t>付款周期</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付款周期同计量周期。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17.3.2 </w:t>
      </w:r>
      <w:r>
        <w:rPr>
          <w:rFonts w:hAnsi="宋体"/>
          <w:color w:val="000000" w:themeColor="text1"/>
          <w:sz w:val="24"/>
          <w:highlight w:val="none"/>
          <w14:textFill>
            <w14:solidFill>
              <w14:schemeClr w14:val="tx1"/>
            </w14:solidFill>
          </w14:textFill>
        </w:rPr>
        <w:t>进度付款申请单</w:t>
      </w:r>
    </w:p>
    <w:p>
      <w:pPr>
        <w:spacing w:line="360" w:lineRule="auto"/>
        <w:ind w:firstLine="480" w:firstLineChars="200"/>
        <w:rPr>
          <w:dstrike/>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）截至本次付款周期末已实施工程的价款；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）根据第</w:t>
      </w:r>
      <w:r>
        <w:rPr>
          <w:color w:val="000000" w:themeColor="text1"/>
          <w:sz w:val="24"/>
          <w:highlight w:val="none"/>
          <w14:textFill>
            <w14:solidFill>
              <w14:schemeClr w14:val="tx1"/>
            </w14:solidFill>
          </w14:textFill>
        </w:rPr>
        <w:t>15</w:t>
      </w:r>
      <w:r>
        <w:rPr>
          <w:rFonts w:hAnsi="宋体"/>
          <w:color w:val="000000" w:themeColor="text1"/>
          <w:sz w:val="24"/>
          <w:highlight w:val="none"/>
          <w14:textFill>
            <w14:solidFill>
              <w14:schemeClr w14:val="tx1"/>
            </w14:solidFill>
          </w14:textFill>
        </w:rPr>
        <w:t>条应增加和扣减的变更金额；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）根据第</w:t>
      </w:r>
      <w:r>
        <w:rPr>
          <w:color w:val="000000" w:themeColor="text1"/>
          <w:sz w:val="24"/>
          <w:highlight w:val="none"/>
          <w14:textFill>
            <w14:solidFill>
              <w14:schemeClr w14:val="tx1"/>
            </w14:solidFill>
          </w14:textFill>
        </w:rPr>
        <w:t>23</w:t>
      </w:r>
      <w:r>
        <w:rPr>
          <w:rFonts w:hAnsi="宋体"/>
          <w:color w:val="000000" w:themeColor="text1"/>
          <w:sz w:val="24"/>
          <w:highlight w:val="none"/>
          <w14:textFill>
            <w14:solidFill>
              <w14:schemeClr w14:val="tx1"/>
            </w14:solidFill>
          </w14:textFill>
        </w:rPr>
        <w:t>条应增加和扣减的索赔金额；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）根据第</w:t>
      </w:r>
      <w:r>
        <w:rPr>
          <w:color w:val="000000" w:themeColor="text1"/>
          <w:sz w:val="24"/>
          <w:highlight w:val="none"/>
          <w14:textFill>
            <w14:solidFill>
              <w14:schemeClr w14:val="tx1"/>
            </w14:solidFill>
          </w14:textFill>
        </w:rPr>
        <w:t>17.2</w:t>
      </w:r>
      <w:r>
        <w:rPr>
          <w:rFonts w:hAnsi="宋体"/>
          <w:color w:val="000000" w:themeColor="text1"/>
          <w:sz w:val="24"/>
          <w:highlight w:val="none"/>
          <w14:textFill>
            <w14:solidFill>
              <w14:schemeClr w14:val="tx1"/>
            </w14:solidFill>
          </w14:textFill>
        </w:rPr>
        <w:t>款约定应支付的预付款和扣减的返还预付款；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）根据第</w:t>
      </w:r>
      <w:r>
        <w:rPr>
          <w:color w:val="000000" w:themeColor="text1"/>
          <w:sz w:val="24"/>
          <w:highlight w:val="none"/>
          <w14:textFill>
            <w14:solidFill>
              <w14:schemeClr w14:val="tx1"/>
            </w14:solidFill>
          </w14:textFill>
        </w:rPr>
        <w:t>17.4.1</w:t>
      </w:r>
      <w:r>
        <w:rPr>
          <w:rFonts w:hAnsi="宋体"/>
          <w:color w:val="000000" w:themeColor="text1"/>
          <w:sz w:val="24"/>
          <w:highlight w:val="none"/>
          <w14:textFill>
            <w14:solidFill>
              <w14:schemeClr w14:val="tx1"/>
            </w14:solidFill>
          </w14:textFill>
        </w:rPr>
        <w:t>项约定应扣减的质量保证金；</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）根据合同应增加和扣减的其他金额。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17.3.3 </w:t>
      </w:r>
      <w:r>
        <w:rPr>
          <w:rFonts w:hAnsi="宋体"/>
          <w:color w:val="000000" w:themeColor="text1"/>
          <w:sz w:val="24"/>
          <w:highlight w:val="none"/>
          <w14:textFill>
            <w14:solidFill>
              <w14:schemeClr w14:val="tx1"/>
            </w14:solidFill>
          </w14:textFill>
        </w:rPr>
        <w:t>进度付款证书和支付时间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）监理人在收到承包人进度付款申请单以及相应的支持性证明文件后的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）发包人应在监理人收到进度付款申请单后的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天内，将进度应付款支付给承包人。发包人不按期支付的，按专用合同条款的约定支付逾期付款违约金。</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）监理人出具进度付款证书，不应视为监理人已同意、批准或接受了承包人完成的该部分工作。</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）进度付款涉及政府投资资金的，按照国库集中支付等国家相关规定和专用合同条款的约定办理。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17.3.4 </w:t>
      </w:r>
      <w:r>
        <w:rPr>
          <w:rFonts w:hAnsi="宋体"/>
          <w:color w:val="000000" w:themeColor="text1"/>
          <w:sz w:val="24"/>
          <w:highlight w:val="none"/>
          <w14:textFill>
            <w14:solidFill>
              <w14:schemeClr w14:val="tx1"/>
            </w14:solidFill>
          </w14:textFill>
        </w:rPr>
        <w:t>工程进度付款的修正</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在对以往历次已签发的进度付款证书进行汇总和复核中发现错、漏或重复的，监理人有权予以修正，承包人也有权提出修正申请。经双方复核同意的修正，应在本次进度付款中支付或扣除。</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69" w:name="_Toc152045722"/>
      <w:bookmarkStart w:id="970" w:name="_Toc152042501"/>
      <w:bookmarkStart w:id="971" w:name="_Toc144974693"/>
      <w:bookmarkStart w:id="972" w:name="_Toc12778"/>
      <w:bookmarkStart w:id="973" w:name="_Toc100504225"/>
      <w:bookmarkStart w:id="974" w:name="_Toc179632740"/>
      <w:bookmarkStart w:id="975" w:name="_Toc12903"/>
      <w:bookmarkStart w:id="976" w:name="_Toc17454"/>
      <w:r>
        <w:rPr>
          <w:rFonts w:eastAsia="宋体" w:cs="Times New Roman"/>
          <w:b/>
          <w:color w:val="000000" w:themeColor="text1"/>
          <w:szCs w:val="24"/>
          <w:highlight w:val="none"/>
          <w14:textFill>
            <w14:solidFill>
              <w14:schemeClr w14:val="tx1"/>
            </w14:solidFill>
          </w14:textFill>
        </w:rPr>
        <w:t xml:space="preserve">17.4 </w:t>
      </w:r>
      <w:bookmarkEnd w:id="969"/>
      <w:bookmarkEnd w:id="970"/>
      <w:bookmarkEnd w:id="971"/>
      <w:r>
        <w:rPr>
          <w:rFonts w:eastAsia="宋体" w:cs="Times New Roman"/>
          <w:b/>
          <w:color w:val="000000" w:themeColor="text1"/>
          <w:szCs w:val="24"/>
          <w:highlight w:val="none"/>
          <w14:textFill>
            <w14:solidFill>
              <w14:schemeClr w14:val="tx1"/>
            </w14:solidFill>
          </w14:textFill>
        </w:rPr>
        <w:t>质量保证金</w:t>
      </w:r>
      <w:bookmarkEnd w:id="972"/>
      <w:bookmarkEnd w:id="973"/>
      <w:bookmarkEnd w:id="974"/>
      <w:bookmarkEnd w:id="975"/>
      <w:bookmarkEnd w:id="97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17.4.1 </w:t>
      </w:r>
      <w:r>
        <w:rPr>
          <w:rFonts w:hAnsi="宋体"/>
          <w:color w:val="000000" w:themeColor="text1"/>
          <w:sz w:val="24"/>
          <w:highlight w:val="none"/>
          <w14:textFill>
            <w14:solidFill>
              <w14:schemeClr w14:val="tx1"/>
            </w14:solidFill>
          </w14:textFill>
        </w:rPr>
        <w:t>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17.4.2 </w:t>
      </w:r>
      <w:r>
        <w:rPr>
          <w:rFonts w:hAnsi="宋体"/>
          <w:color w:val="000000" w:themeColor="text1"/>
          <w:sz w:val="24"/>
          <w:highlight w:val="none"/>
          <w14:textFill>
            <w14:solidFill>
              <w14:schemeClr w14:val="tx1"/>
            </w14:solidFill>
          </w14:textFill>
        </w:rPr>
        <w:t>在第</w:t>
      </w:r>
      <w:r>
        <w:rPr>
          <w:color w:val="000000" w:themeColor="text1"/>
          <w:sz w:val="24"/>
          <w:highlight w:val="none"/>
          <w14:textFill>
            <w14:solidFill>
              <w14:schemeClr w14:val="tx1"/>
            </w14:solidFill>
          </w14:textFill>
        </w:rPr>
        <w:t>1.1.4.5</w:t>
      </w:r>
      <w:r>
        <w:rPr>
          <w:rFonts w:hAnsi="宋体"/>
          <w:color w:val="000000" w:themeColor="text1"/>
          <w:sz w:val="24"/>
          <w:highlight w:val="none"/>
          <w14:textFill>
            <w14:solidFill>
              <w14:schemeClr w14:val="tx1"/>
            </w14:solidFill>
          </w14:textFill>
        </w:rPr>
        <w:t>目约定的缺陷责任期满时，承包人向发包人申请到期应返还承包人剩余的质量保证金金额，发包人应在</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天内会同承包人按照合同约定的内容核实承包人是否完成缺陷责任。如无异议，发包人应当在核实后将剩余保证金返还承包人。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17.4.3 </w:t>
      </w:r>
      <w:r>
        <w:rPr>
          <w:rFonts w:hAnsi="宋体"/>
          <w:color w:val="000000" w:themeColor="text1"/>
          <w:sz w:val="24"/>
          <w:highlight w:val="none"/>
          <w14:textFill>
            <w14:solidFill>
              <w14:schemeClr w14:val="tx1"/>
            </w14:solidFill>
          </w14:textFill>
        </w:rPr>
        <w:t>在第</w:t>
      </w:r>
      <w:r>
        <w:rPr>
          <w:color w:val="000000" w:themeColor="text1"/>
          <w:sz w:val="24"/>
          <w:highlight w:val="none"/>
          <w14:textFill>
            <w14:solidFill>
              <w14:schemeClr w14:val="tx1"/>
            </w14:solidFill>
          </w14:textFill>
        </w:rPr>
        <w:t>1.1.4.5</w:t>
      </w:r>
      <w:r>
        <w:rPr>
          <w:rFonts w:hAnsi="宋体"/>
          <w:color w:val="000000" w:themeColor="text1"/>
          <w:sz w:val="24"/>
          <w:highlight w:val="none"/>
          <w14:textFill>
            <w14:solidFill>
              <w14:schemeClr w14:val="tx1"/>
            </w14:solidFill>
          </w14:textFill>
        </w:rPr>
        <w:t>目约定的缺陷责任期满时，承包人没有完成缺陷责任的，发包人有权扣留与未履行责任剩余工作所需金额相应的质量保证金余额，并有权根据第</w:t>
      </w:r>
      <w:r>
        <w:rPr>
          <w:color w:val="000000" w:themeColor="text1"/>
          <w:sz w:val="24"/>
          <w:highlight w:val="none"/>
          <w14:textFill>
            <w14:solidFill>
              <w14:schemeClr w14:val="tx1"/>
            </w14:solidFill>
          </w14:textFill>
        </w:rPr>
        <w:t>19.3</w:t>
      </w:r>
      <w:r>
        <w:rPr>
          <w:rFonts w:hAnsi="宋体"/>
          <w:color w:val="000000" w:themeColor="text1"/>
          <w:sz w:val="24"/>
          <w:highlight w:val="none"/>
          <w14:textFill>
            <w14:solidFill>
              <w14:schemeClr w14:val="tx1"/>
            </w14:solidFill>
          </w14:textFill>
        </w:rPr>
        <w:t>款约定要求延长缺陷责任期，直至完成剩余工作为止。</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77" w:name="_Toc152045723"/>
      <w:bookmarkStart w:id="978" w:name="_Toc857"/>
      <w:bookmarkStart w:id="979" w:name="_Toc100504226"/>
      <w:bookmarkStart w:id="980" w:name="_Toc152042502"/>
      <w:bookmarkStart w:id="981" w:name="_Toc11274"/>
      <w:bookmarkStart w:id="982" w:name="_Toc179632741"/>
      <w:bookmarkStart w:id="983" w:name="_Toc21528"/>
      <w:bookmarkStart w:id="984" w:name="_Toc144974694"/>
      <w:r>
        <w:rPr>
          <w:rFonts w:eastAsia="宋体" w:cs="Times New Roman"/>
          <w:b/>
          <w:color w:val="000000" w:themeColor="text1"/>
          <w:szCs w:val="24"/>
          <w:highlight w:val="none"/>
          <w14:textFill>
            <w14:solidFill>
              <w14:schemeClr w14:val="tx1"/>
            </w14:solidFill>
          </w14:textFill>
        </w:rPr>
        <w:t>17.5 竣工结算</w:t>
      </w:r>
      <w:bookmarkEnd w:id="977"/>
      <w:bookmarkEnd w:id="978"/>
      <w:bookmarkEnd w:id="979"/>
      <w:bookmarkEnd w:id="980"/>
      <w:bookmarkEnd w:id="981"/>
      <w:bookmarkEnd w:id="982"/>
      <w:bookmarkEnd w:id="983"/>
      <w:bookmarkEnd w:id="984"/>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17.5.1 </w:t>
      </w:r>
      <w:r>
        <w:rPr>
          <w:rFonts w:hAnsi="宋体"/>
          <w:color w:val="000000" w:themeColor="text1"/>
          <w:sz w:val="24"/>
          <w:highlight w:val="none"/>
          <w14:textFill>
            <w14:solidFill>
              <w14:schemeClr w14:val="tx1"/>
            </w14:solidFill>
          </w14:textFill>
        </w:rPr>
        <w:t>竣工付款申请单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）监理人对竣工付款申请单有异议的，有权要求承包人进行修正和提供补充资料。经监理人和承包人协商后，由承包人向监理人提交修正后的竣工付款申请单。</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17.5.2 </w:t>
      </w:r>
      <w:r>
        <w:rPr>
          <w:rFonts w:hAnsi="宋体"/>
          <w:color w:val="000000" w:themeColor="text1"/>
          <w:sz w:val="24"/>
          <w:highlight w:val="none"/>
          <w14:textFill>
            <w14:solidFill>
              <w14:schemeClr w14:val="tx1"/>
            </w14:solidFill>
          </w14:textFill>
        </w:rPr>
        <w:t>竣工付款证书及支付时间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）监理人在收到承包人提交的竣工付款申请单后的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天内完成核查，提出发包人到期应支付给承包人的价款送发包人审核并抄送承包人。发包人应在收到后</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）发包人应在监理人出具竣工付款证书后的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天内，将应支付款支付给承包人。发包人不按期支付的，按第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）目的约定，将逾期付款违约金支付给承包人。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）承包人对发包人签认的竣工付款证书有异议的，发包人可出具竣工付款申请单中承包人已同意部分的临时付款证书。存在争议的部分，按第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条的约定办理。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）竣工付款涉及政府投资资金的，按第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（4）目的约定办理。</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985" w:name="_Toc10880"/>
      <w:bookmarkStart w:id="986" w:name="_Toc20980"/>
      <w:bookmarkStart w:id="987" w:name="_Toc179632742"/>
      <w:bookmarkStart w:id="988" w:name="_Toc152042503"/>
      <w:bookmarkStart w:id="989" w:name="_Toc144974695"/>
      <w:bookmarkStart w:id="990" w:name="_Toc100504227"/>
      <w:bookmarkStart w:id="991" w:name="_Toc23997"/>
      <w:bookmarkStart w:id="992" w:name="_Toc152045724"/>
      <w:r>
        <w:rPr>
          <w:rFonts w:eastAsia="宋体" w:cs="Times New Roman"/>
          <w:b/>
          <w:color w:val="000000" w:themeColor="text1"/>
          <w:szCs w:val="24"/>
          <w:highlight w:val="none"/>
          <w14:textFill>
            <w14:solidFill>
              <w14:schemeClr w14:val="tx1"/>
            </w14:solidFill>
          </w14:textFill>
        </w:rPr>
        <w:t>17.6 最终结清</w:t>
      </w:r>
      <w:bookmarkEnd w:id="985"/>
      <w:bookmarkEnd w:id="986"/>
      <w:bookmarkEnd w:id="987"/>
      <w:bookmarkEnd w:id="988"/>
      <w:bookmarkEnd w:id="989"/>
      <w:bookmarkEnd w:id="990"/>
      <w:bookmarkEnd w:id="991"/>
      <w:bookmarkEnd w:id="99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17.6.1 </w:t>
      </w:r>
      <w:r>
        <w:rPr>
          <w:rFonts w:hAnsi="宋体"/>
          <w:color w:val="000000" w:themeColor="text1"/>
          <w:sz w:val="24"/>
          <w:highlight w:val="none"/>
          <w14:textFill>
            <w14:solidFill>
              <w14:schemeClr w14:val="tx1"/>
            </w14:solidFill>
          </w14:textFill>
        </w:rPr>
        <w:t>最终结清申请单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）缺陷责任期终止证书签发后，承包人可按专用合同条款约定的份数和期限向监理人提交最终结清申请单，并提供相关证明材料。</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）发包人对最终结清申请单内容有异议的，有权要求承包人进行修正和提供补充资料，由承包人向监理人提交修正后的最终结清申请单。</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17.6.2 </w:t>
      </w:r>
      <w:r>
        <w:rPr>
          <w:rFonts w:hAnsi="宋体"/>
          <w:color w:val="000000" w:themeColor="text1"/>
          <w:sz w:val="24"/>
          <w:highlight w:val="none"/>
          <w14:textFill>
            <w14:solidFill>
              <w14:schemeClr w14:val="tx1"/>
            </w14:solidFill>
          </w14:textFill>
        </w:rPr>
        <w:t>最终结清证书和支付时间</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）监理人收到承包人提交的最终结清申请单后的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天内，提出发包人应支付给承包人的价款送发包人审核并抄送承包人。发包人应在收到后</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）发包人应在监理人出具最终结清证书后的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天内，将应支付款支付给承包人。发包人不按期支付的，按第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）目的约定，将逾期付款违约金支付给承包人。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）承包人对发包人签认的最终结清证书有异议的，按第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条的约定办理。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）最终结清付款涉及政府投资资金的，按第</w:t>
      </w:r>
      <w:r>
        <w:rPr>
          <w:color w:val="000000" w:themeColor="text1"/>
          <w:sz w:val="24"/>
          <w:highlight w:val="none"/>
          <w14:textFill>
            <w14:solidFill>
              <w14:schemeClr w14:val="tx1"/>
            </w14:solidFill>
          </w14:textFill>
        </w:rPr>
        <w:t>17.3.3</w:t>
      </w:r>
      <w:r>
        <w:rPr>
          <w:rFonts w:hAnsi="宋体"/>
          <w:color w:val="000000" w:themeColor="text1"/>
          <w:sz w:val="24"/>
          <w:highlight w:val="none"/>
          <w14:textFill>
            <w14:solidFill>
              <w14:schemeClr w14:val="tx1"/>
            </w14:solidFill>
          </w14:textFill>
        </w:rPr>
        <w:t>（4）目的约定办理。</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993" w:name="_Toc179632743"/>
      <w:bookmarkStart w:id="994" w:name="_Toc100504228"/>
      <w:bookmarkStart w:id="995" w:name="_Toc21832"/>
      <w:bookmarkStart w:id="996" w:name="_Toc144974696"/>
      <w:bookmarkStart w:id="997" w:name="_Toc152045725"/>
      <w:bookmarkStart w:id="998" w:name="_Toc7302"/>
      <w:bookmarkStart w:id="999" w:name="_Toc29147"/>
      <w:bookmarkStart w:id="1000" w:name="_Toc152042504"/>
      <w:r>
        <w:rPr>
          <w:rFonts w:hAnsi="宋体"/>
          <w:b/>
          <w:color w:val="000000" w:themeColor="text1"/>
          <w:sz w:val="24"/>
          <w:highlight w:val="none"/>
          <w14:textFill>
            <w14:solidFill>
              <w14:schemeClr w14:val="tx1"/>
            </w14:solidFill>
          </w14:textFill>
        </w:rPr>
        <w:t>18. 竣工验收</w:t>
      </w:r>
      <w:bookmarkEnd w:id="993"/>
      <w:bookmarkEnd w:id="994"/>
      <w:bookmarkEnd w:id="995"/>
      <w:bookmarkEnd w:id="996"/>
      <w:bookmarkEnd w:id="997"/>
      <w:bookmarkEnd w:id="998"/>
      <w:bookmarkEnd w:id="999"/>
      <w:bookmarkEnd w:id="100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01" w:name="_Toc179632744"/>
      <w:bookmarkStart w:id="1002" w:name="_Toc9095"/>
      <w:bookmarkStart w:id="1003" w:name="_Toc4016"/>
      <w:bookmarkStart w:id="1004" w:name="_Toc23955"/>
      <w:bookmarkStart w:id="1005" w:name="_Toc144974697"/>
      <w:bookmarkStart w:id="1006" w:name="_Toc152045726"/>
      <w:bookmarkStart w:id="1007" w:name="_Toc100504229"/>
      <w:bookmarkStart w:id="1008" w:name="_Toc152042505"/>
      <w:r>
        <w:rPr>
          <w:rFonts w:eastAsia="宋体" w:cs="Times New Roman"/>
          <w:b/>
          <w:color w:val="000000" w:themeColor="text1"/>
          <w:szCs w:val="24"/>
          <w:highlight w:val="none"/>
          <w14:textFill>
            <w14:solidFill>
              <w14:schemeClr w14:val="tx1"/>
            </w14:solidFill>
          </w14:textFill>
        </w:rPr>
        <w:t>18.1 竣工验收的含义</w:t>
      </w:r>
      <w:bookmarkEnd w:id="1001"/>
      <w:bookmarkEnd w:id="1002"/>
      <w:bookmarkEnd w:id="1003"/>
      <w:bookmarkEnd w:id="1004"/>
      <w:bookmarkEnd w:id="1005"/>
      <w:bookmarkEnd w:id="1006"/>
      <w:bookmarkEnd w:id="1007"/>
      <w:bookmarkEnd w:id="100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18.1.1 </w:t>
      </w:r>
      <w:r>
        <w:rPr>
          <w:rFonts w:hAnsi="宋体"/>
          <w:color w:val="000000" w:themeColor="text1"/>
          <w:sz w:val="24"/>
          <w:highlight w:val="none"/>
          <w14:textFill>
            <w14:solidFill>
              <w14:schemeClr w14:val="tx1"/>
            </w14:solidFill>
          </w14:textFill>
        </w:rPr>
        <w:t>竣工验收指承包人完成了全部合同工作后，发包人按合同要求进行的验收。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18.1.2 </w:t>
      </w:r>
      <w:r>
        <w:rPr>
          <w:rFonts w:hAnsi="宋体"/>
          <w:color w:val="000000" w:themeColor="text1"/>
          <w:sz w:val="24"/>
          <w:highlight w:val="none"/>
          <w14:textFill>
            <w14:solidFill>
              <w14:schemeClr w14:val="tx1"/>
            </w14:solidFill>
          </w14:textFill>
        </w:rPr>
        <w:t>国家验收是政府有关部门根据法律、规范、规程和政策要求，针对发包人全面组织实施的整个工程正式交付投运前的验收。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18.1.3 </w:t>
      </w:r>
      <w:r>
        <w:rPr>
          <w:rFonts w:hAnsi="宋体"/>
          <w:color w:val="000000" w:themeColor="text1"/>
          <w:sz w:val="24"/>
          <w:highlight w:val="none"/>
          <w14:textFill>
            <w14:solidFill>
              <w14:schemeClr w14:val="tx1"/>
            </w14:solidFill>
          </w14:textFill>
        </w:rPr>
        <w:t>需要进行国家验收的，竣工验收是国家验收的一部分。竣工验收所采用的各项验收和评定标准应符合国家验收标准。发包人和承包人为竣工验收提供的各项竣工验收资料应符合国家验收的要求。</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09" w:name="_Toc152042506"/>
      <w:bookmarkStart w:id="1010" w:name="_Toc144974698"/>
      <w:bookmarkStart w:id="1011" w:name="_Toc7023"/>
      <w:bookmarkStart w:id="1012" w:name="_Toc100504230"/>
      <w:bookmarkStart w:id="1013" w:name="_Toc840"/>
      <w:bookmarkStart w:id="1014" w:name="_Toc30505"/>
      <w:bookmarkStart w:id="1015" w:name="_Toc152045727"/>
      <w:bookmarkStart w:id="1016" w:name="_Toc179632745"/>
      <w:r>
        <w:rPr>
          <w:rFonts w:eastAsia="宋体" w:cs="Times New Roman"/>
          <w:b/>
          <w:color w:val="000000" w:themeColor="text1"/>
          <w:szCs w:val="24"/>
          <w:highlight w:val="none"/>
          <w14:textFill>
            <w14:solidFill>
              <w14:schemeClr w14:val="tx1"/>
            </w14:solidFill>
          </w14:textFill>
        </w:rPr>
        <w:t>18.2 竣工验收申请报告</w:t>
      </w:r>
      <w:bookmarkEnd w:id="1009"/>
      <w:bookmarkEnd w:id="1010"/>
      <w:bookmarkEnd w:id="1011"/>
      <w:bookmarkEnd w:id="1012"/>
      <w:bookmarkEnd w:id="1013"/>
      <w:bookmarkEnd w:id="1014"/>
      <w:bookmarkEnd w:id="1015"/>
      <w:bookmarkEnd w:id="101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当工程具备以下条件时，承包人即可向监理人报送竣工验收申请报告：</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）除监理人同意列入缺陷责任期内完成的尾工（甩项）工程和缺陷修补工作外，合同范围内的全部单位工程以及有关工作，包括合同要求的试验、试运行以及检验和验收均已完成，并符合合同要求；</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）已按合同约定的内容和份数备齐了符合要求的竣工资料；</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）已按监理人的要求编制了在缺陷责任期内完成的尾工（甩项）工程和缺陷修补工作清单以及相应施工计划；</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）监理人要求在竣工验收前应完成的其他工作；</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）监理人要求提交的竣工验收资料清单。</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17" w:name="_Toc100504231"/>
      <w:bookmarkStart w:id="1018" w:name="_Toc21851"/>
      <w:bookmarkStart w:id="1019" w:name="_Toc152042507"/>
      <w:bookmarkStart w:id="1020" w:name="_Toc144974699"/>
      <w:bookmarkStart w:id="1021" w:name="_Toc19194"/>
      <w:bookmarkStart w:id="1022" w:name="_Toc152045728"/>
      <w:bookmarkStart w:id="1023" w:name="_Toc17834"/>
      <w:bookmarkStart w:id="1024" w:name="_Toc179632746"/>
      <w:r>
        <w:rPr>
          <w:rFonts w:eastAsia="宋体" w:cs="Times New Roman"/>
          <w:b/>
          <w:color w:val="000000" w:themeColor="text1"/>
          <w:szCs w:val="24"/>
          <w:highlight w:val="none"/>
          <w14:textFill>
            <w14:solidFill>
              <w14:schemeClr w14:val="tx1"/>
            </w14:solidFill>
          </w14:textFill>
        </w:rPr>
        <w:t>18.3 验收</w:t>
      </w:r>
      <w:bookmarkEnd w:id="1017"/>
      <w:bookmarkEnd w:id="1018"/>
      <w:bookmarkEnd w:id="1019"/>
      <w:bookmarkEnd w:id="1020"/>
      <w:bookmarkEnd w:id="1021"/>
      <w:bookmarkEnd w:id="1022"/>
      <w:bookmarkEnd w:id="1023"/>
      <w:bookmarkEnd w:id="102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监理人收到承包人按第</w:t>
      </w:r>
      <w:r>
        <w:rPr>
          <w:color w:val="000000" w:themeColor="text1"/>
          <w:sz w:val="24"/>
          <w:highlight w:val="none"/>
          <w14:textFill>
            <w14:solidFill>
              <w14:schemeClr w14:val="tx1"/>
            </w14:solidFill>
          </w14:textFill>
        </w:rPr>
        <w:t>18.2</w:t>
      </w:r>
      <w:r>
        <w:rPr>
          <w:rFonts w:hAnsi="宋体"/>
          <w:color w:val="000000" w:themeColor="text1"/>
          <w:sz w:val="24"/>
          <w:highlight w:val="none"/>
          <w14:textFill>
            <w14:solidFill>
              <w14:schemeClr w14:val="tx1"/>
            </w14:solidFill>
          </w14:textFill>
        </w:rPr>
        <w:t>款约定提交的竣工验收申请报告后，应审查申请报告的各项内容，并按以下不同情况进行处理。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18.3.1 </w:t>
      </w:r>
      <w:r>
        <w:rPr>
          <w:rFonts w:hAnsi="宋体"/>
          <w:color w:val="000000" w:themeColor="text1"/>
          <w:sz w:val="24"/>
          <w:highlight w:val="none"/>
          <w14:textFill>
            <w14:solidFill>
              <w14:schemeClr w14:val="tx1"/>
            </w14:solidFill>
          </w14:textFill>
        </w:rPr>
        <w:t>监理人审查后认为尚不具备竣工验收条件的，应在收到竣工验收申请报告后的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天内通知承包人，指出在颁发接收证书前承包人还需进行的工作内容。承包人完成监理人通知的全部工作内容后，应再次提交竣工验收申请报告，直至监理人同意为止。</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18.3.2 </w:t>
      </w:r>
      <w:r>
        <w:rPr>
          <w:rFonts w:hAnsi="宋体"/>
          <w:color w:val="000000" w:themeColor="text1"/>
          <w:sz w:val="24"/>
          <w:highlight w:val="none"/>
          <w14:textFill>
            <w14:solidFill>
              <w14:schemeClr w14:val="tx1"/>
            </w14:solidFill>
          </w14:textFill>
        </w:rPr>
        <w:t>监理人审查后认为已具备竣工验收条件的，应在收到竣工验收申请报告后的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天内提请发包人进行工程验收。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18.3.3</w:t>
      </w:r>
      <w:r>
        <w:rPr>
          <w:rFonts w:hAnsi="宋体"/>
          <w:color w:val="000000" w:themeColor="text1"/>
          <w:sz w:val="24"/>
          <w:highlight w:val="none"/>
          <w14:textFill>
            <w14:solidFill>
              <w14:schemeClr w14:val="tx1"/>
            </w14:solidFill>
          </w14:textFill>
        </w:rPr>
        <w:t>发包人经过验收后同意接受工程的，应在监理人收到竣工验收申请报告后的</w:t>
      </w:r>
      <w:r>
        <w:rPr>
          <w:color w:val="000000" w:themeColor="text1"/>
          <w:sz w:val="24"/>
          <w:highlight w:val="none"/>
          <w14:textFill>
            <w14:solidFill>
              <w14:schemeClr w14:val="tx1"/>
            </w14:solidFill>
          </w14:textFill>
        </w:rPr>
        <w:t>56</w:t>
      </w:r>
      <w:r>
        <w:rPr>
          <w:rFonts w:hAnsi="宋体"/>
          <w:color w:val="000000" w:themeColor="text1"/>
          <w:sz w:val="24"/>
          <w:highlight w:val="none"/>
          <w14:textFill>
            <w14:solidFill>
              <w14:schemeClr w14:val="tx1"/>
            </w14:solidFill>
          </w14:textFill>
        </w:rPr>
        <w:t>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18.3.4 </w:t>
      </w:r>
      <w:r>
        <w:rPr>
          <w:rFonts w:hAnsi="宋体"/>
          <w:color w:val="000000" w:themeColor="text1"/>
          <w:sz w:val="24"/>
          <w:highlight w:val="none"/>
          <w14:textFill>
            <w14:solidFill>
              <w14:schemeClr w14:val="tx1"/>
            </w14:solidFill>
          </w14:textFill>
        </w:rPr>
        <w:t>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w:t>
      </w:r>
      <w:r>
        <w:rPr>
          <w:color w:val="000000" w:themeColor="text1"/>
          <w:sz w:val="24"/>
          <w:highlight w:val="none"/>
          <w14:textFill>
            <w14:solidFill>
              <w14:schemeClr w14:val="tx1"/>
            </w14:solidFill>
          </w14:textFill>
        </w:rPr>
        <w:t>18.3.1</w:t>
      </w:r>
      <w:r>
        <w:rPr>
          <w:rFonts w:hAnsi="宋体"/>
          <w:color w:val="000000" w:themeColor="text1"/>
          <w:sz w:val="24"/>
          <w:highlight w:val="none"/>
          <w14:textFill>
            <w14:solidFill>
              <w14:schemeClr w14:val="tx1"/>
            </w14:solidFill>
          </w14:textFill>
        </w:rPr>
        <w:t>项、第</w:t>
      </w:r>
      <w:r>
        <w:rPr>
          <w:color w:val="000000" w:themeColor="text1"/>
          <w:sz w:val="24"/>
          <w:highlight w:val="none"/>
          <w14:textFill>
            <w14:solidFill>
              <w14:schemeClr w14:val="tx1"/>
            </w14:solidFill>
          </w14:textFill>
        </w:rPr>
        <w:t>18.3.2</w:t>
      </w:r>
      <w:r>
        <w:rPr>
          <w:rFonts w:hAnsi="宋体"/>
          <w:color w:val="000000" w:themeColor="text1"/>
          <w:sz w:val="24"/>
          <w:highlight w:val="none"/>
          <w14:textFill>
            <w14:solidFill>
              <w14:schemeClr w14:val="tx1"/>
            </w14:solidFill>
          </w14:textFill>
        </w:rPr>
        <w:t>项和第</w:t>
      </w:r>
      <w:r>
        <w:rPr>
          <w:color w:val="000000" w:themeColor="text1"/>
          <w:sz w:val="24"/>
          <w:highlight w:val="none"/>
          <w14:textFill>
            <w14:solidFill>
              <w14:schemeClr w14:val="tx1"/>
            </w14:solidFill>
          </w14:textFill>
        </w:rPr>
        <w:t>18.3.3</w:t>
      </w:r>
      <w:r>
        <w:rPr>
          <w:rFonts w:hAnsi="宋体"/>
          <w:color w:val="000000" w:themeColor="text1"/>
          <w:sz w:val="24"/>
          <w:highlight w:val="none"/>
          <w14:textFill>
            <w14:solidFill>
              <w14:schemeClr w14:val="tx1"/>
            </w14:solidFill>
          </w14:textFill>
        </w:rPr>
        <w:t>项的约定进行。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18.3.5 </w:t>
      </w:r>
      <w:r>
        <w:rPr>
          <w:rFonts w:hAnsi="宋体"/>
          <w:color w:val="000000" w:themeColor="text1"/>
          <w:sz w:val="24"/>
          <w:highlight w:val="none"/>
          <w14:textFill>
            <w14:solidFill>
              <w14:schemeClr w14:val="tx1"/>
            </w14:solidFill>
          </w14:textFill>
        </w:rPr>
        <w:t>除专用合同条款另有约定外，经验收合格工程的实际竣工日期，以提交竣工验收申请报告的日期为准，并在工程接收证书中写明。</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18.3.6 </w:t>
      </w:r>
      <w:r>
        <w:rPr>
          <w:rFonts w:hAnsi="宋体"/>
          <w:color w:val="000000" w:themeColor="text1"/>
          <w:sz w:val="24"/>
          <w:highlight w:val="none"/>
          <w14:textFill>
            <w14:solidFill>
              <w14:schemeClr w14:val="tx1"/>
            </w14:solidFill>
          </w14:textFill>
        </w:rPr>
        <w:t>发包人在收到承包人竣工验收申请报告</w:t>
      </w:r>
      <w:r>
        <w:rPr>
          <w:color w:val="000000" w:themeColor="text1"/>
          <w:sz w:val="24"/>
          <w:highlight w:val="none"/>
          <w14:textFill>
            <w14:solidFill>
              <w14:schemeClr w14:val="tx1"/>
            </w14:solidFill>
          </w14:textFill>
        </w:rPr>
        <w:t>56</w:t>
      </w:r>
      <w:r>
        <w:rPr>
          <w:rFonts w:hAnsi="宋体"/>
          <w:color w:val="000000" w:themeColor="text1"/>
          <w:sz w:val="24"/>
          <w:highlight w:val="none"/>
          <w14:textFill>
            <w14:solidFill>
              <w14:schemeClr w14:val="tx1"/>
            </w14:solidFill>
          </w14:textFill>
        </w:rPr>
        <w:t>天后未进行验收的，视为验收合格，实际竣工日期以提交竣工验收申请报告的日期为准，但发包人由于不可抗力不能进行验收的除外。</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25" w:name="_Toc11193"/>
      <w:bookmarkStart w:id="1026" w:name="_Toc152045729"/>
      <w:bookmarkStart w:id="1027" w:name="_Toc100504232"/>
      <w:bookmarkStart w:id="1028" w:name="_Toc9988"/>
      <w:bookmarkStart w:id="1029" w:name="_Toc13912"/>
      <w:bookmarkStart w:id="1030" w:name="_Toc152042508"/>
      <w:bookmarkStart w:id="1031" w:name="_Toc179632747"/>
      <w:bookmarkStart w:id="1032" w:name="_Toc144974700"/>
      <w:r>
        <w:rPr>
          <w:rFonts w:eastAsia="宋体" w:cs="Times New Roman"/>
          <w:b/>
          <w:color w:val="000000" w:themeColor="text1"/>
          <w:szCs w:val="24"/>
          <w:highlight w:val="none"/>
          <w14:textFill>
            <w14:solidFill>
              <w14:schemeClr w14:val="tx1"/>
            </w14:solidFill>
          </w14:textFill>
        </w:rPr>
        <w:t>18.4 单位工程验收</w:t>
      </w:r>
      <w:bookmarkEnd w:id="1025"/>
      <w:bookmarkEnd w:id="1026"/>
      <w:bookmarkEnd w:id="1027"/>
      <w:bookmarkEnd w:id="1028"/>
      <w:bookmarkEnd w:id="1029"/>
      <w:bookmarkEnd w:id="1030"/>
      <w:bookmarkEnd w:id="1031"/>
      <w:bookmarkEnd w:id="103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18.4.1 </w:t>
      </w:r>
      <w:r>
        <w:rPr>
          <w:rFonts w:hAnsi="宋体"/>
          <w:color w:val="000000" w:themeColor="text1"/>
          <w:sz w:val="24"/>
          <w:highlight w:val="none"/>
          <w14:textFill>
            <w14:solidFill>
              <w14:schemeClr w14:val="tx1"/>
            </w14:solidFill>
          </w14:textFill>
        </w:rPr>
        <w:t>发包人根据合同进度计划安排，在全部工程竣工前需要使用已经竣工的单位工程时，或承包人提出经发包人同意时，可进行单位工程验收。验收的程序可参照第</w:t>
      </w:r>
      <w:r>
        <w:rPr>
          <w:color w:val="000000" w:themeColor="text1"/>
          <w:sz w:val="24"/>
          <w:highlight w:val="none"/>
          <w14:textFill>
            <w14:solidFill>
              <w14:schemeClr w14:val="tx1"/>
            </w14:solidFill>
          </w14:textFill>
        </w:rPr>
        <w:t>18.2</w:t>
      </w:r>
      <w:r>
        <w:rPr>
          <w:rFonts w:hAnsi="宋体"/>
          <w:color w:val="000000" w:themeColor="text1"/>
          <w:sz w:val="24"/>
          <w:highlight w:val="none"/>
          <w14:textFill>
            <w14:solidFill>
              <w14:schemeClr w14:val="tx1"/>
            </w14:solidFill>
          </w14:textFill>
        </w:rPr>
        <w:t>款与第</w:t>
      </w:r>
      <w:r>
        <w:rPr>
          <w:color w:val="000000" w:themeColor="text1"/>
          <w:sz w:val="24"/>
          <w:highlight w:val="none"/>
          <w14:textFill>
            <w14:solidFill>
              <w14:schemeClr w14:val="tx1"/>
            </w14:solidFill>
          </w14:textFill>
        </w:rPr>
        <w:t>18.3</w:t>
      </w:r>
      <w:r>
        <w:rPr>
          <w:rFonts w:hAnsi="宋体"/>
          <w:color w:val="000000" w:themeColor="text1"/>
          <w:sz w:val="24"/>
          <w:highlight w:val="none"/>
          <w14:textFill>
            <w14:solidFill>
              <w14:schemeClr w14:val="tx1"/>
            </w14:solidFill>
          </w14:textFill>
        </w:rPr>
        <w:t>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18.4.2 </w:t>
      </w:r>
      <w:r>
        <w:rPr>
          <w:rFonts w:hAnsi="宋体"/>
          <w:color w:val="000000" w:themeColor="text1"/>
          <w:sz w:val="24"/>
          <w:highlight w:val="none"/>
          <w14:textFill>
            <w14:solidFill>
              <w14:schemeClr w14:val="tx1"/>
            </w14:solidFill>
          </w14:textFill>
        </w:rPr>
        <w:t>发包人在全部工程竣工前，使用已接收的单位工程导致承包人费用增加的，发包人应承担由此增加的费用和（或）工期延误，并支付承包人合理利润。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33" w:name="_Toc18825"/>
      <w:bookmarkStart w:id="1034" w:name="_Toc152045730"/>
      <w:bookmarkStart w:id="1035" w:name="_Toc144974701"/>
      <w:bookmarkStart w:id="1036" w:name="_Toc179632748"/>
      <w:bookmarkStart w:id="1037" w:name="_Toc100504233"/>
      <w:bookmarkStart w:id="1038" w:name="_Toc152042509"/>
      <w:bookmarkStart w:id="1039" w:name="_Toc23530"/>
      <w:bookmarkStart w:id="1040" w:name="_Toc27481"/>
      <w:r>
        <w:rPr>
          <w:rFonts w:eastAsia="宋体" w:cs="Times New Roman"/>
          <w:b/>
          <w:color w:val="000000" w:themeColor="text1"/>
          <w:szCs w:val="24"/>
          <w:highlight w:val="none"/>
          <w14:textFill>
            <w14:solidFill>
              <w14:schemeClr w14:val="tx1"/>
            </w14:solidFill>
          </w14:textFill>
        </w:rPr>
        <w:t>18.5 施工期运行</w:t>
      </w:r>
      <w:bookmarkEnd w:id="1033"/>
      <w:bookmarkEnd w:id="1034"/>
      <w:bookmarkEnd w:id="1035"/>
      <w:bookmarkEnd w:id="1036"/>
      <w:bookmarkEnd w:id="1037"/>
      <w:bookmarkEnd w:id="1038"/>
      <w:bookmarkEnd w:id="1039"/>
      <w:bookmarkEnd w:id="104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18.5.1 </w:t>
      </w:r>
      <w:r>
        <w:rPr>
          <w:rFonts w:hAnsi="宋体"/>
          <w:color w:val="000000" w:themeColor="text1"/>
          <w:sz w:val="24"/>
          <w:highlight w:val="none"/>
          <w14:textFill>
            <w14:solidFill>
              <w14:schemeClr w14:val="tx1"/>
            </w14:solidFill>
          </w14:textFill>
        </w:rPr>
        <w:t>施工期运行是指合同工程尚未全部竣工，其中某项或某几项单位工程或工程设备安装已竣工，根据专用合同条款约定，需要投入施工期运行的，经发包人按第</w:t>
      </w:r>
      <w:r>
        <w:rPr>
          <w:color w:val="000000" w:themeColor="text1"/>
          <w:sz w:val="24"/>
          <w:highlight w:val="none"/>
          <w14:textFill>
            <w14:solidFill>
              <w14:schemeClr w14:val="tx1"/>
            </w14:solidFill>
          </w14:textFill>
        </w:rPr>
        <w:t>18.4</w:t>
      </w:r>
      <w:r>
        <w:rPr>
          <w:rFonts w:hAnsi="宋体"/>
          <w:color w:val="000000" w:themeColor="text1"/>
          <w:sz w:val="24"/>
          <w:highlight w:val="none"/>
          <w14:textFill>
            <w14:solidFill>
              <w14:schemeClr w14:val="tx1"/>
            </w14:solidFill>
          </w14:textFill>
        </w:rPr>
        <w:t>款的约定验收合格，证明能确保安全后，才能在施工期投入运行。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18.5.2 </w:t>
      </w:r>
      <w:r>
        <w:rPr>
          <w:rFonts w:hAnsi="宋体"/>
          <w:color w:val="000000" w:themeColor="text1"/>
          <w:sz w:val="24"/>
          <w:highlight w:val="none"/>
          <w14:textFill>
            <w14:solidFill>
              <w14:schemeClr w14:val="tx1"/>
            </w14:solidFill>
          </w14:textFill>
        </w:rPr>
        <w:t>在施工期运行中发现工程或工程设备损坏或存在缺陷的，由承包人按第</w:t>
      </w:r>
      <w:r>
        <w:rPr>
          <w:color w:val="000000" w:themeColor="text1"/>
          <w:sz w:val="24"/>
          <w:highlight w:val="none"/>
          <w14:textFill>
            <w14:solidFill>
              <w14:schemeClr w14:val="tx1"/>
            </w14:solidFill>
          </w14:textFill>
        </w:rPr>
        <w:t>19.2</w:t>
      </w:r>
      <w:r>
        <w:rPr>
          <w:rFonts w:hAnsi="宋体"/>
          <w:color w:val="000000" w:themeColor="text1"/>
          <w:sz w:val="24"/>
          <w:highlight w:val="none"/>
          <w14:textFill>
            <w14:solidFill>
              <w14:schemeClr w14:val="tx1"/>
            </w14:solidFill>
          </w14:textFill>
        </w:rPr>
        <w:t>款约定进行修复。</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41" w:name="_Toc152045731"/>
      <w:bookmarkStart w:id="1042" w:name="_Toc144974702"/>
      <w:bookmarkStart w:id="1043" w:name="_Toc9787"/>
      <w:bookmarkStart w:id="1044" w:name="_Toc6706"/>
      <w:bookmarkStart w:id="1045" w:name="_Toc9312"/>
      <w:bookmarkStart w:id="1046" w:name="_Toc100504234"/>
      <w:bookmarkStart w:id="1047" w:name="_Toc179632749"/>
      <w:bookmarkStart w:id="1048" w:name="_Toc152042510"/>
      <w:r>
        <w:rPr>
          <w:rFonts w:eastAsia="宋体" w:cs="Times New Roman"/>
          <w:b/>
          <w:color w:val="000000" w:themeColor="text1"/>
          <w:szCs w:val="24"/>
          <w:highlight w:val="none"/>
          <w14:textFill>
            <w14:solidFill>
              <w14:schemeClr w14:val="tx1"/>
            </w14:solidFill>
          </w14:textFill>
        </w:rPr>
        <w:t>18.6 试运行</w:t>
      </w:r>
      <w:bookmarkEnd w:id="1041"/>
      <w:bookmarkEnd w:id="1042"/>
      <w:bookmarkEnd w:id="1043"/>
      <w:bookmarkEnd w:id="1044"/>
      <w:bookmarkEnd w:id="1045"/>
      <w:bookmarkEnd w:id="1046"/>
      <w:bookmarkEnd w:id="1047"/>
      <w:bookmarkEnd w:id="104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18.6.1 </w:t>
      </w:r>
      <w:r>
        <w:rPr>
          <w:rFonts w:hAnsi="宋体"/>
          <w:color w:val="000000" w:themeColor="text1"/>
          <w:sz w:val="24"/>
          <w:highlight w:val="none"/>
          <w14:textFill>
            <w14:solidFill>
              <w14:schemeClr w14:val="tx1"/>
            </w14:solidFill>
          </w14:textFill>
        </w:rPr>
        <w:t>除专用合同条款另有约定外，承包人应按专用合同条款约定进行工程及工程设备试运行，负责提供试运行所需的人员、器材和必要的条件，并承担全部试运行费用。</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18.6.2 </w:t>
      </w:r>
      <w:r>
        <w:rPr>
          <w:rFonts w:hAnsi="宋体"/>
          <w:color w:val="000000" w:themeColor="text1"/>
          <w:sz w:val="24"/>
          <w:highlight w:val="none"/>
          <w14:textFill>
            <w14:solidFill>
              <w14:schemeClr w14:val="tx1"/>
            </w14:solidFill>
          </w14:textFill>
        </w:rPr>
        <w:t>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49" w:name="_Toc152042511"/>
      <w:bookmarkStart w:id="1050" w:name="_Toc4443"/>
      <w:bookmarkStart w:id="1051" w:name="_Toc179632750"/>
      <w:bookmarkStart w:id="1052" w:name="_Toc152045732"/>
      <w:bookmarkStart w:id="1053" w:name="_Toc100504235"/>
      <w:bookmarkStart w:id="1054" w:name="_Toc7098"/>
      <w:bookmarkStart w:id="1055" w:name="_Toc13"/>
      <w:bookmarkStart w:id="1056" w:name="_Toc144974703"/>
      <w:r>
        <w:rPr>
          <w:rFonts w:eastAsia="宋体" w:cs="Times New Roman"/>
          <w:b/>
          <w:color w:val="000000" w:themeColor="text1"/>
          <w:szCs w:val="24"/>
          <w:highlight w:val="none"/>
          <w14:textFill>
            <w14:solidFill>
              <w14:schemeClr w14:val="tx1"/>
            </w14:solidFill>
          </w14:textFill>
        </w:rPr>
        <w:t>18.7 竣工清场</w:t>
      </w:r>
      <w:bookmarkEnd w:id="1049"/>
      <w:bookmarkEnd w:id="1050"/>
      <w:bookmarkEnd w:id="1051"/>
      <w:bookmarkEnd w:id="1052"/>
      <w:bookmarkEnd w:id="1053"/>
      <w:bookmarkEnd w:id="1054"/>
      <w:bookmarkEnd w:id="1055"/>
      <w:bookmarkEnd w:id="105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18.7.1 </w:t>
      </w:r>
      <w:r>
        <w:rPr>
          <w:rFonts w:hAnsi="宋体"/>
          <w:color w:val="000000" w:themeColor="text1"/>
          <w:sz w:val="24"/>
          <w:highlight w:val="none"/>
          <w14:textFill>
            <w14:solidFill>
              <w14:schemeClr w14:val="tx1"/>
            </w14:solidFill>
          </w14:textFill>
        </w:rPr>
        <w:t>除合同另有约定外，工程接收证书颁发后，承包人应按以下要求对施工场地进行清理，直至监理人检验合格为止。竣工清场费用由承包人承担。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）施工场地内残留的垃圾已全部清除出场；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）临时工程已拆除，场地已按合同要求进行清理、平整或复原；</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）按合同约定应撤离的承包人设备和剩余的材料，包括废弃的施工设备和材料，已按计划撤离施工场地；</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）工程建筑物周边及其附近道路、河道的施工堆积物，已按监理人指示全部清理；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）监理人指示的其他场地清理工作已全部完成。</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18.7.2 </w:t>
      </w:r>
      <w:r>
        <w:rPr>
          <w:rFonts w:hAnsi="宋体"/>
          <w:color w:val="000000" w:themeColor="text1"/>
          <w:sz w:val="24"/>
          <w:highlight w:val="none"/>
          <w14:textFill>
            <w14:solidFill>
              <w14:schemeClr w14:val="tx1"/>
            </w14:solidFill>
          </w14:textFill>
        </w:rPr>
        <w:t>承包人未按监理人的要求恢复临时占地，或者场地清理未达到合同约定的，发包人有权委托其他人恢复或清理，所发生的金额从拟支付给承包人的款项中扣除。</w:t>
      </w:r>
    </w:p>
    <w:p>
      <w:pPr>
        <w:spacing w:line="360" w:lineRule="auto"/>
        <w:ind w:firstLine="480" w:firstLineChars="200"/>
        <w:rPr>
          <w:rFonts w:hint="eastAsia"/>
          <w:color w:val="000000" w:themeColor="text1"/>
          <w:sz w:val="24"/>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57" w:name="_Toc100504236"/>
      <w:bookmarkStart w:id="1058" w:name="_Toc10247"/>
      <w:bookmarkStart w:id="1059" w:name="_Toc152045733"/>
      <w:bookmarkStart w:id="1060" w:name="_Toc11256"/>
      <w:bookmarkStart w:id="1061" w:name="_Toc152042512"/>
      <w:bookmarkStart w:id="1062" w:name="_Toc144974704"/>
      <w:bookmarkStart w:id="1063" w:name="_Toc179632751"/>
      <w:bookmarkStart w:id="1064" w:name="_Toc24998"/>
      <w:r>
        <w:rPr>
          <w:rFonts w:eastAsia="宋体" w:cs="Times New Roman"/>
          <w:b/>
          <w:color w:val="000000" w:themeColor="text1"/>
          <w:szCs w:val="24"/>
          <w:highlight w:val="none"/>
          <w14:textFill>
            <w14:solidFill>
              <w14:schemeClr w14:val="tx1"/>
            </w14:solidFill>
          </w14:textFill>
        </w:rPr>
        <w:t>18.8 施工队伍的撤离</w:t>
      </w:r>
      <w:bookmarkEnd w:id="1057"/>
      <w:bookmarkEnd w:id="1058"/>
      <w:bookmarkEnd w:id="1059"/>
      <w:bookmarkEnd w:id="1060"/>
      <w:bookmarkEnd w:id="1061"/>
      <w:bookmarkEnd w:id="1062"/>
      <w:bookmarkEnd w:id="1063"/>
      <w:bookmarkEnd w:id="106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工程接收证书颁发后的</w:t>
      </w:r>
      <w:r>
        <w:rPr>
          <w:color w:val="000000" w:themeColor="text1"/>
          <w:sz w:val="24"/>
          <w:highlight w:val="none"/>
          <w14:textFill>
            <w14:solidFill>
              <w14:schemeClr w14:val="tx1"/>
            </w14:solidFill>
          </w14:textFill>
        </w:rPr>
        <w:t>56</w:t>
      </w:r>
      <w:r>
        <w:rPr>
          <w:rFonts w:hAnsi="宋体"/>
          <w:color w:val="000000" w:themeColor="text1"/>
          <w:sz w:val="24"/>
          <w:highlight w:val="none"/>
          <w14:textFill>
            <w14:solidFill>
              <w14:schemeClr w14:val="tx1"/>
            </w14:solidFill>
          </w14:textFill>
        </w:rPr>
        <w:t>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065" w:name="_Toc179632752"/>
      <w:bookmarkStart w:id="1066" w:name="_Toc19648"/>
      <w:bookmarkStart w:id="1067" w:name="_Toc100504237"/>
      <w:bookmarkStart w:id="1068" w:name="_Toc152045734"/>
      <w:bookmarkStart w:id="1069" w:name="_Toc152042513"/>
      <w:bookmarkStart w:id="1070" w:name="_Toc4355"/>
      <w:bookmarkStart w:id="1071" w:name="_Toc144974705"/>
      <w:bookmarkStart w:id="1072" w:name="_Toc16810"/>
      <w:r>
        <w:rPr>
          <w:rFonts w:hAnsi="宋体"/>
          <w:b/>
          <w:color w:val="000000" w:themeColor="text1"/>
          <w:sz w:val="24"/>
          <w:highlight w:val="none"/>
          <w14:textFill>
            <w14:solidFill>
              <w14:schemeClr w14:val="tx1"/>
            </w14:solidFill>
          </w14:textFill>
        </w:rPr>
        <w:t>19. 缺陷责任与保修责任</w:t>
      </w:r>
      <w:bookmarkEnd w:id="1065"/>
      <w:bookmarkEnd w:id="1066"/>
      <w:bookmarkEnd w:id="1067"/>
      <w:bookmarkEnd w:id="1068"/>
      <w:bookmarkEnd w:id="1069"/>
      <w:bookmarkEnd w:id="1070"/>
      <w:bookmarkEnd w:id="1071"/>
      <w:bookmarkEnd w:id="1072"/>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73" w:name="_Toc100504238"/>
      <w:bookmarkStart w:id="1074" w:name="_Toc144974706"/>
      <w:bookmarkStart w:id="1075" w:name="_Toc8363"/>
      <w:bookmarkStart w:id="1076" w:name="_Toc21106"/>
      <w:bookmarkStart w:id="1077" w:name="_Toc152045735"/>
      <w:bookmarkStart w:id="1078" w:name="_Toc179632753"/>
      <w:bookmarkStart w:id="1079" w:name="_Toc10407"/>
      <w:bookmarkStart w:id="1080" w:name="_Toc152042514"/>
      <w:r>
        <w:rPr>
          <w:rFonts w:eastAsia="宋体" w:cs="Times New Roman"/>
          <w:b/>
          <w:color w:val="000000" w:themeColor="text1"/>
          <w:szCs w:val="24"/>
          <w:highlight w:val="none"/>
          <w14:textFill>
            <w14:solidFill>
              <w14:schemeClr w14:val="tx1"/>
            </w14:solidFill>
          </w14:textFill>
        </w:rPr>
        <w:t>19.1 缺陷责任期的起算时间</w:t>
      </w:r>
      <w:bookmarkEnd w:id="1073"/>
      <w:bookmarkEnd w:id="1074"/>
      <w:bookmarkEnd w:id="1075"/>
      <w:bookmarkEnd w:id="1076"/>
      <w:bookmarkEnd w:id="1077"/>
      <w:bookmarkEnd w:id="1078"/>
      <w:bookmarkEnd w:id="1079"/>
      <w:bookmarkEnd w:id="1080"/>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缺陷责任期自实际竣工日期起计算。在全部工程竣工验收前，已经发包人提前验收的单位工程，其缺陷责任期的起算日期相应提前。</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81" w:name="_Toc1651"/>
      <w:bookmarkStart w:id="1082" w:name="_Toc152045736"/>
      <w:bookmarkStart w:id="1083" w:name="_Toc144974707"/>
      <w:bookmarkStart w:id="1084" w:name="_Toc179632754"/>
      <w:bookmarkStart w:id="1085" w:name="_Toc18910"/>
      <w:bookmarkStart w:id="1086" w:name="_Toc152042515"/>
      <w:bookmarkStart w:id="1087" w:name="_Toc100504239"/>
      <w:bookmarkStart w:id="1088" w:name="_Toc7048"/>
      <w:r>
        <w:rPr>
          <w:rFonts w:eastAsia="宋体" w:cs="Times New Roman"/>
          <w:b/>
          <w:color w:val="000000" w:themeColor="text1"/>
          <w:szCs w:val="24"/>
          <w:highlight w:val="none"/>
          <w14:textFill>
            <w14:solidFill>
              <w14:schemeClr w14:val="tx1"/>
            </w14:solidFill>
          </w14:textFill>
        </w:rPr>
        <w:t>19.2 缺陷责任</w:t>
      </w:r>
      <w:bookmarkEnd w:id="1081"/>
      <w:bookmarkEnd w:id="1082"/>
      <w:bookmarkEnd w:id="1083"/>
      <w:bookmarkEnd w:id="1084"/>
      <w:bookmarkEnd w:id="1085"/>
      <w:bookmarkEnd w:id="1086"/>
      <w:bookmarkEnd w:id="1087"/>
      <w:bookmarkEnd w:id="108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19.2.1 </w:t>
      </w:r>
      <w:r>
        <w:rPr>
          <w:rFonts w:hAnsi="宋体"/>
          <w:color w:val="000000" w:themeColor="text1"/>
          <w:sz w:val="24"/>
          <w:highlight w:val="none"/>
          <w14:textFill>
            <w14:solidFill>
              <w14:schemeClr w14:val="tx1"/>
            </w14:solidFill>
          </w14:textFill>
        </w:rPr>
        <w:t>承包人应在缺陷责任期内对已交付使用的工程承担缺陷责任。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19.2.2 </w:t>
      </w:r>
      <w:r>
        <w:rPr>
          <w:rFonts w:hAnsi="宋体"/>
          <w:color w:val="000000" w:themeColor="text1"/>
          <w:sz w:val="24"/>
          <w:highlight w:val="none"/>
          <w14:textFill>
            <w14:solidFill>
              <w14:schemeClr w14:val="tx1"/>
            </w14:solidFill>
          </w14:textFill>
        </w:rPr>
        <w:t>缺陷责任期内，发包人对已接收使用的工程负责日常维护工作。发包人在使用过程中，发现已接收的工程存在新的缺陷或已修复的缺陷部位或部件又遭损坏的，承包人应负责修复，直至检验合格为止。</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19.2.3 </w:t>
      </w:r>
      <w:r>
        <w:rPr>
          <w:rFonts w:hAnsi="宋体"/>
          <w:color w:val="000000" w:themeColor="text1"/>
          <w:sz w:val="24"/>
          <w:highlight w:val="none"/>
          <w14:textFill>
            <w14:solidFill>
              <w14:schemeClr w14:val="tx1"/>
            </w14:solidFill>
          </w14:textFill>
        </w:rPr>
        <w:t>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19.2.4 </w:t>
      </w:r>
      <w:r>
        <w:rPr>
          <w:rFonts w:hAnsi="宋体"/>
          <w:color w:val="000000" w:themeColor="text1"/>
          <w:sz w:val="24"/>
          <w:highlight w:val="none"/>
          <w14:textFill>
            <w14:solidFill>
              <w14:schemeClr w14:val="tx1"/>
            </w14:solidFill>
          </w14:textFill>
        </w:rPr>
        <w:t>承包人不能在合理时间内修复缺陷的，发包人可自行修复或委托其他人修复，所需费用和利润的承担，按第</w:t>
      </w:r>
      <w:r>
        <w:rPr>
          <w:color w:val="000000" w:themeColor="text1"/>
          <w:sz w:val="24"/>
          <w:highlight w:val="none"/>
          <w14:textFill>
            <w14:solidFill>
              <w14:schemeClr w14:val="tx1"/>
            </w14:solidFill>
          </w14:textFill>
        </w:rPr>
        <w:t>19.2.3</w:t>
      </w:r>
      <w:r>
        <w:rPr>
          <w:rFonts w:hAnsi="宋体"/>
          <w:color w:val="000000" w:themeColor="text1"/>
          <w:sz w:val="24"/>
          <w:highlight w:val="none"/>
          <w14:textFill>
            <w14:solidFill>
              <w14:schemeClr w14:val="tx1"/>
            </w14:solidFill>
          </w14:textFill>
        </w:rPr>
        <w:t>项约定办理。</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89" w:name="_Toc144974708"/>
      <w:bookmarkStart w:id="1090" w:name="_Toc152042516"/>
      <w:bookmarkStart w:id="1091" w:name="_Toc25657"/>
      <w:bookmarkStart w:id="1092" w:name="_Toc100504240"/>
      <w:bookmarkStart w:id="1093" w:name="_Toc30561"/>
      <w:bookmarkStart w:id="1094" w:name="_Toc179632755"/>
      <w:bookmarkStart w:id="1095" w:name="_Toc152045737"/>
      <w:bookmarkStart w:id="1096" w:name="_Toc14464"/>
      <w:r>
        <w:rPr>
          <w:rFonts w:eastAsia="宋体" w:cs="Times New Roman"/>
          <w:b/>
          <w:color w:val="000000" w:themeColor="text1"/>
          <w:szCs w:val="24"/>
          <w:highlight w:val="none"/>
          <w14:textFill>
            <w14:solidFill>
              <w14:schemeClr w14:val="tx1"/>
            </w14:solidFill>
          </w14:textFill>
        </w:rPr>
        <w:t>19.3 缺陷责任期的延长</w:t>
      </w:r>
      <w:bookmarkEnd w:id="1089"/>
      <w:bookmarkEnd w:id="1090"/>
      <w:bookmarkEnd w:id="1091"/>
      <w:bookmarkEnd w:id="1092"/>
      <w:bookmarkEnd w:id="1093"/>
      <w:bookmarkEnd w:id="1094"/>
      <w:bookmarkEnd w:id="1095"/>
      <w:bookmarkEnd w:id="1096"/>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由于承包人原因造成某项缺陷或损坏使某项工程或工程设备不能按原定目标使用而需要再次检查、检验和修复的，发包人有权要求承包人相应延长缺陷责任期，但缺陷责任期最长不超过</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年。</w:t>
      </w:r>
    </w:p>
    <w:p>
      <w:pPr>
        <w:spacing w:line="360" w:lineRule="auto"/>
        <w:ind w:firstLine="480" w:firstLineChars="200"/>
        <w:rPr>
          <w:rFonts w:hint="eastAsia"/>
          <w:color w:val="000000" w:themeColor="text1"/>
          <w:sz w:val="24"/>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097" w:name="_Toc179632756"/>
      <w:bookmarkStart w:id="1098" w:name="_Toc100504241"/>
      <w:bookmarkStart w:id="1099" w:name="_Toc5557"/>
      <w:bookmarkStart w:id="1100" w:name="_Toc18173"/>
      <w:bookmarkStart w:id="1101" w:name="_Toc152042517"/>
      <w:bookmarkStart w:id="1102" w:name="_Toc144974709"/>
      <w:bookmarkStart w:id="1103" w:name="_Toc152045738"/>
      <w:bookmarkStart w:id="1104" w:name="_Toc18130"/>
      <w:r>
        <w:rPr>
          <w:rFonts w:eastAsia="宋体" w:cs="Times New Roman"/>
          <w:b/>
          <w:color w:val="000000" w:themeColor="text1"/>
          <w:szCs w:val="24"/>
          <w:highlight w:val="none"/>
          <w14:textFill>
            <w14:solidFill>
              <w14:schemeClr w14:val="tx1"/>
            </w14:solidFill>
          </w14:textFill>
        </w:rPr>
        <w:t>19.4 进一步试验和试运行</w:t>
      </w:r>
      <w:bookmarkEnd w:id="1097"/>
      <w:bookmarkEnd w:id="1098"/>
      <w:bookmarkEnd w:id="1099"/>
      <w:bookmarkEnd w:id="1100"/>
      <w:bookmarkEnd w:id="1101"/>
      <w:bookmarkEnd w:id="1102"/>
      <w:bookmarkEnd w:id="1103"/>
      <w:bookmarkEnd w:id="110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任何一项缺陷或损坏修复后，经检查证明其影响了工程或工程设备的使用性能，承包人应重新进行合同约定的试验和试运行，试验和试运行的全部费用应由责任方承担。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05" w:name="_Toc100504242"/>
      <w:bookmarkStart w:id="1106" w:name="_Toc25337"/>
      <w:bookmarkStart w:id="1107" w:name="_Toc144974710"/>
      <w:bookmarkStart w:id="1108" w:name="_Toc846"/>
      <w:bookmarkStart w:id="1109" w:name="_Toc11799"/>
      <w:bookmarkStart w:id="1110" w:name="_Toc152045739"/>
      <w:bookmarkStart w:id="1111" w:name="_Toc152042518"/>
      <w:bookmarkStart w:id="1112" w:name="_Toc179632757"/>
      <w:r>
        <w:rPr>
          <w:rFonts w:eastAsia="宋体" w:cs="Times New Roman"/>
          <w:b/>
          <w:color w:val="000000" w:themeColor="text1"/>
          <w:szCs w:val="24"/>
          <w:highlight w:val="none"/>
          <w14:textFill>
            <w14:solidFill>
              <w14:schemeClr w14:val="tx1"/>
            </w14:solidFill>
          </w14:textFill>
        </w:rPr>
        <w:t>19.5 承包人的进入权</w:t>
      </w:r>
      <w:bookmarkEnd w:id="1105"/>
      <w:bookmarkEnd w:id="1106"/>
      <w:bookmarkEnd w:id="1107"/>
      <w:bookmarkEnd w:id="1108"/>
      <w:bookmarkEnd w:id="1109"/>
      <w:bookmarkEnd w:id="1110"/>
      <w:bookmarkEnd w:id="1111"/>
      <w:bookmarkEnd w:id="1112"/>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缺陷责任期内承包人为缺陷修复工作需要，有权进入工程现场，但应遵守发包人的保安和保密规定。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13" w:name="_Toc27640"/>
      <w:bookmarkStart w:id="1114" w:name="_Toc152042519"/>
      <w:bookmarkStart w:id="1115" w:name="_Toc16912"/>
      <w:bookmarkStart w:id="1116" w:name="_Toc144974711"/>
      <w:bookmarkStart w:id="1117" w:name="_Toc152045740"/>
      <w:bookmarkStart w:id="1118" w:name="_Toc14537"/>
      <w:bookmarkStart w:id="1119" w:name="_Toc179632758"/>
      <w:bookmarkStart w:id="1120" w:name="_Toc100504243"/>
      <w:r>
        <w:rPr>
          <w:rFonts w:eastAsia="宋体" w:cs="Times New Roman"/>
          <w:b/>
          <w:color w:val="000000" w:themeColor="text1"/>
          <w:szCs w:val="24"/>
          <w:highlight w:val="none"/>
          <w14:textFill>
            <w14:solidFill>
              <w14:schemeClr w14:val="tx1"/>
            </w14:solidFill>
          </w14:textFill>
        </w:rPr>
        <w:t>19.6 缺陷责任期终止证书</w:t>
      </w:r>
      <w:bookmarkEnd w:id="1113"/>
      <w:bookmarkEnd w:id="1114"/>
      <w:bookmarkEnd w:id="1115"/>
      <w:bookmarkEnd w:id="1116"/>
      <w:bookmarkEnd w:id="1117"/>
      <w:bookmarkEnd w:id="1118"/>
      <w:bookmarkEnd w:id="1119"/>
      <w:bookmarkEnd w:id="1120"/>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在第</w:t>
      </w:r>
      <w:r>
        <w:rPr>
          <w:color w:val="000000" w:themeColor="text1"/>
          <w:sz w:val="24"/>
          <w:highlight w:val="none"/>
          <w14:textFill>
            <w14:solidFill>
              <w14:schemeClr w14:val="tx1"/>
            </w14:solidFill>
          </w14:textFill>
        </w:rPr>
        <w:t>1.1.4.5</w:t>
      </w:r>
      <w:r>
        <w:rPr>
          <w:rFonts w:hAnsi="宋体"/>
          <w:color w:val="000000" w:themeColor="text1"/>
          <w:sz w:val="24"/>
          <w:highlight w:val="none"/>
          <w14:textFill>
            <w14:solidFill>
              <w14:schemeClr w14:val="tx1"/>
            </w14:solidFill>
          </w14:textFill>
        </w:rPr>
        <w:t>目约定的缺陷责任期，包括根据第</w:t>
      </w:r>
      <w:r>
        <w:rPr>
          <w:color w:val="000000" w:themeColor="text1"/>
          <w:sz w:val="24"/>
          <w:highlight w:val="none"/>
          <w14:textFill>
            <w14:solidFill>
              <w14:schemeClr w14:val="tx1"/>
            </w14:solidFill>
          </w14:textFill>
        </w:rPr>
        <w:t>19.3</w:t>
      </w:r>
      <w:r>
        <w:rPr>
          <w:rFonts w:hAnsi="宋体"/>
          <w:color w:val="000000" w:themeColor="text1"/>
          <w:sz w:val="24"/>
          <w:highlight w:val="none"/>
          <w14:textFill>
            <w14:solidFill>
              <w14:schemeClr w14:val="tx1"/>
            </w14:solidFill>
          </w14:textFill>
        </w:rPr>
        <w:t>款延长的期限终止后</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天内，由监理人向承包人出具经发包人签认的缺陷责任期终止证书，并退还剩余的质量保证金。</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21" w:name="_Toc152042520"/>
      <w:bookmarkStart w:id="1122" w:name="_Toc100504244"/>
      <w:bookmarkStart w:id="1123" w:name="_Toc144974712"/>
      <w:bookmarkStart w:id="1124" w:name="_Toc152045741"/>
      <w:bookmarkStart w:id="1125" w:name="_Toc24645"/>
      <w:bookmarkStart w:id="1126" w:name="_Toc20006"/>
      <w:bookmarkStart w:id="1127" w:name="_Toc16988"/>
      <w:bookmarkStart w:id="1128" w:name="_Toc179632759"/>
      <w:r>
        <w:rPr>
          <w:rFonts w:eastAsia="宋体" w:cs="Times New Roman"/>
          <w:b/>
          <w:color w:val="000000" w:themeColor="text1"/>
          <w:szCs w:val="24"/>
          <w:highlight w:val="none"/>
          <w14:textFill>
            <w14:solidFill>
              <w14:schemeClr w14:val="tx1"/>
            </w14:solidFill>
          </w14:textFill>
        </w:rPr>
        <w:t>19.7 保修责任</w:t>
      </w:r>
      <w:bookmarkEnd w:id="1121"/>
      <w:bookmarkEnd w:id="1122"/>
      <w:bookmarkEnd w:id="1123"/>
      <w:bookmarkEnd w:id="1124"/>
      <w:bookmarkEnd w:id="1125"/>
      <w:bookmarkEnd w:id="1126"/>
      <w:bookmarkEnd w:id="1127"/>
      <w:bookmarkEnd w:id="1128"/>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129" w:name="_Toc100504245"/>
      <w:bookmarkStart w:id="1130" w:name="_Toc144974713"/>
      <w:bookmarkStart w:id="1131" w:name="_Toc19812"/>
      <w:bookmarkStart w:id="1132" w:name="_Toc47"/>
      <w:bookmarkStart w:id="1133" w:name="_Toc152042521"/>
      <w:bookmarkStart w:id="1134" w:name="_Toc28784"/>
      <w:bookmarkStart w:id="1135" w:name="_Toc152045742"/>
      <w:bookmarkStart w:id="1136" w:name="_Toc179632760"/>
      <w:r>
        <w:rPr>
          <w:rFonts w:hAnsi="宋体"/>
          <w:b/>
          <w:color w:val="000000" w:themeColor="text1"/>
          <w:sz w:val="24"/>
          <w:highlight w:val="none"/>
          <w14:textFill>
            <w14:solidFill>
              <w14:schemeClr w14:val="tx1"/>
            </w14:solidFill>
          </w14:textFill>
        </w:rPr>
        <w:t>20. 保险</w:t>
      </w:r>
      <w:bookmarkEnd w:id="1129"/>
      <w:bookmarkEnd w:id="1130"/>
      <w:bookmarkEnd w:id="1131"/>
      <w:bookmarkEnd w:id="1132"/>
      <w:bookmarkEnd w:id="1133"/>
      <w:bookmarkEnd w:id="1134"/>
      <w:bookmarkEnd w:id="1135"/>
      <w:bookmarkEnd w:id="113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37" w:name="_Toc27964"/>
      <w:bookmarkStart w:id="1138" w:name="_Toc152045743"/>
      <w:bookmarkStart w:id="1139" w:name="_Toc152042522"/>
      <w:bookmarkStart w:id="1140" w:name="_Toc100504246"/>
      <w:bookmarkStart w:id="1141" w:name="_Toc12959"/>
      <w:bookmarkStart w:id="1142" w:name="_Toc26602"/>
      <w:bookmarkStart w:id="1143" w:name="_Toc144974714"/>
      <w:bookmarkStart w:id="1144" w:name="_Toc179632761"/>
      <w:r>
        <w:rPr>
          <w:rFonts w:eastAsia="宋体" w:cs="Times New Roman"/>
          <w:b/>
          <w:color w:val="000000" w:themeColor="text1"/>
          <w:szCs w:val="24"/>
          <w:highlight w:val="none"/>
          <w14:textFill>
            <w14:solidFill>
              <w14:schemeClr w14:val="tx1"/>
            </w14:solidFill>
          </w14:textFill>
        </w:rPr>
        <w:t>20.1 工程保险</w:t>
      </w:r>
      <w:bookmarkEnd w:id="1137"/>
      <w:bookmarkEnd w:id="1138"/>
      <w:bookmarkEnd w:id="1139"/>
      <w:bookmarkEnd w:id="1140"/>
      <w:bookmarkEnd w:id="1141"/>
      <w:bookmarkEnd w:id="1142"/>
      <w:bookmarkEnd w:id="1143"/>
      <w:bookmarkEnd w:id="1144"/>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45" w:name="_Toc144974715"/>
      <w:bookmarkStart w:id="1146" w:name="_Toc152045744"/>
      <w:bookmarkStart w:id="1147" w:name="_Toc14142"/>
      <w:bookmarkStart w:id="1148" w:name="_Toc152042523"/>
      <w:bookmarkStart w:id="1149" w:name="_Toc19063"/>
      <w:bookmarkStart w:id="1150" w:name="_Toc179632762"/>
      <w:bookmarkStart w:id="1151" w:name="_Toc100504247"/>
      <w:bookmarkStart w:id="1152" w:name="_Toc31742"/>
      <w:r>
        <w:rPr>
          <w:rFonts w:eastAsia="宋体" w:cs="Times New Roman"/>
          <w:b/>
          <w:color w:val="000000" w:themeColor="text1"/>
          <w:szCs w:val="24"/>
          <w:highlight w:val="none"/>
          <w14:textFill>
            <w14:solidFill>
              <w14:schemeClr w14:val="tx1"/>
            </w14:solidFill>
          </w14:textFill>
        </w:rPr>
        <w:t>20.2 人员工伤事故的保险</w:t>
      </w:r>
      <w:bookmarkEnd w:id="1145"/>
      <w:bookmarkEnd w:id="1146"/>
      <w:bookmarkEnd w:id="1147"/>
      <w:bookmarkEnd w:id="1148"/>
      <w:bookmarkEnd w:id="1149"/>
      <w:bookmarkEnd w:id="1150"/>
      <w:bookmarkEnd w:id="1151"/>
      <w:bookmarkEnd w:id="115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20.2.1 </w:t>
      </w:r>
      <w:r>
        <w:rPr>
          <w:rFonts w:hAnsi="宋体"/>
          <w:color w:val="000000" w:themeColor="text1"/>
          <w:sz w:val="24"/>
          <w:highlight w:val="none"/>
          <w14:textFill>
            <w14:solidFill>
              <w14:schemeClr w14:val="tx1"/>
            </w14:solidFill>
          </w14:textFill>
        </w:rPr>
        <w:t>承包人员工伤事故的保险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承包人应依照有关法律规定参加工伤保险，为其履行合同所雇佣的全部人员，缴纳工伤保险费，并要求其分包人也进行此项保险。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20.2.2 </w:t>
      </w:r>
      <w:r>
        <w:rPr>
          <w:rFonts w:hAnsi="宋体"/>
          <w:color w:val="000000" w:themeColor="text1"/>
          <w:sz w:val="24"/>
          <w:highlight w:val="none"/>
          <w14:textFill>
            <w14:solidFill>
              <w14:schemeClr w14:val="tx1"/>
            </w14:solidFill>
          </w14:textFill>
        </w:rPr>
        <w:t>发包人员工伤事故的保险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发包人应依照有关法律规定参加工伤保险，为其现场机构雇佣的全部人员，缴纳工伤保险费，并要求其监理人也进行此项保险。</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53" w:name="_Toc144974716"/>
      <w:bookmarkStart w:id="1154" w:name="_Toc100504248"/>
      <w:bookmarkStart w:id="1155" w:name="_Toc13538"/>
      <w:bookmarkStart w:id="1156" w:name="_Toc152045745"/>
      <w:bookmarkStart w:id="1157" w:name="_Toc15827"/>
      <w:bookmarkStart w:id="1158" w:name="_Toc179632763"/>
      <w:bookmarkStart w:id="1159" w:name="_Toc14570"/>
      <w:bookmarkStart w:id="1160" w:name="_Toc152042524"/>
      <w:r>
        <w:rPr>
          <w:rFonts w:eastAsia="宋体" w:cs="Times New Roman"/>
          <w:b/>
          <w:color w:val="000000" w:themeColor="text1"/>
          <w:szCs w:val="24"/>
          <w:highlight w:val="none"/>
          <w14:textFill>
            <w14:solidFill>
              <w14:schemeClr w14:val="tx1"/>
            </w14:solidFill>
          </w14:textFill>
        </w:rPr>
        <w:t>20.3 人身意外伤害险</w:t>
      </w:r>
      <w:bookmarkEnd w:id="1153"/>
      <w:bookmarkEnd w:id="1154"/>
      <w:bookmarkEnd w:id="1155"/>
      <w:bookmarkEnd w:id="1156"/>
      <w:bookmarkEnd w:id="1157"/>
      <w:bookmarkEnd w:id="1158"/>
      <w:bookmarkEnd w:id="1159"/>
      <w:bookmarkEnd w:id="116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20.3.1 </w:t>
      </w:r>
      <w:r>
        <w:rPr>
          <w:rFonts w:hAnsi="宋体"/>
          <w:color w:val="000000" w:themeColor="text1"/>
          <w:sz w:val="24"/>
          <w:highlight w:val="none"/>
          <w14:textFill>
            <w14:solidFill>
              <w14:schemeClr w14:val="tx1"/>
            </w14:solidFill>
          </w14:textFill>
        </w:rPr>
        <w:t>发包人应在整个施工期间为其现场机构雇用的全部人员，投保人身意外伤害险，缴纳保险费，并要求其监理人也进行此项保险。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20.3.2 </w:t>
      </w:r>
      <w:r>
        <w:rPr>
          <w:rFonts w:hAnsi="宋体"/>
          <w:color w:val="000000" w:themeColor="text1"/>
          <w:sz w:val="24"/>
          <w:highlight w:val="none"/>
          <w14:textFill>
            <w14:solidFill>
              <w14:schemeClr w14:val="tx1"/>
            </w14:solidFill>
          </w14:textFill>
        </w:rPr>
        <w:t>承包人应在整个施工期间为其现场机构雇用的全部人员，投保人身意外伤害险，缴纳保险费，并要求其分包人也进行此项保险。</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61" w:name="_Toc100504249"/>
      <w:bookmarkStart w:id="1162" w:name="_Toc6659"/>
      <w:bookmarkStart w:id="1163" w:name="_Toc7325"/>
      <w:bookmarkStart w:id="1164" w:name="_Toc152042525"/>
      <w:bookmarkStart w:id="1165" w:name="_Toc179632764"/>
      <w:bookmarkStart w:id="1166" w:name="_Toc144974717"/>
      <w:bookmarkStart w:id="1167" w:name="_Toc24608"/>
      <w:bookmarkStart w:id="1168" w:name="_Toc152045746"/>
      <w:r>
        <w:rPr>
          <w:rFonts w:eastAsia="宋体" w:cs="Times New Roman"/>
          <w:b/>
          <w:color w:val="000000" w:themeColor="text1"/>
          <w:szCs w:val="24"/>
          <w:highlight w:val="none"/>
          <w14:textFill>
            <w14:solidFill>
              <w14:schemeClr w14:val="tx1"/>
            </w14:solidFill>
          </w14:textFill>
        </w:rPr>
        <w:t>20.4 第三者责任险</w:t>
      </w:r>
      <w:bookmarkEnd w:id="1161"/>
      <w:bookmarkEnd w:id="1162"/>
      <w:bookmarkEnd w:id="1163"/>
      <w:bookmarkEnd w:id="1164"/>
      <w:bookmarkEnd w:id="1165"/>
      <w:bookmarkEnd w:id="1166"/>
      <w:bookmarkEnd w:id="1167"/>
      <w:bookmarkEnd w:id="116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20.4.1 </w:t>
      </w:r>
      <w:r>
        <w:rPr>
          <w:rFonts w:hAnsi="宋体"/>
          <w:color w:val="000000" w:themeColor="text1"/>
          <w:sz w:val="24"/>
          <w:highlight w:val="none"/>
          <w14:textFill>
            <w14:solidFill>
              <w14:schemeClr w14:val="tx1"/>
            </w14:solidFill>
          </w14:textFill>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20.4.2 </w:t>
      </w:r>
      <w:r>
        <w:rPr>
          <w:rFonts w:hAnsi="宋体"/>
          <w:color w:val="000000" w:themeColor="text1"/>
          <w:sz w:val="24"/>
          <w:highlight w:val="none"/>
          <w14:textFill>
            <w14:solidFill>
              <w14:schemeClr w14:val="tx1"/>
            </w14:solidFill>
          </w14:textFill>
        </w:rPr>
        <w:t>在缺陷责任期终止证书颁发前，承包人应以承包人和发包人的共同名义，投保第</w:t>
      </w:r>
      <w:r>
        <w:rPr>
          <w:color w:val="000000" w:themeColor="text1"/>
          <w:sz w:val="24"/>
          <w:highlight w:val="none"/>
          <w14:textFill>
            <w14:solidFill>
              <w14:schemeClr w14:val="tx1"/>
            </w14:solidFill>
          </w14:textFill>
        </w:rPr>
        <w:t>20.4.1</w:t>
      </w:r>
      <w:r>
        <w:rPr>
          <w:rFonts w:hAnsi="宋体"/>
          <w:color w:val="000000" w:themeColor="text1"/>
          <w:sz w:val="24"/>
          <w:highlight w:val="none"/>
          <w14:textFill>
            <w14:solidFill>
              <w14:schemeClr w14:val="tx1"/>
            </w14:solidFill>
          </w14:textFill>
        </w:rPr>
        <w:t>项约定的第三者责任险，其保险费率、保险金额等有关内容在专用合同条款中约定。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69" w:name="_Toc20563"/>
      <w:bookmarkStart w:id="1170" w:name="_Toc7258"/>
      <w:bookmarkStart w:id="1171" w:name="_Toc152045747"/>
      <w:bookmarkStart w:id="1172" w:name="_Toc152042526"/>
      <w:bookmarkStart w:id="1173" w:name="_Toc144974718"/>
      <w:bookmarkStart w:id="1174" w:name="_Toc100504250"/>
      <w:bookmarkStart w:id="1175" w:name="_Toc24024"/>
      <w:bookmarkStart w:id="1176" w:name="_Toc179632765"/>
      <w:r>
        <w:rPr>
          <w:rFonts w:eastAsia="宋体" w:cs="Times New Roman"/>
          <w:b/>
          <w:color w:val="000000" w:themeColor="text1"/>
          <w:szCs w:val="24"/>
          <w:highlight w:val="none"/>
          <w14:textFill>
            <w14:solidFill>
              <w14:schemeClr w14:val="tx1"/>
            </w14:solidFill>
          </w14:textFill>
        </w:rPr>
        <w:t>20.5 其他保险</w:t>
      </w:r>
      <w:bookmarkEnd w:id="1169"/>
      <w:bookmarkEnd w:id="1170"/>
      <w:bookmarkEnd w:id="1171"/>
      <w:bookmarkEnd w:id="1172"/>
      <w:bookmarkEnd w:id="1173"/>
      <w:bookmarkEnd w:id="1174"/>
      <w:bookmarkEnd w:id="1175"/>
      <w:bookmarkEnd w:id="117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除专用合同条款另有约定外，承包人应为其施工设备、进场的材料和工程设备等办理保险。</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77" w:name="_Toc152042527"/>
      <w:bookmarkStart w:id="1178" w:name="_Toc152045748"/>
      <w:bookmarkStart w:id="1179" w:name="_Toc144974719"/>
      <w:bookmarkStart w:id="1180" w:name="_Toc179632766"/>
      <w:bookmarkStart w:id="1181" w:name="_Toc20020"/>
      <w:bookmarkStart w:id="1182" w:name="_Toc100504251"/>
      <w:bookmarkStart w:id="1183" w:name="_Toc25227"/>
      <w:bookmarkStart w:id="1184" w:name="_Toc25485"/>
      <w:r>
        <w:rPr>
          <w:rFonts w:eastAsia="宋体" w:cs="Times New Roman"/>
          <w:b/>
          <w:color w:val="000000" w:themeColor="text1"/>
          <w:szCs w:val="24"/>
          <w:highlight w:val="none"/>
          <w14:textFill>
            <w14:solidFill>
              <w14:schemeClr w14:val="tx1"/>
            </w14:solidFill>
          </w14:textFill>
        </w:rPr>
        <w:t>20.6 对各项保险的一般要求</w:t>
      </w:r>
      <w:bookmarkEnd w:id="1177"/>
      <w:bookmarkEnd w:id="1178"/>
      <w:bookmarkEnd w:id="1179"/>
      <w:bookmarkEnd w:id="1180"/>
      <w:bookmarkEnd w:id="1181"/>
      <w:bookmarkEnd w:id="1182"/>
      <w:bookmarkEnd w:id="1183"/>
      <w:bookmarkEnd w:id="1184"/>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20.6.1 </w:t>
      </w:r>
      <w:r>
        <w:rPr>
          <w:rFonts w:hAnsi="宋体"/>
          <w:color w:val="000000" w:themeColor="text1"/>
          <w:sz w:val="24"/>
          <w:highlight w:val="none"/>
          <w14:textFill>
            <w14:solidFill>
              <w14:schemeClr w14:val="tx1"/>
            </w14:solidFill>
          </w14:textFill>
        </w:rPr>
        <w:t>保险凭证</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承包人应在专用合同条款约定的期限内向发包人提交各项保险生效的证据和保险单副本，保险单必须与专用合同条款约定的条件保持一致。</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20.6.2 </w:t>
      </w:r>
      <w:r>
        <w:rPr>
          <w:rFonts w:hAnsi="宋体"/>
          <w:color w:val="000000" w:themeColor="text1"/>
          <w:sz w:val="24"/>
          <w:highlight w:val="none"/>
          <w14:textFill>
            <w14:solidFill>
              <w14:schemeClr w14:val="tx1"/>
            </w14:solidFill>
          </w14:textFill>
        </w:rPr>
        <w:t>保险合同条款的变动</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承包人需要变动保险合同条款时，应事先征得发包人同意，并通知监理人。保险人作出变动的，承包人应在收到保险人通知后立即通知发包人和监理人。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20.6.3 </w:t>
      </w:r>
      <w:r>
        <w:rPr>
          <w:rFonts w:hAnsi="宋体"/>
          <w:color w:val="000000" w:themeColor="text1"/>
          <w:sz w:val="24"/>
          <w:highlight w:val="none"/>
          <w14:textFill>
            <w14:solidFill>
              <w14:schemeClr w14:val="tx1"/>
            </w14:solidFill>
          </w14:textFill>
        </w:rPr>
        <w:t>持续保险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承包人应与保险人保持联系，使保险人能够随时了解工程实施中的变动，并确保按保险合同条款要求持续保险。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20.6.4 </w:t>
      </w:r>
      <w:r>
        <w:rPr>
          <w:rFonts w:hAnsi="宋体"/>
          <w:color w:val="000000" w:themeColor="text1"/>
          <w:sz w:val="24"/>
          <w:highlight w:val="none"/>
          <w14:textFill>
            <w14:solidFill>
              <w14:schemeClr w14:val="tx1"/>
            </w14:solidFill>
          </w14:textFill>
        </w:rPr>
        <w:t>保险金不足的补偿</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保险金不足以补偿损失的，应由承包人和（或）发包人按合同约定负责补偿。</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20.6.5 </w:t>
      </w:r>
      <w:r>
        <w:rPr>
          <w:rFonts w:hAnsi="宋体"/>
          <w:color w:val="000000" w:themeColor="text1"/>
          <w:sz w:val="24"/>
          <w:highlight w:val="none"/>
          <w14:textFill>
            <w14:solidFill>
              <w14:schemeClr w14:val="tx1"/>
            </w14:solidFill>
          </w14:textFill>
        </w:rPr>
        <w:t>未按约定投保的补救</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）由于负有投保义务的一方当事人未按合同约定办理保险，或未能使保险持续有效的，另一方当事人可代为办理，所需费用由对方当事人承担。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）由于负有投保义务的一方当事人未按合同约定办理某项保险，导致受益人未能得到保险人的赔偿，原应从该项保险得到的保险金应由负有投保义务的一方当事人支付。</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20.6.6 </w:t>
      </w:r>
      <w:r>
        <w:rPr>
          <w:rFonts w:hAnsi="宋体"/>
          <w:color w:val="000000" w:themeColor="text1"/>
          <w:sz w:val="24"/>
          <w:highlight w:val="none"/>
          <w14:textFill>
            <w14:solidFill>
              <w14:schemeClr w14:val="tx1"/>
            </w14:solidFill>
          </w14:textFill>
        </w:rPr>
        <w:t>报告义务</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当保险事故发生时，投保人应按照保险单规定的条件和期限及时向保险人报告。</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185" w:name="_Toc144974720"/>
      <w:bookmarkStart w:id="1186" w:name="_Toc152045749"/>
      <w:bookmarkStart w:id="1187" w:name="_Toc179632767"/>
      <w:bookmarkStart w:id="1188" w:name="_Toc9804"/>
      <w:bookmarkStart w:id="1189" w:name="_Toc10547"/>
      <w:bookmarkStart w:id="1190" w:name="_Toc100504252"/>
      <w:bookmarkStart w:id="1191" w:name="_Toc10877"/>
      <w:bookmarkStart w:id="1192" w:name="_Toc152042528"/>
      <w:r>
        <w:rPr>
          <w:rFonts w:hAnsi="宋体"/>
          <w:b/>
          <w:color w:val="000000" w:themeColor="text1"/>
          <w:sz w:val="24"/>
          <w:highlight w:val="none"/>
          <w14:textFill>
            <w14:solidFill>
              <w14:schemeClr w14:val="tx1"/>
            </w14:solidFill>
          </w14:textFill>
        </w:rPr>
        <w:t>21. 不可抗力</w:t>
      </w:r>
      <w:bookmarkEnd w:id="1185"/>
      <w:bookmarkEnd w:id="1186"/>
      <w:bookmarkEnd w:id="1187"/>
      <w:bookmarkEnd w:id="1188"/>
      <w:bookmarkEnd w:id="1189"/>
      <w:bookmarkEnd w:id="1190"/>
      <w:bookmarkEnd w:id="1191"/>
      <w:bookmarkEnd w:id="1192"/>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193" w:name="_Toc179632768"/>
      <w:bookmarkStart w:id="1194" w:name="_Toc100504253"/>
      <w:bookmarkStart w:id="1195" w:name="_Toc152042529"/>
      <w:bookmarkStart w:id="1196" w:name="_Toc31548"/>
      <w:bookmarkStart w:id="1197" w:name="_Toc10884"/>
      <w:bookmarkStart w:id="1198" w:name="_Toc144974721"/>
      <w:bookmarkStart w:id="1199" w:name="_Toc152045750"/>
      <w:bookmarkStart w:id="1200" w:name="_Toc17190"/>
      <w:r>
        <w:rPr>
          <w:rFonts w:eastAsia="宋体" w:cs="Times New Roman"/>
          <w:b/>
          <w:color w:val="000000" w:themeColor="text1"/>
          <w:szCs w:val="24"/>
          <w:highlight w:val="none"/>
          <w14:textFill>
            <w14:solidFill>
              <w14:schemeClr w14:val="tx1"/>
            </w14:solidFill>
          </w14:textFill>
        </w:rPr>
        <w:t>21.1 不可抗力的确认</w:t>
      </w:r>
      <w:bookmarkEnd w:id="1193"/>
      <w:bookmarkEnd w:id="1194"/>
      <w:bookmarkEnd w:id="1195"/>
      <w:bookmarkEnd w:id="1196"/>
      <w:bookmarkEnd w:id="1197"/>
      <w:bookmarkEnd w:id="1198"/>
      <w:bookmarkEnd w:id="1199"/>
      <w:bookmarkEnd w:id="120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21.1.1 </w:t>
      </w:r>
      <w:r>
        <w:rPr>
          <w:rFonts w:hAnsi="宋体"/>
          <w:color w:val="000000" w:themeColor="text1"/>
          <w:sz w:val="24"/>
          <w:highlight w:val="none"/>
          <w14:textFill>
            <w14:solidFill>
              <w14:schemeClr w14:val="tx1"/>
            </w14:solidFill>
          </w14:textFill>
        </w:rPr>
        <w:t>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21.1.2 </w:t>
      </w:r>
      <w:r>
        <w:rPr>
          <w:rFonts w:hAnsi="宋体"/>
          <w:color w:val="000000" w:themeColor="text1"/>
          <w:sz w:val="24"/>
          <w:highlight w:val="none"/>
          <w14:textFill>
            <w14:solidFill>
              <w14:schemeClr w14:val="tx1"/>
            </w14:solidFill>
          </w14:textFill>
        </w:rPr>
        <w:t>不可抗力发生后，发包人和承包人应及时认真统计所造成的损失，收集不可抗力造成损失的证据。合同双方对是否属于不可抗力或其损失的意见不一致的，由监理人按第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款商定或确定。发生争议时，按第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条的约定办理。</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01" w:name="_Toc27799"/>
      <w:bookmarkStart w:id="1202" w:name="_Toc179632769"/>
      <w:bookmarkStart w:id="1203" w:name="_Toc144974722"/>
      <w:bookmarkStart w:id="1204" w:name="_Toc31042"/>
      <w:bookmarkStart w:id="1205" w:name="_Toc152045751"/>
      <w:bookmarkStart w:id="1206" w:name="_Toc100504254"/>
      <w:bookmarkStart w:id="1207" w:name="_Toc23346"/>
      <w:bookmarkStart w:id="1208" w:name="_Toc152042530"/>
      <w:r>
        <w:rPr>
          <w:rFonts w:eastAsia="宋体" w:cs="Times New Roman"/>
          <w:b/>
          <w:color w:val="000000" w:themeColor="text1"/>
          <w:szCs w:val="24"/>
          <w:highlight w:val="none"/>
          <w14:textFill>
            <w14:solidFill>
              <w14:schemeClr w14:val="tx1"/>
            </w14:solidFill>
          </w14:textFill>
        </w:rPr>
        <w:t>21.2 不可抗力的通知</w:t>
      </w:r>
      <w:bookmarkEnd w:id="1201"/>
      <w:bookmarkEnd w:id="1202"/>
      <w:bookmarkEnd w:id="1203"/>
      <w:bookmarkEnd w:id="1204"/>
      <w:bookmarkEnd w:id="1205"/>
      <w:bookmarkEnd w:id="1206"/>
      <w:bookmarkEnd w:id="1207"/>
      <w:bookmarkEnd w:id="1208"/>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21.2.1 </w:t>
      </w:r>
      <w:r>
        <w:rPr>
          <w:rFonts w:hAnsi="宋体"/>
          <w:color w:val="000000" w:themeColor="text1"/>
          <w:sz w:val="24"/>
          <w:highlight w:val="none"/>
          <w14:textFill>
            <w14:solidFill>
              <w14:schemeClr w14:val="tx1"/>
            </w14:solidFill>
          </w14:textFill>
        </w:rPr>
        <w:t>合同一方当事人遇到不可抗力事件，使其履行合同义务受到阻碍时，应立即通知合同另一方当事人和监理人，书面说明不可抗力和受阻碍的详细情况，并提供必要的证明。</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21.2.2 </w:t>
      </w:r>
      <w:r>
        <w:rPr>
          <w:rFonts w:hAnsi="宋体"/>
          <w:color w:val="000000" w:themeColor="text1"/>
          <w:sz w:val="24"/>
          <w:highlight w:val="none"/>
          <w14:textFill>
            <w14:solidFill>
              <w14:schemeClr w14:val="tx1"/>
            </w14:solidFill>
          </w14:textFill>
        </w:rPr>
        <w:t>如不可抗力持续发生，合同一方当事人应及时向合同另一方当事人和监理人提交中间报告，说明不可抗力和履行合同受阻的情况，并于不可抗力事件结束后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天内提交最终报告及有关资料。</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09" w:name="_Toc100504255"/>
      <w:bookmarkStart w:id="1210" w:name="_Toc2881"/>
      <w:bookmarkStart w:id="1211" w:name="_Toc152042531"/>
      <w:bookmarkStart w:id="1212" w:name="_Toc24025"/>
      <w:bookmarkStart w:id="1213" w:name="_Toc144974723"/>
      <w:bookmarkStart w:id="1214" w:name="_Toc152045752"/>
      <w:bookmarkStart w:id="1215" w:name="_Toc4724"/>
      <w:bookmarkStart w:id="1216" w:name="_Toc179632770"/>
      <w:r>
        <w:rPr>
          <w:rFonts w:eastAsia="宋体" w:cs="Times New Roman"/>
          <w:b/>
          <w:color w:val="000000" w:themeColor="text1"/>
          <w:szCs w:val="24"/>
          <w:highlight w:val="none"/>
          <w14:textFill>
            <w14:solidFill>
              <w14:schemeClr w14:val="tx1"/>
            </w14:solidFill>
          </w14:textFill>
        </w:rPr>
        <w:t>21.3 不可抗力后果及其处理</w:t>
      </w:r>
      <w:bookmarkEnd w:id="1209"/>
      <w:bookmarkEnd w:id="1210"/>
      <w:bookmarkEnd w:id="1211"/>
      <w:bookmarkEnd w:id="1212"/>
      <w:bookmarkEnd w:id="1213"/>
      <w:bookmarkEnd w:id="1214"/>
      <w:bookmarkEnd w:id="1215"/>
      <w:bookmarkEnd w:id="1216"/>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21.3.1 </w:t>
      </w:r>
      <w:r>
        <w:rPr>
          <w:rFonts w:hAnsi="宋体"/>
          <w:color w:val="000000" w:themeColor="text1"/>
          <w:sz w:val="24"/>
          <w:highlight w:val="none"/>
          <w14:textFill>
            <w14:solidFill>
              <w14:schemeClr w14:val="tx1"/>
            </w14:solidFill>
          </w14:textFill>
        </w:rPr>
        <w:t>不可抗力造成损害的责任</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除专用合同条款另有约定外，不可抗力导致的人员伤亡、财产损失、费用增加和（或）工期延误等后果，由合同双方按以下原则承担：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）永久工程，包括已运至施工场地的材料和工程设备的损害，以及因工程损害造成的第三者人员伤亡和财产损失由发包人承担；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）承包人设备的损坏由承包人承担；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）发包人和承包人各自承担其人员伤亡和其他财产损失及其相关费用；</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）承包人的停工损失由承包人承担，但停工期间应监理人要求照管工程和清理、修复工程的金额由发包人承担；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）不能按期竣工的，应合理延长工期，承包人不需支付逾期竣工违约金。发包人要求赶工的，承包人应采取赶工措施，赶工费用由发包人承担。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21.3.2 </w:t>
      </w:r>
      <w:r>
        <w:rPr>
          <w:rFonts w:hAnsi="宋体"/>
          <w:color w:val="000000" w:themeColor="text1"/>
          <w:sz w:val="24"/>
          <w:highlight w:val="none"/>
          <w14:textFill>
            <w14:solidFill>
              <w14:schemeClr w14:val="tx1"/>
            </w14:solidFill>
          </w14:textFill>
        </w:rPr>
        <w:t>延迟履行期间发生的不可抗力</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合同一方当事人延迟履行，在延迟履行期间发生不可抗力的，不免除其责任。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21.3.3 </w:t>
      </w:r>
      <w:r>
        <w:rPr>
          <w:rFonts w:hAnsi="宋体"/>
          <w:color w:val="000000" w:themeColor="text1"/>
          <w:sz w:val="24"/>
          <w:highlight w:val="none"/>
          <w14:textFill>
            <w14:solidFill>
              <w14:schemeClr w14:val="tx1"/>
            </w14:solidFill>
          </w14:textFill>
        </w:rPr>
        <w:t>避免和减少不可抗力损失</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不可抗力发生后，发包人和承包人均应采取措施尽量避免和减少损失的扩大，任何一方没有采取有效措施导致损失扩大的，应对扩大的损失承担责任。</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21.3.4 </w:t>
      </w:r>
      <w:r>
        <w:rPr>
          <w:rFonts w:hAnsi="宋体"/>
          <w:color w:val="000000" w:themeColor="text1"/>
          <w:sz w:val="24"/>
          <w:highlight w:val="none"/>
          <w14:textFill>
            <w14:solidFill>
              <w14:schemeClr w14:val="tx1"/>
            </w14:solidFill>
          </w14:textFill>
        </w:rPr>
        <w:t>因不可抗力解除合同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合同一方当事人因不可抗力不能履行合同的，应当及时通知对方解除合同。合同解除后，承包人应按照第</w:t>
      </w:r>
      <w:r>
        <w:rPr>
          <w:color w:val="000000" w:themeColor="text1"/>
          <w:sz w:val="24"/>
          <w:highlight w:val="none"/>
          <w14:textFill>
            <w14:solidFill>
              <w14:schemeClr w14:val="tx1"/>
            </w14:solidFill>
          </w14:textFill>
        </w:rPr>
        <w:t>22.2.5</w:t>
      </w:r>
      <w:r>
        <w:rPr>
          <w:rFonts w:hAnsi="宋体"/>
          <w:color w:val="000000" w:themeColor="text1"/>
          <w:sz w:val="24"/>
          <w:highlight w:val="none"/>
          <w14:textFill>
            <w14:solidFill>
              <w14:schemeClr w14:val="tx1"/>
            </w14:solidFill>
          </w14:textFill>
        </w:rPr>
        <w:t>项约定撤离施工场地。已经订货的材料、设备由订货方负责退货或解除订货合同，不能退还的货款和因退货、解除订货合同发生的费用，由发包人承担，因未及时退货造成的损失由责任方承担。合同解除后的付款，参照第</w:t>
      </w:r>
      <w:r>
        <w:rPr>
          <w:color w:val="000000" w:themeColor="text1"/>
          <w:sz w:val="24"/>
          <w:highlight w:val="none"/>
          <w14:textFill>
            <w14:solidFill>
              <w14:schemeClr w14:val="tx1"/>
            </w14:solidFill>
          </w14:textFill>
        </w:rPr>
        <w:t>22.2.4</w:t>
      </w:r>
      <w:r>
        <w:rPr>
          <w:rFonts w:hAnsi="宋体"/>
          <w:color w:val="000000" w:themeColor="text1"/>
          <w:sz w:val="24"/>
          <w:highlight w:val="none"/>
          <w14:textFill>
            <w14:solidFill>
              <w14:schemeClr w14:val="tx1"/>
            </w14:solidFill>
          </w14:textFill>
        </w:rPr>
        <w:t>项约定，由监理人按第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217" w:name="_Toc144974724"/>
      <w:bookmarkStart w:id="1218" w:name="_Toc152045753"/>
      <w:bookmarkStart w:id="1219" w:name="_Toc179632771"/>
      <w:bookmarkStart w:id="1220" w:name="_Toc100504256"/>
      <w:bookmarkStart w:id="1221" w:name="_Toc152042532"/>
      <w:bookmarkStart w:id="1222" w:name="_Toc14269"/>
      <w:bookmarkStart w:id="1223" w:name="_Toc19694"/>
      <w:bookmarkStart w:id="1224" w:name="_Toc10703"/>
      <w:r>
        <w:rPr>
          <w:rFonts w:hAnsi="宋体"/>
          <w:b/>
          <w:color w:val="000000" w:themeColor="text1"/>
          <w:sz w:val="24"/>
          <w:highlight w:val="none"/>
          <w14:textFill>
            <w14:solidFill>
              <w14:schemeClr w14:val="tx1"/>
            </w14:solidFill>
          </w14:textFill>
        </w:rPr>
        <w:t>22. 违约</w:t>
      </w:r>
      <w:bookmarkEnd w:id="1217"/>
      <w:bookmarkEnd w:id="1218"/>
      <w:bookmarkEnd w:id="1219"/>
      <w:bookmarkEnd w:id="1220"/>
      <w:bookmarkEnd w:id="1221"/>
      <w:bookmarkEnd w:id="1222"/>
      <w:bookmarkEnd w:id="1223"/>
      <w:bookmarkEnd w:id="1224"/>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25" w:name="_Toc8556"/>
      <w:bookmarkStart w:id="1226" w:name="_Toc152045754"/>
      <w:bookmarkStart w:id="1227" w:name="_Toc14027"/>
      <w:bookmarkStart w:id="1228" w:name="_Toc144974725"/>
      <w:bookmarkStart w:id="1229" w:name="_Toc21543"/>
      <w:bookmarkStart w:id="1230" w:name="_Toc179632772"/>
      <w:bookmarkStart w:id="1231" w:name="_Toc100504257"/>
      <w:bookmarkStart w:id="1232" w:name="_Toc152042533"/>
      <w:r>
        <w:rPr>
          <w:rFonts w:eastAsia="宋体" w:cs="Times New Roman"/>
          <w:b/>
          <w:color w:val="000000" w:themeColor="text1"/>
          <w:szCs w:val="24"/>
          <w:highlight w:val="none"/>
          <w14:textFill>
            <w14:solidFill>
              <w14:schemeClr w14:val="tx1"/>
            </w14:solidFill>
          </w14:textFill>
        </w:rPr>
        <w:t>22.1 承包人违约</w:t>
      </w:r>
      <w:bookmarkEnd w:id="1225"/>
      <w:bookmarkEnd w:id="1226"/>
      <w:bookmarkEnd w:id="1227"/>
      <w:bookmarkEnd w:id="1228"/>
      <w:bookmarkEnd w:id="1229"/>
      <w:bookmarkEnd w:id="1230"/>
      <w:bookmarkEnd w:id="1231"/>
      <w:bookmarkEnd w:id="123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22.1.1 </w:t>
      </w:r>
      <w:r>
        <w:rPr>
          <w:rFonts w:hAnsi="宋体"/>
          <w:color w:val="000000" w:themeColor="text1"/>
          <w:sz w:val="24"/>
          <w:highlight w:val="none"/>
          <w14:textFill>
            <w14:solidFill>
              <w14:schemeClr w14:val="tx1"/>
            </w14:solidFill>
          </w14:textFill>
        </w:rPr>
        <w:t>承包人违约的情形</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在履行合同过程中发生的下列情况属承包人违约：</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）承包人违反第</w:t>
      </w:r>
      <w:r>
        <w:rPr>
          <w:color w:val="000000" w:themeColor="text1"/>
          <w:sz w:val="24"/>
          <w:highlight w:val="none"/>
          <w14:textFill>
            <w14:solidFill>
              <w14:schemeClr w14:val="tx1"/>
            </w14:solidFill>
          </w14:textFill>
        </w:rPr>
        <w:t>1.8</w:t>
      </w:r>
      <w:r>
        <w:rPr>
          <w:rFonts w:hAnsi="宋体"/>
          <w:color w:val="000000" w:themeColor="text1"/>
          <w:sz w:val="24"/>
          <w:highlight w:val="none"/>
          <w14:textFill>
            <w14:solidFill>
              <w14:schemeClr w14:val="tx1"/>
            </w14:solidFill>
          </w14:textFill>
        </w:rPr>
        <w:t>款或第</w:t>
      </w:r>
      <w:r>
        <w:rPr>
          <w:color w:val="000000" w:themeColor="text1"/>
          <w:sz w:val="24"/>
          <w:highlight w:val="none"/>
          <w14:textFill>
            <w14:solidFill>
              <w14:schemeClr w14:val="tx1"/>
            </w14:solidFill>
          </w14:textFill>
        </w:rPr>
        <w:t>4.3</w:t>
      </w:r>
      <w:r>
        <w:rPr>
          <w:rFonts w:hAnsi="宋体"/>
          <w:color w:val="000000" w:themeColor="text1"/>
          <w:sz w:val="24"/>
          <w:highlight w:val="none"/>
          <w14:textFill>
            <w14:solidFill>
              <w14:schemeClr w14:val="tx1"/>
            </w14:solidFill>
          </w14:textFill>
        </w:rPr>
        <w:t>款的约定，私自将合同的全部或部分权利转让给其他人，或私自将合同的全部或部分义务转移给其他人；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）承包人违反第</w:t>
      </w:r>
      <w:r>
        <w:rPr>
          <w:color w:val="000000" w:themeColor="text1"/>
          <w:sz w:val="24"/>
          <w:highlight w:val="none"/>
          <w14:textFill>
            <w14:solidFill>
              <w14:schemeClr w14:val="tx1"/>
            </w14:solidFill>
          </w14:textFill>
        </w:rPr>
        <w:t>5.3</w:t>
      </w:r>
      <w:r>
        <w:rPr>
          <w:rFonts w:hAnsi="宋体"/>
          <w:color w:val="000000" w:themeColor="text1"/>
          <w:sz w:val="24"/>
          <w:highlight w:val="none"/>
          <w14:textFill>
            <w14:solidFill>
              <w14:schemeClr w14:val="tx1"/>
            </w14:solidFill>
          </w14:textFill>
        </w:rPr>
        <w:t>款或第</w:t>
      </w:r>
      <w:r>
        <w:rPr>
          <w:color w:val="000000" w:themeColor="text1"/>
          <w:sz w:val="24"/>
          <w:highlight w:val="none"/>
          <w14:textFill>
            <w14:solidFill>
              <w14:schemeClr w14:val="tx1"/>
            </w14:solidFill>
          </w14:textFill>
        </w:rPr>
        <w:t>6.4</w:t>
      </w:r>
      <w:r>
        <w:rPr>
          <w:rFonts w:hAnsi="宋体"/>
          <w:color w:val="000000" w:themeColor="text1"/>
          <w:sz w:val="24"/>
          <w:highlight w:val="none"/>
          <w14:textFill>
            <w14:solidFill>
              <w14:schemeClr w14:val="tx1"/>
            </w14:solidFill>
          </w14:textFill>
        </w:rPr>
        <w:t>款的约定，未经监理人批准，私自将已按合同约定进入施工场地的施工设备、临时设施或材料撤离施工场地；</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）承包人违反第</w:t>
      </w:r>
      <w:r>
        <w:rPr>
          <w:color w:val="000000" w:themeColor="text1"/>
          <w:sz w:val="24"/>
          <w:highlight w:val="none"/>
          <w14:textFill>
            <w14:solidFill>
              <w14:schemeClr w14:val="tx1"/>
            </w14:solidFill>
          </w14:textFill>
        </w:rPr>
        <w:t>5.4</w:t>
      </w:r>
      <w:r>
        <w:rPr>
          <w:rFonts w:hAnsi="宋体"/>
          <w:color w:val="000000" w:themeColor="text1"/>
          <w:sz w:val="24"/>
          <w:highlight w:val="none"/>
          <w14:textFill>
            <w14:solidFill>
              <w14:schemeClr w14:val="tx1"/>
            </w14:solidFill>
          </w14:textFill>
        </w:rPr>
        <w:t>款的约定使用了不合格材料或工程设备，工程质量达不到标准要求，又拒绝清除不合格工程；</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）承包人未能按合同进度计划及时完成合同约定的工作，已造成或预期造成工期延误；</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）承包人在缺陷责任期内，未能对工程接收证书所列的缺陷清单的内容或缺陷责任期内发生的缺陷进行修复，而又拒绝按监理人指示再进行修补；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）承包人无法继续履行或明确表示不履行或实质上已停止履行合同；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）承包人不按合同约定履行义务的其他情况。</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22.1.2 </w:t>
      </w:r>
      <w:r>
        <w:rPr>
          <w:rFonts w:hAnsi="宋体"/>
          <w:color w:val="000000" w:themeColor="text1"/>
          <w:sz w:val="24"/>
          <w:highlight w:val="none"/>
          <w14:textFill>
            <w14:solidFill>
              <w14:schemeClr w14:val="tx1"/>
            </w14:solidFill>
          </w14:textFill>
        </w:rPr>
        <w:t>对承包人违约的处理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）承包人发生第</w:t>
      </w:r>
      <w:r>
        <w:rPr>
          <w:color w:val="000000" w:themeColor="text1"/>
          <w:sz w:val="24"/>
          <w:highlight w:val="none"/>
          <w14:textFill>
            <w14:solidFill>
              <w14:schemeClr w14:val="tx1"/>
            </w14:solidFill>
          </w14:textFill>
        </w:rPr>
        <w:t>22.1.1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）目约定的违约情况时，发包人可通知承包人立即解除合同，并按有关法律处理。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）承包人发生除第</w:t>
      </w:r>
      <w:r>
        <w:rPr>
          <w:color w:val="000000" w:themeColor="text1"/>
          <w:sz w:val="24"/>
          <w:highlight w:val="none"/>
          <w14:textFill>
            <w14:solidFill>
              <w14:schemeClr w14:val="tx1"/>
            </w14:solidFill>
          </w14:textFill>
        </w:rPr>
        <w:t>22.1.1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）目约定以外的其他违约情况时，监理人可向承包人发出整改通知，要求其在指定的期限内改正。承包人应承担其违约所引起的费用增加和（或）工期延误。</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）经检查证明承包人已采取了有效措施纠正违约行为，具备复工条件的，可由监理人签发复工通知复工。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22.1.3 </w:t>
      </w:r>
      <w:r>
        <w:rPr>
          <w:rFonts w:hAnsi="宋体"/>
          <w:color w:val="000000" w:themeColor="text1"/>
          <w:sz w:val="24"/>
          <w:highlight w:val="none"/>
          <w14:textFill>
            <w14:solidFill>
              <w14:schemeClr w14:val="tx1"/>
            </w14:solidFill>
          </w14:textFill>
        </w:rPr>
        <w:t>承包人违约解除合同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监理人发出整改通知</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22.1.4 </w:t>
      </w:r>
      <w:r>
        <w:rPr>
          <w:rFonts w:hAnsi="宋体"/>
          <w:color w:val="000000" w:themeColor="text1"/>
          <w:sz w:val="24"/>
          <w:highlight w:val="none"/>
          <w14:textFill>
            <w14:solidFill>
              <w14:schemeClr w14:val="tx1"/>
            </w14:solidFill>
          </w14:textFill>
        </w:rPr>
        <w:t>合同解除后的估价、付款和结清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）合同解除后，监理人按第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款商定或确定承包人实际完成工作的价值，以及承包人已提供的材料、施工设备、工程设备和临时工程等的价值。</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）合同解除后，发包人应暂停对承包人的一切付款，查清各项付款和已扣款金额，包括承包人应支付的违约金。</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）合同解除后，发包人应按第</w:t>
      </w:r>
      <w:r>
        <w:rPr>
          <w:color w:val="000000" w:themeColor="text1"/>
          <w:sz w:val="24"/>
          <w:highlight w:val="none"/>
          <w14:textFill>
            <w14:solidFill>
              <w14:schemeClr w14:val="tx1"/>
            </w14:solidFill>
          </w14:textFill>
        </w:rPr>
        <w:t>23.4</w:t>
      </w:r>
      <w:r>
        <w:rPr>
          <w:rFonts w:hAnsi="宋体"/>
          <w:color w:val="000000" w:themeColor="text1"/>
          <w:sz w:val="24"/>
          <w:highlight w:val="none"/>
          <w14:textFill>
            <w14:solidFill>
              <w14:schemeClr w14:val="tx1"/>
            </w14:solidFill>
          </w14:textFill>
        </w:rPr>
        <w:t>款的约定向承包人索赔由于解除合同给发包人造成的损失。</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）合同双方确认上述往来款项后，出具最终结清付款证书，结清全部合同款项。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）发包人和承包人未能就解除合同后的结清达成一致而形成争议的，按第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条的约定办理。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22.1.5 </w:t>
      </w:r>
      <w:r>
        <w:rPr>
          <w:rFonts w:hAnsi="宋体"/>
          <w:color w:val="000000" w:themeColor="text1"/>
          <w:sz w:val="24"/>
          <w:highlight w:val="none"/>
          <w14:textFill>
            <w14:solidFill>
              <w14:schemeClr w14:val="tx1"/>
            </w14:solidFill>
          </w14:textFill>
        </w:rPr>
        <w:t>协议利益的转让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因承包人违约解除合同的，发包人有权要求承包人将其为实施合同而签订的材料和设备的订货协议或任何服务协议利益转让给发包人，并在解除合同后的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天内，依法办理转让手续。</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22.1.6 </w:t>
      </w:r>
      <w:r>
        <w:rPr>
          <w:rFonts w:hAnsi="宋体"/>
          <w:color w:val="000000" w:themeColor="text1"/>
          <w:sz w:val="24"/>
          <w:highlight w:val="none"/>
          <w14:textFill>
            <w14:solidFill>
              <w14:schemeClr w14:val="tx1"/>
            </w14:solidFill>
          </w14:textFill>
        </w:rPr>
        <w:t>紧急情况下无能力或不愿进行抢救</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33" w:name="_Toc152042534"/>
      <w:bookmarkStart w:id="1234" w:name="_Toc27169"/>
      <w:bookmarkStart w:id="1235" w:name="_Toc26701"/>
      <w:bookmarkStart w:id="1236" w:name="_Toc100504258"/>
      <w:bookmarkStart w:id="1237" w:name="_Toc144974726"/>
      <w:bookmarkStart w:id="1238" w:name="_Toc152045755"/>
      <w:bookmarkStart w:id="1239" w:name="_Toc8737"/>
      <w:bookmarkStart w:id="1240" w:name="_Toc179632773"/>
      <w:r>
        <w:rPr>
          <w:rFonts w:eastAsia="宋体" w:cs="Times New Roman"/>
          <w:b/>
          <w:color w:val="000000" w:themeColor="text1"/>
          <w:szCs w:val="24"/>
          <w:highlight w:val="none"/>
          <w14:textFill>
            <w14:solidFill>
              <w14:schemeClr w14:val="tx1"/>
            </w14:solidFill>
          </w14:textFill>
        </w:rPr>
        <w:t>22.2 发包人违约</w:t>
      </w:r>
      <w:bookmarkEnd w:id="1233"/>
      <w:bookmarkEnd w:id="1234"/>
      <w:bookmarkEnd w:id="1235"/>
      <w:bookmarkEnd w:id="1236"/>
      <w:bookmarkEnd w:id="1237"/>
      <w:bookmarkEnd w:id="1238"/>
      <w:bookmarkEnd w:id="1239"/>
      <w:bookmarkEnd w:id="124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22.2.1 </w:t>
      </w:r>
      <w:r>
        <w:rPr>
          <w:rFonts w:hAnsi="宋体"/>
          <w:color w:val="000000" w:themeColor="text1"/>
          <w:sz w:val="24"/>
          <w:highlight w:val="none"/>
          <w14:textFill>
            <w14:solidFill>
              <w14:schemeClr w14:val="tx1"/>
            </w14:solidFill>
          </w14:textFill>
        </w:rPr>
        <w:t>发包人违约的情形</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在履行合同过程中发生的下列情形，属发包人违约：</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）发包人未能按合同约定支付预付款或合同价款，或拖延、拒绝批准付款申请和支付凭证，导致付款延误的；</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）发包人原因造成停工的；</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）监理人无正当理由没有在约定期限内发出复工指示，导致承包人无法复工的；</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）发包人无法继续履行或明确表示不履行或实质上已停止履行合同的；</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）发包人不履行合同约定其他义务的。</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22.2.2 </w:t>
      </w:r>
      <w:r>
        <w:rPr>
          <w:rFonts w:hAnsi="宋体"/>
          <w:color w:val="000000" w:themeColor="text1"/>
          <w:sz w:val="24"/>
          <w:highlight w:val="none"/>
          <w14:textFill>
            <w14:solidFill>
              <w14:schemeClr w14:val="tx1"/>
            </w14:solidFill>
          </w14:textFill>
        </w:rPr>
        <w:t>承包人有权暂停施工</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发包人发生除第</w:t>
      </w:r>
      <w:r>
        <w:rPr>
          <w:color w:val="000000" w:themeColor="text1"/>
          <w:sz w:val="24"/>
          <w:highlight w:val="none"/>
          <w14:textFill>
            <w14:solidFill>
              <w14:schemeClr w14:val="tx1"/>
            </w14:solidFill>
          </w14:textFill>
        </w:rPr>
        <w:t>22.2.1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）目以外的违约情况时，承包人可向发包人发出通知，要求发包人采取有效措施纠正违约行为。发包人收到承包人通知后的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天内仍不履行合同义务，承包人有权暂停施工，并通知监理人，发包人应承担由此增加的费用和（或）工期延误，并支付承包人合理利润。</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22.2.3 </w:t>
      </w:r>
      <w:r>
        <w:rPr>
          <w:rFonts w:hAnsi="宋体"/>
          <w:color w:val="000000" w:themeColor="text1"/>
          <w:sz w:val="24"/>
          <w:highlight w:val="none"/>
          <w14:textFill>
            <w14:solidFill>
              <w14:schemeClr w14:val="tx1"/>
            </w14:solidFill>
          </w14:textFill>
        </w:rPr>
        <w:t>发包人违约解除合同</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）发生第</w:t>
      </w:r>
      <w:r>
        <w:rPr>
          <w:color w:val="000000" w:themeColor="text1"/>
          <w:sz w:val="24"/>
          <w:highlight w:val="none"/>
          <w14:textFill>
            <w14:solidFill>
              <w14:schemeClr w14:val="tx1"/>
            </w14:solidFill>
          </w14:textFill>
        </w:rPr>
        <w:t>22.2.1</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）目的违约情况时，承包人可书面通知发包人解除合同。</w:t>
      </w:r>
      <w:r>
        <w:rPr>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）承包人按</w:t>
      </w:r>
      <w:r>
        <w:rPr>
          <w:color w:val="000000" w:themeColor="text1"/>
          <w:sz w:val="24"/>
          <w:highlight w:val="none"/>
          <w14:textFill>
            <w14:solidFill>
              <w14:schemeClr w14:val="tx1"/>
            </w14:solidFill>
          </w14:textFill>
        </w:rPr>
        <w:t>22.2.2</w:t>
      </w:r>
      <w:r>
        <w:rPr>
          <w:rFonts w:hAnsi="宋体"/>
          <w:color w:val="000000" w:themeColor="text1"/>
          <w:sz w:val="24"/>
          <w:highlight w:val="none"/>
          <w14:textFill>
            <w14:solidFill>
              <w14:schemeClr w14:val="tx1"/>
            </w14:solidFill>
          </w14:textFill>
        </w:rPr>
        <w:t>项暂停施工</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天后，发包人仍不纠正违约行为的，承包人可向发包人发出解除合同通知。但承包人的这一行动不免除发包人承担的违约责任，也不影响承包人根据合同约定享有的索赔权利。</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22.2.4 </w:t>
      </w:r>
      <w:r>
        <w:rPr>
          <w:rFonts w:hAnsi="宋体"/>
          <w:color w:val="000000" w:themeColor="text1"/>
          <w:sz w:val="24"/>
          <w:highlight w:val="none"/>
          <w14:textFill>
            <w14:solidFill>
              <w14:schemeClr w14:val="tx1"/>
            </w14:solidFill>
          </w14:textFill>
        </w:rPr>
        <w:t>解除合同后的付款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因发包人违约解除合同的，发包人应在解除合同后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天内向承包人支付下列金额，承包人应在此期限内及时向发包人提交要求支付下列金额的有关资料和凭证：</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）合同解除日以前所完成工作的价款；</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）承包人为该工程施工订购并已付款的材料、工程设备和其他物品的金额。发包人付</w:t>
      </w:r>
      <w:r>
        <w:rPr>
          <w:rFonts w:hint="eastAsia" w:hAnsi="宋体"/>
          <w:color w:val="000000" w:themeColor="text1"/>
          <w:sz w:val="24"/>
          <w:highlight w:val="none"/>
          <w14:textFill>
            <w14:solidFill>
              <w14:schemeClr w14:val="tx1"/>
            </w14:solidFill>
          </w14:textFill>
        </w:rPr>
        <w:t>款</w:t>
      </w:r>
      <w:r>
        <w:rPr>
          <w:rFonts w:hAnsi="宋体"/>
          <w:color w:val="000000" w:themeColor="text1"/>
          <w:sz w:val="24"/>
          <w:highlight w:val="none"/>
          <w14:textFill>
            <w14:solidFill>
              <w14:schemeClr w14:val="tx1"/>
            </w14:solidFill>
          </w14:textFill>
        </w:rPr>
        <w:t>后，该材料、工程设备和其他物品归发包人所有；</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）承包人为完成工程所发生的，而发包人未支付的金额；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）承包人撤离施工场地以及遣散承包人人员的金额；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）由于解除合同应赔偿的承包人损失；</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）按合同约定在合同解除日前应支付给承包人的其他金额。</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发包人应按本项约定支付上述金额并退还质量保证金和履约担保，但有权要求承包人支付应偿还给发包人的各项金额。</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22.2.5 </w:t>
      </w:r>
      <w:r>
        <w:rPr>
          <w:rFonts w:hAnsi="宋体"/>
          <w:color w:val="000000" w:themeColor="text1"/>
          <w:sz w:val="24"/>
          <w:highlight w:val="none"/>
          <w14:textFill>
            <w14:solidFill>
              <w14:schemeClr w14:val="tx1"/>
            </w14:solidFill>
          </w14:textFill>
        </w:rPr>
        <w:t>解除合同后的承包人撤离</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因发包人违约而解除合同后，承包人应妥善做好已竣工工程和已购材料、设备的保护和移交工作，按发包人要求将承包人设备和人员撤出施工场地。承包人撤出施工场地应遵守第</w:t>
      </w:r>
      <w:r>
        <w:rPr>
          <w:color w:val="000000" w:themeColor="text1"/>
          <w:sz w:val="24"/>
          <w:highlight w:val="none"/>
          <w14:textFill>
            <w14:solidFill>
              <w14:schemeClr w14:val="tx1"/>
            </w14:solidFill>
          </w14:textFill>
        </w:rPr>
        <w:t>18.7.1</w:t>
      </w:r>
      <w:r>
        <w:rPr>
          <w:rFonts w:hAnsi="宋体"/>
          <w:color w:val="000000" w:themeColor="text1"/>
          <w:sz w:val="24"/>
          <w:highlight w:val="none"/>
          <w14:textFill>
            <w14:solidFill>
              <w14:schemeClr w14:val="tx1"/>
            </w14:solidFill>
          </w14:textFill>
        </w:rPr>
        <w:t>项的约定，发包人应为承包人撤出提供必要条件。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41" w:name="_Toc21300"/>
      <w:bookmarkStart w:id="1242" w:name="_Toc179632774"/>
      <w:bookmarkStart w:id="1243" w:name="_Toc152042535"/>
      <w:bookmarkStart w:id="1244" w:name="_Toc10784"/>
      <w:bookmarkStart w:id="1245" w:name="_Toc100504259"/>
      <w:bookmarkStart w:id="1246" w:name="_Toc1963"/>
      <w:bookmarkStart w:id="1247" w:name="_Toc152045756"/>
      <w:r>
        <w:rPr>
          <w:rFonts w:eastAsia="宋体" w:cs="Times New Roman"/>
          <w:b/>
          <w:color w:val="000000" w:themeColor="text1"/>
          <w:szCs w:val="24"/>
          <w:highlight w:val="none"/>
          <w14:textFill>
            <w14:solidFill>
              <w14:schemeClr w14:val="tx1"/>
            </w14:solidFill>
          </w14:textFill>
        </w:rPr>
        <w:t>22.3 第三人造成的违约</w:t>
      </w:r>
      <w:bookmarkEnd w:id="1241"/>
      <w:bookmarkEnd w:id="1242"/>
      <w:bookmarkEnd w:id="1243"/>
      <w:bookmarkEnd w:id="1244"/>
      <w:bookmarkEnd w:id="1245"/>
      <w:bookmarkEnd w:id="1246"/>
      <w:bookmarkEnd w:id="1247"/>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248" w:name="_Toc152042536"/>
      <w:bookmarkStart w:id="1249" w:name="_Toc29072"/>
      <w:bookmarkStart w:id="1250" w:name="_Toc179632775"/>
      <w:bookmarkStart w:id="1251" w:name="_Toc144974727"/>
      <w:bookmarkStart w:id="1252" w:name="_Toc100504260"/>
      <w:bookmarkStart w:id="1253" w:name="_Toc12781"/>
      <w:bookmarkStart w:id="1254" w:name="_Toc10624"/>
      <w:bookmarkStart w:id="1255" w:name="_Toc152045757"/>
      <w:r>
        <w:rPr>
          <w:rFonts w:hAnsi="宋体"/>
          <w:b/>
          <w:color w:val="000000" w:themeColor="text1"/>
          <w:sz w:val="24"/>
          <w:highlight w:val="none"/>
          <w14:textFill>
            <w14:solidFill>
              <w14:schemeClr w14:val="tx1"/>
            </w14:solidFill>
          </w14:textFill>
        </w:rPr>
        <w:t>23. 索赔</w:t>
      </w:r>
      <w:bookmarkEnd w:id="1248"/>
      <w:bookmarkEnd w:id="1249"/>
      <w:bookmarkEnd w:id="1250"/>
      <w:bookmarkEnd w:id="1251"/>
      <w:bookmarkEnd w:id="1252"/>
      <w:bookmarkEnd w:id="1253"/>
      <w:bookmarkEnd w:id="1254"/>
      <w:bookmarkEnd w:id="125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56" w:name="_Toc7786"/>
      <w:bookmarkStart w:id="1257" w:name="_Toc144974728"/>
      <w:bookmarkStart w:id="1258" w:name="_Toc179632776"/>
      <w:bookmarkStart w:id="1259" w:name="_Toc7526"/>
      <w:bookmarkStart w:id="1260" w:name="_Toc152045758"/>
      <w:bookmarkStart w:id="1261" w:name="_Toc100504261"/>
      <w:bookmarkStart w:id="1262" w:name="_Toc152042537"/>
      <w:bookmarkStart w:id="1263" w:name="_Toc28757"/>
      <w:r>
        <w:rPr>
          <w:rFonts w:eastAsia="宋体" w:cs="Times New Roman"/>
          <w:b/>
          <w:color w:val="000000" w:themeColor="text1"/>
          <w:szCs w:val="24"/>
          <w:highlight w:val="none"/>
          <w14:textFill>
            <w14:solidFill>
              <w14:schemeClr w14:val="tx1"/>
            </w14:solidFill>
          </w14:textFill>
        </w:rPr>
        <w:t>23.1 承包人索赔的提出</w:t>
      </w:r>
      <w:bookmarkEnd w:id="1256"/>
      <w:bookmarkEnd w:id="1257"/>
      <w:bookmarkEnd w:id="1258"/>
      <w:bookmarkEnd w:id="1259"/>
      <w:bookmarkEnd w:id="1260"/>
      <w:bookmarkEnd w:id="1261"/>
      <w:bookmarkEnd w:id="1262"/>
      <w:bookmarkEnd w:id="126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根据合同约定，承包人认为有权得到追加付款和（或）延长工期的，应按以下程序向发包人提出索赔：</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）承包人应在知道或应当知道索赔事件发生后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天内，向监理人递交索赔意向通知书，并说明发生索赔事件的事由。承包人未在前述</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天内发出索赔意向通知书的，丧失要求追加付款和（或）延长工期的权利；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）承包人应在发出索赔意向通知书后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天内，向监理人正式递交索赔通知书。索赔通知书应详细说明索赔理由以及要求追加的付款金额和（或）延长的工期，并附必要的记录和证明材料；</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）索赔事件具有连续影响的，承包人应按合理时间间隔继续递交延续索赔通知，说明连续影响的实际情况和记录，列出累计的追加付款金额和（或）工期延长天数；</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）在索赔事件影响结束后的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天内，承包人应向监理人递交最终索赔通知书，说明最终要求索赔的追加付款金额和延长的工期，并附必要的记录和证明材料。</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64" w:name="_Toc144974729"/>
      <w:bookmarkStart w:id="1265" w:name="_Toc100504262"/>
      <w:bookmarkStart w:id="1266" w:name="_Toc152045759"/>
      <w:bookmarkStart w:id="1267" w:name="_Toc179632777"/>
      <w:bookmarkStart w:id="1268" w:name="_Toc18982"/>
      <w:bookmarkStart w:id="1269" w:name="_Toc963"/>
      <w:bookmarkStart w:id="1270" w:name="_Toc29213"/>
      <w:bookmarkStart w:id="1271" w:name="_Toc152042538"/>
      <w:r>
        <w:rPr>
          <w:rFonts w:eastAsia="宋体" w:cs="Times New Roman"/>
          <w:b/>
          <w:color w:val="000000" w:themeColor="text1"/>
          <w:szCs w:val="24"/>
          <w:highlight w:val="none"/>
          <w14:textFill>
            <w14:solidFill>
              <w14:schemeClr w14:val="tx1"/>
            </w14:solidFill>
          </w14:textFill>
        </w:rPr>
        <w:t>23.2 承包人索赔处理程序</w:t>
      </w:r>
      <w:bookmarkEnd w:id="1264"/>
      <w:bookmarkEnd w:id="1265"/>
      <w:bookmarkEnd w:id="1266"/>
      <w:bookmarkEnd w:id="1267"/>
      <w:bookmarkEnd w:id="1268"/>
      <w:bookmarkEnd w:id="1269"/>
      <w:bookmarkEnd w:id="1270"/>
      <w:bookmarkEnd w:id="127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）监理人收到承包人提交的索赔通知书后，应及时审查索赔通知书的内容、查验承包人的记录和证明材料，必要时监理人可要求承包人提交全部原始记录副本。</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）监理人应按第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款商定或确定追加的付款和（或）延长的工期，并在收到上述索赔通知书或有关索赔的进一步证明材料后的</w:t>
      </w:r>
      <w:r>
        <w:rPr>
          <w:color w:val="000000" w:themeColor="text1"/>
          <w:sz w:val="24"/>
          <w:highlight w:val="none"/>
          <w14:textFill>
            <w14:solidFill>
              <w14:schemeClr w14:val="tx1"/>
            </w14:solidFill>
          </w14:textFill>
        </w:rPr>
        <w:t>42</w:t>
      </w:r>
      <w:r>
        <w:rPr>
          <w:rFonts w:hAnsi="宋体"/>
          <w:color w:val="000000" w:themeColor="text1"/>
          <w:sz w:val="24"/>
          <w:highlight w:val="none"/>
          <w14:textFill>
            <w14:solidFill>
              <w14:schemeClr w14:val="tx1"/>
            </w14:solidFill>
          </w14:textFill>
        </w:rPr>
        <w:t>天内，将索赔处理结果答复承包人。</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）承包人接受索赔处理结果的，发包人应在作出索赔处理结果答复后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天内完成赔付。承包人不接受索赔处理结果的，按第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条的约定办理。</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72" w:name="_Toc3904"/>
      <w:bookmarkStart w:id="1273" w:name="_Toc152042539"/>
      <w:bookmarkStart w:id="1274" w:name="_Toc4548"/>
      <w:bookmarkStart w:id="1275" w:name="_Toc100504263"/>
      <w:bookmarkStart w:id="1276" w:name="_Toc144974730"/>
      <w:bookmarkStart w:id="1277" w:name="_Toc152045760"/>
      <w:bookmarkStart w:id="1278" w:name="_Toc179632778"/>
      <w:bookmarkStart w:id="1279" w:name="_Toc2789"/>
      <w:r>
        <w:rPr>
          <w:rFonts w:eastAsia="宋体" w:cs="Times New Roman"/>
          <w:b/>
          <w:color w:val="000000" w:themeColor="text1"/>
          <w:szCs w:val="24"/>
          <w:highlight w:val="none"/>
          <w14:textFill>
            <w14:solidFill>
              <w14:schemeClr w14:val="tx1"/>
            </w14:solidFill>
          </w14:textFill>
        </w:rPr>
        <w:t>23.3 承包人提出索赔的期限</w:t>
      </w:r>
      <w:bookmarkEnd w:id="1272"/>
      <w:bookmarkEnd w:id="1273"/>
      <w:bookmarkEnd w:id="1274"/>
      <w:bookmarkEnd w:id="1275"/>
      <w:bookmarkEnd w:id="1276"/>
      <w:bookmarkEnd w:id="1277"/>
      <w:bookmarkEnd w:id="1278"/>
      <w:bookmarkEnd w:id="127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23.3.1 </w:t>
      </w:r>
      <w:r>
        <w:rPr>
          <w:rFonts w:hAnsi="宋体"/>
          <w:color w:val="000000" w:themeColor="text1"/>
          <w:sz w:val="24"/>
          <w:highlight w:val="none"/>
          <w14:textFill>
            <w14:solidFill>
              <w14:schemeClr w14:val="tx1"/>
            </w14:solidFill>
          </w14:textFill>
        </w:rPr>
        <w:t>承包人按第</w:t>
      </w:r>
      <w:r>
        <w:rPr>
          <w:color w:val="000000" w:themeColor="text1"/>
          <w:sz w:val="24"/>
          <w:highlight w:val="none"/>
          <w14:textFill>
            <w14:solidFill>
              <w14:schemeClr w14:val="tx1"/>
            </w14:solidFill>
          </w14:textFill>
        </w:rPr>
        <w:t>17.5</w:t>
      </w:r>
      <w:r>
        <w:rPr>
          <w:rFonts w:hAnsi="宋体"/>
          <w:color w:val="000000" w:themeColor="text1"/>
          <w:sz w:val="24"/>
          <w:highlight w:val="none"/>
          <w14:textFill>
            <w14:solidFill>
              <w14:schemeClr w14:val="tx1"/>
            </w14:solidFill>
          </w14:textFill>
        </w:rPr>
        <w:t>款的约定接受了竣工付款证书后，应被认为已无权再提出在合同工程接收证书颁发前所发生的任何索赔。</w:t>
      </w:r>
    </w:p>
    <w:p>
      <w:pPr>
        <w:spacing w:line="360" w:lineRule="auto"/>
        <w:ind w:firstLine="480" w:firstLineChars="200"/>
        <w:rPr>
          <w:color w:val="000000" w:themeColor="text1"/>
          <w:sz w:val="24"/>
          <w:highlight w:val="none"/>
          <w:shd w:val="pct10" w:color="auto" w:fill="FFFFFF"/>
          <w14:textFill>
            <w14:solidFill>
              <w14:schemeClr w14:val="tx1"/>
            </w14:solidFill>
          </w14:textFill>
        </w:rPr>
      </w:pPr>
      <w:r>
        <w:rPr>
          <w:color w:val="000000" w:themeColor="text1"/>
          <w:sz w:val="24"/>
          <w:highlight w:val="none"/>
          <w14:textFill>
            <w14:solidFill>
              <w14:schemeClr w14:val="tx1"/>
            </w14:solidFill>
          </w14:textFill>
        </w:rPr>
        <w:t xml:space="preserve">23.3.2 </w:t>
      </w:r>
      <w:r>
        <w:rPr>
          <w:rFonts w:hAnsi="宋体"/>
          <w:color w:val="000000" w:themeColor="text1"/>
          <w:sz w:val="24"/>
          <w:highlight w:val="none"/>
          <w14:textFill>
            <w14:solidFill>
              <w14:schemeClr w14:val="tx1"/>
            </w14:solidFill>
          </w14:textFill>
        </w:rPr>
        <w:t>承包人按第</w:t>
      </w:r>
      <w:r>
        <w:rPr>
          <w:color w:val="000000" w:themeColor="text1"/>
          <w:sz w:val="24"/>
          <w:highlight w:val="none"/>
          <w14:textFill>
            <w14:solidFill>
              <w14:schemeClr w14:val="tx1"/>
            </w14:solidFill>
          </w14:textFill>
        </w:rPr>
        <w:t>17.6</w:t>
      </w:r>
      <w:r>
        <w:rPr>
          <w:rFonts w:hAnsi="宋体"/>
          <w:color w:val="000000" w:themeColor="text1"/>
          <w:sz w:val="24"/>
          <w:highlight w:val="none"/>
          <w14:textFill>
            <w14:solidFill>
              <w14:schemeClr w14:val="tx1"/>
            </w14:solidFill>
          </w14:textFill>
        </w:rPr>
        <w:t>款的约定提交的最终结清申请单中，只限于提出工程接收证书颁发后发生的索赔。提出索赔的期限自接受最终结清证书时终止。</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80" w:name="_Toc152045761"/>
      <w:bookmarkStart w:id="1281" w:name="_Toc152042540"/>
      <w:bookmarkStart w:id="1282" w:name="_Toc14897"/>
      <w:bookmarkStart w:id="1283" w:name="_Toc1454"/>
      <w:bookmarkStart w:id="1284" w:name="_Toc16166"/>
      <w:bookmarkStart w:id="1285" w:name="_Toc179632779"/>
      <w:bookmarkStart w:id="1286" w:name="_Toc100504264"/>
      <w:bookmarkStart w:id="1287" w:name="_Toc144974731"/>
      <w:r>
        <w:rPr>
          <w:rFonts w:eastAsia="宋体" w:cs="Times New Roman"/>
          <w:b/>
          <w:color w:val="000000" w:themeColor="text1"/>
          <w:szCs w:val="24"/>
          <w:highlight w:val="none"/>
          <w14:textFill>
            <w14:solidFill>
              <w14:schemeClr w14:val="tx1"/>
            </w14:solidFill>
          </w14:textFill>
        </w:rPr>
        <w:t>23.4 发包人的索赔</w:t>
      </w:r>
      <w:bookmarkEnd w:id="1280"/>
      <w:bookmarkEnd w:id="1281"/>
      <w:bookmarkEnd w:id="1282"/>
      <w:bookmarkEnd w:id="1283"/>
      <w:bookmarkEnd w:id="1284"/>
      <w:bookmarkEnd w:id="1285"/>
      <w:bookmarkEnd w:id="1286"/>
      <w:bookmarkEnd w:id="128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23.4.1 </w:t>
      </w:r>
      <w:r>
        <w:rPr>
          <w:rFonts w:hAnsi="宋体"/>
          <w:color w:val="000000" w:themeColor="text1"/>
          <w:sz w:val="24"/>
          <w:highlight w:val="none"/>
          <w14:textFill>
            <w14:solidFill>
              <w14:schemeClr w14:val="tx1"/>
            </w14:solidFill>
          </w14:textFill>
        </w:rPr>
        <w:t>发生索赔事件后，监理人应及时书面通知承包人，详细说明发包人有权得到的索赔金额和（或）延长缺陷责任期的细节和依据。发包人提出索赔的期限和要求与第</w:t>
      </w:r>
      <w:r>
        <w:rPr>
          <w:color w:val="000000" w:themeColor="text1"/>
          <w:sz w:val="24"/>
          <w:highlight w:val="none"/>
          <w14:textFill>
            <w14:solidFill>
              <w14:schemeClr w14:val="tx1"/>
            </w14:solidFill>
          </w14:textFill>
        </w:rPr>
        <w:t>23.3</w:t>
      </w:r>
      <w:r>
        <w:rPr>
          <w:rFonts w:hAnsi="宋体"/>
          <w:color w:val="000000" w:themeColor="text1"/>
          <w:sz w:val="24"/>
          <w:highlight w:val="none"/>
          <w14:textFill>
            <w14:solidFill>
              <w14:schemeClr w14:val="tx1"/>
            </w14:solidFill>
          </w14:textFill>
        </w:rPr>
        <w:t>款的约定相同，延长缺陷责任期的通知应在缺陷责任期届满前发出。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23.4.2 </w:t>
      </w:r>
      <w:r>
        <w:rPr>
          <w:rFonts w:hAnsi="宋体"/>
          <w:color w:val="000000" w:themeColor="text1"/>
          <w:sz w:val="24"/>
          <w:highlight w:val="none"/>
          <w14:textFill>
            <w14:solidFill>
              <w14:schemeClr w14:val="tx1"/>
            </w14:solidFill>
          </w14:textFill>
        </w:rPr>
        <w:t>监理人按第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款商定或确定发包人从承包人处得到赔付的金额和（或）缺陷责任期的延长期。承包人应付给发包人的金额可从拟支付给承包人的合同价款中扣除，或由承包人以其他方式支付给发包人。</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288" w:name="_Toc152042541"/>
      <w:bookmarkStart w:id="1289" w:name="_Toc15422"/>
      <w:bookmarkStart w:id="1290" w:name="_Toc100504265"/>
      <w:bookmarkStart w:id="1291" w:name="_Toc179632780"/>
      <w:bookmarkStart w:id="1292" w:name="_Toc30145"/>
      <w:bookmarkStart w:id="1293" w:name="_Toc152045762"/>
      <w:bookmarkStart w:id="1294" w:name="_Toc144974732"/>
      <w:bookmarkStart w:id="1295" w:name="_Toc10096"/>
      <w:r>
        <w:rPr>
          <w:rFonts w:hAnsi="宋体"/>
          <w:b/>
          <w:color w:val="000000" w:themeColor="text1"/>
          <w:sz w:val="24"/>
          <w:highlight w:val="none"/>
          <w14:textFill>
            <w14:solidFill>
              <w14:schemeClr w14:val="tx1"/>
            </w14:solidFill>
          </w14:textFill>
        </w:rPr>
        <w:t>24. 争议的解决</w:t>
      </w:r>
      <w:bookmarkEnd w:id="1288"/>
      <w:bookmarkEnd w:id="1289"/>
      <w:bookmarkEnd w:id="1290"/>
      <w:bookmarkEnd w:id="1291"/>
      <w:bookmarkEnd w:id="1292"/>
      <w:bookmarkEnd w:id="1293"/>
      <w:bookmarkEnd w:id="1294"/>
      <w:bookmarkEnd w:id="129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296" w:name="_Toc152045763"/>
      <w:bookmarkStart w:id="1297" w:name="_Toc152042542"/>
      <w:bookmarkStart w:id="1298" w:name="_Toc179632781"/>
      <w:bookmarkStart w:id="1299" w:name="_Toc100504266"/>
      <w:bookmarkStart w:id="1300" w:name="_Toc563"/>
      <w:bookmarkStart w:id="1301" w:name="_Toc923"/>
      <w:bookmarkStart w:id="1302" w:name="_Toc16240"/>
      <w:bookmarkStart w:id="1303" w:name="_Toc144974733"/>
      <w:r>
        <w:rPr>
          <w:rFonts w:eastAsia="宋体" w:cs="Times New Roman"/>
          <w:b/>
          <w:color w:val="000000" w:themeColor="text1"/>
          <w:szCs w:val="24"/>
          <w:highlight w:val="none"/>
          <w14:textFill>
            <w14:solidFill>
              <w14:schemeClr w14:val="tx1"/>
            </w14:solidFill>
          </w14:textFill>
        </w:rPr>
        <w:t>24.1 争议的解决方式</w:t>
      </w:r>
      <w:bookmarkEnd w:id="1296"/>
      <w:bookmarkEnd w:id="1297"/>
      <w:bookmarkEnd w:id="1298"/>
      <w:bookmarkEnd w:id="1299"/>
      <w:bookmarkEnd w:id="1300"/>
      <w:bookmarkEnd w:id="1301"/>
      <w:bookmarkEnd w:id="1302"/>
      <w:bookmarkEnd w:id="1303"/>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）向约定的仲裁委员会申请仲裁；</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）向有管辖权的人民法院提起诉讼。</w:t>
      </w:r>
    </w:p>
    <w:p>
      <w:pPr>
        <w:spacing w:line="360" w:lineRule="auto"/>
        <w:ind w:firstLine="480" w:firstLineChars="200"/>
        <w:rPr>
          <w:rFonts w:hint="eastAsia"/>
          <w:color w:val="000000" w:themeColor="text1"/>
          <w:sz w:val="24"/>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04" w:name="_Toc30556"/>
      <w:bookmarkStart w:id="1305" w:name="_Toc152045764"/>
      <w:bookmarkStart w:id="1306" w:name="_Toc152042543"/>
      <w:bookmarkStart w:id="1307" w:name="_Toc26588"/>
      <w:bookmarkStart w:id="1308" w:name="_Toc179632782"/>
      <w:bookmarkStart w:id="1309" w:name="_Toc1052"/>
      <w:bookmarkStart w:id="1310" w:name="_Toc144974734"/>
      <w:bookmarkStart w:id="1311" w:name="_Toc100504267"/>
      <w:r>
        <w:rPr>
          <w:rFonts w:eastAsia="宋体" w:cs="Times New Roman"/>
          <w:b/>
          <w:color w:val="000000" w:themeColor="text1"/>
          <w:szCs w:val="24"/>
          <w:highlight w:val="none"/>
          <w14:textFill>
            <w14:solidFill>
              <w14:schemeClr w14:val="tx1"/>
            </w14:solidFill>
          </w14:textFill>
        </w:rPr>
        <w:t>24.2 友好解决</w:t>
      </w:r>
      <w:bookmarkEnd w:id="1304"/>
      <w:bookmarkEnd w:id="1305"/>
      <w:bookmarkEnd w:id="1306"/>
      <w:bookmarkEnd w:id="1307"/>
      <w:bookmarkEnd w:id="1308"/>
      <w:bookmarkEnd w:id="1309"/>
      <w:bookmarkEnd w:id="1310"/>
      <w:bookmarkEnd w:id="131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在提请争议评审、仲裁或者诉讼前，以及在争议评审、仲裁或诉讼过程中，发包人和承包人均可共同努力友好协商解决争议。</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12" w:name="_Toc100504268"/>
      <w:bookmarkStart w:id="1313" w:name="_Toc152045765"/>
      <w:bookmarkStart w:id="1314" w:name="_Toc13375"/>
      <w:bookmarkStart w:id="1315" w:name="_Toc152042544"/>
      <w:bookmarkStart w:id="1316" w:name="_Toc26460"/>
      <w:bookmarkStart w:id="1317" w:name="_Toc144974735"/>
      <w:bookmarkStart w:id="1318" w:name="_Toc179632783"/>
      <w:bookmarkStart w:id="1319" w:name="_Toc8291"/>
      <w:r>
        <w:rPr>
          <w:rFonts w:eastAsia="宋体" w:cs="Times New Roman"/>
          <w:b/>
          <w:color w:val="000000" w:themeColor="text1"/>
          <w:szCs w:val="24"/>
          <w:highlight w:val="none"/>
          <w14:textFill>
            <w14:solidFill>
              <w14:schemeClr w14:val="tx1"/>
            </w14:solidFill>
          </w14:textFill>
        </w:rPr>
        <w:t>24.3 争议评审</w:t>
      </w:r>
      <w:bookmarkEnd w:id="1312"/>
      <w:bookmarkEnd w:id="1313"/>
      <w:bookmarkEnd w:id="1314"/>
      <w:bookmarkEnd w:id="1315"/>
      <w:bookmarkEnd w:id="1316"/>
      <w:bookmarkEnd w:id="1317"/>
      <w:bookmarkEnd w:id="1318"/>
      <w:bookmarkEnd w:id="131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24.3.1 </w:t>
      </w:r>
      <w:r>
        <w:rPr>
          <w:rFonts w:hAnsi="宋体"/>
          <w:color w:val="000000" w:themeColor="text1"/>
          <w:sz w:val="24"/>
          <w:highlight w:val="none"/>
          <w14:textFill>
            <w14:solidFill>
              <w14:schemeClr w14:val="tx1"/>
            </w14:solidFill>
          </w14:textFill>
        </w:rPr>
        <w:t>采用争议评审的，发包人和承包人应在开工日后的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天内或在争议发生后，协商成立争议评审组。争议评审组由有合同管理和工程实践经验的专家组成。</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24.3.2 </w:t>
      </w:r>
      <w:r>
        <w:rPr>
          <w:rFonts w:hAnsi="宋体"/>
          <w:color w:val="000000" w:themeColor="text1"/>
          <w:sz w:val="24"/>
          <w:highlight w:val="none"/>
          <w14:textFill>
            <w14:solidFill>
              <w14:schemeClr w14:val="tx1"/>
            </w14:solidFill>
          </w14:textFill>
        </w:rPr>
        <w:t>合同双方的争议，应首先由申请人向争议评审组提交一份详细的评审申请报告，并附必要的文件、图纸和证明材料，申请人还应将上述报告的副本同时提交给被申请人和监理人。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24.3.3 </w:t>
      </w:r>
      <w:r>
        <w:rPr>
          <w:rFonts w:hAnsi="宋体"/>
          <w:color w:val="000000" w:themeColor="text1"/>
          <w:sz w:val="24"/>
          <w:highlight w:val="none"/>
          <w14:textFill>
            <w14:solidFill>
              <w14:schemeClr w14:val="tx1"/>
            </w14:solidFill>
          </w14:textFill>
        </w:rPr>
        <w:t>被申请人在收到申请人评审申请报告副本后的</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天内，向争议评审组提交一份答辩报告，并附证明材料。被申请人应将答辩报告的副本同时提交给申请人和监理人。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24.3.4 </w:t>
      </w:r>
      <w:r>
        <w:rPr>
          <w:rFonts w:hAnsi="宋体"/>
          <w:color w:val="000000" w:themeColor="text1"/>
          <w:sz w:val="24"/>
          <w:highlight w:val="none"/>
          <w14:textFill>
            <w14:solidFill>
              <w14:schemeClr w14:val="tx1"/>
            </w14:solidFill>
          </w14:textFill>
        </w:rPr>
        <w:t>除专用合同条款另有约定外，争议评审组在收到合同双方报告后的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天内，邀请双方代表和有关人员举行调查会，向双方调查争议细节；必要时争议评审组可要求双方进一步提供补充材料。</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24.3.5 </w:t>
      </w:r>
      <w:r>
        <w:rPr>
          <w:rFonts w:hAnsi="宋体"/>
          <w:color w:val="000000" w:themeColor="text1"/>
          <w:sz w:val="24"/>
          <w:highlight w:val="none"/>
          <w14:textFill>
            <w14:solidFill>
              <w14:schemeClr w14:val="tx1"/>
            </w14:solidFill>
          </w14:textFill>
        </w:rPr>
        <w:t>除专用合同条款另有约定外，在调查会结束后的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天内，争议评审组应在不受任何干扰的情况下进行独立、公正的评审，作出书面评审意见，并说明理由。在争议评审期间，争议双方暂按总监理工程师的确定执行。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24.3.6 </w:t>
      </w:r>
      <w:r>
        <w:rPr>
          <w:rFonts w:hAnsi="宋体"/>
          <w:color w:val="000000" w:themeColor="text1"/>
          <w:sz w:val="24"/>
          <w:highlight w:val="none"/>
          <w14:textFill>
            <w14:solidFill>
              <w14:schemeClr w14:val="tx1"/>
            </w14:solidFill>
          </w14:textFill>
        </w:rPr>
        <w:t>发包人和承包人接受评审意见的，由监理人根据评审意见拟定执行协议，经争议双方签字后作为合同的补充文件，并遵照执行。</w:t>
      </w:r>
    </w:p>
    <w:p>
      <w:pPr>
        <w:spacing w:line="360" w:lineRule="auto"/>
        <w:ind w:firstLine="480" w:firstLineChars="200"/>
        <w:rPr>
          <w:rFonts w:hint="eastAsia"/>
          <w:color w:val="000000" w:themeColor="text1"/>
          <w:sz w:val="24"/>
          <w:highlight w:val="none"/>
          <w14:textFill>
            <w14:solidFill>
              <w14:schemeClr w14:val="tx1"/>
            </w14:solidFill>
          </w14:textFill>
        </w:rPr>
        <w:sectPr>
          <w:headerReference r:id="rId8" w:type="default"/>
          <w:footerReference r:id="rId9" w:type="default"/>
          <w:pgSz w:w="11899" w:h="16840"/>
          <w:pgMar w:top="1440" w:right="1797" w:bottom="1440" w:left="1797" w:header="720" w:footer="1062" w:gutter="0"/>
          <w:pgNumType w:fmt="decimal"/>
          <w:cols w:space="720" w:num="1"/>
        </w:sectPr>
      </w:pPr>
      <w:r>
        <w:rPr>
          <w:color w:val="000000" w:themeColor="text1"/>
          <w:sz w:val="24"/>
          <w:highlight w:val="none"/>
          <w14:textFill>
            <w14:solidFill>
              <w14:schemeClr w14:val="tx1"/>
            </w14:solidFill>
          </w14:textFill>
        </w:rPr>
        <w:t xml:space="preserve">24.3.7 </w:t>
      </w:r>
      <w:r>
        <w:rPr>
          <w:rFonts w:hAnsi="宋体"/>
          <w:color w:val="000000" w:themeColor="text1"/>
          <w:sz w:val="24"/>
          <w:highlight w:val="none"/>
          <w14:textFill>
            <w14:solidFill>
              <w14:schemeClr w14:val="tx1"/>
            </w14:solidFill>
          </w14:textFill>
        </w:rPr>
        <w:t>发包人或承包人不接受评审意见，并要求提交仲裁或提起诉讼的，应在收到评审意见后的</w:t>
      </w: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天内将仲裁或起诉意向书面通知另一方，并抄送监理人，但在仲裁或诉讼结束前应暂按总监理工程师的确定执行。</w:t>
      </w:r>
    </w:p>
    <w:p>
      <w:pPr>
        <w:spacing w:before="240" w:beforeLines="100" w:after="240" w:afterLines="100" w:line="360" w:lineRule="auto"/>
        <w:jc w:val="center"/>
        <w:outlineLvl w:val="0"/>
        <w:rPr>
          <w:rFonts w:hint="eastAsia" w:ascii="黑体" w:eastAsia="黑体"/>
          <w:b/>
          <w:color w:val="000000" w:themeColor="text1"/>
          <w:sz w:val="32"/>
          <w:szCs w:val="32"/>
          <w:highlight w:val="none"/>
          <w14:textFill>
            <w14:solidFill>
              <w14:schemeClr w14:val="tx1"/>
            </w14:solidFill>
          </w14:textFill>
        </w:rPr>
      </w:pPr>
      <w:bookmarkStart w:id="1320" w:name="_Toc384732833"/>
      <w:bookmarkStart w:id="1321" w:name="_Toc354042201"/>
      <w:bookmarkStart w:id="1322" w:name="_Toc100504269"/>
      <w:bookmarkStart w:id="1323" w:name="_Toc11027"/>
      <w:bookmarkStart w:id="1324" w:name="_Toc3075"/>
      <w:bookmarkStart w:id="1325" w:name="_Toc22653"/>
      <w:r>
        <w:rPr>
          <w:rFonts w:hint="eastAsia" w:ascii="黑体" w:eastAsia="黑体"/>
          <w:b/>
          <w:color w:val="000000" w:themeColor="text1"/>
          <w:sz w:val="32"/>
          <w:szCs w:val="32"/>
          <w:highlight w:val="none"/>
          <w14:textFill>
            <w14:solidFill>
              <w14:schemeClr w14:val="tx1"/>
            </w14:solidFill>
          </w14:textFill>
        </w:rPr>
        <w:t>第</w:t>
      </w:r>
      <w:r>
        <w:rPr>
          <w:rFonts w:hint="eastAsia" w:ascii="黑体" w:eastAsia="黑体"/>
          <w:b/>
          <w:color w:val="000000" w:themeColor="text1"/>
          <w:sz w:val="32"/>
          <w:szCs w:val="32"/>
          <w:highlight w:val="none"/>
          <w:lang w:val="en-US" w:eastAsia="zh-CN"/>
          <w14:textFill>
            <w14:solidFill>
              <w14:schemeClr w14:val="tx1"/>
            </w14:solidFill>
          </w14:textFill>
        </w:rPr>
        <w:t>四</w:t>
      </w:r>
      <w:r>
        <w:rPr>
          <w:rFonts w:hint="eastAsia" w:ascii="黑体" w:eastAsia="黑体"/>
          <w:b/>
          <w:color w:val="000000" w:themeColor="text1"/>
          <w:sz w:val="32"/>
          <w:szCs w:val="32"/>
          <w:highlight w:val="none"/>
          <w14:textFill>
            <w14:solidFill>
              <w14:schemeClr w14:val="tx1"/>
            </w14:solidFill>
          </w14:textFill>
        </w:rPr>
        <w:t>部分    专用合同条款</w:t>
      </w:r>
      <w:bookmarkEnd w:id="1320"/>
      <w:bookmarkEnd w:id="1321"/>
      <w:bookmarkEnd w:id="1322"/>
      <w:bookmarkEnd w:id="1323"/>
      <w:bookmarkEnd w:id="1324"/>
      <w:bookmarkEnd w:id="1325"/>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326" w:name="_Toc100504270"/>
      <w:bookmarkStart w:id="1327" w:name="_Toc31945"/>
      <w:bookmarkStart w:id="1328" w:name="_Toc354042202"/>
      <w:bookmarkStart w:id="1329" w:name="_Toc27601"/>
      <w:bookmarkStart w:id="1330" w:name="_Toc28816"/>
      <w:r>
        <w:rPr>
          <w:rFonts w:hAnsi="宋体"/>
          <w:b/>
          <w:color w:val="000000" w:themeColor="text1"/>
          <w:sz w:val="24"/>
          <w:highlight w:val="none"/>
          <w14:textFill>
            <w14:solidFill>
              <w14:schemeClr w14:val="tx1"/>
            </w14:solidFill>
          </w14:textFill>
        </w:rPr>
        <w:t>1.</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一般约定</w:t>
      </w:r>
      <w:bookmarkEnd w:id="1326"/>
      <w:bookmarkEnd w:id="1327"/>
      <w:bookmarkEnd w:id="1328"/>
      <w:bookmarkEnd w:id="1329"/>
      <w:bookmarkEnd w:id="133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31" w:name="_Toc354042203"/>
      <w:bookmarkStart w:id="1332" w:name="_Toc29094"/>
      <w:bookmarkStart w:id="1333" w:name="_Toc100504271"/>
      <w:bookmarkStart w:id="1334" w:name="_Toc20055"/>
      <w:bookmarkStart w:id="1335" w:name="_Toc6201"/>
      <w:r>
        <w:rPr>
          <w:rFonts w:eastAsia="宋体" w:cs="Times New Roman"/>
          <w:b/>
          <w:color w:val="000000" w:themeColor="text1"/>
          <w:szCs w:val="24"/>
          <w:highlight w:val="none"/>
          <w14:textFill>
            <w14:solidFill>
              <w14:schemeClr w14:val="tx1"/>
            </w14:solidFill>
          </w14:textFill>
        </w:rPr>
        <w:t>1.1词语定义</w:t>
      </w:r>
      <w:bookmarkEnd w:id="1331"/>
      <w:bookmarkEnd w:id="1332"/>
      <w:bookmarkEnd w:id="1333"/>
      <w:bookmarkEnd w:id="1334"/>
      <w:bookmarkEnd w:id="133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1.1.2</w:t>
      </w:r>
      <w:r>
        <w:rPr>
          <w:rFonts w:hAnsi="宋体"/>
          <w:color w:val="000000" w:themeColor="text1"/>
          <w:sz w:val="24"/>
          <w:highlight w:val="none"/>
          <w14:textFill>
            <w14:solidFill>
              <w14:schemeClr w14:val="tx1"/>
            </w14:solidFill>
          </w14:textFill>
        </w:rPr>
        <w:t>合同当事人和人员</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1.1.2.2</w:t>
      </w:r>
      <w:r>
        <w:rPr>
          <w:rFonts w:hAnsi="宋体"/>
          <w:color w:val="000000" w:themeColor="text1"/>
          <w:sz w:val="24"/>
          <w:highlight w:val="none"/>
          <w14:textFill>
            <w14:solidFill>
              <w14:schemeClr w14:val="tx1"/>
            </w14:solidFill>
          </w14:textFill>
        </w:rPr>
        <w:t>发包人：</w:t>
      </w:r>
      <w:r>
        <w:rPr>
          <w:rFonts w:hint="eastAsia"/>
          <w:color w:val="000000" w:themeColor="text1"/>
          <w:sz w:val="24"/>
          <w:highlight w:val="none"/>
          <w:u w:val="single"/>
          <w14:textFill>
            <w14:solidFill>
              <w14:schemeClr w14:val="tx1"/>
            </w14:solidFill>
          </w14:textFill>
        </w:rPr>
        <w:t>指具有工程发包主体资格和支付工程价款能力的当事人以及取得该当事人资格的合法继承人</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1.1.2.3 </w:t>
      </w:r>
      <w:r>
        <w:rPr>
          <w:rFonts w:hAnsi="宋体"/>
          <w:color w:val="000000" w:themeColor="text1"/>
          <w:sz w:val="24"/>
          <w:highlight w:val="none"/>
          <w14:textFill>
            <w14:solidFill>
              <w14:schemeClr w14:val="tx1"/>
            </w14:solidFill>
          </w14:textFill>
        </w:rPr>
        <w:t>承包人：</w:t>
      </w:r>
      <w:r>
        <w:rPr>
          <w:rFonts w:hint="eastAsia"/>
          <w:color w:val="000000" w:themeColor="text1"/>
          <w:sz w:val="24"/>
          <w:highlight w:val="none"/>
          <w:u w:val="single"/>
          <w14:textFill>
            <w14:solidFill>
              <w14:schemeClr w14:val="tx1"/>
            </w14:solidFill>
          </w14:textFill>
        </w:rPr>
        <w:t>指被发包人接受的具有工程施工承包主体资格的当事人以及取得该当事人资格的合法继承人</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1.1.2.6</w:t>
      </w:r>
      <w:r>
        <w:rPr>
          <w:rFonts w:hAnsi="宋体"/>
          <w:color w:val="000000" w:themeColor="text1"/>
          <w:sz w:val="24"/>
          <w:highlight w:val="none"/>
          <w14:textFill>
            <w14:solidFill>
              <w14:schemeClr w14:val="tx1"/>
            </w14:solidFill>
          </w14:textFill>
        </w:rPr>
        <w:t>监理人：</w:t>
      </w:r>
      <w:r>
        <w:rPr>
          <w:rFonts w:hAnsi="宋体"/>
          <w:color w:val="000000" w:themeColor="text1"/>
          <w:sz w:val="24"/>
          <w:highlight w:val="none"/>
          <w:u w:val="single"/>
          <w14:textFill>
            <w14:solidFill>
              <w14:schemeClr w14:val="tx1"/>
            </w14:solidFill>
          </w14:textFill>
        </w:rPr>
        <w:t>指在专用合同条款中指明的，受发包人委托对合同履行实施管理的法人或其他组织。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1.1.2.8</w:t>
      </w:r>
      <w:r>
        <w:rPr>
          <w:rFonts w:hAnsi="宋体"/>
          <w:color w:val="000000" w:themeColor="text1"/>
          <w:sz w:val="24"/>
          <w:highlight w:val="none"/>
          <w14:textFill>
            <w14:solidFill>
              <w14:schemeClr w14:val="tx1"/>
            </w14:solidFill>
          </w14:textFill>
        </w:rPr>
        <w:t>发包人代表：</w:t>
      </w:r>
      <w:r>
        <w:rPr>
          <w:rFonts w:hAnsi="宋体"/>
          <w:color w:val="000000" w:themeColor="text1"/>
          <w:sz w:val="24"/>
          <w:highlight w:val="none"/>
          <w:u w:val="single"/>
          <w14:textFill>
            <w14:solidFill>
              <w14:schemeClr w14:val="tx1"/>
            </w14:solidFill>
          </w14:textFill>
        </w:rPr>
        <w:t>指发包人指定的派驻施工场地</w:t>
      </w:r>
      <w:r>
        <w:rPr>
          <w:color w:val="000000" w:themeColor="text1"/>
          <w:sz w:val="24"/>
          <w:highlight w:val="none"/>
          <w:u w:val="single"/>
          <w14:textFill>
            <w14:solidFill>
              <w14:schemeClr w14:val="tx1"/>
            </w14:solidFill>
          </w14:textFill>
        </w:rPr>
        <w:t>（</w:t>
      </w:r>
      <w:r>
        <w:rPr>
          <w:rFonts w:hAnsi="宋体"/>
          <w:color w:val="000000" w:themeColor="text1"/>
          <w:sz w:val="24"/>
          <w:highlight w:val="none"/>
          <w:u w:val="single"/>
          <w14:textFill>
            <w14:solidFill>
              <w14:schemeClr w14:val="tx1"/>
            </w14:solidFill>
          </w14:textFill>
        </w:rPr>
        <w:t>现场</w:t>
      </w:r>
      <w:r>
        <w:rPr>
          <w:color w:val="000000" w:themeColor="text1"/>
          <w:sz w:val="24"/>
          <w:highlight w:val="none"/>
          <w:u w:val="single"/>
          <w14:textFill>
            <w14:solidFill>
              <w14:schemeClr w14:val="tx1"/>
            </w14:solidFill>
          </w14:textFill>
        </w:rPr>
        <w:t>）</w:t>
      </w:r>
      <w:r>
        <w:rPr>
          <w:rFonts w:hAnsi="宋体"/>
          <w:color w:val="000000" w:themeColor="text1"/>
          <w:sz w:val="24"/>
          <w:highlight w:val="none"/>
          <w:u w:val="single"/>
          <w14:textFill>
            <w14:solidFill>
              <w14:schemeClr w14:val="tx1"/>
            </w14:solidFill>
          </w14:textFill>
        </w:rPr>
        <w:t>的全权代表。</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姓</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名：</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职</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称：</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联系电话：</w:t>
      </w:r>
      <w:r>
        <w:rPr>
          <w:color w:val="000000" w:themeColor="text1"/>
          <w:sz w:val="24"/>
          <w:highlight w:val="non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电子信箱：</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通信地址：</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 xml:space="preserve">1.1.2.9 </w:t>
      </w:r>
      <w:r>
        <w:rPr>
          <w:rFonts w:hAnsi="宋体"/>
          <w:color w:val="000000" w:themeColor="text1"/>
          <w:sz w:val="24"/>
          <w:highlight w:val="none"/>
          <w14:textFill>
            <w14:solidFill>
              <w14:schemeClr w14:val="tx1"/>
            </w14:solidFill>
          </w14:textFill>
        </w:rPr>
        <w:t>专业分包人：</w:t>
      </w:r>
      <w:r>
        <w:rPr>
          <w:rFonts w:hAnsi="宋体"/>
          <w:color w:val="000000" w:themeColor="text1"/>
          <w:sz w:val="24"/>
          <w:highlight w:val="none"/>
          <w:u w:val="single"/>
          <w14:textFill>
            <w14:solidFill>
              <w14:schemeClr w14:val="tx1"/>
            </w14:solidFill>
          </w14:textFill>
        </w:rPr>
        <w:t>指根据合同条款第</w:t>
      </w:r>
      <w:r>
        <w:rPr>
          <w:color w:val="000000" w:themeColor="text1"/>
          <w:sz w:val="24"/>
          <w:highlight w:val="none"/>
          <w:u w:val="single"/>
          <w14:textFill>
            <w14:solidFill>
              <w14:schemeClr w14:val="tx1"/>
            </w14:solidFill>
          </w14:textFill>
        </w:rPr>
        <w:t>15.8.1</w:t>
      </w:r>
      <w:r>
        <w:rPr>
          <w:rFonts w:hAnsi="宋体"/>
          <w:color w:val="000000" w:themeColor="text1"/>
          <w:sz w:val="24"/>
          <w:highlight w:val="none"/>
          <w:u w:val="single"/>
          <w14:textFill>
            <w14:solidFill>
              <w14:schemeClr w14:val="tx1"/>
            </w14:solidFill>
          </w14:textFill>
        </w:rPr>
        <w:t>项的约定，由发包人和承包人以招标方式选择的分包人。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1.1.2.10 </w:t>
      </w:r>
      <w:r>
        <w:rPr>
          <w:rFonts w:hAnsi="宋体"/>
          <w:color w:val="000000" w:themeColor="text1"/>
          <w:sz w:val="24"/>
          <w:highlight w:val="none"/>
          <w14:textFill>
            <w14:solidFill>
              <w14:schemeClr w14:val="tx1"/>
            </w14:solidFill>
          </w14:textFill>
        </w:rPr>
        <w:t>专项供应商：</w:t>
      </w:r>
      <w:r>
        <w:rPr>
          <w:rFonts w:hAnsi="宋体"/>
          <w:color w:val="000000" w:themeColor="text1"/>
          <w:sz w:val="24"/>
          <w:highlight w:val="none"/>
          <w:u w:val="single"/>
          <w14:textFill>
            <w14:solidFill>
              <w14:schemeClr w14:val="tx1"/>
            </w14:solidFill>
          </w14:textFill>
        </w:rPr>
        <w:t>指根据合同条款第</w:t>
      </w:r>
      <w:r>
        <w:rPr>
          <w:color w:val="000000" w:themeColor="text1"/>
          <w:sz w:val="24"/>
          <w:highlight w:val="none"/>
          <w:u w:val="single"/>
          <w14:textFill>
            <w14:solidFill>
              <w14:schemeClr w14:val="tx1"/>
            </w14:solidFill>
          </w14:textFill>
        </w:rPr>
        <w:t>15.8.1</w:t>
      </w:r>
      <w:r>
        <w:rPr>
          <w:rFonts w:hAnsi="宋体"/>
          <w:color w:val="000000" w:themeColor="text1"/>
          <w:sz w:val="24"/>
          <w:highlight w:val="none"/>
          <w:u w:val="single"/>
          <w14:textFill>
            <w14:solidFill>
              <w14:schemeClr w14:val="tx1"/>
            </w14:solidFill>
          </w14:textFill>
        </w:rPr>
        <w:t>项的约定，由发包人和承包人以招标方式选择的供应商。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1.1.2.11</w:t>
      </w:r>
      <w:r>
        <w:rPr>
          <w:rFonts w:hAnsi="宋体"/>
          <w:color w:val="000000" w:themeColor="text1"/>
          <w:sz w:val="24"/>
          <w:highlight w:val="none"/>
          <w14:textFill>
            <w14:solidFill>
              <w14:schemeClr w14:val="tx1"/>
            </w14:solidFill>
          </w14:textFill>
        </w:rPr>
        <w:t>独立承包人：</w:t>
      </w:r>
      <w:r>
        <w:rPr>
          <w:rFonts w:hAnsi="宋体"/>
          <w:color w:val="000000" w:themeColor="text1"/>
          <w:sz w:val="24"/>
          <w:highlight w:val="none"/>
          <w:u w:val="single"/>
          <w14:textFill>
            <w14:solidFill>
              <w14:schemeClr w14:val="tx1"/>
            </w14:solidFill>
          </w14:textFill>
        </w:rPr>
        <w:t>指与发包人直接订立工程承包合同，负责实施与工程有关的其他工作的当事人。</w:t>
      </w:r>
    </w:p>
    <w:p>
      <w:pPr>
        <w:spacing w:line="360" w:lineRule="auto"/>
        <w:ind w:firstLine="480" w:firstLineChars="200"/>
        <w:outlineLvl w:val="0"/>
        <w:rPr>
          <w:color w:val="000000" w:themeColor="text1"/>
          <w:sz w:val="24"/>
          <w:highlight w:val="none"/>
          <w14:textFill>
            <w14:solidFill>
              <w14:schemeClr w14:val="tx1"/>
            </w14:solidFill>
          </w14:textFill>
        </w:rPr>
      </w:pPr>
      <w:bookmarkStart w:id="1336" w:name="_Toc15156"/>
      <w:bookmarkStart w:id="1337" w:name="_Toc354042204"/>
      <w:bookmarkStart w:id="1338" w:name="_Toc100504272"/>
      <w:bookmarkStart w:id="1339" w:name="_Toc13090"/>
      <w:bookmarkStart w:id="1340" w:name="_Toc353466289"/>
      <w:bookmarkStart w:id="1341" w:name="_Toc7887"/>
      <w:r>
        <w:rPr>
          <w:color w:val="000000" w:themeColor="text1"/>
          <w:sz w:val="24"/>
          <w:highlight w:val="none"/>
          <w14:textFill>
            <w14:solidFill>
              <w14:schemeClr w14:val="tx1"/>
            </w14:solidFill>
          </w14:textFill>
        </w:rPr>
        <w:t>1.1.3</w:t>
      </w:r>
      <w:r>
        <w:rPr>
          <w:rFonts w:hAnsi="宋体"/>
          <w:color w:val="000000" w:themeColor="text1"/>
          <w:sz w:val="24"/>
          <w:highlight w:val="none"/>
          <w14:textFill>
            <w14:solidFill>
              <w14:schemeClr w14:val="tx1"/>
            </w14:solidFill>
          </w14:textFill>
        </w:rPr>
        <w:t>工程和设备</w:t>
      </w:r>
      <w:bookmarkEnd w:id="1336"/>
      <w:bookmarkEnd w:id="1337"/>
      <w:bookmarkEnd w:id="1338"/>
      <w:bookmarkEnd w:id="1339"/>
      <w:bookmarkEnd w:id="1340"/>
      <w:bookmarkEnd w:id="134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1.1.3.2</w:t>
      </w:r>
      <w:r>
        <w:rPr>
          <w:rFonts w:hAnsi="宋体"/>
          <w:color w:val="000000" w:themeColor="text1"/>
          <w:sz w:val="24"/>
          <w:highlight w:val="none"/>
          <w14:textFill>
            <w14:solidFill>
              <w14:schemeClr w14:val="tx1"/>
            </w14:solidFill>
          </w14:textFill>
        </w:rPr>
        <w:t>永久工程：</w:t>
      </w:r>
      <w:r>
        <w:rPr>
          <w:rFonts w:hint="eastAsia"/>
          <w:color w:val="000000" w:themeColor="text1"/>
          <w:sz w:val="24"/>
          <w:highlight w:val="none"/>
          <w:u w:val="single"/>
          <w14:textFill>
            <w14:solidFill>
              <w14:schemeClr w14:val="tx1"/>
            </w14:solidFill>
          </w14:textFill>
        </w:rPr>
        <w:t>指按合同约定建造并移交给发包人的工程，包括工程设备</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1.1.3.3</w:t>
      </w:r>
      <w:r>
        <w:rPr>
          <w:rFonts w:hAnsi="宋体"/>
          <w:color w:val="000000" w:themeColor="text1"/>
          <w:sz w:val="24"/>
          <w:highlight w:val="none"/>
          <w14:textFill>
            <w14:solidFill>
              <w14:schemeClr w14:val="tx1"/>
            </w14:solidFill>
          </w14:textFill>
        </w:rPr>
        <w:t>临时工程：</w:t>
      </w:r>
      <w:r>
        <w:rPr>
          <w:rFonts w:hAnsi="宋体"/>
          <w:color w:val="000000" w:themeColor="text1"/>
          <w:sz w:val="24"/>
          <w:highlight w:val="none"/>
          <w:u w:val="single"/>
          <w14:textFill>
            <w14:solidFill>
              <w14:schemeClr w14:val="tx1"/>
            </w14:solidFill>
          </w14:textFill>
        </w:rPr>
        <w:t>指为完成合同约定的永久工程所修建的各类临时性工程，不包括施工设备。</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1.1.3.4</w:t>
      </w:r>
      <w:r>
        <w:rPr>
          <w:rFonts w:hAnsi="宋体"/>
          <w:color w:val="000000" w:themeColor="text1"/>
          <w:sz w:val="24"/>
          <w:highlight w:val="none"/>
          <w14:textFill>
            <w14:solidFill>
              <w14:schemeClr w14:val="tx1"/>
            </w14:solidFill>
          </w14:textFill>
        </w:rPr>
        <w:t>单位工程：</w:t>
      </w:r>
      <w:r>
        <w:rPr>
          <w:rFonts w:hAnsi="宋体"/>
          <w:color w:val="000000" w:themeColor="text1"/>
          <w:sz w:val="24"/>
          <w:highlight w:val="none"/>
          <w:u w:val="single"/>
          <w14:textFill>
            <w14:solidFill>
              <w14:schemeClr w14:val="tx1"/>
            </w14:solidFill>
          </w14:textFill>
        </w:rPr>
        <w:t>指具有相对独立的设计文件，能够独立组织施工并能形成独立使用功能的永久工程的组成部分。</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1.1.3.10</w:t>
      </w:r>
      <w:r>
        <w:rPr>
          <w:rFonts w:hAnsi="宋体"/>
          <w:color w:val="000000" w:themeColor="text1"/>
          <w:sz w:val="24"/>
          <w:highlight w:val="none"/>
          <w14:textFill>
            <w14:solidFill>
              <w14:schemeClr w14:val="tx1"/>
            </w14:solidFill>
          </w14:textFill>
        </w:rPr>
        <w:t>永久占地：</w:t>
      </w:r>
      <w:r>
        <w:rPr>
          <w:rFonts w:hint="eastAsia"/>
          <w:color w:val="000000" w:themeColor="text1"/>
          <w:sz w:val="24"/>
          <w:highlight w:val="none"/>
          <w:u w:val="single"/>
          <w14:textFill>
            <w14:solidFill>
              <w14:schemeClr w14:val="tx1"/>
            </w14:solidFill>
          </w14:textFill>
        </w:rPr>
        <w:t>工程建设永久使用的土地以及虽属临时使用但不能恢复原用途的土地</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1.1.3.11</w:t>
      </w:r>
      <w:r>
        <w:rPr>
          <w:rFonts w:hAnsi="宋体"/>
          <w:color w:val="000000" w:themeColor="text1"/>
          <w:sz w:val="24"/>
          <w:highlight w:val="none"/>
          <w14:textFill>
            <w14:solidFill>
              <w14:schemeClr w14:val="tx1"/>
            </w14:solidFill>
          </w14:textFill>
        </w:rPr>
        <w:t>临时占地：</w:t>
      </w:r>
      <w:r>
        <w:rPr>
          <w:rFonts w:hint="eastAsia"/>
          <w:color w:val="000000" w:themeColor="text1"/>
          <w:sz w:val="24"/>
          <w:highlight w:val="none"/>
          <w:u w:val="single"/>
          <w14:textFill>
            <w14:solidFill>
              <w14:schemeClr w14:val="tx1"/>
            </w14:solidFill>
          </w14:textFill>
        </w:rPr>
        <w:t>工程建设临时使用且可恢复原用途的土地</w:t>
      </w:r>
      <w:r>
        <w:rPr>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1.1.4</w:t>
      </w:r>
      <w:r>
        <w:rPr>
          <w:rFonts w:hAnsi="宋体"/>
          <w:color w:val="000000" w:themeColor="text1"/>
          <w:sz w:val="24"/>
          <w:highlight w:val="none"/>
          <w14:textFill>
            <w14:solidFill>
              <w14:schemeClr w14:val="tx1"/>
            </w14:solidFill>
          </w14:textFill>
        </w:rPr>
        <w:t>日期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1.1.4.5</w:t>
      </w:r>
      <w:r>
        <w:rPr>
          <w:rFonts w:hAnsi="宋体"/>
          <w:color w:val="000000" w:themeColor="text1"/>
          <w:sz w:val="24"/>
          <w:highlight w:val="none"/>
          <w14:textFill>
            <w14:solidFill>
              <w14:schemeClr w14:val="tx1"/>
            </w14:solidFill>
          </w14:textFill>
        </w:rPr>
        <w:t>缺陷责任期期限：</w:t>
      </w:r>
      <w:r>
        <w:rPr>
          <w:rFonts w:hint="eastAsia" w:hAnsi="宋体"/>
          <w:color w:val="000000" w:themeColor="text1"/>
          <w:sz w:val="24"/>
          <w:highlight w:val="none"/>
          <w:u w:val="single"/>
          <w14:textFill>
            <w14:solidFill>
              <w14:schemeClr w14:val="tx1"/>
            </w14:solidFill>
          </w14:textFill>
        </w:rPr>
        <w:t>24个</w:t>
      </w:r>
      <w:r>
        <w:rPr>
          <w:rFonts w:hAnsi="宋体"/>
          <w:color w:val="000000" w:themeColor="text1"/>
          <w:sz w:val="24"/>
          <w:highlight w:val="none"/>
          <w:u w:val="single"/>
          <w14:textFill>
            <w14:solidFill>
              <w14:schemeClr w14:val="tx1"/>
            </w14:solidFill>
          </w14:textFill>
        </w:rPr>
        <w:t>月。</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1.1.4.8</w:t>
      </w:r>
      <w:r>
        <w:rPr>
          <w:rFonts w:hAnsi="宋体"/>
          <w:color w:val="000000" w:themeColor="text1"/>
          <w:sz w:val="24"/>
          <w:highlight w:val="none"/>
          <w14:textFill>
            <w14:solidFill>
              <w14:schemeClr w14:val="tx1"/>
            </w14:solidFill>
          </w14:textFill>
        </w:rPr>
        <w:t>保修期：</w:t>
      </w:r>
      <w:r>
        <w:rPr>
          <w:rFonts w:hAnsi="宋体"/>
          <w:color w:val="000000" w:themeColor="text1"/>
          <w:sz w:val="24"/>
          <w:highlight w:val="none"/>
          <w:u w:val="single"/>
          <w14:textFill>
            <w14:solidFill>
              <w14:schemeClr w14:val="tx1"/>
            </w14:solidFill>
          </w14:textFill>
        </w:rPr>
        <w:t>是根据现行有关法律规定，在合同条款第</w:t>
      </w:r>
      <w:r>
        <w:rPr>
          <w:color w:val="000000" w:themeColor="text1"/>
          <w:sz w:val="24"/>
          <w:highlight w:val="none"/>
          <w:u w:val="single"/>
          <w14:textFill>
            <w14:solidFill>
              <w14:schemeClr w14:val="tx1"/>
            </w14:solidFill>
          </w14:textFill>
        </w:rPr>
        <w:t>19.7</w:t>
      </w:r>
      <w:r>
        <w:rPr>
          <w:rFonts w:hAnsi="宋体"/>
          <w:color w:val="000000" w:themeColor="text1"/>
          <w:sz w:val="24"/>
          <w:highlight w:val="none"/>
          <w:u w:val="single"/>
          <w14:textFill>
            <w14:solidFill>
              <w14:schemeClr w14:val="tx1"/>
            </w14:solidFill>
          </w14:textFill>
        </w:rPr>
        <w:t>款中约定的由承包人负责对合同约定的保修范围内发生的质量问题履行保修义务并对造成的损失承担赔偿责任的期限。</w:t>
      </w:r>
    </w:p>
    <w:p>
      <w:pPr>
        <w:spacing w:line="360" w:lineRule="auto"/>
        <w:ind w:firstLine="480" w:firstLineChars="200"/>
        <w:outlineLvl w:val="0"/>
        <w:rPr>
          <w:color w:val="000000" w:themeColor="text1"/>
          <w:sz w:val="24"/>
          <w:highlight w:val="none"/>
          <w14:textFill>
            <w14:solidFill>
              <w14:schemeClr w14:val="tx1"/>
            </w14:solidFill>
          </w14:textFill>
        </w:rPr>
      </w:pPr>
      <w:bookmarkStart w:id="1342" w:name="_Toc100504273"/>
      <w:bookmarkStart w:id="1343" w:name="_Toc353466290"/>
      <w:bookmarkStart w:id="1344" w:name="_Toc28485"/>
      <w:bookmarkStart w:id="1345" w:name="_Toc354042205"/>
      <w:bookmarkStart w:id="1346" w:name="_Toc22982"/>
      <w:bookmarkStart w:id="1347" w:name="_Toc32354"/>
      <w:r>
        <w:rPr>
          <w:color w:val="000000" w:themeColor="text1"/>
          <w:sz w:val="24"/>
          <w:highlight w:val="none"/>
          <w14:textFill>
            <w14:solidFill>
              <w14:schemeClr w14:val="tx1"/>
            </w14:solidFill>
          </w14:textFill>
        </w:rPr>
        <w:t>1.1.6</w:t>
      </w:r>
      <w:r>
        <w:rPr>
          <w:rFonts w:hAnsi="宋体"/>
          <w:color w:val="000000" w:themeColor="text1"/>
          <w:sz w:val="24"/>
          <w:highlight w:val="none"/>
          <w14:textFill>
            <w14:solidFill>
              <w14:schemeClr w14:val="tx1"/>
            </w14:solidFill>
          </w14:textFill>
        </w:rPr>
        <w:t>其他</w:t>
      </w:r>
      <w:bookmarkEnd w:id="1342"/>
      <w:bookmarkEnd w:id="1343"/>
      <w:bookmarkEnd w:id="1344"/>
      <w:bookmarkEnd w:id="1345"/>
      <w:bookmarkEnd w:id="1346"/>
      <w:bookmarkEnd w:id="134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1.1.6.2</w:t>
      </w:r>
      <w:r>
        <w:rPr>
          <w:rFonts w:hAnsi="宋体"/>
          <w:color w:val="000000" w:themeColor="text1"/>
          <w:sz w:val="24"/>
          <w:highlight w:val="none"/>
          <w14:textFill>
            <w14:solidFill>
              <w14:schemeClr w14:val="tx1"/>
            </w14:solidFill>
          </w14:textFill>
        </w:rPr>
        <w:t>材料：</w:t>
      </w:r>
      <w:r>
        <w:rPr>
          <w:rFonts w:hAnsi="宋体"/>
          <w:color w:val="000000" w:themeColor="text1"/>
          <w:sz w:val="24"/>
          <w:highlight w:val="none"/>
          <w:u w:val="single"/>
          <w14:textFill>
            <w14:solidFill>
              <w14:schemeClr w14:val="tx1"/>
            </w14:solidFill>
          </w14:textFill>
        </w:rPr>
        <w:t>指构成或将构成永久工程组成部分的各类物品</w:t>
      </w:r>
      <w:r>
        <w:rPr>
          <w:color w:val="000000" w:themeColor="text1"/>
          <w:sz w:val="24"/>
          <w:highlight w:val="none"/>
          <w:u w:val="single"/>
          <w14:textFill>
            <w14:solidFill>
              <w14:schemeClr w14:val="tx1"/>
            </w14:solidFill>
          </w14:textFill>
        </w:rPr>
        <w:t>（</w:t>
      </w:r>
      <w:r>
        <w:rPr>
          <w:rFonts w:hAnsi="宋体"/>
          <w:color w:val="000000" w:themeColor="text1"/>
          <w:sz w:val="24"/>
          <w:highlight w:val="none"/>
          <w:u w:val="single"/>
          <w14:textFill>
            <w14:solidFill>
              <w14:schemeClr w14:val="tx1"/>
            </w14:solidFill>
          </w14:textFill>
        </w:rPr>
        <w:t>工程设备除外</w:t>
      </w:r>
      <w:r>
        <w:rPr>
          <w:color w:val="000000" w:themeColor="text1"/>
          <w:sz w:val="24"/>
          <w:highlight w:val="none"/>
          <w:u w:val="single"/>
          <w14:textFill>
            <w14:solidFill>
              <w14:schemeClr w14:val="tx1"/>
            </w14:solidFill>
          </w14:textFill>
        </w:rPr>
        <w:t>）</w:t>
      </w:r>
      <w:r>
        <w:rPr>
          <w:rFonts w:hAnsi="宋体"/>
          <w:color w:val="000000" w:themeColor="text1"/>
          <w:sz w:val="24"/>
          <w:highlight w:val="none"/>
          <w:u w:val="single"/>
          <w14:textFill>
            <w14:solidFill>
              <w14:schemeClr w14:val="tx1"/>
            </w14:solidFill>
          </w14:textFill>
        </w:rPr>
        <w:t>，包括合同中可能约定的承包人仅负责供应的材料。</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1.1.6.</w:t>
      </w:r>
      <w:r>
        <w:rPr>
          <w:rFonts w:hint="eastAsia"/>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除另有特别指明外，专用合同条款中使用的措辞</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合同条款</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指通用合同条款和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专用合同条款。</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348" w:name="_Toc22024"/>
      <w:bookmarkStart w:id="1349" w:name="_Toc100504274"/>
      <w:bookmarkStart w:id="1350" w:name="_Toc28774"/>
      <w:bookmarkStart w:id="1351" w:name="_Toc5046"/>
      <w:r>
        <w:rPr>
          <w:rFonts w:eastAsia="宋体" w:cs="Times New Roman"/>
          <w:b/>
          <w:color w:val="000000" w:themeColor="text1"/>
          <w:szCs w:val="24"/>
          <w:highlight w:val="none"/>
          <w14:textFill>
            <w14:solidFill>
              <w14:schemeClr w14:val="tx1"/>
            </w14:solidFill>
          </w14:textFill>
        </w:rPr>
        <w:t>1.</w:t>
      </w:r>
      <w:r>
        <w:rPr>
          <w:rFonts w:hint="eastAsia" w:eastAsia="宋体" w:cs="Times New Roman"/>
          <w:b/>
          <w:color w:val="000000" w:themeColor="text1"/>
          <w:szCs w:val="24"/>
          <w:highlight w:val="none"/>
          <w14:textFill>
            <w14:solidFill>
              <w14:schemeClr w14:val="tx1"/>
            </w14:solidFill>
          </w14:textFill>
        </w:rPr>
        <w:t>3法律</w:t>
      </w:r>
      <w:bookmarkEnd w:id="1348"/>
      <w:bookmarkEnd w:id="1349"/>
      <w:bookmarkEnd w:id="1350"/>
      <w:bookmarkEnd w:id="1351"/>
    </w:p>
    <w:p>
      <w:pPr>
        <w:spacing w:line="360" w:lineRule="auto"/>
        <w:ind w:firstLine="480" w:firstLineChars="200"/>
        <w:rPr>
          <w:rFonts w:hint="eastAsia"/>
          <w:b/>
          <w:color w:val="000000" w:themeColor="text1"/>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需要明示的法律、行政法规：《中华人民共和国民法典》、《中华人民共和国建筑法》、《建设工程质量管理条例》、《建设工程安全生产管理条例》、《中华人民共和国招标投标法》及其它建设管理法律、法规及广州市、番禺区现行建设管理规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52" w:name="_Toc100504275"/>
      <w:bookmarkStart w:id="1353" w:name="_Toc15340"/>
      <w:bookmarkStart w:id="1354" w:name="_Toc354042206"/>
      <w:bookmarkStart w:id="1355" w:name="_Toc8987"/>
      <w:bookmarkStart w:id="1356" w:name="_Toc31464"/>
      <w:r>
        <w:rPr>
          <w:rFonts w:eastAsia="宋体" w:cs="Times New Roman"/>
          <w:b/>
          <w:color w:val="000000" w:themeColor="text1"/>
          <w:szCs w:val="24"/>
          <w:highlight w:val="none"/>
          <w14:textFill>
            <w14:solidFill>
              <w14:schemeClr w14:val="tx1"/>
            </w14:solidFill>
          </w14:textFill>
        </w:rPr>
        <w:t>1.4合同文件的优先顺序</w:t>
      </w:r>
      <w:bookmarkEnd w:id="1352"/>
      <w:bookmarkEnd w:id="1353"/>
      <w:bookmarkEnd w:id="1354"/>
      <w:bookmarkEnd w:id="1355"/>
      <w:bookmarkEnd w:id="135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合同文件的优先解释顺序如下：</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合同协议书</w:t>
      </w:r>
      <w:r>
        <w:rPr>
          <w:rFonts w:hint="eastAsia" w:hAnsi="宋体"/>
          <w:color w:val="000000" w:themeColor="text1"/>
          <w:sz w:val="24"/>
          <w:highlight w:val="none"/>
          <w14:textFill>
            <w14:solidFill>
              <w14:schemeClr w14:val="tx1"/>
            </w14:solidFill>
          </w14:textFill>
        </w:rPr>
        <w:t>及附件</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中标通知书；</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（3）招标文件（包括补充、修改、澄清文件、答疑纪要及总说明等）；</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专用合同条款；</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通用合同条款；</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（6）技术标准、规范及有关技术文件和要求；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）投标文件（含</w:t>
      </w:r>
      <w:r>
        <w:rPr>
          <w:rFonts w:hAnsi="宋体"/>
          <w:color w:val="000000" w:themeColor="text1"/>
          <w:sz w:val="24"/>
          <w:highlight w:val="none"/>
          <w14:textFill>
            <w14:solidFill>
              <w14:schemeClr w14:val="tx1"/>
            </w14:solidFill>
          </w14:textFill>
        </w:rPr>
        <w:t>投标函</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投标函附录</w:t>
      </w:r>
      <w:r>
        <w:rPr>
          <w:rFonts w:hint="eastAsia"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其他合同文件</w:t>
      </w:r>
      <w:r>
        <w:rPr>
          <w:rFonts w:hint="eastAsia" w:hAnsi="宋体"/>
          <w:color w:val="000000" w:themeColor="text1"/>
          <w:sz w:val="24"/>
          <w:highlight w:val="none"/>
          <w14:textFill>
            <w14:solidFill>
              <w14:schemeClr w14:val="tx1"/>
            </w14:solidFill>
          </w14:textFill>
        </w:rPr>
        <w:t>（包括但不限于</w:t>
      </w:r>
      <w:r>
        <w:rPr>
          <w:rFonts w:hint="eastAsia" w:ascii="宋体" w:hAnsi="宋体"/>
          <w:snapToGrid w:val="0"/>
          <w:color w:val="000000" w:themeColor="text1"/>
          <w:kern w:val="13"/>
          <w:sz w:val="24"/>
          <w:highlight w:val="none"/>
          <w14:textFill>
            <w14:solidFill>
              <w14:schemeClr w14:val="tx1"/>
            </w14:solidFill>
          </w14:textFill>
        </w:rPr>
        <w:t>双方有关工程的洽商、变更等书面协议或文件）。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合同协议书中约定采用总价合同形式的，已标价工程量清单中的各项工程量对合同双方不具合同约束力。</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图纸与技术标准和要求之间有矛盾或者不一致的，以其中要求较严格的标准为准。</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合同双方在合同履行过程中签订的补充协议亦构成合同文件的组成部分，其解释顺序视其内容与其他合同文件的相互关系而定。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57" w:name="_Toc354042207"/>
      <w:bookmarkStart w:id="1358" w:name="_Toc16747"/>
      <w:bookmarkStart w:id="1359" w:name="_Toc25189"/>
      <w:bookmarkStart w:id="1360" w:name="_Toc100504276"/>
      <w:bookmarkStart w:id="1361" w:name="_Toc22240"/>
      <w:r>
        <w:rPr>
          <w:rFonts w:eastAsia="宋体" w:cs="Times New Roman"/>
          <w:b/>
          <w:color w:val="000000" w:themeColor="text1"/>
          <w:szCs w:val="24"/>
          <w:highlight w:val="none"/>
          <w14:textFill>
            <w14:solidFill>
              <w14:schemeClr w14:val="tx1"/>
            </w14:solidFill>
          </w14:textFill>
        </w:rPr>
        <w:t>1.5合同协议书</w:t>
      </w:r>
      <w:bookmarkEnd w:id="1357"/>
      <w:bookmarkEnd w:id="1358"/>
      <w:bookmarkEnd w:id="1359"/>
      <w:bookmarkEnd w:id="1360"/>
      <w:bookmarkEnd w:id="136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合同生效的条件：</w:t>
      </w:r>
      <w:r>
        <w:rPr>
          <w:rFonts w:hint="eastAsia" w:ascii="宋体" w:hAnsi="宋体"/>
          <w:snapToGrid w:val="0"/>
          <w:color w:val="000000" w:themeColor="text1"/>
          <w:kern w:val="13"/>
          <w:sz w:val="24"/>
          <w:highlight w:val="none"/>
          <w:u w:val="single"/>
          <w14:textFill>
            <w14:solidFill>
              <w14:schemeClr w14:val="tx1"/>
            </w14:solidFill>
          </w14:textFill>
        </w:rPr>
        <w:t>双方盖公章及双方法定代表人或其授权委托代理人签字或签章后生效</w:t>
      </w:r>
      <w:r>
        <w:rPr>
          <w:rFonts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strike w:val="0"/>
          <w:color w:val="000000" w:themeColor="text1"/>
          <w:szCs w:val="24"/>
          <w:highlight w:val="none"/>
          <w14:textFill>
            <w14:solidFill>
              <w14:schemeClr w14:val="tx1"/>
            </w14:solidFill>
          </w14:textFill>
        </w:rPr>
      </w:pPr>
      <w:bookmarkStart w:id="1362" w:name="_Toc100504277"/>
      <w:bookmarkStart w:id="1363" w:name="_Toc2105"/>
      <w:bookmarkStart w:id="1364" w:name="_Toc354042208"/>
      <w:bookmarkStart w:id="1365" w:name="_Toc4546"/>
      <w:bookmarkStart w:id="1366" w:name="_Toc19102"/>
      <w:r>
        <w:rPr>
          <w:rFonts w:eastAsia="宋体" w:cs="Times New Roman"/>
          <w:b/>
          <w:strike w:val="0"/>
          <w:color w:val="000000" w:themeColor="text1"/>
          <w:szCs w:val="24"/>
          <w:highlight w:val="none"/>
          <w14:textFill>
            <w14:solidFill>
              <w14:schemeClr w14:val="tx1"/>
            </w14:solidFill>
          </w14:textFill>
        </w:rPr>
        <w:t>1.6图纸和承包人文件</w:t>
      </w:r>
      <w:bookmarkEnd w:id="1362"/>
      <w:bookmarkEnd w:id="1363"/>
      <w:bookmarkEnd w:id="1364"/>
      <w:bookmarkEnd w:id="1365"/>
      <w:bookmarkEnd w:id="1366"/>
    </w:p>
    <w:p>
      <w:pPr>
        <w:spacing w:line="360" w:lineRule="auto"/>
        <w:ind w:firstLine="480" w:firstLineChars="200"/>
        <w:rPr>
          <w:rFonts w:hint="eastAsia" w:hAnsi="宋体"/>
          <w:strike w:val="0"/>
          <w:color w:val="000000" w:themeColor="text1"/>
          <w:sz w:val="24"/>
          <w:highlight w:val="none"/>
          <w14:textFill>
            <w14:solidFill>
              <w14:schemeClr w14:val="tx1"/>
            </w14:solidFill>
          </w14:textFill>
        </w:rPr>
      </w:pPr>
      <w:r>
        <w:rPr>
          <w:strike w:val="0"/>
          <w:color w:val="000000" w:themeColor="text1"/>
          <w:sz w:val="24"/>
          <w:highlight w:val="none"/>
          <w14:textFill>
            <w14:solidFill>
              <w14:schemeClr w14:val="tx1"/>
            </w14:solidFill>
          </w14:textFill>
        </w:rPr>
        <w:t>1.6.1</w:t>
      </w:r>
      <w:r>
        <w:rPr>
          <w:rFonts w:hAnsi="宋体"/>
          <w:strike w:val="0"/>
          <w:color w:val="000000" w:themeColor="text1"/>
          <w:sz w:val="24"/>
          <w:highlight w:val="none"/>
          <w14:textFill>
            <w14:solidFill>
              <w14:schemeClr w14:val="tx1"/>
            </w14:solidFill>
          </w14:textFill>
        </w:rPr>
        <w:t>图纸的提供</w:t>
      </w:r>
    </w:p>
    <w:p>
      <w:pPr>
        <w:spacing w:line="360" w:lineRule="auto"/>
        <w:ind w:firstLine="480" w:firstLineChars="200"/>
        <w:rPr>
          <w:rFonts w:hint="eastAsia"/>
          <w:strike/>
          <w:color w:val="000000" w:themeColor="text1"/>
          <w:sz w:val="24"/>
          <w:highlight w:val="none"/>
          <w14:textFill>
            <w14:solidFill>
              <w14:schemeClr w14:val="tx1"/>
            </w14:solidFill>
          </w14:textFill>
        </w:rPr>
      </w:pPr>
      <w:r>
        <w:rPr>
          <w:rFonts w:hint="eastAsia"/>
          <w:strike w:val="0"/>
          <w:color w:val="000000" w:themeColor="text1"/>
          <w:sz w:val="24"/>
          <w:highlight w:val="none"/>
          <w14:textFill>
            <w14:solidFill>
              <w14:schemeClr w14:val="tx1"/>
            </w14:solidFill>
          </w14:textFill>
        </w:rPr>
        <w:t>发包人提供</w:t>
      </w:r>
      <w:r>
        <w:rPr>
          <w:rFonts w:hint="eastAsia"/>
          <w:strike w:val="0"/>
          <w:color w:val="000000" w:themeColor="text1"/>
          <w:sz w:val="24"/>
          <w:highlight w:val="none"/>
          <w:lang w:eastAsia="zh-CN"/>
          <w14:textFill>
            <w14:solidFill>
              <w14:schemeClr w14:val="tx1"/>
            </w14:solidFill>
          </w14:textFill>
        </w:rPr>
        <w:t>的</w:t>
      </w:r>
      <w:r>
        <w:rPr>
          <w:rFonts w:hint="eastAsia"/>
          <w:strike w:val="0"/>
          <w:color w:val="000000" w:themeColor="text1"/>
          <w:sz w:val="24"/>
          <w:highlight w:val="none"/>
          <w:lang w:val="en-US" w:eastAsia="zh-CN"/>
          <w14:textFill>
            <w14:solidFill>
              <w14:schemeClr w14:val="tx1"/>
            </w14:solidFill>
          </w14:textFill>
        </w:rPr>
        <w:t>初设</w:t>
      </w:r>
      <w:r>
        <w:rPr>
          <w:rFonts w:hint="eastAsia"/>
          <w:strike w:val="0"/>
          <w:color w:val="000000" w:themeColor="text1"/>
          <w:sz w:val="24"/>
          <w:highlight w:val="none"/>
          <w14:textFill>
            <w14:solidFill>
              <w14:schemeClr w14:val="tx1"/>
            </w14:solidFill>
          </w14:textFill>
        </w:rPr>
        <w:t>图纸：</w:t>
      </w:r>
      <w:r>
        <w:rPr>
          <w:rFonts w:hint="eastAsia"/>
          <w:strike w:val="0"/>
          <w:color w:val="000000" w:themeColor="text1"/>
          <w:sz w:val="24"/>
          <w:highlight w:val="none"/>
          <w:lang w:val="en-US" w:eastAsia="zh-CN"/>
          <w14:textFill>
            <w14:solidFill>
              <w14:schemeClr w14:val="tx1"/>
            </w14:solidFill>
          </w14:textFill>
        </w:rPr>
        <w:t>以招标时发布的为准</w:t>
      </w:r>
      <w:r>
        <w:rPr>
          <w:rFonts w:hint="eastAsia"/>
          <w:strike w:val="0"/>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1.6.2</w:t>
      </w:r>
      <w:r>
        <w:rPr>
          <w:rFonts w:hAnsi="宋体"/>
          <w:color w:val="000000" w:themeColor="text1"/>
          <w:sz w:val="24"/>
          <w:highlight w:val="none"/>
          <w14:textFill>
            <w14:solidFill>
              <w14:schemeClr w14:val="tx1"/>
            </w14:solidFill>
          </w14:textFill>
        </w:rPr>
        <w:t>承包人提供的文件</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除专用合同条款第</w:t>
      </w:r>
      <w:r>
        <w:rPr>
          <w:color w:val="000000" w:themeColor="text1"/>
          <w:sz w:val="24"/>
          <w:highlight w:val="none"/>
          <w14:textFill>
            <w14:solidFill>
              <w14:schemeClr w14:val="tx1"/>
            </w14:solidFill>
          </w14:textFill>
        </w:rPr>
        <w:t>4.1.10（1）</w:t>
      </w:r>
      <w:r>
        <w:rPr>
          <w:rFonts w:hAnsi="宋体"/>
          <w:color w:val="000000" w:themeColor="text1"/>
          <w:sz w:val="24"/>
          <w:highlight w:val="none"/>
          <w14:textFill>
            <w14:solidFill>
              <w14:schemeClr w14:val="tx1"/>
            </w14:solidFill>
          </w14:textFill>
        </w:rPr>
        <w:t>目约定的由承包人提供的设计文件外，本项约定的其他应由承包人提供的文件，包括必要的加工图和大样图，均不是合同计量与支付的依据文件。由承包人提供的文件范围：</w:t>
      </w:r>
      <w:r>
        <w:rPr>
          <w:rFonts w:hint="eastAsia"/>
          <w:color w:val="000000" w:themeColor="text1"/>
          <w:sz w:val="24"/>
          <w:highlight w:val="none"/>
          <w14:textFill>
            <w14:solidFill>
              <w14:schemeClr w14:val="tx1"/>
            </w14:solidFill>
          </w14:textFill>
        </w:rPr>
        <w:t>施工组织设计、专项方案、人员架构、联系方式等</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承包人提供文件的期限：</w:t>
      </w:r>
      <w:r>
        <w:rPr>
          <w:rFonts w:hint="eastAsia"/>
          <w:color w:val="000000" w:themeColor="text1"/>
          <w:sz w:val="24"/>
          <w:highlight w:val="none"/>
          <w:u w:val="single"/>
          <w14:textFill>
            <w14:solidFill>
              <w14:schemeClr w14:val="tx1"/>
            </w14:solidFill>
          </w14:textFill>
        </w:rPr>
        <w:t>收到中标通知书后七日历天内</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承包人提供文件的数量：</w:t>
      </w:r>
      <w:r>
        <w:rPr>
          <w:rFonts w:hint="eastAsia"/>
          <w:color w:val="000000" w:themeColor="text1"/>
          <w:sz w:val="24"/>
          <w:highlight w:val="none"/>
          <w:u w:val="single"/>
          <w14:textFill>
            <w14:solidFill>
              <w14:schemeClr w14:val="tx1"/>
            </w14:solidFill>
          </w14:textFill>
        </w:rPr>
        <w:t>一正三副</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监理人批复承包人提供文件的期限：</w:t>
      </w:r>
      <w:r>
        <w:rPr>
          <w:rFonts w:hint="eastAsia" w:hAnsi="宋体"/>
          <w:color w:val="000000" w:themeColor="text1"/>
          <w:sz w:val="24"/>
          <w:highlight w:val="none"/>
          <w14:textFill>
            <w14:solidFill>
              <w14:schemeClr w14:val="tx1"/>
            </w14:solidFill>
          </w14:textFill>
        </w:rPr>
        <w:t>收到</w:t>
      </w:r>
      <w:r>
        <w:rPr>
          <w:rFonts w:hint="eastAsia"/>
          <w:color w:val="000000" w:themeColor="text1"/>
          <w:sz w:val="24"/>
          <w:highlight w:val="none"/>
          <w:u w:val="single"/>
          <w14:textFill>
            <w14:solidFill>
              <w14:schemeClr w14:val="tx1"/>
            </w14:solidFill>
          </w14:textFill>
        </w:rPr>
        <w:t>承包人提供的资料后五个日历天内</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其他约定</w:t>
      </w:r>
      <w:r>
        <w:rPr>
          <w:rFonts w:hAnsi="宋体"/>
          <w:color w:val="000000" w:themeColor="text1"/>
          <w:sz w:val="24"/>
          <w:highlight w:val="none"/>
          <w:u w:val="single"/>
          <w14:textFill>
            <w14:solidFill>
              <w14:schemeClr w14:val="tx1"/>
            </w14:solidFill>
          </w14:textFill>
        </w:rPr>
        <w:t>：</w:t>
      </w:r>
      <w:r>
        <w:rPr>
          <w:rFonts w:hint="eastAsia"/>
          <w:color w:val="000000" w:themeColor="text1"/>
          <w:sz w:val="24"/>
          <w:highlight w:val="none"/>
          <w:u w:val="single"/>
          <w14:textFill>
            <w14:solidFill>
              <w14:schemeClr w14:val="tx1"/>
            </w14:solidFill>
          </w14:textFill>
        </w:rPr>
        <w:t>无约定</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1.6.3</w:t>
      </w:r>
      <w:r>
        <w:rPr>
          <w:rFonts w:hAnsi="宋体"/>
          <w:color w:val="000000" w:themeColor="text1"/>
          <w:sz w:val="24"/>
          <w:highlight w:val="none"/>
          <w14:textFill>
            <w14:solidFill>
              <w14:schemeClr w14:val="tx1"/>
            </w14:solidFill>
          </w14:textFill>
        </w:rPr>
        <w:t>图纸的修改</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监理人应当按照合同条款第</w:t>
      </w:r>
      <w:r>
        <w:rPr>
          <w:color w:val="000000" w:themeColor="text1"/>
          <w:sz w:val="24"/>
          <w:highlight w:val="none"/>
          <w14:textFill>
            <w14:solidFill>
              <w14:schemeClr w14:val="tx1"/>
            </w14:solidFill>
          </w14:textFill>
        </w:rPr>
        <w:t>1.6.1（</w:t>
      </w: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项</w:t>
      </w:r>
      <w:r>
        <w:rPr>
          <w:rFonts w:hAnsi="宋体"/>
          <w:color w:val="000000" w:themeColor="text1"/>
          <w:sz w:val="24"/>
          <w:highlight w:val="none"/>
          <w14:textFill>
            <w14:solidFill>
              <w14:schemeClr w14:val="tx1"/>
            </w14:solidFill>
          </w14:textFill>
        </w:rPr>
        <w:t>约定的有合同约束力的图纸供应计划，签发图纸修改图给承包人。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67" w:name="_Toc5175"/>
      <w:bookmarkStart w:id="1368" w:name="_Toc100504278"/>
      <w:bookmarkStart w:id="1369" w:name="_Toc10493"/>
      <w:bookmarkStart w:id="1370" w:name="_Toc354042209"/>
      <w:bookmarkStart w:id="1371" w:name="_Toc16250"/>
      <w:r>
        <w:rPr>
          <w:rFonts w:eastAsia="宋体" w:cs="Times New Roman"/>
          <w:b/>
          <w:color w:val="000000" w:themeColor="text1"/>
          <w:szCs w:val="24"/>
          <w:highlight w:val="none"/>
          <w14:textFill>
            <w14:solidFill>
              <w14:schemeClr w14:val="tx1"/>
            </w14:solidFill>
          </w14:textFill>
        </w:rPr>
        <w:t>1.7联络</w:t>
      </w:r>
      <w:bookmarkEnd w:id="1367"/>
      <w:bookmarkEnd w:id="1368"/>
      <w:bookmarkEnd w:id="1369"/>
      <w:bookmarkEnd w:id="1370"/>
      <w:bookmarkEnd w:id="137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1.7.2</w:t>
      </w:r>
      <w:r>
        <w:rPr>
          <w:rFonts w:hAnsi="宋体"/>
          <w:color w:val="000000" w:themeColor="text1"/>
          <w:sz w:val="24"/>
          <w:highlight w:val="none"/>
          <w14:textFill>
            <w14:solidFill>
              <w14:schemeClr w14:val="tx1"/>
            </w14:solidFill>
          </w14:textFill>
        </w:rPr>
        <w:t>联络来往函件的送达和接收</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联络来往信函的送达期限：</w:t>
      </w:r>
      <w:r>
        <w:rPr>
          <w:rFonts w:hAnsi="宋体"/>
          <w:color w:val="000000" w:themeColor="text1"/>
          <w:sz w:val="24"/>
          <w:highlight w:val="none"/>
          <w:u w:val="single"/>
          <w14:textFill>
            <w14:solidFill>
              <w14:schemeClr w14:val="tx1"/>
            </w14:solidFill>
          </w14:textFill>
        </w:rPr>
        <w:t>合同约定了发出期限的，送达期限为合同约定的发出期限后的</w:t>
      </w:r>
      <w:r>
        <w:rPr>
          <w:color w:val="000000" w:themeColor="text1"/>
          <w:sz w:val="24"/>
          <w:highlight w:val="none"/>
          <w:u w:val="single"/>
          <w14:textFill>
            <w14:solidFill>
              <w14:schemeClr w14:val="tx1"/>
            </w14:solidFill>
          </w14:textFill>
        </w:rPr>
        <w:t>24</w:t>
      </w:r>
      <w:r>
        <w:rPr>
          <w:rFonts w:hAnsi="宋体"/>
          <w:color w:val="000000" w:themeColor="text1"/>
          <w:sz w:val="24"/>
          <w:highlight w:val="none"/>
          <w:u w:val="single"/>
          <w14:textFill>
            <w14:solidFill>
              <w14:schemeClr w14:val="tx1"/>
            </w14:solidFill>
          </w14:textFill>
        </w:rPr>
        <w:t>小时内；合同约定了通知、提供或者报送期限的，通知、提供或者报送期限即为送达期限。</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发包人指定的接收地点：</w:t>
      </w:r>
      <w:r>
        <w:rPr>
          <w:rFonts w:hint="eastAsia"/>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发包人指定的接收人为：</w:t>
      </w:r>
      <w:r>
        <w:rPr>
          <w:color w:val="000000" w:themeColor="text1"/>
          <w:sz w:val="24"/>
          <w:highlight w:val="non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监理人指定的接收地点：</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（另详本项目《委托监理合同》）</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监理人指定的接收人为：</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（另详本项目《委托监理合同》）</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承包人指定的接收人为合同协议书中载明的承包人项目经理本人或者项目经理的授权代表。承包人应在收到开工通知后</w:t>
      </w:r>
      <w:r>
        <w:rPr>
          <w:color w:val="000000" w:themeColor="text1"/>
          <w:sz w:val="24"/>
          <w:highlight w:val="none"/>
          <w14:textFill>
            <w14:solidFill>
              <w14:schemeClr w14:val="tx1"/>
            </w14:solidFill>
          </w14:textFill>
        </w:rPr>
        <w:t>7个</w:t>
      </w:r>
      <w:r>
        <w:rPr>
          <w:rFonts w:hAnsi="宋体"/>
          <w:color w:val="000000" w:themeColor="text1"/>
          <w:sz w:val="24"/>
          <w:highlight w:val="none"/>
          <w14:textFill>
            <w14:solidFill>
              <w14:schemeClr w14:val="tx1"/>
            </w14:solidFill>
          </w14:textFill>
        </w:rPr>
        <w:t>日历天内，将授权代表其接收来往信函的项目经理的授权代表姓名和授权范围通知监理人。除合同另有约定外，承包人施工场地管理机构的办公地点即为承包人指定的接收地点。</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发包人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包括监理人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和承包人中任何一方指定的接收人或者接收地点发生变动，应当在实际变动前提前至少一个工作日以书面方式通知另一方。发包人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包括监理人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和承包人应当确保其各自指定的接收人在法定的和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符合合同约定的工作时间内始终工作在指定的接收地点，指定接收人离开工作岗位而无法及时签收来往信函构成拒不签收。</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w:t>
      </w:r>
      <w:r>
        <w:rPr>
          <w:rFonts w:hAnsi="宋体"/>
          <w:color w:val="000000" w:themeColor="text1"/>
          <w:sz w:val="24"/>
          <w:highlight w:val="none"/>
          <w14:textFill>
            <w14:solidFill>
              <w14:schemeClr w14:val="tx1"/>
            </w14:solidFill>
          </w14:textFill>
        </w:rPr>
        <w:t>发包人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包括监理人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和承包人中任何一方均应当及时签收另一方送达其指定接收地点的来往信函，拒不签收的，送达信函的一方可以采用挂号或者公证方式送达，由此所造成的直接的和间接的费用增加</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包括被迫采用特殊送达方式所发生的费用</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延误的工期由拒绝签收一方承担。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372" w:name="_Toc12558"/>
      <w:bookmarkStart w:id="1373" w:name="_Toc9894"/>
      <w:bookmarkStart w:id="1374" w:name="_Toc100504279"/>
      <w:bookmarkStart w:id="1375" w:name="_Toc27738"/>
      <w:bookmarkStart w:id="1376" w:name="_Toc354042210"/>
      <w:r>
        <w:rPr>
          <w:rFonts w:hAnsi="宋体"/>
          <w:b/>
          <w:color w:val="000000" w:themeColor="text1"/>
          <w:sz w:val="24"/>
          <w:highlight w:val="none"/>
          <w14:textFill>
            <w14:solidFill>
              <w14:schemeClr w14:val="tx1"/>
            </w14:solidFill>
          </w14:textFill>
        </w:rPr>
        <w:t>2.</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发包人义务</w:t>
      </w:r>
      <w:bookmarkEnd w:id="1372"/>
      <w:bookmarkEnd w:id="1373"/>
      <w:bookmarkEnd w:id="1374"/>
      <w:bookmarkEnd w:id="1375"/>
      <w:bookmarkEnd w:id="1376"/>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377" w:name="_Toc354042211"/>
      <w:bookmarkStart w:id="1378" w:name="_Toc100504280"/>
      <w:bookmarkStart w:id="1379" w:name="_Toc9478"/>
      <w:bookmarkStart w:id="1380" w:name="_Toc31368"/>
      <w:bookmarkStart w:id="1381" w:name="_Toc11352"/>
      <w:r>
        <w:rPr>
          <w:color w:val="000000" w:themeColor="text1"/>
          <w:szCs w:val="24"/>
          <w:highlight w:val="none"/>
          <w14:textFill>
            <w14:solidFill>
              <w14:schemeClr w14:val="tx1"/>
            </w14:solidFill>
          </w14:textFill>
        </w:rPr>
        <w:t>2.3提供施工场地</w:t>
      </w:r>
      <w:bookmarkEnd w:id="1377"/>
      <w:bookmarkEnd w:id="1378"/>
      <w:bookmarkEnd w:id="1379"/>
      <w:bookmarkEnd w:id="1380"/>
      <w:bookmarkEnd w:id="1381"/>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bookmarkStart w:id="1382" w:name="_Toc354042212"/>
      <w:r>
        <w:rPr>
          <w:rFonts w:hint="eastAsia" w:hAnsi="宋体"/>
          <w:color w:val="000000" w:themeColor="text1"/>
          <w:sz w:val="24"/>
          <w:szCs w:val="24"/>
          <w:highlight w:val="none"/>
          <w14:textFill>
            <w14:solidFill>
              <w14:schemeClr w14:val="tx1"/>
            </w14:solidFill>
          </w14:textFill>
        </w:rPr>
        <w:t>发包人根据工程的进展情况，视情况分期移交剩余施工场地给承包人，以便承包人能按进度计划进行施工，承包人应据此调整施工进度计划,因推迟移交场地并经双方共同认定耽误施工时间的，应根据实际情况相应推迟竣工日期；双方无法达成一致意见的，由发包人上级主管部门裁定。场地清理、平整等工作由承包人负责，费用已包含在签约合同价中，发包人不另行计量支付。</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83" w:name="_Toc4641"/>
      <w:bookmarkStart w:id="1384" w:name="_Toc22760"/>
      <w:bookmarkStart w:id="1385" w:name="_Toc18681"/>
      <w:bookmarkStart w:id="1386" w:name="_Toc100504281"/>
      <w:r>
        <w:rPr>
          <w:rFonts w:eastAsia="宋体" w:cs="Times New Roman"/>
          <w:b/>
          <w:color w:val="000000" w:themeColor="text1"/>
          <w:szCs w:val="24"/>
          <w:highlight w:val="none"/>
          <w14:textFill>
            <w14:solidFill>
              <w14:schemeClr w14:val="tx1"/>
            </w14:solidFill>
          </w14:textFill>
        </w:rPr>
        <w:t>2.5组织设计交底</w:t>
      </w:r>
      <w:bookmarkEnd w:id="1382"/>
      <w:bookmarkEnd w:id="1383"/>
      <w:bookmarkEnd w:id="1384"/>
      <w:bookmarkEnd w:id="1385"/>
      <w:bookmarkEnd w:id="138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发包人应当</w:t>
      </w:r>
      <w:r>
        <w:rPr>
          <w:rFonts w:hint="eastAsia" w:hAnsi="宋体"/>
          <w:color w:val="000000" w:themeColor="text1"/>
          <w:sz w:val="24"/>
          <w:highlight w:val="none"/>
          <w14:textFill>
            <w14:solidFill>
              <w14:schemeClr w14:val="tx1"/>
            </w14:solidFill>
          </w14:textFill>
        </w:rPr>
        <w:t>在开工通知中载明的开工日期</w:t>
      </w:r>
      <w:r>
        <w:rPr>
          <w:rFonts w:hAnsi="宋体"/>
          <w:color w:val="000000" w:themeColor="text1"/>
          <w:sz w:val="24"/>
          <w:highlight w:val="none"/>
          <w14:textFill>
            <w14:solidFill>
              <w14:schemeClr w14:val="tx1"/>
            </w14:solidFill>
          </w14:textFill>
        </w:rPr>
        <w:t>前组织设计人向承包人进行合同工程总体设计交底</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包括图纸会审</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。发包人还应按照合同进度计划中载明的阶段性设计交底时间组织和安排阶段工程设计交底</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包括图纸会审</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。承包人可以书面方式通过监理人向发包人申请增加紧急的设计交底，发包人在认为确有必要且条件许可时，应当尽快组织这类设计交底。</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87" w:name="_Toc100504282"/>
      <w:bookmarkStart w:id="1388" w:name="_Toc12548"/>
      <w:bookmarkStart w:id="1389" w:name="_Toc17221"/>
      <w:bookmarkStart w:id="1390" w:name="_Toc354042213"/>
      <w:bookmarkStart w:id="1391" w:name="_Toc31688"/>
      <w:r>
        <w:rPr>
          <w:rFonts w:eastAsia="宋体" w:cs="Times New Roman"/>
          <w:b/>
          <w:color w:val="000000" w:themeColor="text1"/>
          <w:szCs w:val="24"/>
          <w:highlight w:val="none"/>
          <w14:textFill>
            <w14:solidFill>
              <w14:schemeClr w14:val="tx1"/>
            </w14:solidFill>
          </w14:textFill>
        </w:rPr>
        <w:t>2.8其他义务</w:t>
      </w:r>
      <w:bookmarkEnd w:id="1387"/>
      <w:bookmarkEnd w:id="1388"/>
      <w:bookmarkEnd w:id="1389"/>
      <w:bookmarkEnd w:id="1390"/>
      <w:bookmarkEnd w:id="139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）协助承包人</w:t>
      </w:r>
      <w:r>
        <w:rPr>
          <w:rFonts w:hAnsi="宋体"/>
          <w:color w:val="000000" w:themeColor="text1"/>
          <w:sz w:val="24"/>
          <w:highlight w:val="none"/>
          <w14:textFill>
            <w14:solidFill>
              <w14:schemeClr w14:val="tx1"/>
            </w14:solidFill>
          </w14:textFill>
        </w:rPr>
        <w:t>按有关规定及时办理工程施工许可证</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质量</w:t>
      </w:r>
      <w:r>
        <w:rPr>
          <w:rFonts w:hint="eastAsia" w:hAnsi="宋体"/>
          <w:color w:val="000000" w:themeColor="text1"/>
          <w:sz w:val="24"/>
          <w:highlight w:val="none"/>
          <w14:textFill>
            <w14:solidFill>
              <w14:schemeClr w14:val="tx1"/>
            </w14:solidFill>
          </w14:textFill>
        </w:rPr>
        <w:t>安全</w:t>
      </w:r>
      <w:r>
        <w:rPr>
          <w:rFonts w:hAnsi="宋体"/>
          <w:color w:val="000000" w:themeColor="text1"/>
          <w:sz w:val="24"/>
          <w:highlight w:val="none"/>
          <w14:textFill>
            <w14:solidFill>
              <w14:schemeClr w14:val="tx1"/>
            </w14:solidFill>
          </w14:textFill>
        </w:rPr>
        <w:t>监督手续。</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根据建设行政主管部门和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城市建设档案管理机构的规定，收集、整理、立卷、归档工程资料，并按规定时间向建设行政主管部门或者城市建设档案管理机构移交规定的工程档案</w:t>
      </w:r>
      <w:r>
        <w:rPr>
          <w:rFonts w:hint="eastAsia"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批准和确认：按合同约定应当由监理人</w:t>
      </w:r>
      <w:r>
        <w:rPr>
          <w:rFonts w:hint="eastAsia" w:hAnsi="宋体"/>
          <w:color w:val="000000" w:themeColor="text1"/>
          <w:sz w:val="24"/>
          <w:highlight w:val="none"/>
          <w14:textFill>
            <w14:solidFill>
              <w14:schemeClr w14:val="tx1"/>
            </w14:solidFill>
          </w14:textFill>
        </w:rPr>
        <w:t>和</w:t>
      </w:r>
      <w:r>
        <w:rPr>
          <w:rFonts w:hAnsi="宋体"/>
          <w:color w:val="000000" w:themeColor="text1"/>
          <w:sz w:val="24"/>
          <w:highlight w:val="none"/>
          <w14:textFill>
            <w14:solidFill>
              <w14:schemeClr w14:val="tx1"/>
            </w14:solidFill>
          </w14:textFill>
        </w:rPr>
        <w:t>发包人回复、批复、批准、确认或提出修改意见的承包人的要求、请求、申请和报批等，自监理人</w:t>
      </w:r>
      <w:r>
        <w:rPr>
          <w:rFonts w:hint="eastAsia" w:hAnsi="宋体"/>
          <w:color w:val="000000" w:themeColor="text1"/>
          <w:sz w:val="24"/>
          <w:highlight w:val="none"/>
          <w14:textFill>
            <w14:solidFill>
              <w14:schemeClr w14:val="tx1"/>
            </w14:solidFill>
          </w14:textFill>
        </w:rPr>
        <w:t>和</w:t>
      </w:r>
      <w:r>
        <w:rPr>
          <w:rFonts w:hAnsi="宋体"/>
          <w:color w:val="000000" w:themeColor="text1"/>
          <w:sz w:val="24"/>
          <w:highlight w:val="none"/>
          <w14:textFill>
            <w14:solidFill>
              <w14:schemeClr w14:val="tx1"/>
            </w14:solidFill>
          </w14:textFill>
        </w:rPr>
        <w:t>发包人指定的接收人收到承包人发出的相应要求、请求、申请和报批之日起，如果监理人</w:t>
      </w:r>
      <w:r>
        <w:rPr>
          <w:rFonts w:hint="eastAsia" w:hAnsi="宋体"/>
          <w:color w:val="000000" w:themeColor="text1"/>
          <w:sz w:val="24"/>
          <w:highlight w:val="none"/>
          <w14:textFill>
            <w14:solidFill>
              <w14:schemeClr w14:val="tx1"/>
            </w14:solidFill>
          </w14:textFill>
        </w:rPr>
        <w:t>和</w:t>
      </w:r>
      <w:r>
        <w:rPr>
          <w:rFonts w:hAnsi="宋体"/>
          <w:color w:val="000000" w:themeColor="text1"/>
          <w:sz w:val="24"/>
          <w:highlight w:val="none"/>
          <w14:textFill>
            <w14:solidFill>
              <w14:schemeClr w14:val="tx1"/>
            </w14:solidFill>
          </w14:textFill>
        </w:rPr>
        <w:t>发包人在合同约定的期限内未予回复、批复、批准、确认或提出修改意见的，视为监理人和发包人已经同意、确认或者批准。</w:t>
      </w:r>
    </w:p>
    <w:p>
      <w:pPr>
        <w:spacing w:line="360" w:lineRule="auto"/>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 xml:space="preserve">   （4）将施工所需的水、电、电讯线路接至施工场地的时间、地点和供应要求：发包人不提供水、电接驳点，由承包人自行解决，通讯由承包人自行负责。施工场地内接驳水、电管线和用电、用水、通讯等费用已包含在本签约合同价内，承包人安装独立的施工用水、用电计量表，按水表、电表实际用量缴回水电费给供给单位。承包人为保证工期和质量而采取的其他措施（包括自行发电、自行供水等）所发生的相关费用发包人不再补偿。</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（5）施工场地与公共道路的通道、施工场地内的主要道路的开通时间和要求：</w:t>
      </w:r>
      <w:r>
        <w:rPr>
          <w:rFonts w:hint="eastAsia"/>
          <w:color w:val="000000" w:themeColor="text1"/>
          <w:sz w:val="24"/>
          <w:highlight w:val="none"/>
          <w:u w:val="single"/>
          <w14:textFill>
            <w14:solidFill>
              <w14:schemeClr w14:val="tx1"/>
            </w14:solidFill>
          </w14:textFill>
        </w:rPr>
        <w:t>无约定</w:t>
      </w:r>
      <w:r>
        <w:rPr>
          <w:rFonts w:hint="eastAsia"/>
          <w:color w:val="000000" w:themeColor="text1"/>
          <w:sz w:val="24"/>
          <w:highlight w:val="none"/>
          <w14:textFill>
            <w14:solidFill>
              <w14:schemeClr w14:val="tx1"/>
            </w14:solidFill>
          </w14:textFill>
        </w:rPr>
        <w:t>。</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（6）工程地质和地下管线资料的提供时间：开工前三个日历天内，提供地质资料；提供地下管线资料仅供参考，承包人需自行勘查复核，有关费用已包含在本签约合同价内。</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7）由发包人办理的施工所需证件、批件的名称和完成时间：开工前三个日历天内，该工作委托承包人办理完成，相关配合办理的费用已包含在签约合同价内（不包含合理工期内应由发包人支付的路产赔偿费，占道施工费，航道封航费及法律法规明确由发包人承担的费用），发包人只提供立项批文等施工所需证件。其中施工临时用地、停水、停电、中断道路交通、爆破作业等申请批准手续由承包人自行办理。</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（8）水准点与座标控制点交验要求：开工前三个日历天内以书面形式交验。</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（9）协调处理施工场地周围地下管线和邻近建筑物、构筑物（含文物保护建筑）、绿化、古树名木的保护工作：由承包人自行勘查和负责保护，有关费用已包含在本签约合同价内，发包人不再承担任何费用。</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对施工扬尘污染防治负总责，督促承包人：编制建设工程施工扬尘污染防治专项方案、落实施工现场各项扬尘防治措施及建立扬尘污染防治检查制度；办理工程渣土消纳处置手续。施工扬尘防治相关费用包含在本签约合同价内。</w:t>
      </w:r>
    </w:p>
    <w:p>
      <w:pPr>
        <w:spacing w:line="360" w:lineRule="auto"/>
        <w:rPr>
          <w:rFonts w:hint="eastAsia"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pgNum/>
      </w:r>
      <w:r>
        <w:rPr>
          <w:rFonts w:hint="eastAsia"/>
          <w:color w:val="000000" w:themeColor="text1"/>
          <w:sz w:val="24"/>
          <w:highlight w:val="none"/>
          <w14:textFill>
            <w14:solidFill>
              <w14:schemeClr w14:val="tx1"/>
            </w14:solidFill>
          </w14:textFill>
        </w:rPr>
        <w:pgNum/>
      </w:r>
      <w:r>
        <w:rPr>
          <w:rFonts w:hint="eastAsia"/>
          <w:color w:val="000000" w:themeColor="text1"/>
          <w:sz w:val="24"/>
          <w:highlight w:val="none"/>
          <w14:textFill>
            <w14:solidFill>
              <w14:schemeClr w14:val="tx1"/>
            </w14:solidFill>
          </w14:textFill>
        </w:rPr>
        <w:pgNum/>
      </w:r>
      <w:r>
        <w:rPr>
          <w:rFonts w:hint="eastAsia"/>
          <w:color w:val="000000" w:themeColor="text1"/>
          <w:sz w:val="24"/>
          <w:highlight w:val="none"/>
          <w14:textFill>
            <w14:solidFill>
              <w14:schemeClr w14:val="tx1"/>
            </w14:solidFill>
          </w14:textFill>
        </w:rPr>
        <w:t>（11）发包人保留对用于本合同工程的材料和工程设备的品质、质量提交质量监督检验机构（包括本合同约定的质量监督检验机构和法律法规规定的质量监督检验机构）审查确认的权利</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（12）发包人委托承包人办理的工作：对通用条款中应由发包人承担的工作而发包人委托承包人承担的，承包人已在投标时审慎报价，有关费用已包含在签约合同价中，发包人不再作补偿。</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392" w:name="_Toc25880"/>
      <w:bookmarkStart w:id="1393" w:name="_Toc354042214"/>
      <w:bookmarkStart w:id="1394" w:name="_Toc29440"/>
      <w:bookmarkStart w:id="1395" w:name="_Toc100504283"/>
      <w:bookmarkStart w:id="1396" w:name="_Toc27828"/>
      <w:r>
        <w:rPr>
          <w:rFonts w:hAnsi="宋体"/>
          <w:b/>
          <w:color w:val="000000" w:themeColor="text1"/>
          <w:sz w:val="24"/>
          <w:highlight w:val="none"/>
          <w14:textFill>
            <w14:solidFill>
              <w14:schemeClr w14:val="tx1"/>
            </w14:solidFill>
          </w14:textFill>
        </w:rPr>
        <w:t>3.</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监理人</w:t>
      </w:r>
      <w:bookmarkEnd w:id="1392"/>
      <w:bookmarkEnd w:id="1393"/>
      <w:bookmarkEnd w:id="1394"/>
      <w:bookmarkEnd w:id="1395"/>
      <w:bookmarkEnd w:id="139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397" w:name="_Toc22924"/>
      <w:bookmarkStart w:id="1398" w:name="_Toc100504284"/>
      <w:bookmarkStart w:id="1399" w:name="_Toc354042215"/>
      <w:bookmarkStart w:id="1400" w:name="_Toc3217"/>
      <w:bookmarkStart w:id="1401" w:name="_Toc21396"/>
      <w:r>
        <w:rPr>
          <w:rFonts w:eastAsia="宋体" w:cs="Times New Roman"/>
          <w:b/>
          <w:color w:val="000000" w:themeColor="text1"/>
          <w:szCs w:val="24"/>
          <w:highlight w:val="none"/>
          <w14:textFill>
            <w14:solidFill>
              <w14:schemeClr w14:val="tx1"/>
            </w14:solidFill>
          </w14:textFill>
        </w:rPr>
        <w:t>3.1监理人的职责和权力</w:t>
      </w:r>
      <w:bookmarkEnd w:id="1397"/>
      <w:bookmarkEnd w:id="1398"/>
      <w:bookmarkEnd w:id="1399"/>
      <w:bookmarkEnd w:id="1400"/>
      <w:bookmarkEnd w:id="1401"/>
    </w:p>
    <w:p>
      <w:pPr>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3.1.1</w:t>
      </w:r>
      <w:r>
        <w:rPr>
          <w:rFonts w:hAnsi="宋体"/>
          <w:color w:val="000000" w:themeColor="text1"/>
          <w:sz w:val="24"/>
          <w:highlight w:val="none"/>
          <w14:textFill>
            <w14:solidFill>
              <w14:schemeClr w14:val="tx1"/>
            </w14:solidFill>
          </w14:textFill>
        </w:rPr>
        <w:t>须经发包人批准行使的权力：</w:t>
      </w:r>
      <w:r>
        <w:rPr>
          <w:rFonts w:hint="eastAsia"/>
          <w:color w:val="000000" w:themeColor="text1"/>
          <w:sz w:val="24"/>
          <w:highlight w:val="none"/>
          <w14:textFill>
            <w14:solidFill>
              <w14:schemeClr w14:val="tx1"/>
            </w14:solidFill>
          </w14:textFill>
        </w:rPr>
        <w:t>按通用合同条款第3.1.1项执行</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不管通用合同条款第</w:t>
      </w:r>
      <w:r>
        <w:rPr>
          <w:color w:val="000000" w:themeColor="text1"/>
          <w:sz w:val="24"/>
          <w:highlight w:val="none"/>
          <w14:textFill>
            <w14:solidFill>
              <w14:schemeClr w14:val="tx1"/>
            </w14:solidFill>
          </w14:textFill>
        </w:rPr>
        <w:t>3.1.1</w:t>
      </w:r>
      <w:r>
        <w:rPr>
          <w:rFonts w:hAnsi="宋体"/>
          <w:color w:val="000000" w:themeColor="text1"/>
          <w:sz w:val="24"/>
          <w:highlight w:val="none"/>
          <w14:textFill>
            <w14:solidFill>
              <w14:schemeClr w14:val="tx1"/>
            </w14:solidFill>
          </w14:textFill>
        </w:rPr>
        <w:t>项如何约定，监理人履行须经发包人批准行使的权力时，应当向承包人出示其行使该权力已经取得发包人批准的文件或者其他合法有效的证明。</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402" w:name="_Toc100504285"/>
      <w:bookmarkStart w:id="1403" w:name="_Toc8250"/>
      <w:bookmarkStart w:id="1404" w:name="_Toc18206"/>
      <w:bookmarkStart w:id="1405" w:name="_Toc12539"/>
      <w:r>
        <w:rPr>
          <w:rFonts w:eastAsia="宋体" w:cs="Times New Roman"/>
          <w:b/>
          <w:color w:val="000000" w:themeColor="text1"/>
          <w:szCs w:val="24"/>
          <w:highlight w:val="none"/>
          <w14:textFill>
            <w14:solidFill>
              <w14:schemeClr w14:val="tx1"/>
            </w14:solidFill>
          </w14:textFill>
        </w:rPr>
        <w:t>3.</w:t>
      </w:r>
      <w:r>
        <w:rPr>
          <w:rFonts w:hint="eastAsia" w:eastAsia="宋体" w:cs="Times New Roman"/>
          <w:b/>
          <w:color w:val="000000" w:themeColor="text1"/>
          <w:szCs w:val="24"/>
          <w:highlight w:val="none"/>
          <w14:textFill>
            <w14:solidFill>
              <w14:schemeClr w14:val="tx1"/>
            </w14:solidFill>
          </w14:textFill>
        </w:rPr>
        <w:t>2总监理工程师 （另详本项目《委托监理合同》）</w:t>
      </w:r>
      <w:bookmarkEnd w:id="1402"/>
      <w:bookmarkEnd w:id="1403"/>
      <w:bookmarkEnd w:id="1404"/>
      <w:bookmarkEnd w:id="1405"/>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监理单位：</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姓名：</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职权：</w:t>
      </w:r>
      <w:r>
        <w:rPr>
          <w:rFonts w:hint="eastAsia" w:hAnsi="宋体"/>
          <w:color w:val="000000" w:themeColor="text1"/>
          <w:sz w:val="24"/>
          <w:highlight w:val="none"/>
          <w:u w:val="single"/>
          <w14:textFill>
            <w14:solidFill>
              <w14:schemeClr w14:val="tx1"/>
            </w14:solidFill>
          </w14:textFill>
        </w:rPr>
        <w:t>按发包人与本工程监理单位签订的委托监理合同执行</w:t>
      </w:r>
      <w:r>
        <w:rPr>
          <w:rFonts w:hint="eastAsia"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06" w:name="_Toc1903"/>
      <w:bookmarkStart w:id="1407" w:name="_Toc354042216"/>
      <w:bookmarkStart w:id="1408" w:name="_Toc26080"/>
      <w:bookmarkStart w:id="1409" w:name="_Toc21365"/>
      <w:bookmarkStart w:id="1410" w:name="_Toc100504286"/>
      <w:r>
        <w:rPr>
          <w:rFonts w:eastAsia="宋体" w:cs="Times New Roman"/>
          <w:b/>
          <w:color w:val="000000" w:themeColor="text1"/>
          <w:szCs w:val="24"/>
          <w:highlight w:val="none"/>
          <w14:textFill>
            <w14:solidFill>
              <w14:schemeClr w14:val="tx1"/>
            </w14:solidFill>
          </w14:textFill>
        </w:rPr>
        <w:t>3.3监理人员</w:t>
      </w:r>
      <w:bookmarkEnd w:id="1406"/>
      <w:bookmarkEnd w:id="1407"/>
      <w:bookmarkEnd w:id="1408"/>
      <w:bookmarkEnd w:id="1409"/>
      <w:bookmarkEnd w:id="141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3.3.4</w:t>
      </w:r>
      <w:r>
        <w:rPr>
          <w:rFonts w:hAnsi="宋体"/>
          <w:color w:val="000000" w:themeColor="text1"/>
          <w:sz w:val="24"/>
          <w:highlight w:val="none"/>
          <w14:textFill>
            <w14:solidFill>
              <w14:schemeClr w14:val="tx1"/>
            </w14:solidFill>
          </w14:textFill>
        </w:rPr>
        <w:t>总监理工程师不应将合同条款第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款约定应由总监理工程师作出确定的权力授权或者委托给其他监理人员。</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11" w:name="_Toc354042217"/>
      <w:bookmarkStart w:id="1412" w:name="_Toc27121"/>
      <w:bookmarkStart w:id="1413" w:name="_Toc100504287"/>
      <w:bookmarkStart w:id="1414" w:name="_Toc5714"/>
      <w:bookmarkStart w:id="1415" w:name="_Toc17723"/>
      <w:r>
        <w:rPr>
          <w:rFonts w:eastAsia="宋体" w:cs="Times New Roman"/>
          <w:b/>
          <w:color w:val="000000" w:themeColor="text1"/>
          <w:szCs w:val="24"/>
          <w:highlight w:val="none"/>
          <w14:textFill>
            <w14:solidFill>
              <w14:schemeClr w14:val="tx1"/>
            </w14:solidFill>
          </w14:textFill>
        </w:rPr>
        <w:t>3.4监理人的指示</w:t>
      </w:r>
      <w:bookmarkEnd w:id="1411"/>
      <w:bookmarkEnd w:id="1412"/>
      <w:bookmarkEnd w:id="1413"/>
      <w:bookmarkEnd w:id="1414"/>
      <w:bookmarkEnd w:id="141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3.4.4</w:t>
      </w:r>
      <w:r>
        <w:rPr>
          <w:rFonts w:hAnsi="宋体"/>
          <w:color w:val="000000" w:themeColor="text1"/>
          <w:sz w:val="24"/>
          <w:highlight w:val="none"/>
          <w14:textFill>
            <w14:solidFill>
              <w14:schemeClr w14:val="tx1"/>
            </w14:solidFill>
          </w14:textFill>
        </w:rPr>
        <w:t>除通用合同条款已有的专门约定外，承包人只能从总监理工程师或按第</w:t>
      </w:r>
      <w:r>
        <w:rPr>
          <w:color w:val="000000" w:themeColor="text1"/>
          <w:sz w:val="24"/>
          <w:highlight w:val="none"/>
          <w14:textFill>
            <w14:solidFill>
              <w14:schemeClr w14:val="tx1"/>
            </w14:solidFill>
          </w14:textFill>
        </w:rPr>
        <w:t>3.3.1</w:t>
      </w:r>
      <w:r>
        <w:rPr>
          <w:rFonts w:hAnsi="宋体"/>
          <w:color w:val="000000" w:themeColor="text1"/>
          <w:sz w:val="24"/>
          <w:highlight w:val="none"/>
          <w14:textFill>
            <w14:solidFill>
              <w14:schemeClr w14:val="tx1"/>
            </w14:solidFill>
          </w14:textFill>
        </w:rPr>
        <w:t>项授权的监理人员处取得指示，发包人应当通过监理人向承包人发出指示。</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16" w:name="_Toc354042218"/>
      <w:bookmarkStart w:id="1417" w:name="_Toc13390"/>
      <w:bookmarkStart w:id="1418" w:name="_Toc15866"/>
      <w:bookmarkStart w:id="1419" w:name="_Toc10684"/>
      <w:bookmarkStart w:id="1420" w:name="_Toc100504288"/>
      <w:r>
        <w:rPr>
          <w:rFonts w:eastAsia="宋体" w:cs="Times New Roman"/>
          <w:b/>
          <w:color w:val="000000" w:themeColor="text1"/>
          <w:szCs w:val="24"/>
          <w:highlight w:val="none"/>
          <w14:textFill>
            <w14:solidFill>
              <w14:schemeClr w14:val="tx1"/>
            </w14:solidFill>
          </w14:textFill>
        </w:rPr>
        <w:t>3.6监理人的宽恕</w:t>
      </w:r>
      <w:bookmarkEnd w:id="1416"/>
      <w:bookmarkEnd w:id="1417"/>
      <w:bookmarkEnd w:id="1418"/>
      <w:bookmarkEnd w:id="1419"/>
      <w:bookmarkEnd w:id="1420"/>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421" w:name="_Toc100504289"/>
      <w:bookmarkStart w:id="1422" w:name="_Toc5168"/>
      <w:bookmarkStart w:id="1423" w:name="_Toc17249"/>
      <w:bookmarkStart w:id="1424" w:name="_Toc354042219"/>
      <w:bookmarkStart w:id="1425" w:name="_Toc13908"/>
      <w:r>
        <w:rPr>
          <w:rFonts w:hAnsi="宋体"/>
          <w:b/>
          <w:color w:val="000000" w:themeColor="text1"/>
          <w:sz w:val="24"/>
          <w:highlight w:val="none"/>
          <w14:textFill>
            <w14:solidFill>
              <w14:schemeClr w14:val="tx1"/>
            </w14:solidFill>
          </w14:textFill>
        </w:rPr>
        <w:t>4.</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承包人</w:t>
      </w:r>
      <w:bookmarkEnd w:id="1421"/>
      <w:bookmarkEnd w:id="1422"/>
      <w:bookmarkEnd w:id="1423"/>
      <w:bookmarkEnd w:id="1424"/>
      <w:bookmarkEnd w:id="142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26" w:name="_Toc100504290"/>
      <w:bookmarkStart w:id="1427" w:name="_Toc31900"/>
      <w:bookmarkStart w:id="1428" w:name="_Toc4629"/>
      <w:bookmarkStart w:id="1429" w:name="_Toc354042220"/>
      <w:bookmarkStart w:id="1430" w:name="_Toc7810"/>
      <w:r>
        <w:rPr>
          <w:rFonts w:eastAsia="宋体" w:cs="Times New Roman"/>
          <w:b/>
          <w:color w:val="000000" w:themeColor="text1"/>
          <w:szCs w:val="24"/>
          <w:highlight w:val="none"/>
          <w14:textFill>
            <w14:solidFill>
              <w14:schemeClr w14:val="tx1"/>
            </w14:solidFill>
          </w14:textFill>
        </w:rPr>
        <w:t>4.1承包人的一般义务</w:t>
      </w:r>
      <w:bookmarkEnd w:id="1426"/>
      <w:bookmarkEnd w:id="1427"/>
      <w:bookmarkEnd w:id="1428"/>
      <w:bookmarkEnd w:id="1429"/>
      <w:bookmarkEnd w:id="1430"/>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4.1.3</w:t>
      </w:r>
      <w:r>
        <w:rPr>
          <w:rFonts w:hAnsi="宋体"/>
          <w:color w:val="000000" w:themeColor="text1"/>
          <w:sz w:val="24"/>
          <w:highlight w:val="none"/>
          <w14:textFill>
            <w14:solidFill>
              <w14:schemeClr w14:val="tx1"/>
            </w14:solidFill>
          </w14:textFill>
        </w:rPr>
        <w:t>除专用合同条款第</w:t>
      </w:r>
      <w:r>
        <w:rPr>
          <w:color w:val="000000" w:themeColor="text1"/>
          <w:sz w:val="24"/>
          <w:highlight w:val="none"/>
          <w14:textFill>
            <w14:solidFill>
              <w14:schemeClr w14:val="tx1"/>
            </w14:solidFill>
          </w14:textFill>
        </w:rPr>
        <w:t>5.2</w:t>
      </w:r>
      <w:r>
        <w:rPr>
          <w:rFonts w:hAnsi="宋体"/>
          <w:color w:val="000000" w:themeColor="text1"/>
          <w:sz w:val="24"/>
          <w:highlight w:val="none"/>
          <w14:textFill>
            <w14:solidFill>
              <w14:schemeClr w14:val="tx1"/>
            </w14:solidFill>
          </w14:textFill>
        </w:rPr>
        <w:t>款约定由发包人提供的材料和工程设备和第</w:t>
      </w:r>
      <w:r>
        <w:rPr>
          <w:color w:val="000000" w:themeColor="text1"/>
          <w:sz w:val="24"/>
          <w:highlight w:val="none"/>
          <w14:textFill>
            <w14:solidFill>
              <w14:schemeClr w14:val="tx1"/>
            </w14:solidFill>
          </w14:textFill>
        </w:rPr>
        <w:t>6.2</w:t>
      </w:r>
      <w:r>
        <w:rPr>
          <w:rFonts w:hAnsi="宋体"/>
          <w:color w:val="000000" w:themeColor="text1"/>
          <w:sz w:val="24"/>
          <w:highlight w:val="none"/>
          <w14:textFill>
            <w14:solidFill>
              <w14:schemeClr w14:val="tx1"/>
            </w14:solidFill>
          </w14:textFill>
        </w:rPr>
        <w:t>款约定由发包人提供的施工设备和临时设施外，承包人应负责提供为完成合同工作所需的劳务、材料、施工设备、工程设备和其他物品，并按合同约定负责临时设施的设计、建造、运行、维护、管理和拆除。</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4.1.4</w:t>
      </w:r>
      <w:r>
        <w:rPr>
          <w:rFonts w:hAnsi="宋体"/>
          <w:color w:val="000000" w:themeColor="text1"/>
          <w:sz w:val="24"/>
          <w:highlight w:val="none"/>
          <w14:textFill>
            <w14:solidFill>
              <w14:schemeClr w14:val="tx1"/>
            </w14:solidFill>
          </w14:textFill>
        </w:rPr>
        <w:t>承包人应按合同约定的工作内容和施工进度要求，编制施工组织设计</w:t>
      </w:r>
      <w:r>
        <w:rPr>
          <w:rFonts w:hint="eastAsia" w:hAnsi="宋体"/>
          <w:color w:val="000000" w:themeColor="text1"/>
          <w:sz w:val="24"/>
          <w:highlight w:val="none"/>
          <w14:textFill>
            <w14:solidFill>
              <w14:schemeClr w14:val="tx1"/>
            </w14:solidFill>
          </w14:textFill>
        </w:rPr>
        <w:t>专项施工方案</w:t>
      </w:r>
      <w:r>
        <w:rPr>
          <w:rFonts w:hAnsi="宋体"/>
          <w:color w:val="000000" w:themeColor="text1"/>
          <w:sz w:val="24"/>
          <w:highlight w:val="none"/>
          <w14:textFill>
            <w14:solidFill>
              <w14:schemeClr w14:val="tx1"/>
            </w14:solidFill>
          </w14:textFill>
        </w:rPr>
        <w:t>和施工措施计划</w:t>
      </w:r>
      <w:r>
        <w:rPr>
          <w:rFonts w:hint="eastAsia" w:hAnsi="宋体"/>
          <w:color w:val="000000" w:themeColor="text1"/>
          <w:sz w:val="24"/>
          <w:highlight w:val="none"/>
          <w14:textFill>
            <w14:solidFill>
              <w14:schemeClr w14:val="tx1"/>
            </w14:solidFill>
          </w14:textFill>
        </w:rPr>
        <w:t>及其评审</w:t>
      </w:r>
      <w:r>
        <w:rPr>
          <w:rFonts w:hAnsi="宋体"/>
          <w:color w:val="000000" w:themeColor="text1"/>
          <w:sz w:val="24"/>
          <w:highlight w:val="none"/>
          <w14:textFill>
            <w14:solidFill>
              <w14:schemeClr w14:val="tx1"/>
            </w14:solidFill>
          </w14:textFill>
        </w:rPr>
        <w:t>，并对所有施工作业和施工方法的完备性和安全可靠性负责。</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（1）应提供计划、报表的名称及完成时间：每周五提交该周内工程进度表（含现场施工照片）；每月十五号提供该月一次完成工作量报表及余下工程施工进度计划报表各一份。</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承担施工安全保卫工作及非夜间施工照明的责任和要求：由承包人提供和维修白天或夜间施工使用的照明、围栏设施，并负责安全保卫。若承包人未履行上述义务造成工程、财产、人身损害等，由承包人承担责任及因此所发生的一切费用，该项费用已包含在签约合同价内。</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4.1.6</w:t>
      </w:r>
      <w:r>
        <w:rPr>
          <w:color w:val="000000" w:themeColor="text1"/>
          <w:sz w:val="24"/>
          <w:highlight w:val="none"/>
          <w14:textFill>
            <w14:solidFill>
              <w14:schemeClr w14:val="tx1"/>
            </w14:solidFill>
          </w14:textFill>
        </w:rPr>
        <w:t>负责施工场地及其周边环境与生态的保护工作</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（1）办理有关施工场地交通、环卫和施工噪音管理等手续；</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施工场地清洁卫生的要求：承包人必须按广州市和番禺区文明施工管理有关规定执行，做好施工场地的文明施工措施，符合有关部门的文明施工要求；在竣工后搬走所有施工机械、垃圾及剩余材料，并使竣工现场干净、整齐。有关费用已包含在签约合同价内。</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承包人文明施工措施不能满足施工合同约定，发包人不予支付文明施工措施费用。</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承担工程期间工地旁边的农用排灌、水利泄洪设施的监督、管理和维护。因监督、管理和维护不当导致附近的民居、农作物等受损的，承包人自行对受害人进行协商赔偿。</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color w:val="000000" w:themeColor="text1"/>
          <w:sz w:val="24"/>
          <w:highlight w:val="none"/>
          <w14:textFill>
            <w14:solidFill>
              <w14:schemeClr w14:val="tx1"/>
            </w14:solidFill>
          </w14:textFill>
        </w:rPr>
        <w:t>承担降雨等恶劣天气或地质灾害导致工地的设备、设施、杂物或工地排水损坏附近民居、农作物等的赔偿责任。</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r>
        <w:rPr>
          <w:rFonts w:hint="eastAsia"/>
          <w:color w:val="000000" w:themeColor="text1"/>
          <w:sz w:val="24"/>
          <w:highlight w:val="none"/>
          <w14:textFill>
            <w14:solidFill>
              <w14:schemeClr w14:val="tx1"/>
            </w14:solidFill>
          </w14:textFill>
        </w:rPr>
        <w:t>负责缺陷责任期间工程的养护与清扫工作。</w:t>
      </w:r>
    </w:p>
    <w:p>
      <w:pPr>
        <w:spacing w:line="360" w:lineRule="auto"/>
        <w:ind w:firstLine="480" w:firstLineChars="200"/>
        <w:outlineLvl w:val="0"/>
        <w:rPr>
          <w:color w:val="000000" w:themeColor="text1"/>
          <w:sz w:val="24"/>
          <w:highlight w:val="none"/>
          <w14:textFill>
            <w14:solidFill>
              <w14:schemeClr w14:val="tx1"/>
            </w14:solidFill>
          </w14:textFill>
        </w:rPr>
      </w:pPr>
      <w:bookmarkStart w:id="1431" w:name="_Toc21674"/>
      <w:bookmarkStart w:id="1432" w:name="_Toc354042221"/>
      <w:bookmarkStart w:id="1433" w:name="_Toc353466306"/>
      <w:bookmarkStart w:id="1434" w:name="_Toc100504291"/>
      <w:bookmarkStart w:id="1435" w:name="_Toc15602"/>
      <w:bookmarkStart w:id="1436" w:name="_Toc7918"/>
      <w:r>
        <w:rPr>
          <w:color w:val="000000" w:themeColor="text1"/>
          <w:sz w:val="24"/>
          <w:highlight w:val="none"/>
          <w14:textFill>
            <w14:solidFill>
              <w14:schemeClr w14:val="tx1"/>
            </w14:solidFill>
          </w14:textFill>
        </w:rPr>
        <w:t>4.1.8</w:t>
      </w:r>
      <w:r>
        <w:rPr>
          <w:rFonts w:hAnsi="宋体"/>
          <w:color w:val="000000" w:themeColor="text1"/>
          <w:sz w:val="24"/>
          <w:highlight w:val="none"/>
          <w14:textFill>
            <w14:solidFill>
              <w14:schemeClr w14:val="tx1"/>
            </w14:solidFill>
          </w14:textFill>
        </w:rPr>
        <w:t>为他人提供方便</w:t>
      </w:r>
      <w:bookmarkEnd w:id="1431"/>
      <w:bookmarkEnd w:id="1432"/>
      <w:bookmarkEnd w:id="1433"/>
      <w:bookmarkEnd w:id="1434"/>
      <w:bookmarkEnd w:id="1435"/>
      <w:bookmarkEnd w:id="1436"/>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承包人应当对在施工场地或者附近实施与合同工程有关的其他工作的独立承包人履行管理、协调、配合、照管和服务义务，由此发生的费用被认为已经包括在承包人的签约合同价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投标总报价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中</w:t>
      </w:r>
      <w:r>
        <w:rPr>
          <w:rFonts w:hint="eastAsia"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承包人还应按监理人指示为独立承包人以外的他人在施工场地或者附近实施与合同工程有关的其他工作提供可能的条件，可能发生费用由监理人按</w:t>
      </w:r>
      <w:r>
        <w:rPr>
          <w:rFonts w:hint="eastAsia" w:hAnsi="宋体"/>
          <w:color w:val="000000" w:themeColor="text1"/>
          <w:sz w:val="24"/>
          <w:highlight w:val="none"/>
          <w14:textFill>
            <w14:solidFill>
              <w14:schemeClr w14:val="tx1"/>
            </w14:solidFill>
          </w14:textFill>
        </w:rPr>
        <w:t>通用合同条款</w:t>
      </w:r>
      <w:r>
        <w:rPr>
          <w:rFonts w:hAnsi="宋体"/>
          <w:color w:val="000000" w:themeColor="text1"/>
          <w:sz w:val="24"/>
          <w:highlight w:val="none"/>
          <w14:textFill>
            <w14:solidFill>
              <w14:schemeClr w14:val="tx1"/>
            </w14:solidFill>
          </w14:textFill>
        </w:rPr>
        <w:t>第</w:t>
      </w:r>
      <w:r>
        <w:rPr>
          <w:color w:val="000000" w:themeColor="text1"/>
          <w:sz w:val="24"/>
          <w:highlight w:val="none"/>
          <w14:textFill>
            <w14:solidFill>
              <w14:schemeClr w14:val="tx1"/>
            </w14:solidFill>
          </w14:textFill>
        </w:rPr>
        <w:t>3.5</w:t>
      </w:r>
      <w:r>
        <w:rPr>
          <w:rFonts w:hAnsi="宋体"/>
          <w:color w:val="000000" w:themeColor="text1"/>
          <w:sz w:val="24"/>
          <w:highlight w:val="none"/>
          <w14:textFill>
            <w14:solidFill>
              <w14:schemeClr w14:val="tx1"/>
            </w14:solidFill>
          </w14:textFill>
        </w:rPr>
        <w:t>款商定或者确定。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4.1.</w:t>
      </w:r>
      <w:r>
        <w:rPr>
          <w:rFonts w:hint="eastAsia"/>
          <w:color w:val="000000" w:themeColor="text1"/>
          <w:sz w:val="24"/>
          <w:highlight w:val="none"/>
          <w14:textFill>
            <w14:solidFill>
              <w14:schemeClr w14:val="tx1"/>
            </w14:solidFill>
          </w14:textFill>
        </w:rPr>
        <w:t>9</w:t>
      </w:r>
      <w:r>
        <w:rPr>
          <w:rFonts w:hAnsi="宋体"/>
          <w:color w:val="000000" w:themeColor="text1"/>
          <w:sz w:val="24"/>
          <w:highlight w:val="none"/>
          <w14:textFill>
            <w14:solidFill>
              <w14:schemeClr w14:val="tx1"/>
            </w14:solidFill>
          </w14:textFill>
        </w:rPr>
        <w:t>工程的维护和照管</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（1）已完工程成品保护的特殊要求及费用承担：承包人须负全责保护所有成品，直至工程移交为止，其费用已包括在签约合同价内。</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施工场地周围地下管线、架空线路和邻近建筑物、构筑物（含文物保护建筑）、绿化、古树名木的保护要求及费用承担：由承包人自行勘查和负责保护，因施工过程造成的破坏，由承包人负责其翻修或重建费用及其赔偿责任。</w:t>
      </w:r>
    </w:p>
    <w:p>
      <w:pPr>
        <w:spacing w:line="360" w:lineRule="auto"/>
        <w:ind w:firstLine="480" w:firstLineChars="200"/>
        <w:outlineLvl w:val="0"/>
        <w:rPr>
          <w:color w:val="000000" w:themeColor="text1"/>
          <w:sz w:val="24"/>
          <w:highlight w:val="none"/>
          <w14:textFill>
            <w14:solidFill>
              <w14:schemeClr w14:val="tx1"/>
            </w14:solidFill>
          </w14:textFill>
        </w:rPr>
      </w:pPr>
      <w:bookmarkStart w:id="1437" w:name="_Toc353466307"/>
      <w:bookmarkStart w:id="1438" w:name="_Toc100504292"/>
      <w:bookmarkStart w:id="1439" w:name="_Toc3194"/>
      <w:bookmarkStart w:id="1440" w:name="_Toc31826"/>
      <w:bookmarkStart w:id="1441" w:name="_Toc31182"/>
      <w:bookmarkStart w:id="1442" w:name="_Toc354042222"/>
      <w:r>
        <w:rPr>
          <w:color w:val="000000" w:themeColor="text1"/>
          <w:sz w:val="24"/>
          <w:highlight w:val="none"/>
          <w14:textFill>
            <w14:solidFill>
              <w14:schemeClr w14:val="tx1"/>
            </w14:solidFill>
          </w14:textFill>
        </w:rPr>
        <w:t>4.1.10</w:t>
      </w:r>
      <w:r>
        <w:rPr>
          <w:rFonts w:hAnsi="宋体"/>
          <w:color w:val="000000" w:themeColor="text1"/>
          <w:sz w:val="24"/>
          <w:highlight w:val="none"/>
          <w14:textFill>
            <w14:solidFill>
              <w14:schemeClr w14:val="tx1"/>
            </w14:solidFill>
          </w14:textFill>
        </w:rPr>
        <w:t>其他义务</w:t>
      </w:r>
      <w:bookmarkEnd w:id="1437"/>
      <w:bookmarkEnd w:id="1438"/>
      <w:bookmarkEnd w:id="1439"/>
      <w:bookmarkEnd w:id="1440"/>
      <w:bookmarkEnd w:id="1441"/>
      <w:bookmarkEnd w:id="1442"/>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vanish/>
          <w:color w:val="000000" w:themeColor="text1"/>
          <w:sz w:val="24"/>
          <w:highlight w:val="none"/>
          <w14:textFill>
            <w14:solidFill>
              <w14:schemeClr w14:val="tx1"/>
            </w14:solidFill>
          </w14:textFill>
        </w:rPr>
        <w:t>无约定。劳资纠纷的协调机构</w:t>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rFonts w:hint="eastAsia"/>
          <w:vanish/>
          <w:color w:val="000000" w:themeColor="text1"/>
          <w:sz w:val="24"/>
          <w:highlight w:val="none"/>
          <w14:textFill>
            <w14:solidFill>
              <w14:schemeClr w14:val="tx1"/>
            </w14:solidFill>
          </w14:textFill>
        </w:rPr>
        <w:pgNum/>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根据发包人委托，在其设计资质等级和业务允许的范围内，完成施工图设计或与工程配套的设计，经监理人确认后使用，发包人承担由此发生的费用和合理利润。由承包人负责完成的设计文件属于合同条款第</w:t>
      </w:r>
      <w:r>
        <w:rPr>
          <w:color w:val="000000" w:themeColor="text1"/>
          <w:sz w:val="24"/>
          <w:highlight w:val="none"/>
          <w14:textFill>
            <w14:solidFill>
              <w14:schemeClr w14:val="tx1"/>
            </w14:solidFill>
          </w14:textFill>
        </w:rPr>
        <w:t>1.6.2</w:t>
      </w:r>
      <w:r>
        <w:rPr>
          <w:rFonts w:hAnsi="宋体"/>
          <w:color w:val="000000" w:themeColor="text1"/>
          <w:sz w:val="24"/>
          <w:highlight w:val="none"/>
          <w14:textFill>
            <w14:solidFill>
              <w14:schemeClr w14:val="tx1"/>
            </w14:solidFill>
          </w14:textFill>
        </w:rPr>
        <w:t>项约定的承包人提供的文件，承包人应按照专用合同条款第</w:t>
      </w:r>
      <w:r>
        <w:rPr>
          <w:color w:val="000000" w:themeColor="text1"/>
          <w:sz w:val="24"/>
          <w:highlight w:val="none"/>
          <w14:textFill>
            <w14:solidFill>
              <w14:schemeClr w14:val="tx1"/>
            </w14:solidFill>
          </w14:textFill>
        </w:rPr>
        <w:t>1.6.2</w:t>
      </w:r>
      <w:r>
        <w:rPr>
          <w:rFonts w:hAnsi="宋体"/>
          <w:color w:val="000000" w:themeColor="text1"/>
          <w:sz w:val="24"/>
          <w:highlight w:val="none"/>
          <w14:textFill>
            <w14:solidFill>
              <w14:schemeClr w14:val="tx1"/>
            </w14:solidFill>
          </w14:textFill>
        </w:rPr>
        <w:t>项约定的期限和数量提交，由此发生的费用被认为已经包括在承包人的签约合同价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投标总报价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中。由承包人承担的施工图设计或与工程配套的设计工作内容：</w:t>
      </w:r>
      <w:r>
        <w:rPr>
          <w:rFonts w:hint="eastAsia"/>
          <w:color w:val="000000" w:themeColor="text1"/>
          <w:sz w:val="24"/>
          <w:highlight w:val="none"/>
          <w14:textFill>
            <w14:solidFill>
              <w14:schemeClr w14:val="tx1"/>
            </w14:solidFill>
          </w14:textFill>
        </w:rPr>
        <w:t>若发包人委托则另行约定</w:t>
      </w:r>
      <w:r>
        <w:rPr>
          <w:rFonts w:hAnsi="宋体"/>
          <w:color w:val="000000" w:themeColor="text1"/>
          <w:sz w:val="24"/>
          <w:highlight w:val="none"/>
          <w14:textFill>
            <w14:solidFill>
              <w14:schemeClr w14:val="tx1"/>
            </w14:solidFill>
          </w14:textFill>
        </w:rPr>
        <w:t>。</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w:t>
      </w:r>
      <w:r>
        <w:rPr>
          <w:rFonts w:hint="eastAsia" w:hAnsi="宋体" w:cs="楷体_GB2312"/>
          <w:color w:val="000000" w:themeColor="text1"/>
          <w:sz w:val="24"/>
          <w:szCs w:val="24"/>
          <w:highlight w:val="none"/>
          <w14:textFill>
            <w14:solidFill>
              <w14:schemeClr w14:val="tx1"/>
            </w14:solidFill>
          </w14:textFill>
        </w:rPr>
        <w:t>工程竣工后，承包人应按照合同约定提交工程竣工验收申请报告和竣工结算申请书文件，逾期或者不按规定提交的，发包人有权依据已有资料做出判断并报送给结算审核方，以保证结算的连续性。</w:t>
      </w:r>
    </w:p>
    <w:p>
      <w:pPr>
        <w:pStyle w:val="20"/>
        <w:spacing w:line="360" w:lineRule="auto"/>
        <w:ind w:firstLine="480" w:firstLineChars="200"/>
        <w:rPr>
          <w:rFonts w:hint="eastAsia"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（3）配合有关部门的检查、审计等工作，包括并不限于提供工程或账务资料和说明。</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color w:val="000000" w:themeColor="text1"/>
          <w:sz w:val="24"/>
          <w:highlight w:val="none"/>
          <w14:textFill>
            <w14:solidFill>
              <w14:schemeClr w14:val="tx1"/>
            </w14:solidFill>
          </w14:textFill>
        </w:rPr>
        <w:t>定位点保护、资料交接、技术交底。</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r>
        <w:rPr>
          <w:rFonts w:hint="eastAsia"/>
          <w:color w:val="000000" w:themeColor="text1"/>
          <w:sz w:val="24"/>
          <w:highlight w:val="none"/>
          <w14:textFill>
            <w14:solidFill>
              <w14:schemeClr w14:val="tx1"/>
            </w14:solidFill>
          </w14:textFill>
        </w:rPr>
        <w:t>配合本工程其他施工单位施工。</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w:t>
      </w:r>
      <w:r>
        <w:rPr>
          <w:rFonts w:hint="eastAsia"/>
          <w:color w:val="000000" w:themeColor="text1"/>
          <w:sz w:val="24"/>
          <w:highlight w:val="none"/>
          <w14:textFill>
            <w14:solidFill>
              <w14:schemeClr w14:val="tx1"/>
            </w14:solidFill>
          </w14:textFill>
        </w:rPr>
        <w:t>在发包人协助下</w:t>
      </w:r>
      <w:r>
        <w:rPr>
          <w:rFonts w:hint="eastAsia" w:hAnsi="宋体"/>
          <w:color w:val="000000" w:themeColor="text1"/>
          <w:sz w:val="24"/>
          <w:highlight w:val="none"/>
          <w14:textFill>
            <w14:solidFill>
              <w14:schemeClr w14:val="tx1"/>
            </w14:solidFill>
          </w14:textFill>
        </w:rPr>
        <w:t>收到中标通知书后30个日历天内，办理完成质监安监手续及开工前应办理完成的相关审批手续（如：镇街、公路、水利、桥梁、地铁及相关管线等报批；专项施工方案的编制及评审等）。</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w:t>
      </w:r>
      <w:r>
        <w:rPr>
          <w:rFonts w:hint="eastAsia"/>
          <w:color w:val="000000" w:themeColor="text1"/>
          <w:sz w:val="24"/>
          <w:highlight w:val="none"/>
          <w14:textFill>
            <w14:solidFill>
              <w14:schemeClr w14:val="tx1"/>
            </w14:solidFill>
          </w14:textFill>
        </w:rPr>
        <w:t>进场后每周按审定格式申报人材机投入量及实物工程量完成量，以此作为工程款（进度款）支付的依据。承包人应当清楚地预计到施工期间对外界可能产生的不可避免的干扰，并保证主动努力减少这些干扰对外界的影响，积极主动与外界进行协调。</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w:t>
      </w:r>
      <w:r>
        <w:rPr>
          <w:rFonts w:hint="eastAsia"/>
          <w:color w:val="000000" w:themeColor="text1"/>
          <w:sz w:val="24"/>
          <w:highlight w:val="none"/>
          <w14:textFill>
            <w14:solidFill>
              <w14:schemeClr w14:val="tx1"/>
            </w14:solidFill>
          </w14:textFill>
        </w:rPr>
        <w:t>根据工程需要，承包人应采用计算机信息管理，与发包人的工程管理系统接口一致，建立相应的信息交换网络，以便发包人及各有关单位与其进行数据交换，以便能及时高效准确的提高工作效率。</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w:t>
      </w:r>
      <w:r>
        <w:rPr>
          <w:rFonts w:hint="eastAsia"/>
          <w:color w:val="000000" w:themeColor="text1"/>
          <w:sz w:val="24"/>
          <w:highlight w:val="none"/>
          <w14:textFill>
            <w14:solidFill>
              <w14:schemeClr w14:val="tx1"/>
            </w14:solidFill>
          </w14:textFill>
        </w:rPr>
        <w:t>承包人不按合同及有关规定按时、足额支付分包单位签约合同价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市政项目的投标资格，并予以公告。如属恶意煽动并造成社会不良影响的，发包人将提请司法部门追究其法律责任。</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w:t>
      </w:r>
      <w:r>
        <w:rPr>
          <w:rFonts w:hint="eastAsia"/>
          <w:color w:val="000000" w:themeColor="text1"/>
          <w:sz w:val="24"/>
          <w:highlight w:val="none"/>
          <w14:textFill>
            <w14:solidFill>
              <w14:schemeClr w14:val="tx1"/>
            </w14:solidFill>
          </w14:textFill>
        </w:rPr>
        <w:t>承包人必须成立处理劳资纠纷的协调机构，承包人主管领导和项目经理要亲自负责，配备专职人员，及时化解劳资矛盾及纠纷，并及时揭露、制止恶意煽动施工人员集体上访、集聚围阻的行为，保证在整个工程建设期间不发生施工人员集体上访、集聚围阻等事件。</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bookmarkStart w:id="1443" w:name="_Toc354042223"/>
      <w:r>
        <w:rPr>
          <w:rFonts w:hint="eastAsia" w:ascii="宋体" w:hAnsi="宋体"/>
          <w:color w:val="000000" w:themeColor="text1"/>
          <w:sz w:val="24"/>
          <w:highlight w:val="none"/>
          <w14:textFill>
            <w14:solidFill>
              <w14:schemeClr w14:val="tx1"/>
            </w14:solidFill>
          </w14:textFill>
        </w:rPr>
        <w:t>（11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承包人现场管理机构各部主要组织管理人员必须包括但不限于投标文件中列示的拟派驻本项目工作组成员，且满足施工生产需要及发包人的要求。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为保证本工程建设有序、规范和顺利进行，承包人必须主动支持发包人工作，对发包人的指令和书面通知，若无正当理由又未提前向发包人报告并得到书面认可，而公开或变相拒不执行的，应承担违约责任并赔偿由此造成发包人的一切经济损失。</w:t>
      </w: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如无特别约定，承包人履行4.1条款项下约定的义务或完成相关工作而产生的全部费用均包含在本签约合同价内，发包人无需另行支付。</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44" w:name="_Toc13689"/>
      <w:bookmarkStart w:id="1445" w:name="_Toc19137"/>
      <w:bookmarkStart w:id="1446" w:name="_Toc14459"/>
      <w:bookmarkStart w:id="1447" w:name="_Toc100504293"/>
      <w:r>
        <w:rPr>
          <w:rFonts w:eastAsia="宋体" w:cs="Times New Roman"/>
          <w:b/>
          <w:color w:val="000000" w:themeColor="text1"/>
          <w:szCs w:val="24"/>
          <w:highlight w:val="none"/>
          <w14:textFill>
            <w14:solidFill>
              <w14:schemeClr w14:val="tx1"/>
            </w14:solidFill>
          </w14:textFill>
        </w:rPr>
        <w:t>4.2履约担保</w:t>
      </w:r>
      <w:bookmarkEnd w:id="1443"/>
      <w:r>
        <w:rPr>
          <w:rFonts w:hint="eastAsia" w:eastAsia="宋体" w:cs="Times New Roman"/>
          <w:b/>
          <w:color w:val="000000" w:themeColor="text1"/>
          <w:szCs w:val="24"/>
          <w:highlight w:val="none"/>
          <w14:textFill>
            <w14:solidFill>
              <w14:schemeClr w14:val="tx1"/>
            </w14:solidFill>
          </w14:textFill>
        </w:rPr>
        <w:t>及工程管理保证金</w:t>
      </w:r>
      <w:bookmarkEnd w:id="1444"/>
      <w:bookmarkEnd w:id="1445"/>
      <w:bookmarkEnd w:id="1446"/>
      <w:bookmarkEnd w:id="1447"/>
      <w:r>
        <w:rPr>
          <w:rFonts w:eastAsia="宋体" w:cs="Times New Roman"/>
          <w:b/>
          <w:color w:val="000000" w:themeColor="text1"/>
          <w:szCs w:val="24"/>
          <w:highlight w:val="none"/>
          <w14:textFill>
            <w14:solidFill>
              <w14:schemeClr w14:val="tx1"/>
            </w14:solidFill>
          </w14:textFill>
        </w:rPr>
        <w:t xml:space="preserve"> </w:t>
      </w:r>
    </w:p>
    <w:p>
      <w:pPr>
        <w:spacing w:line="360" w:lineRule="auto"/>
        <w:ind w:firstLine="480" w:firstLineChars="200"/>
        <w:outlineLvl w:val="0"/>
        <w:rPr>
          <w:rFonts w:hint="eastAsia"/>
          <w:color w:val="000000" w:themeColor="text1"/>
          <w:sz w:val="24"/>
          <w:highlight w:val="none"/>
          <w14:textFill>
            <w14:solidFill>
              <w14:schemeClr w14:val="tx1"/>
            </w14:solidFill>
          </w14:textFill>
        </w:rPr>
      </w:pPr>
      <w:bookmarkStart w:id="1448" w:name="_Toc29081"/>
      <w:bookmarkStart w:id="1449" w:name="_Toc31456"/>
      <w:bookmarkStart w:id="1450" w:name="_Toc9046"/>
      <w:bookmarkStart w:id="1451" w:name="_Toc100504294"/>
      <w:bookmarkStart w:id="1452" w:name="_Toc354050701"/>
      <w:bookmarkStart w:id="1453" w:name="_Toc354042224"/>
      <w:bookmarkStart w:id="1454" w:name="_Toc353466309"/>
      <w:r>
        <w:rPr>
          <w:color w:val="000000" w:themeColor="text1"/>
          <w:sz w:val="24"/>
          <w:highlight w:val="none"/>
          <w14:textFill>
            <w14:solidFill>
              <w14:schemeClr w14:val="tx1"/>
            </w14:solidFill>
          </w14:textFill>
        </w:rPr>
        <w:t>4.2.1</w:t>
      </w:r>
      <w:r>
        <w:rPr>
          <w:rFonts w:hAnsi="宋体"/>
          <w:color w:val="000000" w:themeColor="text1"/>
          <w:sz w:val="24"/>
          <w:highlight w:val="none"/>
          <w14:textFill>
            <w14:solidFill>
              <w14:schemeClr w14:val="tx1"/>
            </w14:solidFill>
          </w14:textFill>
        </w:rPr>
        <w:t>履约担保</w:t>
      </w:r>
      <w:bookmarkEnd w:id="1448"/>
      <w:bookmarkEnd w:id="1449"/>
      <w:bookmarkEnd w:id="1450"/>
      <w:bookmarkEnd w:id="1451"/>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4.2.1.1</w:t>
      </w:r>
      <w:r>
        <w:rPr>
          <w:color w:val="000000" w:themeColor="text1"/>
          <w:sz w:val="24"/>
          <w:highlight w:val="none"/>
          <w14:textFill>
            <w14:solidFill>
              <w14:schemeClr w14:val="tx1"/>
            </w14:solidFill>
          </w14:textFill>
        </w:rPr>
        <w:t>履约担保的金额</w:t>
      </w:r>
      <w:bookmarkEnd w:id="1452"/>
      <w:r>
        <w:rPr>
          <w:rFonts w:hint="eastAsia"/>
          <w:color w:val="000000" w:themeColor="text1"/>
          <w:sz w:val="24"/>
          <w:highlight w:val="none"/>
          <w14:textFill>
            <w14:solidFill>
              <w14:schemeClr w14:val="tx1"/>
            </w14:solidFill>
          </w14:textFill>
        </w:rPr>
        <w:t>：签约合同价的10%。</w:t>
      </w:r>
    </w:p>
    <w:p>
      <w:pPr>
        <w:spacing w:line="360" w:lineRule="auto"/>
        <w:ind w:firstLine="480" w:firstLineChars="200"/>
        <w:rPr>
          <w:rFonts w:hint="eastAsia" w:asci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4.2.1.2 履约担保的形式：在收到</w:t>
      </w:r>
      <w:r>
        <w:rPr>
          <w:rFonts w:hint="eastAsia" w:ascii="宋体"/>
          <w:color w:val="000000" w:themeColor="text1"/>
          <w:sz w:val="24"/>
          <w:highlight w:val="none"/>
          <w14:textFill>
            <w14:solidFill>
              <w14:schemeClr w14:val="tx1"/>
            </w14:solidFill>
          </w14:textFill>
        </w:rPr>
        <w:t>中标通知书之日起15个工作日内，承包人可选择以下任一方式，向发包人提交履约担保：</w:t>
      </w:r>
    </w:p>
    <w:p>
      <w:pPr>
        <w:spacing w:line="360" w:lineRule="auto"/>
        <w:ind w:firstLine="480" w:firstLineChars="200"/>
        <w:rPr>
          <w:rFonts w:hint="eastAsia" w:ascii="宋体"/>
          <w:color w:val="000000" w:themeColor="text1"/>
          <w:sz w:val="24"/>
          <w:highlight w:val="none"/>
          <w14:textFill>
            <w14:solidFill>
              <w14:schemeClr w14:val="tx1"/>
            </w14:solidFill>
          </w14:textFill>
        </w:rPr>
      </w:pPr>
      <w:bookmarkStart w:id="1455" w:name="_Toc502849548"/>
      <w:r>
        <w:rPr>
          <w:rFonts w:hint="eastAsia" w:ascii="宋体"/>
          <w:color w:val="000000" w:themeColor="text1"/>
          <w:sz w:val="24"/>
          <w:highlight w:val="none"/>
          <w14:textFill>
            <w14:solidFill>
              <w14:schemeClr w14:val="tx1"/>
            </w14:solidFill>
          </w14:textFill>
        </w:rPr>
        <w:t>（1）以银行转账方式提交履约保证金；</w:t>
      </w:r>
      <w:bookmarkEnd w:id="1455"/>
    </w:p>
    <w:p>
      <w:pPr>
        <w:spacing w:line="360" w:lineRule="auto"/>
        <w:ind w:firstLine="480" w:firstLineChars="200"/>
        <w:rPr>
          <w:rFonts w:hint="eastAsia" w:ascii="宋体"/>
          <w:color w:val="000000" w:themeColor="text1"/>
          <w:sz w:val="24"/>
          <w:highlight w:val="none"/>
          <w14:textFill>
            <w14:solidFill>
              <w14:schemeClr w14:val="tx1"/>
            </w14:solidFill>
          </w14:textFill>
        </w:rPr>
      </w:pPr>
      <w:bookmarkStart w:id="1456" w:name="_Toc502849549"/>
      <w:r>
        <w:rPr>
          <w:rFonts w:hint="eastAsia" w:ascii="宋体"/>
          <w:color w:val="000000" w:themeColor="text1"/>
          <w:sz w:val="24"/>
          <w:highlight w:val="none"/>
          <w14:textFill>
            <w14:solidFill>
              <w14:schemeClr w14:val="tx1"/>
            </w14:solidFill>
          </w14:textFill>
        </w:rPr>
        <w:t>（2）以银行保函的方式提交，该银行保函必须由在中国注册的银行开具。</w:t>
      </w:r>
      <w:bookmarkEnd w:id="1456"/>
    </w:p>
    <w:p>
      <w:pPr>
        <w:spacing w:line="360" w:lineRule="auto"/>
        <w:ind w:firstLine="480" w:firstLineChars="20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若承包人选择上述形式之（2）的履约担保，但未能在上述约定时间内向发包人提供履约保函时，则承包人必须在收到中标通知书之日起15个工作日内，以上述形式之（1）方式，向发包人提交履约保证金；直至收到承包人提交的有效履约保函后，发包人再向承包人无息退还已收取的履约保证金。</w:t>
      </w:r>
    </w:p>
    <w:p>
      <w:pPr>
        <w:spacing w:line="360" w:lineRule="auto"/>
        <w:ind w:firstLine="480" w:firstLineChars="20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因承包人逾期提供履约担保的，本合同约定发包人应支付的各种款项支付程序相应延顺，直至发包人收到承包人提交的履约担保。</w:t>
      </w:r>
    </w:p>
    <w:p>
      <w:pPr>
        <w:spacing w:line="360" w:lineRule="auto"/>
        <w:ind w:firstLine="480" w:firstLineChars="20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4.2.1.3履约担保期限：自本合同生效之日起至工程实际竣工之日止；若工期延误，则履约担保期相应顺延或由承包人另行办理保函。  </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4.2.1.4承包人在合同期内的违约罚款（违约金），必须在5个工作日内， 以</w:t>
      </w:r>
      <w:r>
        <w:rPr>
          <w:rFonts w:hint="eastAsia" w:ascii="宋体"/>
          <w:color w:val="000000" w:themeColor="text1"/>
          <w:sz w:val="24"/>
          <w:highlight w:val="none"/>
          <w14:textFill>
            <w14:solidFill>
              <w14:schemeClr w14:val="tx1"/>
            </w14:solidFill>
          </w14:textFill>
        </w:rPr>
        <w:t>银行转账</w:t>
      </w:r>
      <w:r>
        <w:rPr>
          <w:rFonts w:hint="eastAsia"/>
          <w:color w:val="000000" w:themeColor="text1"/>
          <w:sz w:val="24"/>
          <w:highlight w:val="none"/>
          <w14:textFill>
            <w14:solidFill>
              <w14:schemeClr w14:val="tx1"/>
            </w14:solidFill>
          </w14:textFill>
        </w:rPr>
        <w:t>形式向发包人交付；逾期不交付的，由发包人在履约保证金中扣除或由发包人向担保银行发出扣款通知书。</w:t>
      </w:r>
    </w:p>
    <w:bookmarkEnd w:id="1453"/>
    <w:bookmarkEnd w:id="1454"/>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当发生违约情形而导致履约保证金被扣罚或因其他原因，而导致履约保证金余额少于剩余工程量的10%,或者少于签约合同价的3%的，承包人应在收到发包人通知之日起在7个日历天内补足，补足后的履约保证金金额应相当于剩余工程量的10%，且不得低于签约合同价的</w:t>
      </w:r>
      <w:r>
        <w:rPr>
          <w:rFonts w:hAnsi="宋体"/>
          <w:color w:val="000000" w:themeColor="text1"/>
          <w:sz w:val="24"/>
          <w:szCs w:val="24"/>
          <w:highlight w:val="none"/>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，应按两者金额较高者补足。对于未按时限要求补足的，发包人有权扣罚剩余的全部履约保证金并有权解除合同。</w:t>
      </w:r>
    </w:p>
    <w:p>
      <w:pPr>
        <w:pStyle w:val="20"/>
        <w:spacing w:line="36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当发生违约情形而扣款，导致银行保函余额少于剩余工程量的10%,或者少于签约合同价的</w:t>
      </w:r>
      <w:r>
        <w:rPr>
          <w:rFonts w:hAnsi="宋体"/>
          <w:color w:val="000000" w:themeColor="text1"/>
          <w:sz w:val="24"/>
          <w:szCs w:val="24"/>
          <w:highlight w:val="none"/>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的，承包人应在收到发包人通知之日起在7个日历天内重新办理银行保函，重新办理的银行保函担保额为相当于剩余工程量的10%，且不得低于签约合同价的</w:t>
      </w:r>
      <w:r>
        <w:rPr>
          <w:rFonts w:hAnsi="宋体"/>
          <w:color w:val="000000" w:themeColor="text1"/>
          <w:sz w:val="24"/>
          <w:szCs w:val="24"/>
          <w:highlight w:val="none"/>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，应按两者金额较高者补足。</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4.2.1.5 </w:t>
      </w:r>
      <w:r>
        <w:rPr>
          <w:rFonts w:hAnsi="宋体"/>
          <w:color w:val="000000" w:themeColor="text1"/>
          <w:sz w:val="24"/>
          <w:highlight w:val="none"/>
          <w14:textFill>
            <w14:solidFill>
              <w14:schemeClr w14:val="tx1"/>
            </w14:solidFill>
          </w14:textFill>
        </w:rPr>
        <w:t>履约</w:t>
      </w:r>
      <w:r>
        <w:rPr>
          <w:rFonts w:hint="eastAsia" w:hAnsi="宋体"/>
          <w:color w:val="000000" w:themeColor="text1"/>
          <w:sz w:val="24"/>
          <w:highlight w:val="none"/>
          <w14:textFill>
            <w14:solidFill>
              <w14:schemeClr w14:val="tx1"/>
            </w14:solidFill>
          </w14:textFill>
        </w:rPr>
        <w:t>担保</w:t>
      </w:r>
      <w:r>
        <w:rPr>
          <w:rFonts w:hAnsi="宋体"/>
          <w:color w:val="000000" w:themeColor="text1"/>
          <w:sz w:val="24"/>
          <w:highlight w:val="none"/>
          <w14:textFill>
            <w14:solidFill>
              <w14:schemeClr w14:val="tx1"/>
            </w14:solidFill>
          </w14:textFill>
        </w:rPr>
        <w:t>的退还</w:t>
      </w:r>
      <w:r>
        <w:rPr>
          <w:rFonts w:hint="eastAsia"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 xml:space="preserve">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（1）若承包人提交履约保证金的退还：在工程竣工验收合格后且承包人向发包人提出退还履约担保金的书面申请，同时满足以下情形：</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没有因承包人违约扣除违约金（罚款）的或没有扣除违约金（罚款）金额的，则在通过竣工验收后一个月内全部无息退回给承包人。如存在因承包人违约扣除违约金（罚款）金额的，则只将剩余部分在竣工验收后一个月内无息退回。</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（2）若承包人提交履约保函的退还：无需退回。</w:t>
      </w:r>
    </w:p>
    <w:p>
      <w:pPr>
        <w:pStyle w:val="20"/>
        <w:spacing w:line="360" w:lineRule="auto"/>
        <w:ind w:firstLine="480" w:firstLineChars="200"/>
        <w:rPr>
          <w:rFonts w:hint="eastAsia"/>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4.2.2 </w:t>
      </w:r>
      <w:r>
        <w:rPr>
          <w:rFonts w:hint="eastAsia"/>
          <w:color w:val="000000" w:themeColor="text1"/>
          <w:sz w:val="24"/>
          <w:highlight w:val="none"/>
          <w14:textFill>
            <w14:solidFill>
              <w14:schemeClr w14:val="tx1"/>
            </w14:solidFill>
          </w14:textFill>
        </w:rPr>
        <w:t>工人工资保证金：</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hAnsi="宋体"/>
          <w:color w:val="000000" w:themeColor="text1"/>
          <w:sz w:val="24"/>
          <w:highlight w:val="none"/>
          <w14:textFill>
            <w14:solidFill>
              <w14:schemeClr w14:val="tx1"/>
            </w14:solidFill>
          </w14:textFill>
        </w:rPr>
        <w:t>工资保证金为签约合同价的2%</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rFonts w:hint="eastAsia" w:hAnsi="宋体"/>
          <w:color w:val="000000" w:themeColor="text1"/>
          <w:sz w:val="24"/>
          <w:szCs w:val="24"/>
          <w:highlight w:val="none"/>
          <w14:textFill>
            <w14:solidFill>
              <w14:schemeClr w14:val="tx1"/>
            </w14:solidFill>
          </w14:textFill>
        </w:rPr>
        <w:t>承包人应按时足额向雇员支付劳务工资，并不低于当地最低工资标准。对于因承包人拖欠劳务工资而造成群体性示威、游行等，造成一切不良社会影响后果的，发包人有权从承包人履约保证金或履约保函或应付、将付给承包人的款项中扣除10万元/次作为违约金。发包人有权根据承包人的雇员所提供的数据或政府部门有关要求直接向劳务人员垫付工资，并将所垫付工资金额从应付、将付给承包人的工程款或履约保证金或履约保函或工资保证金中扣除。上述行为对发包人造成损失和（或）导致工期延误的，承包人应赔偿发包人的损失，工期不予顺延。</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工人工资支付保证金</w:t>
      </w:r>
      <w:r>
        <w:rPr>
          <w:rFonts w:hint="eastAsia" w:ascii="宋体" w:hAnsi="宋体"/>
          <w:color w:val="000000" w:themeColor="text1"/>
          <w:sz w:val="24"/>
          <w:highlight w:val="none"/>
          <w14:textFill>
            <w14:solidFill>
              <w14:schemeClr w14:val="tx1"/>
            </w14:solidFill>
          </w14:textFill>
        </w:rPr>
        <w:t>退还：</w:t>
      </w:r>
      <w:r>
        <w:rPr>
          <w:rFonts w:hint="eastAsia" w:ascii="宋体" w:hAnsi="宋体" w:cs="宋体"/>
          <w:color w:val="000000" w:themeColor="text1"/>
          <w:sz w:val="24"/>
          <w:highlight w:val="none"/>
          <w14:textFill>
            <w14:solidFill>
              <w14:schemeClr w14:val="tx1"/>
            </w14:solidFill>
          </w14:textFill>
        </w:rPr>
        <w:t>由承包人根据有关职能部门的规定办理退款手续，发包人只提供相关的协助手续。</w:t>
      </w:r>
    </w:p>
    <w:p>
      <w:pPr>
        <w:pStyle w:val="20"/>
        <w:spacing w:line="360" w:lineRule="auto"/>
        <w:ind w:firstLine="480" w:firstLineChars="200"/>
        <w:rPr>
          <w:rFonts w:hint="eastAsia"/>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在承包人拖欠工人工资时，由政府职能部门依法提取工人工资保证金账户内资金，用于发放被欠薪工人工资；如发生政府职能部门提取工人工资支付保证金的情形，承包人予以等额补足。</w:t>
      </w:r>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4.2.3 专项</w:t>
      </w:r>
      <w:r>
        <w:rPr>
          <w:rFonts w:hAnsi="宋体"/>
          <w:color w:val="000000" w:themeColor="text1"/>
          <w:sz w:val="24"/>
          <w:highlight w:val="none"/>
          <w14:textFill>
            <w14:solidFill>
              <w14:schemeClr w14:val="tx1"/>
            </w14:solidFill>
          </w14:textFill>
        </w:rPr>
        <w:t>施工保证金</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无。</w:t>
      </w:r>
    </w:p>
    <w:p>
      <w:pPr>
        <w:spacing w:line="360" w:lineRule="auto"/>
        <w:ind w:firstLine="480" w:firstLineChars="200"/>
        <w:rPr>
          <w:rFonts w:hint="eastAsia" w:hAnsi="宋体"/>
          <w:color w:val="000000" w:themeColor="text1"/>
          <w:sz w:val="24"/>
          <w:highlight w:val="none"/>
          <w14:textFill>
            <w14:solidFill>
              <w14:schemeClr w14:val="tx1"/>
            </w14:solidFill>
          </w14:textFill>
        </w:rPr>
      </w:pPr>
      <w:bookmarkStart w:id="1457" w:name="_Toc353466311"/>
      <w:bookmarkStart w:id="1458" w:name="_Toc354042226"/>
      <w:r>
        <w:rPr>
          <w:color w:val="000000" w:themeColor="text1"/>
          <w:sz w:val="24"/>
          <w:highlight w:val="none"/>
          <w14:textFill>
            <w14:solidFill>
              <w14:schemeClr w14:val="tx1"/>
            </w14:solidFill>
          </w14:textFill>
        </w:rPr>
        <w:t>4.2.</w:t>
      </w:r>
      <w:r>
        <w:rPr>
          <w:rFonts w:hint="eastAsia"/>
          <w:color w:val="000000" w:themeColor="text1"/>
          <w:sz w:val="24"/>
          <w:highlight w:val="none"/>
          <w14:textFill>
            <w14:solidFill>
              <w14:schemeClr w14:val="tx1"/>
            </w14:solidFill>
          </w14:textFill>
        </w:rPr>
        <w:t xml:space="preserve">4 </w:t>
      </w:r>
      <w:bookmarkEnd w:id="1457"/>
      <w:bookmarkEnd w:id="1458"/>
      <w:r>
        <w:rPr>
          <w:rFonts w:hAnsi="宋体"/>
          <w:color w:val="000000" w:themeColor="text1"/>
          <w:sz w:val="24"/>
          <w:highlight w:val="none"/>
          <w14:textFill>
            <w14:solidFill>
              <w14:schemeClr w14:val="tx1"/>
            </w14:solidFill>
          </w14:textFill>
        </w:rPr>
        <w:t>发包人不承担承包人与履约</w:t>
      </w:r>
      <w:r>
        <w:rPr>
          <w:rFonts w:hint="eastAsia" w:hAnsi="宋体"/>
          <w:color w:val="000000" w:themeColor="text1"/>
          <w:sz w:val="24"/>
          <w:highlight w:val="none"/>
          <w14:textFill>
            <w14:solidFill>
              <w14:schemeClr w14:val="tx1"/>
            </w14:solidFill>
          </w14:textFill>
        </w:rPr>
        <w:t>保证金或履约保函</w:t>
      </w:r>
      <w:r>
        <w:rPr>
          <w:rFonts w:hAnsi="宋体"/>
          <w:color w:val="000000" w:themeColor="text1"/>
          <w:sz w:val="24"/>
          <w:highlight w:val="none"/>
          <w14:textFill>
            <w14:solidFill>
              <w14:schemeClr w14:val="tx1"/>
            </w14:solidFill>
          </w14:textFill>
        </w:rPr>
        <w:t>有关的任何利息或其它类似的费用或者收益。</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4.2.</w:t>
      </w:r>
      <w:r>
        <w:rPr>
          <w:rFonts w:hint="eastAsia"/>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通知义务</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不管履约担保条款中如何约定，发包人根据担保条款提出索赔或兑现要求</w:t>
      </w:r>
      <w:r>
        <w:rPr>
          <w:color w:val="000000" w:themeColor="text1"/>
          <w:sz w:val="24"/>
          <w:highlight w:val="none"/>
          <w14:textFill>
            <w14:solidFill>
              <w14:schemeClr w14:val="tx1"/>
            </w14:solidFill>
          </w14:textFill>
        </w:rPr>
        <w:t>28个</w:t>
      </w:r>
      <w:r>
        <w:rPr>
          <w:rFonts w:hAnsi="宋体"/>
          <w:color w:val="000000" w:themeColor="text1"/>
          <w:sz w:val="24"/>
          <w:highlight w:val="none"/>
          <w14:textFill>
            <w14:solidFill>
              <w14:schemeClr w14:val="tx1"/>
            </w14:solidFill>
          </w14:textFill>
        </w:rPr>
        <w:t>日历天前，应通知承包人并说明导致此类索赔或兑现的违约性质或原因。相应地，承包人根据担保条款提出索赔或兑现要求</w:t>
      </w:r>
      <w:r>
        <w:rPr>
          <w:color w:val="000000" w:themeColor="text1"/>
          <w:sz w:val="24"/>
          <w:highlight w:val="none"/>
          <w14:textFill>
            <w14:solidFill>
              <w14:schemeClr w14:val="tx1"/>
            </w14:solidFill>
          </w14:textFill>
        </w:rPr>
        <w:t>28个</w:t>
      </w:r>
      <w:r>
        <w:rPr>
          <w:rFonts w:hAnsi="宋体"/>
          <w:color w:val="000000" w:themeColor="text1"/>
          <w:sz w:val="24"/>
          <w:highlight w:val="none"/>
          <w14:textFill>
            <w14:solidFill>
              <w14:schemeClr w14:val="tx1"/>
            </w14:solidFill>
          </w14:textFill>
        </w:rPr>
        <w:t>日历天前，也应通知发包人并说明导致此类索赔或兑现的违约性质或原因。但是，本项约定的通知不应理解为是在任何意义上寻求承包人或者发包人的同意。</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59" w:name="_Toc13492"/>
      <w:bookmarkStart w:id="1460" w:name="_Toc6802"/>
      <w:bookmarkStart w:id="1461" w:name="_Toc354042227"/>
      <w:bookmarkStart w:id="1462" w:name="_Toc5121"/>
      <w:bookmarkStart w:id="1463" w:name="_Toc100504295"/>
      <w:r>
        <w:rPr>
          <w:rFonts w:eastAsia="宋体" w:cs="Times New Roman"/>
          <w:b/>
          <w:color w:val="000000" w:themeColor="text1"/>
          <w:szCs w:val="24"/>
          <w:highlight w:val="none"/>
          <w14:textFill>
            <w14:solidFill>
              <w14:schemeClr w14:val="tx1"/>
            </w14:solidFill>
          </w14:textFill>
        </w:rPr>
        <w:t>4.3分包</w:t>
      </w:r>
      <w:bookmarkEnd w:id="1459"/>
      <w:bookmarkEnd w:id="1460"/>
      <w:bookmarkEnd w:id="1461"/>
      <w:bookmarkEnd w:id="1462"/>
      <w:bookmarkEnd w:id="1463"/>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4.3.2</w:t>
      </w:r>
      <w:r>
        <w:rPr>
          <w:rFonts w:hAnsi="宋体"/>
          <w:color w:val="000000" w:themeColor="text1"/>
          <w:sz w:val="24"/>
          <w:highlight w:val="none"/>
          <w14:textFill>
            <w14:solidFill>
              <w14:schemeClr w14:val="tx1"/>
            </w14:solidFill>
          </w14:textFill>
        </w:rPr>
        <w:t>发包人同意承包人分包的非主体、非关键性工作</w:t>
      </w:r>
      <w:r>
        <w:rPr>
          <w:rFonts w:hint="eastAsia" w:hAnsi="宋体"/>
          <w:color w:val="000000" w:themeColor="text1"/>
          <w:sz w:val="24"/>
          <w:highlight w:val="none"/>
          <w14:textFill>
            <w14:solidFill>
              <w14:schemeClr w14:val="tx1"/>
            </w14:solidFill>
          </w14:textFill>
        </w:rPr>
        <w:t>为：</w:t>
      </w:r>
      <w:r>
        <w:rPr>
          <w:rFonts w:hAnsi="宋体"/>
          <w:color w:val="000000" w:themeColor="text1"/>
          <w:sz w:val="24"/>
          <w:highlight w:val="none"/>
          <w14:textFill>
            <w14:solidFill>
              <w14:schemeClr w14:val="tx1"/>
            </w14:solidFill>
          </w14:textFill>
        </w:rPr>
        <w:t>除通用合同条款第</w:t>
      </w:r>
      <w:r>
        <w:rPr>
          <w:color w:val="000000" w:themeColor="text1"/>
          <w:sz w:val="24"/>
          <w:highlight w:val="none"/>
          <w14:textFill>
            <w14:solidFill>
              <w14:schemeClr w14:val="tx1"/>
            </w14:solidFill>
          </w14:textFill>
        </w:rPr>
        <w:t>4.3</w:t>
      </w:r>
      <w:r>
        <w:rPr>
          <w:rFonts w:hAnsi="宋体"/>
          <w:color w:val="000000" w:themeColor="text1"/>
          <w:sz w:val="24"/>
          <w:highlight w:val="none"/>
          <w14:textFill>
            <w14:solidFill>
              <w14:schemeClr w14:val="tx1"/>
            </w14:solidFill>
          </w14:textFill>
        </w:rPr>
        <w:t>款的约定外，分包还应遵循以下约定：</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除</w:t>
      </w:r>
      <w:r>
        <w:rPr>
          <w:rFonts w:hint="eastAsia" w:hAnsi="宋体"/>
          <w:color w:val="000000" w:themeColor="text1"/>
          <w:sz w:val="24"/>
          <w:highlight w:val="none"/>
          <w14:textFill>
            <w14:solidFill>
              <w14:schemeClr w14:val="tx1"/>
            </w14:solidFill>
          </w14:textFill>
        </w:rPr>
        <w:t>上述</w:t>
      </w:r>
      <w:r>
        <w:rPr>
          <w:rFonts w:hAnsi="宋体"/>
          <w:color w:val="000000" w:themeColor="text1"/>
          <w:sz w:val="24"/>
          <w:highlight w:val="none"/>
          <w14:textFill>
            <w14:solidFill>
              <w14:schemeClr w14:val="tx1"/>
            </w14:solidFill>
          </w14:textFill>
        </w:rPr>
        <w:t>约定的分包内容外，经过发包人和监理人同意，承包人可以将其他非主体、非关键性工作分包给第三人，但分包人应当</w:t>
      </w:r>
      <w:r>
        <w:rPr>
          <w:rFonts w:hint="eastAsia" w:hAnsi="宋体"/>
          <w:color w:val="000000" w:themeColor="text1"/>
          <w:sz w:val="24"/>
          <w:highlight w:val="none"/>
          <w14:textFill>
            <w14:solidFill>
              <w14:schemeClr w14:val="tx1"/>
            </w14:solidFill>
          </w14:textFill>
        </w:rPr>
        <w:t>具备相应资质并</w:t>
      </w:r>
      <w:r>
        <w:rPr>
          <w:rFonts w:hAnsi="宋体"/>
          <w:color w:val="000000" w:themeColor="text1"/>
          <w:sz w:val="24"/>
          <w:highlight w:val="none"/>
          <w14:textFill>
            <w14:solidFill>
              <w14:schemeClr w14:val="tx1"/>
            </w14:solidFill>
          </w14:textFill>
        </w:rPr>
        <w:t>经过发包人和监理人审批</w:t>
      </w:r>
      <w:r>
        <w:rPr>
          <w:rFonts w:hint="eastAsia" w:hAnsi="宋体"/>
          <w:color w:val="000000" w:themeColor="text1"/>
          <w:sz w:val="24"/>
          <w:highlight w:val="none"/>
          <w14:textFill>
            <w14:solidFill>
              <w14:schemeClr w14:val="tx1"/>
            </w14:solidFill>
          </w14:textFill>
        </w:rPr>
        <w:t>同意</w:t>
      </w:r>
      <w:r>
        <w:rPr>
          <w:rFonts w:hAnsi="宋体"/>
          <w:color w:val="000000" w:themeColor="text1"/>
          <w:sz w:val="24"/>
          <w:highlight w:val="none"/>
          <w14:textFill>
            <w14:solidFill>
              <w14:schemeClr w14:val="tx1"/>
            </w14:solidFill>
          </w14:textFill>
        </w:rPr>
        <w:t>。发包人和监理人有权拒绝承包人的分包请求和承包人选择的分包人。</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发包人在工程量清单中给定暂估价的专业工程，包括从暂列金额开支的专业工程，达到依法应当招标的规模标准的，以及虽未达到规定的规模标准但合同中约定采用分包方式或者招标方式实施的，应当按</w:t>
      </w:r>
      <w:r>
        <w:rPr>
          <w:rFonts w:hint="eastAsia" w:ascii="宋体" w:hAnsi="宋体"/>
          <w:color w:val="000000" w:themeColor="text1"/>
          <w:sz w:val="24"/>
          <w:highlight w:val="none"/>
          <w14:textFill>
            <w14:solidFill>
              <w14:schemeClr w14:val="tx1"/>
            </w14:solidFill>
          </w14:textFill>
        </w:rPr>
        <w:t>通</w:t>
      </w:r>
      <w:r>
        <w:rPr>
          <w:rFonts w:hAnsi="宋体"/>
          <w:color w:val="000000" w:themeColor="text1"/>
          <w:sz w:val="24"/>
          <w:highlight w:val="none"/>
          <w14:textFill>
            <w14:solidFill>
              <w14:schemeClr w14:val="tx1"/>
            </w14:solidFill>
          </w14:textFill>
        </w:rPr>
        <w:t>用合同条款第</w:t>
      </w:r>
      <w:r>
        <w:rPr>
          <w:color w:val="000000" w:themeColor="text1"/>
          <w:sz w:val="24"/>
          <w:highlight w:val="none"/>
          <w14:textFill>
            <w14:solidFill>
              <w14:schemeClr w14:val="tx1"/>
            </w14:solidFill>
          </w14:textFill>
        </w:rPr>
        <w:t>15.8.1</w:t>
      </w:r>
      <w:r>
        <w:rPr>
          <w:rFonts w:hAnsi="宋体"/>
          <w:color w:val="000000" w:themeColor="text1"/>
          <w:sz w:val="24"/>
          <w:highlight w:val="none"/>
          <w14:textFill>
            <w14:solidFill>
              <w14:schemeClr w14:val="tx1"/>
            </w14:solidFill>
          </w14:textFill>
        </w:rPr>
        <w:t>项的约定，由发包人和承包人以招标方式确定专业分包人。除项目审批部门有特别核准外，暂估价的专业工程的招标应当采用与施工总承包同样的招标方式。</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在相关分包合同签订并报送有关建设行政主管部门备案后</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日历天内，承包人应当将一份副本提交给监理人，承包人应保障分包工作不得再次分包。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分包工程价款由承包人与分包人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包括专业分包人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结算。发包人未经承包人同意不得以任何形式向分包人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包括专业分包人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支付相关分包合同项下的任何工程款项。因发包人未经承包人同意直接向分包人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包括专业分包人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支付相关分包合同项下的任何工程款项而影响承包人工作的，所造成的承包人费用增加和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延误的工期由发包人承担。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未经发包人和监理人审批同意的分包工程和分包人，发包人有权拒绝验收分包工程和支付相应款项，由此引起的发包人费用增加和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延误的工期由</w:t>
      </w:r>
      <w:r>
        <w:rPr>
          <w:rFonts w:hint="eastAsia" w:hAnsi="宋体"/>
          <w:color w:val="000000" w:themeColor="text1"/>
          <w:sz w:val="24"/>
          <w:highlight w:val="none"/>
          <w14:textFill>
            <w14:solidFill>
              <w14:schemeClr w14:val="tx1"/>
            </w14:solidFill>
          </w14:textFill>
        </w:rPr>
        <w:t>承</w:t>
      </w:r>
      <w:r>
        <w:rPr>
          <w:rFonts w:hAnsi="宋体"/>
          <w:color w:val="000000" w:themeColor="text1"/>
          <w:sz w:val="24"/>
          <w:highlight w:val="none"/>
          <w14:textFill>
            <w14:solidFill>
              <w14:schemeClr w14:val="tx1"/>
            </w14:solidFill>
          </w14:textFill>
        </w:rPr>
        <w:t>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64" w:name="_Toc28270"/>
      <w:bookmarkStart w:id="1465" w:name="_Toc100504296"/>
      <w:bookmarkStart w:id="1466" w:name="_Toc6351"/>
      <w:bookmarkStart w:id="1467" w:name="_Toc18467"/>
      <w:bookmarkStart w:id="1468" w:name="_Toc354042228"/>
      <w:r>
        <w:rPr>
          <w:rFonts w:eastAsia="宋体" w:cs="Times New Roman"/>
          <w:b/>
          <w:color w:val="000000" w:themeColor="text1"/>
          <w:szCs w:val="24"/>
          <w:highlight w:val="none"/>
          <w14:textFill>
            <w14:solidFill>
              <w14:schemeClr w14:val="tx1"/>
            </w14:solidFill>
          </w14:textFill>
        </w:rPr>
        <w:t>4.5承包人项目经理</w:t>
      </w:r>
      <w:bookmarkEnd w:id="1464"/>
      <w:bookmarkEnd w:id="1465"/>
      <w:bookmarkEnd w:id="1466"/>
      <w:bookmarkEnd w:id="1467"/>
      <w:bookmarkEnd w:id="1468"/>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4.5.</w:t>
      </w:r>
      <w:r>
        <w:rPr>
          <w:rFonts w:hint="eastAsia"/>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承包人项目经理必须与承包人投标时所承诺的人员一致，并在根据</w:t>
      </w:r>
      <w:r>
        <w:rPr>
          <w:rFonts w:ascii="宋体" w:hAnsi="宋体"/>
          <w:color w:val="000000" w:themeColor="text1"/>
          <w:sz w:val="24"/>
          <w:highlight w:val="none"/>
          <w14:textFill>
            <w14:solidFill>
              <w14:schemeClr w14:val="tx1"/>
            </w14:solidFill>
          </w14:textFill>
        </w:rPr>
        <w:t>监理人发出的开工通知中载明</w:t>
      </w:r>
      <w:r>
        <w:rPr>
          <w:rFonts w:hAnsi="宋体"/>
          <w:color w:val="000000" w:themeColor="text1"/>
          <w:sz w:val="24"/>
          <w:highlight w:val="none"/>
          <w14:textFill>
            <w14:solidFill>
              <w14:schemeClr w14:val="tx1"/>
            </w14:solidFill>
          </w14:textFill>
        </w:rPr>
        <w:t>的开工日期前到任。在监理人向承包人颁发</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出具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469" w:name="_Toc13637"/>
      <w:bookmarkStart w:id="1470" w:name="_Toc100504297"/>
      <w:bookmarkStart w:id="1471" w:name="_Toc5524"/>
      <w:bookmarkStart w:id="1472" w:name="_Toc354042229"/>
      <w:bookmarkStart w:id="1473" w:name="_Toc31311"/>
      <w:r>
        <w:rPr>
          <w:color w:val="000000" w:themeColor="text1"/>
          <w:szCs w:val="24"/>
          <w:highlight w:val="none"/>
          <w14:textFill>
            <w14:solidFill>
              <w14:schemeClr w14:val="tx1"/>
            </w14:solidFill>
          </w14:textFill>
        </w:rPr>
        <w:t>4.7 撤换承包人项目经理和其他人员</w:t>
      </w:r>
      <w:bookmarkEnd w:id="1469"/>
      <w:bookmarkEnd w:id="1470"/>
      <w:bookmarkEnd w:id="1471"/>
      <w:bookmarkEnd w:id="1472"/>
      <w:bookmarkEnd w:id="1473"/>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4.7.1承包人的项目经理、技术负责人在本工程验收前未经发包人同意不允许更换,由于承包人的原因更换项目经理、技术负责人,发包人有权将从签约合同价中扣减50万元/人次的扣款，施工过程中项目经理、技术负责人不能按要求到位累计1个月或以上，视为更换。但经发包人书面批准并办理更换手续的，可不扣款。接任的项目经理、技术负责人的资质、资历与工程经验应等于或高于前任代表，且应继续行使合同规定的前任的职权和履行相应的义务。</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4.7.2</w:t>
      </w:r>
      <w:r>
        <w:rPr>
          <w:rFonts w:hint="eastAsia" w:ascii="宋体" w:hAnsi="宋体" w:cs="宋体"/>
          <w:color w:val="000000" w:themeColor="text1"/>
          <w:sz w:val="24"/>
          <w:highlight w:val="none"/>
          <w14:textFill>
            <w14:solidFill>
              <w14:schemeClr w14:val="tx1"/>
            </w14:solidFill>
          </w14:textFill>
        </w:rPr>
        <w:t>承包人必须在工地项目部配备人员智能打卡设备，项目经理应保证全过程负责本工程的各项施工管理工作，不得授权他人代理。经发包人现场检查，项目经理不在现场1次，发包人将从合同总价中扣减1万元/人次的扣款，累计达到5次的，发包人可要求撤换该项目经理。累计扣减达10万元扣款，报水行政主管部门记项目经理和承包人不良行为各一次。</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4.7.3技术、安全生产负责人应保证全过程负责本工程的各项技术管理工作，不得授权他人代理。经发包人现场检查，技术、安全生产负责人不在现场1次，发包人将从签约合同价中扣减5000元/人次的扣款，累计达到 5 次的，发包人可要求撤换该项目技术、安全生产负责人，并报水行政主管部门记技术负责人和承包人不良行为各一次。</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4.7.4对于不胜任工作的承包人人员，当监理工程师要求更换时，承包人必须立即予以更换，并不得继续在本合同工程供职。</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4.7.5承包人人员资格的特别规定：所有特殊工种人员、各种领班以上人员均应符合有关规定的资质，并且应持有该项工作的上岗证，在施工期间佩带其上岗证供驻地监理工程师随时检查。在特殊工种的施工中，若发现不佩带上岗证的人员施工，则按每发现一次，扣款100元/人.次。</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4.7.6上述扣款发包人可以在履约担保或者工程款中直接扣除，并在结算前办理合同变更。</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474" w:name="_Toc9455"/>
      <w:bookmarkStart w:id="1475" w:name="_Toc15103"/>
      <w:bookmarkStart w:id="1476" w:name="_Toc100504298"/>
      <w:bookmarkStart w:id="1477" w:name="_Toc19701"/>
      <w:r>
        <w:rPr>
          <w:rFonts w:hint="eastAsia" w:eastAsia="宋体" w:cs="Times New Roman"/>
          <w:b/>
          <w:color w:val="000000" w:themeColor="text1"/>
          <w:szCs w:val="24"/>
          <w:highlight w:val="none"/>
          <w14:textFill>
            <w14:solidFill>
              <w14:schemeClr w14:val="tx1"/>
            </w14:solidFill>
          </w14:textFill>
        </w:rPr>
        <w:t>4.8 保障承包人人员的合法权益</w:t>
      </w:r>
      <w:bookmarkEnd w:id="1474"/>
      <w:bookmarkEnd w:id="1475"/>
      <w:bookmarkEnd w:id="1476"/>
      <w:bookmarkEnd w:id="1477"/>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4.8.1（1）承包人应该在建设项目开工前,在相关行政部门公布的番禺辖区内的商业银行设立工人工资支付专用账户,并在用工之日起15个日历天内为每个工人办理工资个人账户, 并通过银行转账方式支付工人工资。</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承包人应按有关规定与雇佣的工人签定劳动合同、劳务合同，通过工人工资支付专用账户按时足额发放工人工资，并按月将工人工资支付明细表报发包人备案，发包人和监理人可不定期检查工资发放情况，若发现承包人有拖延或拒绝支付工人工资的情况，发包人可以予以代付工人工资，并从应支付给承包人的工程款中扣除。</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承包人应当根据劳动合同约定的施工人员工资标准等内容，按照依法签订的集体合同或劳动合同约定的日期按月支付工资，并不得低于当地最低工资标准。</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4）承包人应每月编制施工人员工资支付表，并申请在工程进度款中分项列明工人工资总额。承包人应当建立用工管理台账，真实、准确记录工人名册、劳动合同、劳务合同、工程进度、工时、劳务承包款和工人工资支付情况等信息，并保存两年以上备查。在每次请款时，向发包人提供工人名册、工人身份证复印件进行核对及备案。</w:t>
      </w:r>
    </w:p>
    <w:p>
      <w:pPr>
        <w:pStyle w:val="20"/>
        <w:spacing w:line="360" w:lineRule="auto"/>
        <w:ind w:firstLine="480" w:firstLineChars="200"/>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（5）承包人应对其专业分包或劳务分包单位工资支付进行监督，督促其依法支付施工人员工资。</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4.8.5</w:t>
      </w:r>
      <w:r>
        <w:rPr>
          <w:rFonts w:hint="eastAsia"/>
          <w:color w:val="000000" w:themeColor="text1"/>
          <w:sz w:val="24"/>
          <w:highlight w:val="none"/>
          <w14:textFill>
            <w14:solidFill>
              <w14:schemeClr w14:val="tx1"/>
            </w14:solidFill>
          </w14:textFill>
        </w:rPr>
        <w:t>承包人应当按照国家及广东省、广州市的有关规定和本合同的有关约定加强其参与本工程建设人员的管理，对其参与本工程建设的所有管理人员和作业人员（包括施工人员）办理意外伤害保险，施工人员意外伤害保险期限自本工程开工之日零时起至竣工验收合格之日二十四时止。</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478" w:name="_Toc3579"/>
      <w:bookmarkStart w:id="1479" w:name="_Toc12535"/>
      <w:bookmarkStart w:id="1480" w:name="_Toc100504299"/>
      <w:bookmarkStart w:id="1481" w:name="_Toc13730"/>
      <w:r>
        <w:rPr>
          <w:rFonts w:eastAsia="宋体" w:cs="Times New Roman"/>
          <w:b/>
          <w:color w:val="000000" w:themeColor="text1"/>
          <w:szCs w:val="24"/>
          <w:highlight w:val="none"/>
          <w14:textFill>
            <w14:solidFill>
              <w14:schemeClr w14:val="tx1"/>
            </w14:solidFill>
          </w14:textFill>
        </w:rPr>
        <w:t>4.</w:t>
      </w:r>
      <w:r>
        <w:rPr>
          <w:rFonts w:hint="eastAsia" w:eastAsia="宋体" w:cs="Times New Roman"/>
          <w:b/>
          <w:color w:val="000000" w:themeColor="text1"/>
          <w:szCs w:val="24"/>
          <w:highlight w:val="none"/>
          <w14:textFill>
            <w14:solidFill>
              <w14:schemeClr w14:val="tx1"/>
            </w14:solidFill>
          </w14:textFill>
        </w:rPr>
        <w:t>9 工程价款应专款专用</w:t>
      </w:r>
      <w:bookmarkEnd w:id="1478"/>
      <w:bookmarkEnd w:id="1479"/>
      <w:bookmarkEnd w:id="1480"/>
      <w:bookmarkEnd w:id="1481"/>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4.9.1安全文明施工费</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本合同工程安全文明施工费的内容、范围和金额，以现行广东省统一工程计价依据规定为准。承包人必须严格执行广州市建委《广州市建筑工程安全生产措施费管理办法》（穗建筑[2003]106号）规定的市政工程安全生产措施，专款专用。</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（2）约定支付方式</w:t>
      </w:r>
    </w:p>
    <w:p>
      <w:pPr>
        <w:pStyle w:val="20"/>
        <w:spacing w:line="360" w:lineRule="auto"/>
        <w:ind w:firstLine="480" w:firstLineChars="200"/>
        <w:rPr>
          <w:rFonts w:hint="eastAsia" w:ascii="黑体" w:hAnsi="Times New Roman"/>
          <w:b/>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经审查符合开工条件支付50%，中间安全评价合格后支付40%，工程竣工安全评价合格后支付10%。安全生产措施费须由发包人安全员及监理人对安全生产措施评价确认后，方可支付。</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482" w:name="_Toc354042232"/>
      <w:bookmarkStart w:id="1483" w:name="_Toc11798"/>
      <w:bookmarkStart w:id="1484" w:name="_Toc100504300"/>
      <w:bookmarkStart w:id="1485" w:name="_Toc18322"/>
      <w:bookmarkStart w:id="1486" w:name="_Toc23808"/>
      <w:r>
        <w:rPr>
          <w:rFonts w:hAnsi="宋体"/>
          <w:b/>
          <w:color w:val="000000" w:themeColor="text1"/>
          <w:sz w:val="24"/>
          <w:highlight w:val="none"/>
          <w14:textFill>
            <w14:solidFill>
              <w14:schemeClr w14:val="tx1"/>
            </w14:solidFill>
          </w14:textFill>
        </w:rPr>
        <w:t>5.</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材料和工程设备</w:t>
      </w:r>
      <w:bookmarkEnd w:id="1482"/>
      <w:bookmarkEnd w:id="1483"/>
      <w:bookmarkEnd w:id="1484"/>
      <w:bookmarkEnd w:id="1485"/>
      <w:bookmarkEnd w:id="148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87" w:name="_Toc100504301"/>
      <w:bookmarkStart w:id="1488" w:name="_Toc17058"/>
      <w:bookmarkStart w:id="1489" w:name="_Toc354042233"/>
      <w:bookmarkStart w:id="1490" w:name="_Toc23623"/>
      <w:bookmarkStart w:id="1491" w:name="_Toc9367"/>
      <w:r>
        <w:rPr>
          <w:rFonts w:eastAsia="宋体" w:cs="Times New Roman"/>
          <w:b/>
          <w:color w:val="000000" w:themeColor="text1"/>
          <w:szCs w:val="24"/>
          <w:highlight w:val="none"/>
          <w14:textFill>
            <w14:solidFill>
              <w14:schemeClr w14:val="tx1"/>
            </w14:solidFill>
          </w14:textFill>
        </w:rPr>
        <w:t>5.1承包人提供的材料和工程设备</w:t>
      </w:r>
      <w:bookmarkEnd w:id="1487"/>
      <w:bookmarkEnd w:id="1488"/>
      <w:bookmarkEnd w:id="1489"/>
      <w:bookmarkEnd w:id="1490"/>
      <w:bookmarkEnd w:id="1491"/>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5.1.1承包人采购材料和工程设备的约定：</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1）工程的材料由承包人严格按设计要求的规格、型号及国家相关标准进行采购，承包人所采购材料的产品质量档次必须高于或相当于发包人在招标时所列明之生产厂家生产的材料，承包人采购之材料所需费用均已包含在本签约合同价中，且不因材料、人工价格的变动而作任何调整。</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2）承包人应按照施工组织计划在材料使用前30日历天提出材料采购计划，报监理人审批，监理人在接单后3日历天内予以批复，并报发包人审核。确保工期按时进行。如需发包人提供的设备、材料及成品，同样需在30日历天前提出计划，如承包人未履行此提前告知的义务，相关损失均由承包人负责赔偿。</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（3）</w:t>
      </w:r>
      <w:r>
        <w:rPr>
          <w:rFonts w:hAnsi="宋体"/>
          <w:color w:val="000000" w:themeColor="text1"/>
          <w:sz w:val="24"/>
          <w:szCs w:val="24"/>
          <w:highlight w:val="none"/>
          <w14:textFill>
            <w14:solidFill>
              <w14:schemeClr w14:val="tx1"/>
            </w14:solidFill>
          </w14:textFill>
        </w:rPr>
        <w:t>承包人所采购的材料和工程设备的型号、品牌和技术参数需经发包人和设计人双方同意后方能采购，若未经发包人和设计人双方同意便自行采购，材料和工程设备的型号、品牌和技术参数未达到相关标准要求的，承包人需重新进行采购，相关损失均由承包人承担。</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(4)</w:t>
      </w:r>
      <w:r>
        <w:rPr>
          <w:rFonts w:hint="eastAsia" w:hAnsi="宋体"/>
          <w:color w:val="000000" w:themeColor="text1"/>
          <w:sz w:val="24"/>
          <w:highlight w:val="none"/>
          <w14:textFill>
            <w14:solidFill>
              <w14:schemeClr w14:val="tx1"/>
            </w14:solidFill>
          </w14:textFill>
        </w:rPr>
        <w:t xml:space="preserve"> 承包人不得以材料或设备的供货期无法满足工程进度为理由提出变更投标时确定的品牌，否则视为违约。</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5.1.2所使用材料必须附有材料合格证和材质鉴定单据，所有使用材料须全部按见证采样要求由现场监理人员见证取样送发包人认可的检测机构检测，检验结果经监理工程师和发包人认可后才可以使用。</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5.1.4凡因承包人使用不合格产品或材料而造成的工程质量事故或人身伤亡事故，均由承包人负责赔偿并承担责任。承包人所采购的材料、设备在保修期内如出现产品质量问题，承包人必须负责更换，必要时承包人须向发包人提供有关产品资料和技术指导及零配件供应等售后服务。</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5.1.5材料的替换</w:t>
      </w:r>
    </w:p>
    <w:p>
      <w:pPr>
        <w:spacing w:line="360" w:lineRule="auto"/>
        <w:ind w:firstLine="480" w:firstLineChars="200"/>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工程所需材料、设备，如规格、品种或材质不能满足本合同工程的要求，必须以其它规格、品种代替或加工处理，应征得发包人同意，在办理有关变更手续后实行。由于代用或加工而发生的量差、价差及加工费用，由承包人负责。</w:t>
      </w:r>
    </w:p>
    <w:p>
      <w:pPr>
        <w:pStyle w:val="67"/>
        <w:keepNext w:val="0"/>
        <w:keepLines w:val="0"/>
        <w:spacing w:before="72" w:beforeLines="30" w:line="360" w:lineRule="auto"/>
        <w:ind w:firstLine="482" w:firstLineChars="200"/>
        <w:rPr>
          <w:rFonts w:hint="eastAsia" w:ascii="宋体" w:hAnsi="宋体"/>
          <w:color w:val="000000" w:themeColor="text1"/>
          <w:highlight w:val="none"/>
          <w14:textFill>
            <w14:solidFill>
              <w14:schemeClr w14:val="tx1"/>
            </w14:solidFill>
          </w14:textFill>
        </w:rPr>
      </w:pPr>
      <w:bookmarkStart w:id="1492" w:name="_Toc100504302"/>
      <w:bookmarkStart w:id="1493" w:name="_Toc29512"/>
      <w:bookmarkStart w:id="1494" w:name="_Toc1563"/>
      <w:bookmarkStart w:id="1495" w:name="_Toc502849558"/>
      <w:bookmarkStart w:id="1496" w:name="_Toc5801"/>
      <w:bookmarkStart w:id="1497" w:name="_Toc354042234"/>
      <w:r>
        <w:rPr>
          <w:rFonts w:hint="eastAsia" w:ascii="宋体" w:hAnsi="宋体"/>
          <w:b/>
          <w:color w:val="000000" w:themeColor="text1"/>
          <w:highlight w:val="none"/>
          <w14:textFill>
            <w14:solidFill>
              <w14:schemeClr w14:val="tx1"/>
            </w14:solidFill>
          </w14:textFill>
        </w:rPr>
        <w:t>5.1.6</w:t>
      </w:r>
      <w:r>
        <w:rPr>
          <w:rFonts w:hint="eastAsia" w:ascii="宋体" w:hAnsi="宋体"/>
          <w:color w:val="000000" w:themeColor="text1"/>
          <w:highlight w:val="none"/>
          <w14:textFill>
            <w14:solidFill>
              <w14:schemeClr w14:val="tx1"/>
            </w14:solidFill>
          </w14:textFill>
        </w:rPr>
        <w:t>施工图纸中设计的永久工程必须使用全新材料。</w:t>
      </w:r>
      <w:bookmarkEnd w:id="1492"/>
      <w:bookmarkEnd w:id="1493"/>
      <w:bookmarkEnd w:id="1494"/>
      <w:bookmarkEnd w:id="1495"/>
      <w:bookmarkEnd w:id="149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498" w:name="_Toc22850"/>
      <w:bookmarkStart w:id="1499" w:name="_Toc20694"/>
      <w:bookmarkStart w:id="1500" w:name="_Toc100504303"/>
      <w:bookmarkStart w:id="1501" w:name="_Toc8738"/>
      <w:r>
        <w:rPr>
          <w:rFonts w:eastAsia="宋体" w:cs="Times New Roman"/>
          <w:b/>
          <w:color w:val="000000" w:themeColor="text1"/>
          <w:szCs w:val="24"/>
          <w:highlight w:val="none"/>
          <w14:textFill>
            <w14:solidFill>
              <w14:schemeClr w14:val="tx1"/>
            </w14:solidFill>
          </w14:textFill>
        </w:rPr>
        <w:t>5.2发包人提供的材料和工程设备</w:t>
      </w:r>
      <w:bookmarkEnd w:id="1497"/>
      <w:bookmarkEnd w:id="1498"/>
      <w:bookmarkEnd w:id="1499"/>
      <w:bookmarkEnd w:id="1500"/>
      <w:bookmarkEnd w:id="1501"/>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5.2.1 </w:t>
      </w:r>
      <w:r>
        <w:rPr>
          <w:rFonts w:hAnsi="宋体"/>
          <w:color w:val="000000" w:themeColor="text1"/>
          <w:sz w:val="24"/>
          <w:highlight w:val="none"/>
          <w14:textFill>
            <w14:solidFill>
              <w14:schemeClr w14:val="tx1"/>
            </w14:solidFill>
          </w14:textFill>
        </w:rPr>
        <w:t>发包人提供的材料和工程设备</w:t>
      </w:r>
      <w:r>
        <w:rPr>
          <w:rFonts w:hint="eastAsia" w:hAnsi="宋体"/>
          <w:color w:val="000000" w:themeColor="text1"/>
          <w:sz w:val="24"/>
          <w:highlight w:val="none"/>
          <w14:textFill>
            <w14:solidFill>
              <w14:schemeClr w14:val="tx1"/>
            </w14:solidFill>
          </w14:textFill>
        </w:rPr>
        <w:t>：无约定。</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5.2.6发包人供应的材料和工程设备与一览表不符时，双方约定发包人承担责任如下：</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（1）材料和工程设备单价与一览表不符：无约定。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（2）材料和工程设备的品种、规格、型号、质量等级与一览表不符：无约定。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（3）承包人可代为调剂串换的材料：无约定。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（4）到货地点与一览表不符：无约定。  </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（5）供应数量与一览表不符：无约定。</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（6）到货时间与一览表不符：无约定。</w:t>
      </w:r>
    </w:p>
    <w:p>
      <w:pPr>
        <w:spacing w:line="360" w:lineRule="auto"/>
        <w:ind w:firstLine="480" w:firstLineChars="200"/>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5.2.7发包人供应材料和工程设备的结算方法：按发包人提供材料和工程设备的有关结算文件执</w:t>
      </w:r>
      <w:r>
        <w:rPr>
          <w:rFonts w:hint="eastAsia" w:ascii="宋体" w:hAnsi="宋体"/>
          <w:color w:val="000000" w:themeColor="text1"/>
          <w:sz w:val="24"/>
          <w:highlight w:val="none"/>
          <w14:textFill>
            <w14:solidFill>
              <w14:schemeClr w14:val="tx1"/>
            </w14:solidFill>
          </w14:textFill>
        </w:rPr>
        <w:t>行。</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02" w:name="_Toc22276"/>
      <w:bookmarkStart w:id="1503" w:name="_Toc29532"/>
      <w:bookmarkStart w:id="1504" w:name="_Toc10922"/>
      <w:bookmarkStart w:id="1505" w:name="_Toc100504304"/>
      <w:bookmarkStart w:id="1506" w:name="_Toc354042235"/>
      <w:r>
        <w:rPr>
          <w:rFonts w:hAnsi="宋体"/>
          <w:b/>
          <w:color w:val="000000" w:themeColor="text1"/>
          <w:sz w:val="24"/>
          <w:highlight w:val="none"/>
          <w14:textFill>
            <w14:solidFill>
              <w14:schemeClr w14:val="tx1"/>
            </w14:solidFill>
          </w14:textFill>
        </w:rPr>
        <w:t>6.</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施工设备和临时设施</w:t>
      </w:r>
      <w:bookmarkEnd w:id="1502"/>
      <w:bookmarkEnd w:id="1503"/>
      <w:bookmarkEnd w:id="1504"/>
      <w:bookmarkEnd w:id="1505"/>
      <w:bookmarkEnd w:id="1506"/>
    </w:p>
    <w:p>
      <w:pPr>
        <w:pStyle w:val="67"/>
        <w:keepNext w:val="0"/>
        <w:keepLines w:val="0"/>
        <w:spacing w:before="72" w:beforeLines="30" w:line="360" w:lineRule="auto"/>
        <w:rPr>
          <w:rFonts w:ascii="宋体" w:hAnsi="宋体" w:eastAsia="宋体" w:cs="Times New Roman"/>
          <w:b/>
          <w:color w:val="000000" w:themeColor="text1"/>
          <w:szCs w:val="24"/>
          <w:highlight w:val="none"/>
          <w14:textFill>
            <w14:solidFill>
              <w14:schemeClr w14:val="tx1"/>
            </w14:solidFill>
          </w14:textFill>
        </w:rPr>
      </w:pPr>
      <w:bookmarkStart w:id="1507" w:name="_Toc409783584"/>
      <w:bookmarkStart w:id="1508" w:name="_Toc6831"/>
      <w:bookmarkStart w:id="1509" w:name="_Toc30501"/>
      <w:bookmarkStart w:id="1510" w:name="_Toc100504305"/>
      <w:bookmarkStart w:id="1511" w:name="_Toc18508"/>
      <w:bookmarkStart w:id="1512" w:name="_Toc354042236"/>
      <w:r>
        <w:rPr>
          <w:rFonts w:ascii="宋体" w:hAnsi="宋体" w:eastAsia="宋体" w:cs="Times New Roman"/>
          <w:b/>
          <w:color w:val="000000" w:themeColor="text1"/>
          <w:szCs w:val="24"/>
          <w:highlight w:val="none"/>
          <w14:textFill>
            <w14:solidFill>
              <w14:schemeClr w14:val="tx1"/>
            </w14:solidFill>
          </w14:textFill>
        </w:rPr>
        <w:t>6.1承包人提供的施工设备和临时设施</w:t>
      </w:r>
      <w:bookmarkEnd w:id="1507"/>
      <w:bookmarkEnd w:id="1508"/>
      <w:bookmarkEnd w:id="1509"/>
      <w:bookmarkEnd w:id="1510"/>
      <w:bookmarkEnd w:id="1511"/>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6.1.2</w:t>
      </w:r>
      <w:r>
        <w:rPr>
          <w:rFonts w:hint="eastAsia" w:ascii="宋体" w:hAnsi="宋体"/>
          <w:color w:val="000000" w:themeColor="text1"/>
          <w:sz w:val="24"/>
          <w:highlight w:val="none"/>
          <w14:textFill>
            <w14:solidFill>
              <w14:schemeClr w14:val="tx1"/>
            </w14:solidFill>
          </w14:textFill>
        </w:rPr>
        <w:t>承</w:t>
      </w:r>
      <w:r>
        <w:rPr>
          <w:rFonts w:ascii="宋体" w:hAnsi="宋体"/>
          <w:color w:val="000000" w:themeColor="text1"/>
          <w:sz w:val="24"/>
          <w:highlight w:val="none"/>
          <w14:textFill>
            <w14:solidFill>
              <w14:schemeClr w14:val="tx1"/>
            </w14:solidFill>
          </w14:textFill>
        </w:rPr>
        <w:t>包人承担修建临时设施的费用的范围：</w:t>
      </w:r>
      <w:r>
        <w:rPr>
          <w:rFonts w:hint="eastAsia" w:ascii="宋体" w:hAnsi="宋体"/>
          <w:color w:val="000000" w:themeColor="text1"/>
          <w:sz w:val="24"/>
          <w:highlight w:val="none"/>
          <w14:textFill>
            <w14:solidFill>
              <w14:schemeClr w14:val="tx1"/>
            </w14:solidFill>
          </w14:textFill>
        </w:rPr>
        <w:t>由承包人承担，费用含在签约合同价中</w:t>
      </w:r>
      <w:r>
        <w:rPr>
          <w:rFonts w:ascii="宋体" w:hAnsi="宋体"/>
          <w:color w:val="000000" w:themeColor="text1"/>
          <w:sz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需要</w:t>
      </w:r>
      <w:r>
        <w:rPr>
          <w:rFonts w:hint="eastAsia" w:ascii="宋体" w:hAnsi="宋体"/>
          <w:color w:val="000000" w:themeColor="text1"/>
          <w:sz w:val="24"/>
          <w:highlight w:val="none"/>
          <w14:textFill>
            <w14:solidFill>
              <w14:schemeClr w14:val="tx1"/>
            </w14:solidFill>
          </w14:textFill>
        </w:rPr>
        <w:t>承</w:t>
      </w:r>
      <w:r>
        <w:rPr>
          <w:rFonts w:ascii="宋体" w:hAnsi="宋体"/>
          <w:color w:val="000000" w:themeColor="text1"/>
          <w:sz w:val="24"/>
          <w:highlight w:val="none"/>
          <w14:textFill>
            <w14:solidFill>
              <w14:schemeClr w14:val="tx1"/>
            </w14:solidFill>
          </w14:textFill>
        </w:rPr>
        <w:t>包人办理申请手续和承担相关费用的临时占地：</w:t>
      </w:r>
      <w:r>
        <w:rPr>
          <w:rFonts w:hint="eastAsia" w:ascii="宋体" w:hAnsi="宋体"/>
          <w:color w:val="000000" w:themeColor="text1"/>
          <w:sz w:val="24"/>
          <w:highlight w:val="none"/>
          <w14:textFill>
            <w14:solidFill>
              <w14:schemeClr w14:val="tx1"/>
            </w14:solidFill>
          </w14:textFill>
        </w:rPr>
        <w:t>由承包人承担，费用含在签约合同价中</w:t>
      </w:r>
      <w:r>
        <w:rPr>
          <w:rFonts w:ascii="宋体"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ascii="宋体" w:hAnsi="宋体" w:eastAsia="宋体" w:cs="Times New Roman"/>
          <w:b/>
          <w:color w:val="000000" w:themeColor="text1"/>
          <w:szCs w:val="24"/>
          <w:highlight w:val="none"/>
          <w14:textFill>
            <w14:solidFill>
              <w14:schemeClr w14:val="tx1"/>
            </w14:solidFill>
          </w14:textFill>
        </w:rPr>
      </w:pPr>
      <w:bookmarkStart w:id="1513" w:name="_Toc12769"/>
      <w:bookmarkStart w:id="1514" w:name="_Toc100504306"/>
      <w:bookmarkStart w:id="1515" w:name="_Toc1084"/>
      <w:bookmarkStart w:id="1516" w:name="_Toc409783585"/>
      <w:bookmarkStart w:id="1517" w:name="_Toc12157"/>
      <w:r>
        <w:rPr>
          <w:rFonts w:ascii="宋体" w:hAnsi="宋体" w:eastAsia="宋体" w:cs="Times New Roman"/>
          <w:b/>
          <w:color w:val="000000" w:themeColor="text1"/>
          <w:szCs w:val="24"/>
          <w:highlight w:val="none"/>
          <w14:textFill>
            <w14:solidFill>
              <w14:schemeClr w14:val="tx1"/>
            </w14:solidFill>
          </w14:textFill>
        </w:rPr>
        <w:t>6.2发包人提供的施工设备和临时设施</w:t>
      </w:r>
      <w:bookmarkEnd w:id="1513"/>
      <w:bookmarkEnd w:id="1514"/>
      <w:bookmarkEnd w:id="1515"/>
      <w:bookmarkEnd w:id="1516"/>
      <w:bookmarkEnd w:id="1517"/>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发包人提供的施工设备和临时设施：</w:t>
      </w:r>
      <w:r>
        <w:rPr>
          <w:rFonts w:hint="eastAsia" w:ascii="宋体" w:hAnsi="宋体"/>
          <w:color w:val="000000" w:themeColor="text1"/>
          <w:sz w:val="24"/>
          <w:highlight w:val="none"/>
          <w:u w:val="single"/>
          <w14:textFill>
            <w14:solidFill>
              <w14:schemeClr w14:val="tx1"/>
            </w14:solidFill>
          </w14:textFill>
        </w:rPr>
        <w:t>不提供</w:t>
      </w:r>
      <w:r>
        <w:rPr>
          <w:rFonts w:ascii="宋体" w:hAnsi="宋体"/>
          <w:color w:val="000000" w:themeColor="text1"/>
          <w:sz w:val="24"/>
          <w:highlight w:val="none"/>
          <w14:textFill>
            <w14:solidFill>
              <w14:schemeClr w14:val="tx1"/>
            </w14:solidFill>
          </w14:textFill>
        </w:rPr>
        <w:t>。</w:t>
      </w: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发包人提供的施工设备和临时设施的运行、维护、拆除、清运费用：</w:t>
      </w:r>
      <w:r>
        <w:rPr>
          <w:rFonts w:hint="eastAsia" w:ascii="宋体" w:hAnsi="宋体"/>
          <w:color w:val="000000" w:themeColor="text1"/>
          <w:sz w:val="24"/>
          <w:highlight w:val="none"/>
          <w:u w:val="single"/>
          <w14:textFill>
            <w14:solidFill>
              <w14:schemeClr w14:val="tx1"/>
            </w14:solidFill>
          </w14:textFill>
        </w:rPr>
        <w:t>不提供，不承担费用</w:t>
      </w:r>
      <w:r>
        <w:rPr>
          <w:rFonts w:ascii="宋体" w:hAnsi="宋体"/>
          <w:color w:val="000000" w:themeColor="text1"/>
          <w:sz w:val="24"/>
          <w:highlight w:val="none"/>
          <w14:textFill>
            <w14:solidFill>
              <w14:schemeClr w14:val="tx1"/>
            </w14:solidFill>
          </w14:textFill>
        </w:rPr>
        <w:t>。</w:t>
      </w:r>
    </w:p>
    <w:bookmarkEnd w:id="1512"/>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18" w:name="_Toc100504307"/>
      <w:bookmarkStart w:id="1519" w:name="_Toc354042238"/>
      <w:bookmarkStart w:id="1520" w:name="_Toc27194"/>
      <w:bookmarkStart w:id="1521" w:name="_Toc27143"/>
      <w:bookmarkStart w:id="1522" w:name="_Toc29377"/>
      <w:r>
        <w:rPr>
          <w:rFonts w:eastAsia="宋体" w:cs="Times New Roman"/>
          <w:b/>
          <w:color w:val="000000" w:themeColor="text1"/>
          <w:szCs w:val="24"/>
          <w:highlight w:val="none"/>
          <w14:textFill>
            <w14:solidFill>
              <w14:schemeClr w14:val="tx1"/>
            </w14:solidFill>
          </w14:textFill>
        </w:rPr>
        <w:t>6.4施工设备和临时设施专用于合同工程</w:t>
      </w:r>
      <w:bookmarkEnd w:id="1518"/>
      <w:bookmarkEnd w:id="1519"/>
      <w:bookmarkEnd w:id="1520"/>
      <w:bookmarkEnd w:id="1521"/>
      <w:bookmarkEnd w:id="152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6.4.1</w:t>
      </w:r>
      <w:r>
        <w:rPr>
          <w:rFonts w:hAnsi="宋体"/>
          <w:color w:val="000000" w:themeColor="text1"/>
          <w:sz w:val="24"/>
          <w:highlight w:val="none"/>
          <w14:textFill>
            <w14:solidFill>
              <w14:schemeClr w14:val="tx1"/>
            </w14:solidFill>
          </w14:textFill>
        </w:rPr>
        <w:t>除为专用合同条款第</w:t>
      </w:r>
      <w:r>
        <w:rPr>
          <w:color w:val="000000" w:themeColor="text1"/>
          <w:sz w:val="24"/>
          <w:highlight w:val="none"/>
          <w14:textFill>
            <w14:solidFill>
              <w14:schemeClr w14:val="tx1"/>
            </w14:solidFill>
          </w14:textFill>
        </w:rPr>
        <w:t>4.1.8</w:t>
      </w:r>
      <w:r>
        <w:rPr>
          <w:rFonts w:hAnsi="宋体"/>
          <w:color w:val="000000" w:themeColor="text1"/>
          <w:sz w:val="24"/>
          <w:highlight w:val="none"/>
          <w14:textFill>
            <w14:solidFill>
              <w14:schemeClr w14:val="tx1"/>
            </w14:solidFill>
          </w14:textFill>
        </w:rPr>
        <w:t>项约定的其他独立承包人和监理人指示的他人提供条件外，承包人运入施工场地的所有施工设备以及在施工场地建设的临时设施仅限于用于合同工程。</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23" w:name="_Toc354042239"/>
      <w:bookmarkStart w:id="1524" w:name="_Toc2848"/>
      <w:bookmarkStart w:id="1525" w:name="_Toc6377"/>
      <w:bookmarkStart w:id="1526" w:name="_Toc100504308"/>
      <w:bookmarkStart w:id="1527" w:name="_Toc5904"/>
      <w:r>
        <w:rPr>
          <w:rFonts w:hAnsi="宋体"/>
          <w:b/>
          <w:color w:val="000000" w:themeColor="text1"/>
          <w:sz w:val="24"/>
          <w:highlight w:val="none"/>
          <w14:textFill>
            <w14:solidFill>
              <w14:schemeClr w14:val="tx1"/>
            </w14:solidFill>
          </w14:textFill>
        </w:rPr>
        <w:t>7.</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交通运输</w:t>
      </w:r>
      <w:bookmarkEnd w:id="1523"/>
      <w:bookmarkEnd w:id="1524"/>
      <w:bookmarkEnd w:id="1525"/>
      <w:bookmarkEnd w:id="1526"/>
      <w:bookmarkEnd w:id="1527"/>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28" w:name="_Toc24544"/>
      <w:bookmarkStart w:id="1529" w:name="_Toc30058"/>
      <w:bookmarkStart w:id="1530" w:name="_Toc100504309"/>
      <w:bookmarkStart w:id="1531" w:name="_Toc354042240"/>
      <w:bookmarkStart w:id="1532" w:name="_Toc5432"/>
      <w:r>
        <w:rPr>
          <w:rFonts w:eastAsia="宋体" w:cs="Times New Roman"/>
          <w:b/>
          <w:color w:val="000000" w:themeColor="text1"/>
          <w:szCs w:val="24"/>
          <w:highlight w:val="none"/>
          <w14:textFill>
            <w14:solidFill>
              <w14:schemeClr w14:val="tx1"/>
            </w14:solidFill>
          </w14:textFill>
        </w:rPr>
        <w:t>7.1道路通行权和场外设施</w:t>
      </w:r>
      <w:bookmarkEnd w:id="1528"/>
      <w:bookmarkEnd w:id="1529"/>
      <w:bookmarkEnd w:id="1530"/>
      <w:bookmarkEnd w:id="1531"/>
      <w:bookmarkEnd w:id="1532"/>
    </w:p>
    <w:p>
      <w:pPr>
        <w:spacing w:line="360" w:lineRule="auto"/>
        <w:ind w:firstLine="480" w:firstLineChars="200"/>
        <w:rPr>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取得道路通行权、场外设施修建权的办理人：</w:t>
      </w:r>
      <w:r>
        <w:rPr>
          <w:rFonts w:hint="eastAsia"/>
          <w:color w:val="000000" w:themeColor="text1"/>
          <w:sz w:val="24"/>
          <w:highlight w:val="none"/>
          <w14:textFill>
            <w14:solidFill>
              <w14:schemeClr w14:val="tx1"/>
            </w14:solidFill>
          </w14:textFill>
        </w:rPr>
        <w:t>承包人</w:t>
      </w:r>
      <w:r>
        <w:rPr>
          <w:rFonts w:hAnsi="宋体"/>
          <w:color w:val="000000" w:themeColor="text1"/>
          <w:sz w:val="24"/>
          <w:highlight w:val="none"/>
          <w14:textFill>
            <w14:solidFill>
              <w14:schemeClr w14:val="tx1"/>
            </w14:solidFill>
          </w14:textFill>
        </w:rPr>
        <w:t>，其相关费用由</w:t>
      </w:r>
      <w:r>
        <w:rPr>
          <w:rFonts w:hint="eastAsia" w:hAnsi="宋体"/>
          <w:color w:val="000000" w:themeColor="text1"/>
          <w:sz w:val="24"/>
          <w:highlight w:val="none"/>
          <w14:textFill>
            <w14:solidFill>
              <w14:schemeClr w14:val="tx1"/>
            </w14:solidFill>
          </w14:textFill>
        </w:rPr>
        <w:t>承</w:t>
      </w:r>
      <w:r>
        <w:rPr>
          <w:rFonts w:hAnsi="宋体"/>
          <w:color w:val="000000" w:themeColor="text1"/>
          <w:sz w:val="24"/>
          <w:highlight w:val="none"/>
          <w14:textFill>
            <w14:solidFill>
              <w14:schemeClr w14:val="tx1"/>
            </w14:solidFill>
          </w14:textFill>
        </w:rPr>
        <w:t>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33" w:name="_Toc22556"/>
      <w:bookmarkStart w:id="1534" w:name="_Toc25770"/>
      <w:bookmarkStart w:id="1535" w:name="_Toc354042241"/>
      <w:bookmarkStart w:id="1536" w:name="_Toc16074"/>
      <w:bookmarkStart w:id="1537" w:name="_Toc100504310"/>
      <w:r>
        <w:rPr>
          <w:rFonts w:eastAsia="宋体" w:cs="Times New Roman"/>
          <w:b/>
          <w:color w:val="000000" w:themeColor="text1"/>
          <w:szCs w:val="24"/>
          <w:highlight w:val="none"/>
          <w14:textFill>
            <w14:solidFill>
              <w14:schemeClr w14:val="tx1"/>
            </w14:solidFill>
          </w14:textFill>
        </w:rPr>
        <w:t>7.2场内施工道路</w:t>
      </w:r>
      <w:bookmarkEnd w:id="1533"/>
      <w:bookmarkEnd w:id="1534"/>
      <w:bookmarkEnd w:id="1535"/>
      <w:bookmarkEnd w:id="1536"/>
      <w:bookmarkEnd w:id="153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7.2.1</w:t>
      </w:r>
      <w:r>
        <w:rPr>
          <w:rFonts w:hAnsi="宋体"/>
          <w:color w:val="000000" w:themeColor="text1"/>
          <w:sz w:val="24"/>
          <w:highlight w:val="none"/>
          <w14:textFill>
            <w14:solidFill>
              <w14:schemeClr w14:val="tx1"/>
            </w14:solidFill>
          </w14:textFill>
        </w:rPr>
        <w:t>施工所需的场内临时道路和交通设施的修建、维护、养护和管理人：</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，相关费用由</w:t>
      </w:r>
      <w:r>
        <w:rPr>
          <w:rFonts w:hint="eastAsia"/>
          <w:color w:val="000000" w:themeColor="text1"/>
          <w:sz w:val="24"/>
          <w:highlight w:val="none"/>
          <w14:textFill>
            <w14:solidFill>
              <w14:schemeClr w14:val="tx1"/>
            </w14:solidFill>
          </w14:textFill>
        </w:rPr>
        <w:t>承包人</w:t>
      </w:r>
      <w:r>
        <w:rPr>
          <w:rFonts w:hAnsi="宋体"/>
          <w:color w:val="000000" w:themeColor="text1"/>
          <w:sz w:val="24"/>
          <w:highlight w:val="none"/>
          <w14:textFill>
            <w14:solidFill>
              <w14:schemeClr w14:val="tx1"/>
            </w14:solidFill>
          </w14:textFill>
        </w:rPr>
        <w:t>承担。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7.2.2</w:t>
      </w:r>
      <w:r>
        <w:rPr>
          <w:rFonts w:hAnsi="宋体"/>
          <w:color w:val="000000" w:themeColor="text1"/>
          <w:sz w:val="24"/>
          <w:highlight w:val="none"/>
          <w14:textFill>
            <w14:solidFill>
              <w14:schemeClr w14:val="tx1"/>
            </w14:solidFill>
          </w14:textFill>
        </w:rPr>
        <w:t>发包人和监理人有权无偿使用承包人修建的临时道路和交通设施，不需要交纳任何费用。</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38" w:name="_Toc4362"/>
      <w:bookmarkStart w:id="1539" w:name="_Toc354042242"/>
      <w:bookmarkStart w:id="1540" w:name="_Toc8864"/>
      <w:bookmarkStart w:id="1541" w:name="_Toc12267"/>
      <w:bookmarkStart w:id="1542" w:name="_Toc100504311"/>
      <w:r>
        <w:rPr>
          <w:rFonts w:eastAsia="宋体" w:cs="Times New Roman"/>
          <w:b/>
          <w:color w:val="000000" w:themeColor="text1"/>
          <w:szCs w:val="24"/>
          <w:highlight w:val="none"/>
          <w14:textFill>
            <w14:solidFill>
              <w14:schemeClr w14:val="tx1"/>
            </w14:solidFill>
          </w14:textFill>
        </w:rPr>
        <w:t>7.4超大件和超重件的运输</w:t>
      </w:r>
      <w:bookmarkEnd w:id="1538"/>
      <w:bookmarkEnd w:id="1539"/>
      <w:bookmarkEnd w:id="1540"/>
      <w:bookmarkEnd w:id="1541"/>
      <w:bookmarkEnd w:id="1542"/>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运输超大件或超重件所需的道路和桥梁临时加固改造等费用的承担人：</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43" w:name="_Toc27952"/>
      <w:bookmarkStart w:id="1544" w:name="_Toc100504312"/>
      <w:bookmarkStart w:id="1545" w:name="_Toc12089"/>
      <w:bookmarkStart w:id="1546" w:name="_Toc354042243"/>
      <w:bookmarkStart w:id="1547" w:name="_Toc4704"/>
      <w:r>
        <w:rPr>
          <w:rFonts w:hAnsi="宋体"/>
          <w:b/>
          <w:color w:val="000000" w:themeColor="text1"/>
          <w:sz w:val="24"/>
          <w:highlight w:val="none"/>
          <w14:textFill>
            <w14:solidFill>
              <w14:schemeClr w14:val="tx1"/>
            </w14:solidFill>
          </w14:textFill>
        </w:rPr>
        <w:t>8.</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测量放线</w:t>
      </w:r>
      <w:bookmarkEnd w:id="1543"/>
      <w:bookmarkEnd w:id="1544"/>
      <w:bookmarkEnd w:id="1545"/>
      <w:bookmarkEnd w:id="1546"/>
      <w:bookmarkEnd w:id="1547"/>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48" w:name="_Toc9357"/>
      <w:bookmarkStart w:id="1549" w:name="_Toc100504313"/>
      <w:bookmarkStart w:id="1550" w:name="_Toc18810"/>
      <w:bookmarkStart w:id="1551" w:name="_Toc5869"/>
      <w:bookmarkStart w:id="1552" w:name="_Toc354042244"/>
      <w:r>
        <w:rPr>
          <w:rFonts w:eastAsia="宋体" w:cs="Times New Roman"/>
          <w:b/>
          <w:color w:val="000000" w:themeColor="text1"/>
          <w:szCs w:val="24"/>
          <w:highlight w:val="none"/>
          <w14:textFill>
            <w14:solidFill>
              <w14:schemeClr w14:val="tx1"/>
            </w14:solidFill>
          </w14:textFill>
        </w:rPr>
        <w:t>8.1施工控制网</w:t>
      </w:r>
      <w:bookmarkEnd w:id="1548"/>
      <w:bookmarkEnd w:id="1549"/>
      <w:bookmarkEnd w:id="1550"/>
      <w:bookmarkEnd w:id="1551"/>
      <w:bookmarkEnd w:id="155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8.1.1</w:t>
      </w:r>
      <w:r>
        <w:rPr>
          <w:rFonts w:hAnsi="宋体"/>
          <w:color w:val="000000" w:themeColor="text1"/>
          <w:sz w:val="24"/>
          <w:highlight w:val="none"/>
          <w14:textFill>
            <w14:solidFill>
              <w14:schemeClr w14:val="tx1"/>
            </w14:solidFill>
          </w14:textFill>
        </w:rPr>
        <w:t>发包人通过监理人提供测量基准点、基准线和水准点及其书面资料的期限：</w:t>
      </w:r>
      <w:r>
        <w:rPr>
          <w:rFonts w:hint="eastAsia"/>
          <w:color w:val="000000" w:themeColor="text1"/>
          <w:sz w:val="24"/>
          <w:highlight w:val="none"/>
          <w14:textFill>
            <w14:solidFill>
              <w14:schemeClr w14:val="tx1"/>
            </w14:solidFill>
          </w14:textFill>
        </w:rPr>
        <w:t>发放中标通知书后三日历天内</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承包人测设施工控制网的要求：</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满足测量规范要求</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承包人将施工控制网资料报送监理人审批的期限：</w:t>
      </w:r>
      <w:r>
        <w:rPr>
          <w:rFonts w:hint="eastAsia"/>
          <w:color w:val="000000" w:themeColor="text1"/>
          <w:sz w:val="24"/>
          <w:highlight w:val="none"/>
          <w14:textFill>
            <w14:solidFill>
              <w14:schemeClr w14:val="tx1"/>
            </w14:solidFill>
          </w14:textFill>
        </w:rPr>
        <w:t>完成控制网布置后三日历天内。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53" w:name="_Toc5255"/>
      <w:bookmarkStart w:id="1554" w:name="_Toc26140"/>
      <w:bookmarkStart w:id="1555" w:name="_Toc23501"/>
      <w:bookmarkStart w:id="1556" w:name="_Toc354042245"/>
      <w:bookmarkStart w:id="1557" w:name="_Toc100504314"/>
      <w:r>
        <w:rPr>
          <w:rFonts w:hAnsi="宋体"/>
          <w:b/>
          <w:color w:val="000000" w:themeColor="text1"/>
          <w:sz w:val="24"/>
          <w:highlight w:val="none"/>
          <w14:textFill>
            <w14:solidFill>
              <w14:schemeClr w14:val="tx1"/>
            </w14:solidFill>
          </w14:textFill>
        </w:rPr>
        <w:t>9.</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施工安全、治安保卫和环境保护</w:t>
      </w:r>
      <w:bookmarkEnd w:id="1553"/>
      <w:bookmarkEnd w:id="1554"/>
      <w:bookmarkEnd w:id="1555"/>
      <w:bookmarkEnd w:id="1556"/>
      <w:bookmarkEnd w:id="1557"/>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58" w:name="_Toc6059"/>
      <w:bookmarkStart w:id="1559" w:name="_Toc2918"/>
      <w:bookmarkStart w:id="1560" w:name="_Toc4357"/>
      <w:bookmarkStart w:id="1561" w:name="_Toc354042246"/>
      <w:bookmarkStart w:id="1562" w:name="_Toc100504315"/>
      <w:r>
        <w:rPr>
          <w:rFonts w:eastAsia="宋体" w:cs="Times New Roman"/>
          <w:b/>
          <w:color w:val="000000" w:themeColor="text1"/>
          <w:szCs w:val="24"/>
          <w:highlight w:val="none"/>
          <w14:textFill>
            <w14:solidFill>
              <w14:schemeClr w14:val="tx1"/>
            </w14:solidFill>
          </w14:textFill>
        </w:rPr>
        <w:t>9.2承包人的施工安全责任</w:t>
      </w:r>
      <w:bookmarkEnd w:id="1558"/>
      <w:bookmarkEnd w:id="1559"/>
      <w:bookmarkEnd w:id="1560"/>
      <w:bookmarkEnd w:id="1561"/>
      <w:bookmarkEnd w:id="1562"/>
    </w:p>
    <w:p>
      <w:pPr>
        <w:spacing w:line="360" w:lineRule="auto"/>
        <w:ind w:firstLine="480" w:firstLineChars="200"/>
        <w:rPr>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9.2.1</w:t>
      </w:r>
      <w:r>
        <w:rPr>
          <w:rFonts w:hAnsi="宋体"/>
          <w:color w:val="000000" w:themeColor="text1"/>
          <w:sz w:val="24"/>
          <w:highlight w:val="none"/>
          <w14:textFill>
            <w14:solidFill>
              <w14:schemeClr w14:val="tx1"/>
            </w14:solidFill>
          </w14:textFill>
        </w:rPr>
        <w:t>承包人向监理人报送施工安全措施计划的期限：</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收到中标通知书后7个工作日内</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监理人收到承包人报送的施工安全措施计划后应当在</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3</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 xml:space="preserve"> 日历天内给予批复。</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9.2.8承包人应当按照相关法律法规、规范的要求实施安全文明施工，履行《安全生产和文明施工管理协议书》的约定（见附件七）。</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承包人违反《安全生产和文明施工管理协议》约定扣款行为的，由发包人直接从履约保证金（履约保函）或在工程进度款中扣除。9.2.9  安全生产责任事故违约责任</w:t>
      </w:r>
    </w:p>
    <w:p>
      <w:pPr>
        <w:pStyle w:val="13"/>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承包期间发生安全生产事故的，按照本合同附件十四《施工管理及处罚条例》相关约定处理。</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9.2.10 安全、文明施工与检查</w:t>
      </w:r>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承包人须严格遵守执行《建设工程安全生产管理条例》、《建筑施工安全检查标准》穗建筑（2006）411号文和番建发（2006）41号文等安全生产法律、法规，按规定健全现场安全生产、安全防护及保卫措施，做到文明、安全施工，并承担由于措施不力造成事故的责任和所发生的费用；在工程进行期间，因承包人责任造成与本工程有关或本工程引致他人的人身意外伤亡、财产损失、破坏或罚款，由承包人承担全部的经济和法律责任。</w:t>
      </w:r>
    </w:p>
    <w:p>
      <w:pPr>
        <w:pStyle w:val="20"/>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在工程实施期间，施工场地一经移交给承包人，承包人即对施工场地负有全过程、全面的管理责任，必须对施工场地范围内的治安秩序、安全保卫、环境卫生以及周围房屋、市政设施等全面负责，对施工场地范围内的交通道路、用水、用电、场地内的施工协调负责。承包人需对其施工场地布置、人员的管理、交通组织制订详细的方案，对施工时段作出合理安排，必须采用全封闭施工方案，确保不对周边环境、道路、行人和相邻施工现场造成不利影响，不得干扰周围居民的正常生活。</w:t>
      </w:r>
    </w:p>
    <w:p>
      <w:pPr>
        <w:pStyle w:val="20"/>
        <w:spacing w:line="360" w:lineRule="auto"/>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hAnsi="宋体"/>
          <w:color w:val="000000" w:themeColor="text1"/>
          <w:sz w:val="24"/>
          <w:szCs w:val="24"/>
          <w:highlight w:val="none"/>
          <w14:textFill>
            <w14:solidFill>
              <w14:schemeClr w14:val="tx1"/>
            </w14:solidFill>
          </w14:textFill>
        </w:rPr>
        <w:t>安全生产措施费按广州市建委《转发省建设厅关于安全防护、文明施工措施费用计算补充规定的通知》（穗建筑[2008]967号）文件规定执行，专款专用。所有安全防护措施的费用已包括在签约合同价内，发包人不再另行计付。</w:t>
      </w:r>
      <w:r>
        <w:rPr>
          <w:rFonts w:hint="eastAsia" w:hAnsi="宋体"/>
          <w:color w:val="000000" w:themeColor="text1"/>
          <w:sz w:val="24"/>
          <w:highlight w:val="none"/>
          <w14:textFill>
            <w14:solidFill>
              <w14:schemeClr w14:val="tx1"/>
            </w14:solidFill>
          </w14:textFill>
        </w:rPr>
        <w:t>承包人工地文明施工不能满足规定时,发包人不予支付本项费用。</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63" w:name="_Toc100504316"/>
      <w:bookmarkStart w:id="1564" w:name="_Toc13190"/>
      <w:bookmarkStart w:id="1565" w:name="_Toc3123"/>
      <w:bookmarkStart w:id="1566" w:name="_Toc15080"/>
      <w:bookmarkStart w:id="1567" w:name="_Toc354042247"/>
      <w:r>
        <w:rPr>
          <w:rFonts w:eastAsia="宋体" w:cs="Times New Roman"/>
          <w:b/>
          <w:color w:val="000000" w:themeColor="text1"/>
          <w:szCs w:val="24"/>
          <w:highlight w:val="none"/>
          <w14:textFill>
            <w14:solidFill>
              <w14:schemeClr w14:val="tx1"/>
            </w14:solidFill>
          </w14:textFill>
        </w:rPr>
        <w:t>9.3治安保卫</w:t>
      </w:r>
      <w:bookmarkEnd w:id="1563"/>
      <w:bookmarkEnd w:id="1564"/>
      <w:bookmarkEnd w:id="1565"/>
      <w:bookmarkEnd w:id="1566"/>
      <w:bookmarkEnd w:id="1567"/>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9.3.1</w:t>
      </w:r>
      <w:r>
        <w:rPr>
          <w:rFonts w:hAnsi="宋体"/>
          <w:color w:val="000000" w:themeColor="text1"/>
          <w:sz w:val="24"/>
          <w:highlight w:val="none"/>
          <w14:textFill>
            <w14:solidFill>
              <w14:schemeClr w14:val="tx1"/>
            </w14:solidFill>
          </w14:textFill>
        </w:rPr>
        <w:t>承包人应当负责统一管理施工场地的治安保卫事项，履行合同工程的治安保卫职责。</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9.3.3</w:t>
      </w:r>
      <w:r>
        <w:rPr>
          <w:rFonts w:hAnsi="宋体"/>
          <w:color w:val="000000" w:themeColor="text1"/>
          <w:sz w:val="24"/>
          <w:highlight w:val="none"/>
          <w14:textFill>
            <w14:solidFill>
              <w14:schemeClr w14:val="tx1"/>
            </w14:solidFill>
          </w14:textFill>
        </w:rPr>
        <w:t>施工场地治安管理计划和突发治安事件紧急预案的编制责任人：</w:t>
      </w:r>
      <w:r>
        <w:rPr>
          <w:rFonts w:hint="eastAsia"/>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68" w:name="_Toc354042248"/>
      <w:bookmarkStart w:id="1569" w:name="_Toc3887"/>
      <w:bookmarkStart w:id="1570" w:name="_Toc23405"/>
      <w:bookmarkStart w:id="1571" w:name="_Toc23673"/>
      <w:bookmarkStart w:id="1572" w:name="_Toc100504317"/>
      <w:r>
        <w:rPr>
          <w:rFonts w:eastAsia="宋体" w:cs="Times New Roman"/>
          <w:b/>
          <w:color w:val="000000" w:themeColor="text1"/>
          <w:szCs w:val="24"/>
          <w:highlight w:val="none"/>
          <w14:textFill>
            <w14:solidFill>
              <w14:schemeClr w14:val="tx1"/>
            </w14:solidFill>
          </w14:textFill>
        </w:rPr>
        <w:t>9.4环境保护</w:t>
      </w:r>
      <w:bookmarkEnd w:id="1568"/>
      <w:bookmarkEnd w:id="1569"/>
      <w:bookmarkEnd w:id="1570"/>
      <w:bookmarkEnd w:id="1571"/>
      <w:bookmarkEnd w:id="1572"/>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9.4.2</w:t>
      </w:r>
      <w:r>
        <w:rPr>
          <w:rFonts w:hAnsi="宋体"/>
          <w:color w:val="000000" w:themeColor="text1"/>
          <w:sz w:val="24"/>
          <w:highlight w:val="none"/>
          <w14:textFill>
            <w14:solidFill>
              <w14:schemeClr w14:val="tx1"/>
            </w14:solidFill>
          </w14:textFill>
        </w:rPr>
        <w:t>施工环保措施计划报送监理人审批的时间：</w:t>
      </w:r>
      <w:r>
        <w:rPr>
          <w:rFonts w:hint="eastAsia"/>
          <w:color w:val="000000" w:themeColor="text1"/>
          <w:sz w:val="24"/>
          <w:highlight w:val="none"/>
          <w14:textFill>
            <w14:solidFill>
              <w14:schemeClr w14:val="tx1"/>
            </w14:solidFill>
          </w14:textFill>
        </w:rPr>
        <w:t>收到中标通知书后3日历天内</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监理人收到承包人报送的施工环保措施计划后应当在</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3  </w:t>
      </w:r>
      <w:r>
        <w:rPr>
          <w:rFonts w:hAnsi="宋体"/>
          <w:color w:val="000000" w:themeColor="text1"/>
          <w:sz w:val="24"/>
          <w:highlight w:val="none"/>
          <w14:textFill>
            <w14:solidFill>
              <w14:schemeClr w14:val="tx1"/>
            </w14:solidFill>
          </w14:textFill>
        </w:rPr>
        <w:t xml:space="preserve"> 日历天内给予批复。</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施工期间承包人应遵守并执行国家、省、市有关防火、爆破和施工安全以及文明卫生施工、环卫、环保、噪音等规定，建立规章制度和防护措施。否则，因此造成的损失或被有关部门处罚，均由承包人负责。</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施工期间，垃圾余泥送至合法堆放点，其相关发生费用由承包人负责，若遇保洁工作存在问题遭投诉的，每投诉一次扣款5000元。</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73" w:name="_Toc100504318"/>
      <w:bookmarkStart w:id="1574" w:name="_Toc354042249"/>
      <w:bookmarkStart w:id="1575" w:name="_Toc27504"/>
      <w:bookmarkStart w:id="1576" w:name="_Toc5424"/>
      <w:bookmarkStart w:id="1577" w:name="_Toc1325"/>
      <w:r>
        <w:rPr>
          <w:rFonts w:hAnsi="宋体"/>
          <w:b/>
          <w:color w:val="000000" w:themeColor="text1"/>
          <w:sz w:val="24"/>
          <w:highlight w:val="none"/>
          <w14:textFill>
            <w14:solidFill>
              <w14:schemeClr w14:val="tx1"/>
            </w14:solidFill>
          </w14:textFill>
        </w:rPr>
        <w:t>10.</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进度计划</w:t>
      </w:r>
      <w:bookmarkEnd w:id="1573"/>
      <w:bookmarkEnd w:id="1574"/>
      <w:bookmarkEnd w:id="1575"/>
      <w:bookmarkEnd w:id="1576"/>
      <w:bookmarkEnd w:id="1577"/>
    </w:p>
    <w:p>
      <w:pPr>
        <w:pStyle w:val="67"/>
        <w:keepNext w:val="0"/>
        <w:keepLines w:val="0"/>
        <w:spacing w:before="72" w:beforeLines="30" w:line="360" w:lineRule="auto"/>
        <w:ind w:firstLine="472" w:firstLineChars="196"/>
        <w:rPr>
          <w:rFonts w:eastAsia="宋体" w:cs="Times New Roman"/>
          <w:b/>
          <w:color w:val="000000" w:themeColor="text1"/>
          <w:szCs w:val="24"/>
          <w:highlight w:val="none"/>
          <w14:textFill>
            <w14:solidFill>
              <w14:schemeClr w14:val="tx1"/>
            </w14:solidFill>
          </w14:textFill>
        </w:rPr>
      </w:pPr>
      <w:bookmarkStart w:id="1578" w:name="_Toc354042250"/>
      <w:bookmarkStart w:id="1579" w:name="_Toc100504319"/>
      <w:bookmarkStart w:id="1580" w:name="_Toc12167"/>
      <w:bookmarkStart w:id="1581" w:name="_Toc23732"/>
      <w:bookmarkStart w:id="1582" w:name="_Toc1093"/>
      <w:r>
        <w:rPr>
          <w:rFonts w:eastAsia="宋体" w:cs="Times New Roman"/>
          <w:b/>
          <w:color w:val="000000" w:themeColor="text1"/>
          <w:szCs w:val="24"/>
          <w:highlight w:val="none"/>
          <w14:textFill>
            <w14:solidFill>
              <w14:schemeClr w14:val="tx1"/>
            </w14:solidFill>
          </w14:textFill>
        </w:rPr>
        <w:t>10.1合同进度计划</w:t>
      </w:r>
      <w:bookmarkEnd w:id="1578"/>
      <w:bookmarkEnd w:id="1579"/>
      <w:bookmarkEnd w:id="1580"/>
      <w:bookmarkEnd w:id="1581"/>
      <w:bookmarkEnd w:id="1582"/>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承包人应当在收到</w:t>
      </w:r>
      <w:r>
        <w:rPr>
          <w:rFonts w:hint="eastAsia" w:hAnsi="宋体"/>
          <w:color w:val="000000" w:themeColor="text1"/>
          <w:sz w:val="24"/>
          <w:highlight w:val="none"/>
          <w14:textFill>
            <w14:solidFill>
              <w14:schemeClr w14:val="tx1"/>
            </w14:solidFill>
          </w14:textFill>
        </w:rPr>
        <w:t>中标通知书</w:t>
      </w:r>
      <w:r>
        <w:rPr>
          <w:rFonts w:hAnsi="宋体"/>
          <w:color w:val="000000" w:themeColor="text1"/>
          <w:sz w:val="24"/>
          <w:highlight w:val="none"/>
          <w14:textFill>
            <w14:solidFill>
              <w14:schemeClr w14:val="tx1"/>
            </w14:solidFill>
          </w14:textFill>
        </w:rPr>
        <w:t>后</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日历天内，编制详细的施工进度计划和施工方案说明并报送监理人。</w:t>
      </w:r>
    </w:p>
    <w:p>
      <w:pPr>
        <w:spacing w:line="360" w:lineRule="auto"/>
        <w:ind w:firstLine="600" w:firstLineChars="25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承包人编制施工进度计划和施工方案说明的内容</w:t>
      </w:r>
      <w:r>
        <w:rPr>
          <w:rFonts w:hint="eastAsia"/>
          <w:color w:val="000000" w:themeColor="text1"/>
          <w:sz w:val="24"/>
          <w:highlight w:val="none"/>
          <w14:textFill>
            <w14:solidFill>
              <w14:schemeClr w14:val="tx1"/>
            </w14:solidFill>
          </w14:textFill>
        </w:rPr>
        <w:t>编制的工程进度计划内容应全面详实，且应针对施工总承包范围内的各专业平行分包工程及工程的全部或分项施工作业和特点提出施工方法、施工穿插顺序及时间安排，并在各节点位置标注相应的工程量、资金使用计划、人力机械组织及材料消耗量</w:t>
      </w:r>
      <w:r>
        <w:rPr>
          <w:rFonts w:hAnsi="宋体"/>
          <w:color w:val="000000" w:themeColor="text1"/>
          <w:sz w:val="24"/>
          <w:highlight w:val="none"/>
          <w14:textFill>
            <w14:solidFill>
              <w14:schemeClr w14:val="tx1"/>
            </w14:solidFill>
          </w14:textFill>
        </w:rPr>
        <w:t>，施工进度计划中还应载明要求发包人组织设计人进行阶段性工程设计交底的时间。</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（2）</w:t>
      </w:r>
      <w:r>
        <w:rPr>
          <w:rFonts w:hAnsi="宋体"/>
          <w:color w:val="000000" w:themeColor="text1"/>
          <w:sz w:val="24"/>
          <w:highlight w:val="none"/>
          <w14:textFill>
            <w14:solidFill>
              <w14:schemeClr w14:val="tx1"/>
            </w14:solidFill>
          </w14:textFill>
        </w:rPr>
        <w:t>监理人</w:t>
      </w:r>
      <w:r>
        <w:rPr>
          <w:rFonts w:hint="eastAsia" w:hAnsi="宋体"/>
          <w:color w:val="000000" w:themeColor="text1"/>
          <w:sz w:val="24"/>
          <w:highlight w:val="none"/>
          <w14:textFill>
            <w14:solidFill>
              <w14:schemeClr w14:val="tx1"/>
            </w14:solidFill>
          </w14:textFill>
        </w:rPr>
        <w:t>和发包人</w:t>
      </w:r>
      <w:r>
        <w:rPr>
          <w:rFonts w:hAnsi="宋体"/>
          <w:color w:val="000000" w:themeColor="text1"/>
          <w:sz w:val="24"/>
          <w:highlight w:val="none"/>
          <w14:textFill>
            <w14:solidFill>
              <w14:schemeClr w14:val="tx1"/>
            </w14:solidFill>
          </w14:textFill>
        </w:rPr>
        <w:t>批复或对施工进度计划和施工方案说明提出修改意见的期限：自监理人</w:t>
      </w:r>
      <w:r>
        <w:rPr>
          <w:rFonts w:hint="eastAsia" w:hAnsi="宋体"/>
          <w:color w:val="000000" w:themeColor="text1"/>
          <w:sz w:val="24"/>
          <w:highlight w:val="none"/>
          <w14:textFill>
            <w14:solidFill>
              <w14:schemeClr w14:val="tx1"/>
            </w14:solidFill>
          </w14:textFill>
        </w:rPr>
        <w:t>和发包人</w:t>
      </w:r>
      <w:r>
        <w:rPr>
          <w:rFonts w:hAnsi="宋体"/>
          <w:color w:val="000000" w:themeColor="text1"/>
          <w:sz w:val="24"/>
          <w:highlight w:val="none"/>
          <w14:textFill>
            <w14:solidFill>
              <w14:schemeClr w14:val="tx1"/>
            </w14:solidFill>
          </w14:textFill>
        </w:rPr>
        <w:t>收到承包人报送的相关进度计划</w:t>
      </w:r>
      <w:r>
        <w:rPr>
          <w:rFonts w:hint="eastAsia" w:hAnsi="宋体"/>
          <w:color w:val="000000" w:themeColor="text1"/>
          <w:sz w:val="24"/>
          <w:highlight w:val="none"/>
          <w14:textFill>
            <w14:solidFill>
              <w14:schemeClr w14:val="tx1"/>
            </w14:solidFill>
          </w14:textFill>
        </w:rPr>
        <w:t>（包括经过修改的施工方案和进度计划）</w:t>
      </w:r>
      <w:r>
        <w:rPr>
          <w:rFonts w:hAnsi="宋体"/>
          <w:color w:val="000000" w:themeColor="text1"/>
          <w:sz w:val="24"/>
          <w:highlight w:val="none"/>
          <w14:textFill>
            <w14:solidFill>
              <w14:schemeClr w14:val="tx1"/>
            </w14:solidFill>
          </w14:textFill>
        </w:rPr>
        <w:t>和施工方案说明后</w:t>
      </w:r>
      <w:r>
        <w:rPr>
          <w:rFonts w:hint="eastAsia"/>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日历天内</w:t>
      </w:r>
      <w:r>
        <w:rPr>
          <w:rFonts w:hint="eastAsia" w:hAnsi="宋体"/>
          <w:color w:val="000000" w:themeColor="text1"/>
          <w:sz w:val="24"/>
          <w:highlight w:val="none"/>
          <w14:textFill>
            <w14:solidFill>
              <w14:schemeClr w14:val="tx1"/>
            </w14:solidFill>
          </w14:textFill>
        </w:rPr>
        <w:t>予以确认或提出修改意见（总监理工程师在4日历天内审核并签署意见</w:t>
      </w:r>
      <w:r>
        <w:rPr>
          <w:rFonts w:hint="eastAsia" w:ascii="宋体" w:hAnsi="宋体"/>
          <w:color w:val="000000" w:themeColor="text1"/>
          <w:sz w:val="24"/>
          <w:highlight w:val="none"/>
          <w14:textFill>
            <w14:solidFill>
              <w14:schemeClr w14:val="tx1"/>
            </w14:solidFill>
          </w14:textFill>
        </w:rPr>
        <w:t>后</w:t>
      </w:r>
      <w:r>
        <w:rPr>
          <w:rFonts w:hint="eastAsia" w:hAnsi="宋体"/>
          <w:color w:val="000000" w:themeColor="text1"/>
          <w:sz w:val="24"/>
          <w:highlight w:val="none"/>
          <w14:textFill>
            <w14:solidFill>
              <w14:schemeClr w14:val="tx1"/>
            </w14:solidFill>
          </w14:textFill>
        </w:rPr>
        <w:t>，发包人在3日历天内审核并签署意见）。但如遇到重大或技术复杂、难度大的施工方案（如深基坑支护及高支模等施工方案），则应按政府有关规定召开专家评审会评审</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监理人对承包人提供施工组织设计（施工方案）提出修改意见，承包人应在收到总监理工程师的修改意见后两个工作日内完成修改，总监理工程师收到承包人提供的修改后的施工方案后两个工作日内确认，如该方案仍未能通过，继续修改所需时间包含在合同工期内。</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承包人编制分阶段或分项施工进度计划和施工方案说明的内容：</w:t>
      </w:r>
      <w:r>
        <w:rPr>
          <w:rFonts w:hint="eastAsia"/>
          <w:color w:val="000000" w:themeColor="text1"/>
          <w:sz w:val="24"/>
          <w:highlight w:val="none"/>
          <w14:textFill>
            <w14:solidFill>
              <w14:schemeClr w14:val="tx1"/>
            </w14:solidFill>
          </w14:textFill>
        </w:rPr>
        <w:t>按发包人相关要求</w:t>
      </w:r>
      <w:r>
        <w:rPr>
          <w:rFonts w:hAnsi="宋体"/>
          <w:color w:val="000000" w:themeColor="text1"/>
          <w:sz w:val="24"/>
          <w:highlight w:val="none"/>
          <w14:textFill>
            <w14:solidFill>
              <w14:schemeClr w14:val="tx1"/>
            </w14:solidFill>
          </w14:textFill>
        </w:rPr>
        <w:t>。</w:t>
      </w:r>
    </w:p>
    <w:p>
      <w:pPr>
        <w:spacing w:line="360" w:lineRule="auto"/>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承包人报送分阶段或分项施工进度计划和施工方案说明的期限</w:t>
      </w:r>
      <w:r>
        <w:rPr>
          <w:rFonts w:hint="eastAsia"/>
          <w:color w:val="000000" w:themeColor="text1"/>
          <w:sz w:val="24"/>
          <w:highlight w:val="none"/>
          <w14:textFill>
            <w14:solidFill>
              <w14:schemeClr w14:val="tx1"/>
            </w14:solidFill>
          </w14:textFill>
        </w:rPr>
        <w:t>：按发包人相关要求</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群体工程中单位工程分期进行施工的，承包人应按照发包人提供图纸及有关资料的时间，按单位工程编制进度计划和施工方案说明。群体工程中有关进度计划和施工方案说明的要求：</w:t>
      </w:r>
      <w:r>
        <w:rPr>
          <w:rFonts w:hint="eastAsia"/>
          <w:color w:val="000000" w:themeColor="text1"/>
          <w:sz w:val="24"/>
          <w:highlight w:val="none"/>
          <w:u w:val="single"/>
          <w14:textFill>
            <w14:solidFill>
              <w14:schemeClr w14:val="tx1"/>
            </w14:solidFill>
          </w14:textFill>
        </w:rPr>
        <w:t>按双方确认的施工组织设计（施工方案）执行</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工程中主要阶段性进度计划</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承包人应当认真进行组织实施，确保按照计划节点完成相应工作量，本工程计划开工日期为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日，具体开工时间以监理下发的开工令为准，并相应调整下述节点时间：（建议增加此条款）</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①.在</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日前进场施工；</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②.在</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日前完成总工程量的30%；</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③.在</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日前完成总工程量的70%；</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④.在</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日前完成全部工程量并达到竣工验收要求。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已完成的工程量由发包人、承包人和监理单位共同确认。如有争议的，以承发包双方共同委托的第三方确认的工程量为准。</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6</w:t>
      </w:r>
      <w:r>
        <w:rPr>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有下列情形之一的，发包人有权单方面解除合同：</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①.未按期进场施工，逾期超过</w:t>
      </w:r>
      <w:r>
        <w:rPr>
          <w:rFonts w:hint="eastAsia" w:ascii="宋体" w:hAnsi="宋体"/>
          <w:color w:val="000000" w:themeColor="text1"/>
          <w:sz w:val="24"/>
          <w:highlight w:val="none"/>
          <w:u w:val="single"/>
          <w14:textFill>
            <w14:solidFill>
              <w14:schemeClr w14:val="tx1"/>
            </w14:solidFill>
          </w14:textFill>
        </w:rPr>
        <w:t>10</w:t>
      </w:r>
      <w:r>
        <w:rPr>
          <w:rFonts w:hint="eastAsia" w:ascii="宋体" w:hAnsi="宋体"/>
          <w:color w:val="000000" w:themeColor="text1"/>
          <w:sz w:val="24"/>
          <w:highlight w:val="none"/>
          <w14:textFill>
            <w14:solidFill>
              <w14:schemeClr w14:val="tx1"/>
            </w14:solidFill>
          </w14:textFill>
        </w:rPr>
        <w:t>个日历天的；</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②.未按期完成总工程量的30%，逾期超过</w:t>
      </w:r>
      <w:r>
        <w:rPr>
          <w:rFonts w:hint="eastAsia" w:ascii="宋体" w:hAnsi="宋体"/>
          <w:color w:val="000000" w:themeColor="text1"/>
          <w:sz w:val="24"/>
          <w:highlight w:val="none"/>
          <w:u w:val="single"/>
          <w14:textFill>
            <w14:solidFill>
              <w14:schemeClr w14:val="tx1"/>
            </w14:solidFill>
          </w14:textFill>
        </w:rPr>
        <w:t>15</w:t>
      </w:r>
      <w:r>
        <w:rPr>
          <w:rFonts w:hint="eastAsia" w:ascii="宋体" w:hAnsi="宋体"/>
          <w:color w:val="000000" w:themeColor="text1"/>
          <w:sz w:val="24"/>
          <w:highlight w:val="none"/>
          <w14:textFill>
            <w14:solidFill>
              <w14:schemeClr w14:val="tx1"/>
            </w14:solidFill>
          </w14:textFill>
        </w:rPr>
        <w:t>个日历天的；</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③.未按期完成总工程量的70%，逾期超过</w:t>
      </w:r>
      <w:r>
        <w:rPr>
          <w:rFonts w:hint="eastAsia" w:ascii="宋体" w:hAnsi="宋体"/>
          <w:color w:val="000000" w:themeColor="text1"/>
          <w:sz w:val="24"/>
          <w:highlight w:val="none"/>
          <w:u w:val="single"/>
          <w14:textFill>
            <w14:solidFill>
              <w14:schemeClr w14:val="tx1"/>
            </w14:solidFill>
          </w14:textFill>
        </w:rPr>
        <w:t>15</w:t>
      </w:r>
      <w:r>
        <w:rPr>
          <w:rFonts w:hint="eastAsia" w:ascii="宋体" w:hAnsi="宋体"/>
          <w:color w:val="000000" w:themeColor="text1"/>
          <w:sz w:val="24"/>
          <w:highlight w:val="none"/>
          <w14:textFill>
            <w14:solidFill>
              <w14:schemeClr w14:val="tx1"/>
            </w14:solidFill>
          </w14:textFill>
        </w:rPr>
        <w:t>个日历天的；</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④.未按期完成全部工程量并达到竣工验收要求，逾期超过</w:t>
      </w:r>
      <w:r>
        <w:rPr>
          <w:rFonts w:hint="eastAsia" w:ascii="宋体" w:hAnsi="宋体"/>
          <w:color w:val="000000" w:themeColor="text1"/>
          <w:sz w:val="24"/>
          <w:highlight w:val="none"/>
          <w:u w:val="single"/>
          <w14:textFill>
            <w14:solidFill>
              <w14:schemeClr w14:val="tx1"/>
            </w14:solidFill>
          </w14:textFill>
        </w:rPr>
        <w:t>30</w:t>
      </w:r>
      <w:r>
        <w:rPr>
          <w:rFonts w:hint="eastAsia" w:ascii="宋体" w:hAnsi="宋体"/>
          <w:color w:val="000000" w:themeColor="text1"/>
          <w:sz w:val="24"/>
          <w:highlight w:val="none"/>
          <w14:textFill>
            <w14:solidFill>
              <w14:schemeClr w14:val="tx1"/>
            </w14:solidFill>
          </w14:textFill>
        </w:rPr>
        <w:t>个日历天的。</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自承包人收到发包人解除合同通知之日起，合同解除。因上述原因解除合同的，承包人应在接到解除合同书面通知之日起</w:t>
      </w:r>
      <w:r>
        <w:rPr>
          <w:rFonts w:hint="eastAsia" w:ascii="宋体" w:hAnsi="宋体"/>
          <w:color w:val="000000" w:themeColor="text1"/>
          <w:sz w:val="24"/>
          <w:highlight w:val="none"/>
          <w:u w:val="singl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个日历天内确保施工人员无条件全部离场，且应与发包人做好离场交接手续。承包人逾期不离场的，发包人有权强制清场，所发生的一切清场费用由承包人自行承担。</w:t>
      </w:r>
    </w:p>
    <w:p>
      <w:pPr>
        <w:spacing w:line="360" w:lineRule="auto"/>
        <w:ind w:firstLine="480" w:firstLineChars="200"/>
        <w:rPr>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因上述原因解除合同的，承包人除应按前款规定按日支付解除合同前的违约金外，还应另外向发包人支付全部工程签约合同价的</w:t>
      </w:r>
      <w:r>
        <w:rPr>
          <w:rFonts w:hint="eastAsia" w:ascii="宋体" w:hAnsi="宋体"/>
          <w:color w:val="000000" w:themeColor="text1"/>
          <w:sz w:val="24"/>
          <w:highlight w:val="none"/>
          <w:u w:val="single"/>
          <w14:textFill>
            <w14:solidFill>
              <w14:schemeClr w14:val="tx1"/>
            </w14:solidFill>
          </w14:textFill>
        </w:rPr>
        <w:t>30%</w:t>
      </w:r>
      <w:r>
        <w:rPr>
          <w:rFonts w:hint="eastAsia" w:ascii="宋体" w:hAnsi="宋体"/>
          <w:color w:val="000000" w:themeColor="text1"/>
          <w:sz w:val="24"/>
          <w:highlight w:val="none"/>
          <w14:textFill>
            <w14:solidFill>
              <w14:schemeClr w14:val="tx1"/>
            </w14:solidFill>
          </w14:textFill>
        </w:rPr>
        <w:t>作为违约金。发包人的损失超出违约金部分的，发包人有权向承包人继续追偿。</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83" w:name="_Toc354042251"/>
      <w:bookmarkStart w:id="1584" w:name="_Toc9466"/>
      <w:bookmarkStart w:id="1585" w:name="_Toc13243"/>
      <w:bookmarkStart w:id="1586" w:name="_Toc100504320"/>
      <w:bookmarkStart w:id="1587" w:name="_Toc27118"/>
      <w:r>
        <w:rPr>
          <w:rFonts w:eastAsia="宋体" w:cs="Times New Roman"/>
          <w:b/>
          <w:color w:val="000000" w:themeColor="text1"/>
          <w:szCs w:val="24"/>
          <w:highlight w:val="none"/>
          <w14:textFill>
            <w14:solidFill>
              <w14:schemeClr w14:val="tx1"/>
            </w14:solidFill>
          </w14:textFill>
        </w:rPr>
        <w:t>10.2合同进度计划的修订</w:t>
      </w:r>
      <w:bookmarkEnd w:id="1583"/>
      <w:bookmarkEnd w:id="1584"/>
      <w:bookmarkEnd w:id="1585"/>
      <w:bookmarkEnd w:id="1586"/>
      <w:bookmarkEnd w:id="1587"/>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承包人报送修订合同进度计划申请报告和相关资料的期限：</w:t>
      </w:r>
      <w:r>
        <w:rPr>
          <w:rFonts w:hint="eastAsia"/>
          <w:color w:val="000000" w:themeColor="text1"/>
          <w:sz w:val="24"/>
          <w:highlight w:val="none"/>
          <w:u w:val="single"/>
          <w14:textFill>
            <w14:solidFill>
              <w14:schemeClr w14:val="tx1"/>
            </w14:solidFill>
          </w14:textFill>
        </w:rPr>
        <w:t>按发包人相关要求</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监理人批复修订合同进度计划申请报告的期限</w:t>
      </w:r>
      <w:r>
        <w:rPr>
          <w:rFonts w:hAnsi="宋体"/>
          <w:color w:val="000000" w:themeColor="text1"/>
          <w:sz w:val="24"/>
          <w:highlight w:val="none"/>
          <w:u w:val="single"/>
          <w14:textFill>
            <w14:solidFill>
              <w14:schemeClr w14:val="tx1"/>
            </w14:solidFill>
          </w14:textFill>
        </w:rPr>
        <w:t>：</w:t>
      </w:r>
      <w:r>
        <w:rPr>
          <w:rFonts w:hint="eastAsia"/>
          <w:color w:val="000000" w:themeColor="text1"/>
          <w:sz w:val="24"/>
          <w:highlight w:val="none"/>
          <w:u w:val="single"/>
          <w14:textFill>
            <w14:solidFill>
              <w14:schemeClr w14:val="tx1"/>
            </w14:solidFill>
          </w14:textFill>
        </w:rPr>
        <w:t>按发包人相关要求</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hAnsi="宋体"/>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监理人批复修订合同进度计划的期限：</w:t>
      </w:r>
      <w:r>
        <w:rPr>
          <w:rFonts w:hint="eastAsia"/>
          <w:color w:val="000000" w:themeColor="text1"/>
          <w:sz w:val="24"/>
          <w:highlight w:val="none"/>
          <w:u w:val="single"/>
          <w14:textFill>
            <w14:solidFill>
              <w14:schemeClr w14:val="tx1"/>
            </w14:solidFill>
          </w14:textFill>
        </w:rPr>
        <w:t>按发包人相关要求</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（4）承包人在每月15日前，提交月施工进度报告，随同月度支付申请书一同向监理工程师提交。</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（5）承包人应在每周工程例会上提交与施工进度计划相符的下周施工计划，经发包人确认同意后，将作为考核承包人工程实际进度的重要依据。</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588" w:name="_Toc100504321"/>
      <w:bookmarkStart w:id="1589" w:name="_Toc15784"/>
      <w:bookmarkStart w:id="1590" w:name="_Toc16893"/>
      <w:bookmarkStart w:id="1591" w:name="_Toc364"/>
      <w:bookmarkStart w:id="1592" w:name="_Toc354042252"/>
      <w:r>
        <w:rPr>
          <w:rFonts w:hAnsi="宋体"/>
          <w:b/>
          <w:color w:val="000000" w:themeColor="text1"/>
          <w:sz w:val="24"/>
          <w:highlight w:val="none"/>
          <w14:textFill>
            <w14:solidFill>
              <w14:schemeClr w14:val="tx1"/>
            </w14:solidFill>
          </w14:textFill>
        </w:rPr>
        <w:t>11.</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开工和竣工</w:t>
      </w:r>
      <w:bookmarkEnd w:id="1588"/>
      <w:bookmarkEnd w:id="1589"/>
      <w:bookmarkEnd w:id="1590"/>
      <w:bookmarkEnd w:id="1591"/>
      <w:bookmarkEnd w:id="1592"/>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93" w:name="_Toc7176"/>
      <w:bookmarkStart w:id="1594" w:name="_Toc6303"/>
      <w:bookmarkStart w:id="1595" w:name="_Toc354042253"/>
      <w:bookmarkStart w:id="1596" w:name="_Toc100504322"/>
      <w:bookmarkStart w:id="1597" w:name="_Toc28650"/>
      <w:r>
        <w:rPr>
          <w:rFonts w:eastAsia="宋体" w:cs="Times New Roman"/>
          <w:b/>
          <w:color w:val="000000" w:themeColor="text1"/>
          <w:szCs w:val="24"/>
          <w:highlight w:val="none"/>
          <w14:textFill>
            <w14:solidFill>
              <w14:schemeClr w14:val="tx1"/>
            </w14:solidFill>
          </w14:textFill>
        </w:rPr>
        <w:t>11.3发包人的工期延误</w:t>
      </w:r>
      <w:bookmarkEnd w:id="1593"/>
      <w:bookmarkEnd w:id="1594"/>
      <w:bookmarkEnd w:id="1595"/>
      <w:bookmarkEnd w:id="1596"/>
      <w:bookmarkEnd w:id="1597"/>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因发包人原因不能按照监理人发出的开工通知中载明的开工日期开工。除发包人原因延期开工外，发包人造成承包人关键线路工作工期延误的其他原因还包括：</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7.1）发包人书面认可或经政府行政主管部门确认为不可抗力的原因，本工程不同意其它任何理由的工期顺延。承包人必须在工期延误发生后7日历天内向发包人书面申请确认，逾期申请发包人不予接纳并视为工期无需顺延；</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（7.2）</w:t>
      </w:r>
      <w:r>
        <w:rPr>
          <w:rFonts w:hint="eastAsia"/>
          <w:color w:val="000000" w:themeColor="text1"/>
          <w:sz w:val="24"/>
          <w:highlight w:val="none"/>
          <w14:textFill>
            <w14:solidFill>
              <w14:schemeClr w14:val="tx1"/>
            </w14:solidFill>
          </w14:textFill>
        </w:rPr>
        <w:t>因征地拆迁、施工用地交地、管线迁改、协调原因等原因影响工期的，由发包人酌情签认后工期顺延，但发包人不负担任何补偿费用，有关风险承包人已考虑在签约合同价内。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598" w:name="_Toc10846"/>
      <w:bookmarkStart w:id="1599" w:name="_Toc354042254"/>
      <w:bookmarkStart w:id="1600" w:name="_Toc32047"/>
      <w:bookmarkStart w:id="1601" w:name="_Toc100504323"/>
      <w:bookmarkStart w:id="1602" w:name="_Toc7731"/>
      <w:r>
        <w:rPr>
          <w:rFonts w:eastAsia="宋体" w:cs="Times New Roman"/>
          <w:b/>
          <w:color w:val="000000" w:themeColor="text1"/>
          <w:szCs w:val="24"/>
          <w:highlight w:val="none"/>
          <w14:textFill>
            <w14:solidFill>
              <w14:schemeClr w14:val="tx1"/>
            </w14:solidFill>
          </w14:textFill>
        </w:rPr>
        <w:t>11.4异常恶劣的气候条件</w:t>
      </w:r>
      <w:bookmarkEnd w:id="1598"/>
      <w:bookmarkEnd w:id="1599"/>
      <w:bookmarkEnd w:id="1600"/>
      <w:bookmarkEnd w:id="1601"/>
      <w:bookmarkEnd w:id="1602"/>
    </w:p>
    <w:p>
      <w:pPr>
        <w:spacing w:line="360" w:lineRule="auto"/>
        <w:ind w:firstLine="480" w:firstLineChars="200"/>
        <w:rPr>
          <w:rFonts w:hAnsi="宋体"/>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异常恶劣的气候条件的范围和标准：</w:t>
      </w:r>
      <w:r>
        <w:rPr>
          <w:rFonts w:hint="eastAsia"/>
          <w:color w:val="000000" w:themeColor="text1"/>
          <w:sz w:val="24"/>
          <w:highlight w:val="none"/>
          <w14:textFill>
            <w14:solidFill>
              <w14:schemeClr w14:val="tx1"/>
            </w14:solidFill>
          </w14:textFill>
        </w:rPr>
        <w:t>执行国家建筑工程安全技术规范相关规定。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03" w:name="_Toc2044"/>
      <w:bookmarkStart w:id="1604" w:name="_Toc2581"/>
      <w:bookmarkStart w:id="1605" w:name="_Toc354042255"/>
      <w:bookmarkStart w:id="1606" w:name="_Toc100504324"/>
      <w:bookmarkStart w:id="1607" w:name="_Toc29925"/>
      <w:r>
        <w:rPr>
          <w:rFonts w:eastAsia="宋体" w:cs="Times New Roman"/>
          <w:b/>
          <w:color w:val="000000" w:themeColor="text1"/>
          <w:szCs w:val="24"/>
          <w:highlight w:val="none"/>
          <w14:textFill>
            <w14:solidFill>
              <w14:schemeClr w14:val="tx1"/>
            </w14:solidFill>
          </w14:textFill>
        </w:rPr>
        <w:t>11.5承包人的工期延误</w:t>
      </w:r>
      <w:bookmarkEnd w:id="1603"/>
      <w:bookmarkEnd w:id="1604"/>
      <w:bookmarkEnd w:id="1605"/>
      <w:bookmarkEnd w:id="1606"/>
      <w:bookmarkEnd w:id="1607"/>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11.5.1</w:t>
      </w:r>
      <w:r>
        <w:rPr>
          <w:rFonts w:hint="eastAsia" w:ascii="宋体" w:hAnsi="宋体"/>
          <w:color w:val="000000" w:themeColor="text1"/>
          <w:sz w:val="24"/>
          <w:highlight w:val="none"/>
          <w14:textFill>
            <w14:solidFill>
              <w14:schemeClr w14:val="tx1"/>
            </w14:solidFill>
          </w14:textFill>
        </w:rPr>
        <w:t>承包人因材料供应、施工劳力和机具设备不足、管理不善或发生安全质量事故，而影响工期的，均属承包人责任，不能借此顺延工期及费用索赔。承包人应采取有效措施，努力将受影响的工期补回，但不能免除发包人根据合同规定追究承包人的违约责任。</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11.5.2</w:t>
      </w:r>
      <w:r>
        <w:rPr>
          <w:rFonts w:hint="eastAsia" w:ascii="宋体" w:hAnsi="宋体"/>
          <w:color w:val="000000" w:themeColor="text1"/>
          <w:sz w:val="24"/>
          <w:highlight w:val="none"/>
          <w14:textFill>
            <w14:solidFill>
              <w14:schemeClr w14:val="tx1"/>
            </w14:solidFill>
          </w14:textFill>
        </w:rPr>
        <w:t>由于下列原因而影响施工进度，而且受影响的工程是处在工程进度网络计划的关键线路上，承包人有权要求延长本合同工程或单项工程的工期。</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（1）因天灾或人力不可抗拒的原因，被迫停工者（指六级以上地震、十级以上强台风、龙卷风、五十年一遇洪水造成的重大破坏而延误工期或因政府政策调整等政府行为因素导致工程工期延误）；</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（2）因发包人同意变更的施工设计图不能及时提供而影响关键线路的施工；</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（3）因征地拆迁未能及时解决而影响关键线路的施工。</w:t>
      </w:r>
    </w:p>
    <w:p>
      <w:pPr>
        <w:spacing w:line="360" w:lineRule="auto"/>
        <w:ind w:firstLine="480" w:firstLineChars="200"/>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11.5.3</w:t>
      </w:r>
      <w:r>
        <w:rPr>
          <w:rFonts w:hAnsi="宋体"/>
          <w:color w:val="000000" w:themeColor="text1"/>
          <w:sz w:val="24"/>
          <w:highlight w:val="none"/>
          <w14:textFill>
            <w14:solidFill>
              <w14:schemeClr w14:val="tx1"/>
            </w14:solidFill>
          </w14:textFill>
        </w:rPr>
        <w:t>由于承包人原因造成不能按期竣工的，在按合同约定确定的竣工日期</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包括按合同延长的工期</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后</w:t>
      </w:r>
      <w:r>
        <w:rPr>
          <w:color w:val="000000" w:themeColor="text1"/>
          <w:sz w:val="24"/>
          <w:highlight w:val="none"/>
          <w14:textFill>
            <w14:solidFill>
              <w14:schemeClr w14:val="tx1"/>
            </w14:solidFill>
          </w14:textFill>
        </w:rPr>
        <w:t>7</w:t>
      </w:r>
      <w:r>
        <w:rPr>
          <w:rFonts w:hAnsi="宋体"/>
          <w:color w:val="000000" w:themeColor="text1"/>
          <w:sz w:val="24"/>
          <w:highlight w:val="none"/>
          <w14:textFill>
            <w14:solidFill>
              <w14:schemeClr w14:val="tx1"/>
            </w14:solidFill>
          </w14:textFill>
        </w:rPr>
        <w:t>日历天内，监理人应当按通用合同条款第</w:t>
      </w:r>
      <w:r>
        <w:rPr>
          <w:color w:val="000000" w:themeColor="text1"/>
          <w:sz w:val="24"/>
          <w:highlight w:val="none"/>
          <w14:textFill>
            <w14:solidFill>
              <w14:schemeClr w14:val="tx1"/>
            </w14:solidFill>
          </w14:textFill>
        </w:rPr>
        <w:t>23.4.1</w:t>
      </w:r>
      <w:r>
        <w:rPr>
          <w:rFonts w:hAnsi="宋体"/>
          <w:color w:val="000000" w:themeColor="text1"/>
          <w:sz w:val="24"/>
          <w:highlight w:val="none"/>
          <w14:textFill>
            <w14:solidFill>
              <w14:schemeClr w14:val="tx1"/>
            </w14:solidFill>
          </w14:textFill>
        </w:rPr>
        <w:t>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逾期竣工违约金的计算标准：</w:t>
      </w:r>
      <w:r>
        <w:rPr>
          <w:rFonts w:hint="eastAsia" w:hAnsi="宋体"/>
          <w:color w:val="000000" w:themeColor="text1"/>
          <w:sz w:val="24"/>
          <w:highlight w:val="none"/>
          <w:u w:val="single"/>
          <w14:textFill>
            <w14:solidFill>
              <w14:schemeClr w14:val="tx1"/>
            </w14:solidFill>
          </w14:textFill>
        </w:rPr>
        <w:t>按</w:t>
      </w:r>
      <w:r>
        <w:rPr>
          <w:rFonts w:hint="eastAsia"/>
          <w:color w:val="000000" w:themeColor="text1"/>
          <w:sz w:val="24"/>
          <w:highlight w:val="none"/>
          <w:u w:val="single"/>
          <w14:textFill>
            <w14:solidFill>
              <w14:schemeClr w14:val="tx1"/>
            </w14:solidFill>
          </w14:textFill>
        </w:rPr>
        <w:t>合同附件十四的约定执行</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逾期竣工违约金的计算方法：</w:t>
      </w:r>
      <w:r>
        <w:rPr>
          <w:rFonts w:hint="eastAsia" w:hAnsi="宋体"/>
          <w:color w:val="000000" w:themeColor="text1"/>
          <w:sz w:val="24"/>
          <w:highlight w:val="none"/>
          <w:u w:val="single"/>
          <w14:textFill>
            <w14:solidFill>
              <w14:schemeClr w14:val="tx1"/>
            </w14:solidFill>
          </w14:textFill>
        </w:rPr>
        <w:t>按</w:t>
      </w:r>
      <w:r>
        <w:rPr>
          <w:rFonts w:hint="eastAsia"/>
          <w:color w:val="000000" w:themeColor="text1"/>
          <w:sz w:val="24"/>
          <w:highlight w:val="none"/>
          <w:u w:val="single"/>
          <w14:textFill>
            <w14:solidFill>
              <w14:schemeClr w14:val="tx1"/>
            </w14:solidFill>
          </w14:textFill>
        </w:rPr>
        <w:t>合同附件十四的约定执行</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逾期竣工违约金最高限额：</w:t>
      </w:r>
      <w:r>
        <w:rPr>
          <w:rFonts w:hint="eastAsia" w:hAnsi="宋体"/>
          <w:color w:val="000000" w:themeColor="text1"/>
          <w:sz w:val="24"/>
          <w:highlight w:val="none"/>
          <w:u w:val="single"/>
          <w14:textFill>
            <w14:solidFill>
              <w14:schemeClr w14:val="tx1"/>
            </w14:solidFill>
          </w14:textFill>
        </w:rPr>
        <w:t>按</w:t>
      </w:r>
      <w:r>
        <w:rPr>
          <w:rFonts w:hint="eastAsia"/>
          <w:color w:val="000000" w:themeColor="text1"/>
          <w:sz w:val="24"/>
          <w:highlight w:val="none"/>
          <w:u w:val="single"/>
          <w14:textFill>
            <w14:solidFill>
              <w14:schemeClr w14:val="tx1"/>
            </w14:solidFill>
          </w14:textFill>
        </w:rPr>
        <w:t>合同附件十四的约定执行</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08" w:name="_Toc100504325"/>
      <w:bookmarkStart w:id="1609" w:name="_Toc8901"/>
      <w:bookmarkStart w:id="1610" w:name="_Toc17560"/>
      <w:bookmarkStart w:id="1611" w:name="_Toc354042256"/>
      <w:bookmarkStart w:id="1612" w:name="_Toc22081"/>
      <w:r>
        <w:rPr>
          <w:rFonts w:eastAsia="宋体" w:cs="Times New Roman"/>
          <w:b/>
          <w:color w:val="000000" w:themeColor="text1"/>
          <w:szCs w:val="24"/>
          <w:highlight w:val="none"/>
          <w14:textFill>
            <w14:solidFill>
              <w14:schemeClr w14:val="tx1"/>
            </w14:solidFill>
          </w14:textFill>
        </w:rPr>
        <w:t>11.6工期提前</w:t>
      </w:r>
      <w:bookmarkEnd w:id="1608"/>
      <w:bookmarkEnd w:id="1609"/>
      <w:bookmarkEnd w:id="1610"/>
      <w:bookmarkEnd w:id="1611"/>
      <w:bookmarkEnd w:id="1612"/>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提前竣工的奖励办法：</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无约定</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613" w:name="_Toc26939"/>
      <w:bookmarkStart w:id="1614" w:name="_Toc354042257"/>
      <w:bookmarkStart w:id="1615" w:name="_Toc100504326"/>
      <w:bookmarkStart w:id="1616" w:name="_Toc12502"/>
      <w:bookmarkStart w:id="1617" w:name="_Toc5888"/>
      <w:r>
        <w:rPr>
          <w:rFonts w:hAnsi="宋体"/>
          <w:b/>
          <w:color w:val="000000" w:themeColor="text1"/>
          <w:sz w:val="24"/>
          <w:highlight w:val="none"/>
          <w14:textFill>
            <w14:solidFill>
              <w14:schemeClr w14:val="tx1"/>
            </w14:solidFill>
          </w14:textFill>
        </w:rPr>
        <w:t>12.</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暂停施工</w:t>
      </w:r>
      <w:bookmarkEnd w:id="1613"/>
      <w:bookmarkEnd w:id="1614"/>
      <w:bookmarkEnd w:id="1615"/>
      <w:bookmarkEnd w:id="1616"/>
      <w:bookmarkEnd w:id="1617"/>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18" w:name="_Toc24201"/>
      <w:bookmarkStart w:id="1619" w:name="_Toc100504327"/>
      <w:bookmarkStart w:id="1620" w:name="_Toc9931"/>
      <w:bookmarkStart w:id="1621" w:name="_Toc354042258"/>
      <w:bookmarkStart w:id="1622" w:name="_Toc14397"/>
      <w:r>
        <w:rPr>
          <w:rFonts w:eastAsia="宋体" w:cs="Times New Roman"/>
          <w:b/>
          <w:color w:val="000000" w:themeColor="text1"/>
          <w:szCs w:val="24"/>
          <w:highlight w:val="none"/>
          <w14:textFill>
            <w14:solidFill>
              <w14:schemeClr w14:val="tx1"/>
            </w14:solidFill>
          </w14:textFill>
        </w:rPr>
        <w:t>12.1承包人暂停施工的责任</w:t>
      </w:r>
      <w:bookmarkEnd w:id="1618"/>
      <w:bookmarkEnd w:id="1619"/>
      <w:bookmarkEnd w:id="1620"/>
      <w:bookmarkEnd w:id="1621"/>
      <w:bookmarkEnd w:id="1622"/>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承包人承担暂停施工责任的情形</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①</w:t>
      </w:r>
      <w:r>
        <w:rPr>
          <w:rFonts w:hint="eastAsia"/>
          <w:color w:val="000000" w:themeColor="text1"/>
          <w:sz w:val="24"/>
          <w:highlight w:val="none"/>
          <w14:textFill>
            <w14:solidFill>
              <w14:schemeClr w14:val="tx1"/>
            </w14:solidFill>
          </w14:textFill>
        </w:rPr>
        <w:t>质量事故；</w:t>
      </w:r>
      <w:r>
        <w:rPr>
          <w:rFonts w:hint="eastAsia" w:ascii="宋体" w:hAnsi="宋体"/>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安全生产事故。</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（5.1）因发生上述</w:t>
      </w:r>
      <w:r>
        <w:rPr>
          <w:rFonts w:hint="eastAsia" w:ascii="宋体" w:hAnsi="宋体"/>
          <w:color w:val="000000" w:themeColor="text1"/>
          <w:sz w:val="24"/>
          <w:highlight w:val="none"/>
          <w14:textFill>
            <w14:solidFill>
              <w14:schemeClr w14:val="tx1"/>
            </w14:solidFill>
          </w14:textFill>
        </w:rPr>
        <w:t>①、②项</w:t>
      </w:r>
      <w:r>
        <w:rPr>
          <w:rFonts w:hint="eastAsia"/>
          <w:color w:val="000000" w:themeColor="text1"/>
          <w:sz w:val="24"/>
          <w:highlight w:val="none"/>
          <w14:textFill>
            <w14:solidFill>
              <w14:schemeClr w14:val="tx1"/>
            </w14:solidFill>
          </w14:textFill>
        </w:rPr>
        <w:t>原因而暂停施工的，工期不予顺延，承包人必须承担由此发生的费用，并按本合同《附件十四》第三点、第四点的约定向发包人承担违约责任。</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承包人不得以与发包人有争议或争议未解决为由而单方面停工，否则，按照本合同《附件十四》第二点的相关约定承担违约责任。</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5.2）为了保证工程质量安全，凡出现下列情况之一（不限于此）的，总监理工程师有权下达停工令，责令承包人停工整改，由此造成的损失由承包人自行负责，造成工期延误的由承包人按本合同《附件十四》第二点的有关约定承担违约责任：</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①</w:t>
      </w:r>
      <w:r>
        <w:rPr>
          <w:rFonts w:hint="eastAsia"/>
          <w:color w:val="000000" w:themeColor="text1"/>
          <w:sz w:val="24"/>
          <w:highlight w:val="none"/>
          <w14:textFill>
            <w14:solidFill>
              <w14:schemeClr w14:val="tx1"/>
            </w14:solidFill>
          </w14:textFill>
        </w:rPr>
        <w:t>拒绝监理等单位管理；</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施工组织设计（方案）未获总监理工程师批准而进行施工；</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③</w:t>
      </w:r>
      <w:r>
        <w:rPr>
          <w:rFonts w:hint="eastAsia"/>
          <w:color w:val="000000" w:themeColor="text1"/>
          <w:sz w:val="24"/>
          <w:highlight w:val="none"/>
          <w14:textFill>
            <w14:solidFill>
              <w14:schemeClr w14:val="tx1"/>
            </w14:solidFill>
          </w14:textFill>
        </w:rPr>
        <w:t>未经监理单位检验而进行下一道工序作业；</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④</w:t>
      </w:r>
      <w:r>
        <w:rPr>
          <w:rFonts w:hint="eastAsia"/>
          <w:color w:val="000000" w:themeColor="text1"/>
          <w:sz w:val="24"/>
          <w:highlight w:val="none"/>
          <w14:textFill>
            <w14:solidFill>
              <w14:schemeClr w14:val="tx1"/>
            </w14:solidFill>
          </w14:textFill>
        </w:rPr>
        <w:t>擅自采用未经监理单位及发包人认可或批准的材料，或者使用的原材料、构配件不合格或未经检查确认，或者擅自采用未经认可的代用材料；</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⑤</w:t>
      </w:r>
      <w:r>
        <w:rPr>
          <w:rFonts w:hint="eastAsia"/>
          <w:color w:val="000000" w:themeColor="text1"/>
          <w:sz w:val="24"/>
          <w:highlight w:val="none"/>
          <w14:textFill>
            <w14:solidFill>
              <w14:schemeClr w14:val="tx1"/>
            </w14:solidFill>
          </w14:textFill>
        </w:rPr>
        <w:t>擅自变更设计图纸的要求；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⑥</w:t>
      </w:r>
      <w:r>
        <w:rPr>
          <w:rFonts w:hint="eastAsia"/>
          <w:color w:val="000000" w:themeColor="text1"/>
          <w:sz w:val="24"/>
          <w:highlight w:val="none"/>
          <w14:textFill>
            <w14:solidFill>
              <w14:schemeClr w14:val="tx1"/>
            </w14:solidFill>
          </w14:textFill>
        </w:rPr>
        <w:t>转包工程；</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⑦</w:t>
      </w:r>
      <w:r>
        <w:rPr>
          <w:rFonts w:hint="eastAsia"/>
          <w:color w:val="000000" w:themeColor="text1"/>
          <w:sz w:val="24"/>
          <w:highlight w:val="none"/>
          <w14:textFill>
            <w14:solidFill>
              <w14:schemeClr w14:val="tx1"/>
            </w14:solidFill>
          </w14:textFill>
        </w:rPr>
        <w:t>擅自让未经发包人批准的分包单位进场作业；</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⑧</w:t>
      </w:r>
      <w:r>
        <w:rPr>
          <w:rFonts w:hint="eastAsia"/>
          <w:color w:val="000000" w:themeColor="text1"/>
          <w:sz w:val="24"/>
          <w:highlight w:val="none"/>
          <w14:textFill>
            <w14:solidFill>
              <w14:schemeClr w14:val="tx1"/>
            </w14:solidFill>
          </w14:textFill>
        </w:rPr>
        <w:t>存在安全隐患，未按监理单位要求及时进行整改；</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⑨</w:t>
      </w:r>
      <w:r>
        <w:rPr>
          <w:rFonts w:hint="eastAsia"/>
          <w:color w:val="000000" w:themeColor="text1"/>
          <w:sz w:val="24"/>
          <w:highlight w:val="none"/>
          <w14:textFill>
            <w14:solidFill>
              <w14:schemeClr w14:val="tx1"/>
            </w14:solidFill>
          </w14:textFill>
        </w:rPr>
        <w:t>未按双方约定的要求上报所需的资料。</w:t>
      </w:r>
      <w:r>
        <w:rPr>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623" w:name="_Toc12505"/>
      <w:bookmarkStart w:id="1624" w:name="_Toc10301"/>
      <w:bookmarkStart w:id="1625" w:name="_Toc17220"/>
      <w:bookmarkStart w:id="1626" w:name="_Toc100504328"/>
      <w:r>
        <w:rPr>
          <w:rFonts w:eastAsia="宋体" w:cs="Times New Roman"/>
          <w:b/>
          <w:color w:val="000000" w:themeColor="text1"/>
          <w:szCs w:val="24"/>
          <w:highlight w:val="none"/>
          <w14:textFill>
            <w14:solidFill>
              <w14:schemeClr w14:val="tx1"/>
            </w14:solidFill>
          </w14:textFill>
        </w:rPr>
        <w:t>12.</w:t>
      </w:r>
      <w:r>
        <w:rPr>
          <w:rFonts w:hint="eastAsia" w:eastAsia="宋体" w:cs="Times New Roman"/>
          <w:b/>
          <w:color w:val="000000" w:themeColor="text1"/>
          <w:szCs w:val="24"/>
          <w:highlight w:val="none"/>
          <w14:textFill>
            <w14:solidFill>
              <w14:schemeClr w14:val="tx1"/>
            </w14:solidFill>
          </w14:textFill>
        </w:rPr>
        <w:t>2发包人暂停施工的责任</w:t>
      </w:r>
      <w:bookmarkEnd w:id="1623"/>
      <w:bookmarkEnd w:id="1624"/>
      <w:bookmarkEnd w:id="1625"/>
      <w:bookmarkEnd w:id="1626"/>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因下列原因，总监理工程师报经发包人同意，可通知承包人暂停施工：①工程设计发生重大变更；②不可抗力；</w:t>
      </w:r>
    </w:p>
    <w:p>
      <w:pPr>
        <w:spacing w:line="360" w:lineRule="auto"/>
        <w:ind w:firstLine="480" w:firstLineChars="200"/>
        <w:rPr>
          <w:rFonts w:hint="eastAsia"/>
          <w:b/>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因发生上述</w:t>
      </w:r>
      <w:r>
        <w:rPr>
          <w:rFonts w:hint="eastAsia" w:ascii="宋体" w:hAnsi="宋体"/>
          <w:color w:val="000000" w:themeColor="text1"/>
          <w:sz w:val="24"/>
          <w:highlight w:val="none"/>
          <w14:textFill>
            <w14:solidFill>
              <w14:schemeClr w14:val="tx1"/>
            </w14:solidFill>
          </w14:textFill>
        </w:rPr>
        <w:t>①</w:t>
      </w:r>
      <w:r>
        <w:rPr>
          <w:rFonts w:hint="eastAsia"/>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项原因而暂停施工的，工期调整按专用合同条款的相关约定；</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27" w:name="_Toc100504329"/>
      <w:bookmarkStart w:id="1628" w:name="_Toc13466"/>
      <w:bookmarkStart w:id="1629" w:name="_Toc1151"/>
      <w:bookmarkStart w:id="1630" w:name="_Toc20381"/>
      <w:bookmarkStart w:id="1631" w:name="_Toc354042259"/>
      <w:r>
        <w:rPr>
          <w:rFonts w:eastAsia="宋体" w:cs="Times New Roman"/>
          <w:b/>
          <w:color w:val="000000" w:themeColor="text1"/>
          <w:szCs w:val="24"/>
          <w:highlight w:val="none"/>
          <w14:textFill>
            <w14:solidFill>
              <w14:schemeClr w14:val="tx1"/>
            </w14:solidFill>
          </w14:textFill>
        </w:rPr>
        <w:t>12.4暂停施工后的复工</w:t>
      </w:r>
      <w:bookmarkEnd w:id="1627"/>
      <w:bookmarkEnd w:id="1628"/>
      <w:bookmarkEnd w:id="1629"/>
      <w:bookmarkEnd w:id="1630"/>
      <w:bookmarkEnd w:id="163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12.4.3</w:t>
      </w:r>
      <w:r>
        <w:rPr>
          <w:rFonts w:hAnsi="宋体"/>
          <w:color w:val="000000" w:themeColor="text1"/>
          <w:sz w:val="24"/>
          <w:highlight w:val="none"/>
          <w14:textFill>
            <w14:solidFill>
              <w14:schemeClr w14:val="tx1"/>
            </w14:solidFill>
          </w14:textFill>
        </w:rPr>
        <w:t>根据通用合同条款第</w:t>
      </w:r>
      <w:r>
        <w:rPr>
          <w:color w:val="000000" w:themeColor="text1"/>
          <w:sz w:val="24"/>
          <w:highlight w:val="none"/>
          <w14:textFill>
            <w14:solidFill>
              <w14:schemeClr w14:val="tx1"/>
            </w14:solidFill>
          </w14:textFill>
        </w:rPr>
        <w:t>12.4.1</w:t>
      </w:r>
      <w:r>
        <w:rPr>
          <w:rFonts w:hAnsi="宋体"/>
          <w:color w:val="000000" w:themeColor="text1"/>
          <w:sz w:val="24"/>
          <w:highlight w:val="none"/>
          <w14:textFill>
            <w14:solidFill>
              <w14:schemeClr w14:val="tx1"/>
            </w14:solidFill>
          </w14:textFill>
        </w:rPr>
        <w:t>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632" w:name="_Toc100504330"/>
      <w:bookmarkStart w:id="1633" w:name="_Toc20045"/>
      <w:bookmarkStart w:id="1634" w:name="_Toc31334"/>
      <w:bookmarkStart w:id="1635" w:name="_Toc354042260"/>
      <w:bookmarkStart w:id="1636" w:name="_Toc24602"/>
      <w:r>
        <w:rPr>
          <w:rFonts w:hAnsi="宋体"/>
          <w:b/>
          <w:color w:val="000000" w:themeColor="text1"/>
          <w:sz w:val="24"/>
          <w:highlight w:val="none"/>
          <w14:textFill>
            <w14:solidFill>
              <w14:schemeClr w14:val="tx1"/>
            </w14:solidFill>
          </w14:textFill>
        </w:rPr>
        <w:t>13.</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工程质量</w:t>
      </w:r>
      <w:bookmarkEnd w:id="1632"/>
      <w:bookmarkEnd w:id="1633"/>
      <w:bookmarkEnd w:id="1634"/>
      <w:bookmarkEnd w:id="1635"/>
      <w:bookmarkEnd w:id="1636"/>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37" w:name="_Toc100504331"/>
      <w:bookmarkStart w:id="1638" w:name="_Toc5142"/>
      <w:bookmarkStart w:id="1639" w:name="_Toc354042261"/>
      <w:bookmarkStart w:id="1640" w:name="_Toc31428"/>
      <w:bookmarkStart w:id="1641" w:name="_Toc19519"/>
      <w:r>
        <w:rPr>
          <w:rFonts w:eastAsia="宋体" w:cs="Times New Roman"/>
          <w:b/>
          <w:color w:val="000000" w:themeColor="text1"/>
          <w:szCs w:val="24"/>
          <w:highlight w:val="none"/>
          <w14:textFill>
            <w14:solidFill>
              <w14:schemeClr w14:val="tx1"/>
            </w14:solidFill>
          </w14:textFill>
        </w:rPr>
        <w:t>13.2承包人的质量管理</w:t>
      </w:r>
      <w:bookmarkEnd w:id="1637"/>
      <w:bookmarkEnd w:id="1638"/>
      <w:bookmarkEnd w:id="1639"/>
      <w:bookmarkEnd w:id="1640"/>
      <w:bookmarkEnd w:id="1641"/>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13.2.1</w:t>
      </w:r>
      <w:r>
        <w:rPr>
          <w:rFonts w:hAnsi="宋体"/>
          <w:color w:val="000000" w:themeColor="text1"/>
          <w:sz w:val="24"/>
          <w:highlight w:val="none"/>
          <w14:textFill>
            <w14:solidFill>
              <w14:schemeClr w14:val="tx1"/>
            </w14:solidFill>
          </w14:textFill>
        </w:rPr>
        <w:t>承包人向监理人提交工程质量保证措施文件的期限：</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收到中标通知书</w:t>
      </w:r>
      <w:r>
        <w:rPr>
          <w:color w:val="000000" w:themeColor="text1"/>
          <w:sz w:val="24"/>
          <w:highlight w:val="none"/>
          <w:u w:val="single"/>
          <w14:textFill>
            <w14:solidFill>
              <w14:schemeClr w14:val="tx1"/>
            </w14:solidFill>
          </w14:textFill>
        </w:rPr>
        <w:t>后7</w:t>
      </w:r>
      <w:r>
        <w:rPr>
          <w:rFonts w:hint="eastAsia"/>
          <w:color w:val="000000" w:themeColor="text1"/>
          <w:sz w:val="24"/>
          <w:highlight w:val="none"/>
          <w:u w:val="single"/>
          <w14:textFill>
            <w14:solidFill>
              <w14:schemeClr w14:val="tx1"/>
            </w14:solidFill>
          </w14:textFill>
        </w:rPr>
        <w:t>个日历</w:t>
      </w:r>
      <w:r>
        <w:rPr>
          <w:color w:val="000000" w:themeColor="text1"/>
          <w:sz w:val="24"/>
          <w:highlight w:val="none"/>
          <w:u w:val="single"/>
          <w14:textFill>
            <w14:solidFill>
              <w14:schemeClr w14:val="tx1"/>
            </w14:solidFill>
          </w14:textFill>
        </w:rPr>
        <w:t xml:space="preserve">天内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监理人审批工程质量保证措施文件的期限：</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收到文件后3个日历天内</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13.2.3本合同工程质量标准按合同协议书第四条的约定执行。</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13.2.4承包人必须确保工程一次验收合格。因承包人原因致使工程未一次验收合格的，由承包人按照本合同《附件十四》第三点第（2）项的约定承担违约责任；因此导致工程不能按计划工期办理竣工验收的，由承包人按照《合同附件十四》的约定承担违约责任。</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13.2.5因承包人责任故意或过失造成的工程质量事故或质量问题，由承包人承担违约责任，赔偿发包人因此而受到的所有经济损失，包括直接损失和间接损失。</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13.2.6双方有质量争议时，由本工程的相关行政主管部门或由其委托的相关建设工程质量监督机构调解。</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42" w:name="_Toc26229"/>
      <w:bookmarkStart w:id="1643" w:name="_Toc354042262"/>
      <w:bookmarkStart w:id="1644" w:name="_Toc13843"/>
      <w:bookmarkStart w:id="1645" w:name="_Toc100504332"/>
      <w:bookmarkStart w:id="1646" w:name="_Toc27072"/>
      <w:r>
        <w:rPr>
          <w:rFonts w:eastAsia="宋体" w:cs="Times New Roman"/>
          <w:b/>
          <w:color w:val="000000" w:themeColor="text1"/>
          <w:szCs w:val="24"/>
          <w:highlight w:val="none"/>
          <w14:textFill>
            <w14:solidFill>
              <w14:schemeClr w14:val="tx1"/>
            </w14:solidFill>
          </w14:textFill>
        </w:rPr>
        <w:t>13.3承包人的质量检查</w:t>
      </w:r>
      <w:bookmarkEnd w:id="1642"/>
      <w:bookmarkEnd w:id="1643"/>
      <w:bookmarkEnd w:id="1644"/>
      <w:bookmarkEnd w:id="1645"/>
      <w:bookmarkEnd w:id="164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承包人向监理人报送工程质量报表的期限：</w:t>
      </w:r>
      <w:r>
        <w:rPr>
          <w:rFonts w:hint="eastAsia" w:hAnsi="宋体"/>
          <w:color w:val="000000" w:themeColor="text1"/>
          <w:sz w:val="24"/>
          <w:highlight w:val="none"/>
          <w:u w:val="single"/>
          <w14:textFill>
            <w14:solidFill>
              <w14:schemeClr w14:val="tx1"/>
            </w14:solidFill>
          </w14:textFill>
        </w:rPr>
        <w:t>施工期间</w:t>
      </w:r>
      <w:r>
        <w:rPr>
          <w:rFonts w:hint="eastAsia"/>
          <w:color w:val="000000" w:themeColor="text1"/>
          <w:sz w:val="24"/>
          <w:highlight w:val="none"/>
          <w:u w:val="single"/>
          <w14:textFill>
            <w14:solidFill>
              <w14:schemeClr w14:val="tx1"/>
            </w14:solidFill>
          </w14:textFill>
        </w:rPr>
        <w:t>每周一次</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承包人向监理人报送工程质量报表的要求：</w:t>
      </w:r>
      <w:r>
        <w:rPr>
          <w:rFonts w:hint="eastAsia" w:hAnsi="宋体"/>
          <w:color w:val="000000" w:themeColor="text1"/>
          <w:sz w:val="24"/>
          <w:highlight w:val="none"/>
          <w:u w:val="single"/>
          <w14:textFill>
            <w14:solidFill>
              <w14:schemeClr w14:val="tx1"/>
            </w14:solidFill>
          </w14:textFill>
        </w:rPr>
        <w:t>包括但不限于</w:t>
      </w:r>
      <w:r>
        <w:rPr>
          <w:rFonts w:hint="eastAsia"/>
          <w:color w:val="000000" w:themeColor="text1"/>
          <w:sz w:val="24"/>
          <w:highlight w:val="none"/>
          <w:u w:val="single"/>
          <w14:textFill>
            <w14:solidFill>
              <w14:schemeClr w14:val="tx1"/>
            </w14:solidFill>
          </w14:textFill>
        </w:rPr>
        <w:t>现场质量资料、安全资料、施工计划、工程进度完成情况、现场图片等</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监理人审查工程质量报表的期限</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收到承包人相关资料后2日历天内完成。</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47" w:name="_Toc354042263"/>
      <w:bookmarkStart w:id="1648" w:name="_Toc100504333"/>
      <w:bookmarkStart w:id="1649" w:name="_Toc31497"/>
      <w:bookmarkStart w:id="1650" w:name="_Toc30406"/>
      <w:bookmarkStart w:id="1651" w:name="_Toc8001"/>
      <w:r>
        <w:rPr>
          <w:rFonts w:eastAsia="宋体" w:cs="Times New Roman"/>
          <w:b/>
          <w:color w:val="000000" w:themeColor="text1"/>
          <w:szCs w:val="24"/>
          <w:highlight w:val="none"/>
          <w14:textFill>
            <w14:solidFill>
              <w14:schemeClr w14:val="tx1"/>
            </w14:solidFill>
          </w14:textFill>
        </w:rPr>
        <w:t>13.4监理人的质量检查</w:t>
      </w:r>
      <w:bookmarkEnd w:id="1647"/>
      <w:bookmarkEnd w:id="1648"/>
      <w:bookmarkEnd w:id="1649"/>
      <w:bookmarkEnd w:id="1650"/>
      <w:bookmarkEnd w:id="1651"/>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承包人应当为监理人的检查和检验提供方便，监理人可以进行察看和查阅施工原始记录的其他地方包括：</w:t>
      </w:r>
      <w:r>
        <w:rPr>
          <w:rFonts w:hint="eastAsia"/>
          <w:color w:val="000000" w:themeColor="text1"/>
          <w:sz w:val="24"/>
          <w:highlight w:val="none"/>
          <w:u w:val="single"/>
          <w14:textFill>
            <w14:solidFill>
              <w14:schemeClr w14:val="tx1"/>
            </w14:solidFill>
          </w14:textFill>
        </w:rPr>
        <w:t>与施工质量有关的全过程资料</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52" w:name="_Toc30808"/>
      <w:bookmarkStart w:id="1653" w:name="_Toc100504334"/>
      <w:bookmarkStart w:id="1654" w:name="_Toc24827"/>
      <w:bookmarkStart w:id="1655" w:name="_Toc354042264"/>
      <w:bookmarkStart w:id="1656" w:name="_Toc15028"/>
      <w:r>
        <w:rPr>
          <w:rFonts w:eastAsia="宋体" w:cs="Times New Roman"/>
          <w:b/>
          <w:color w:val="000000" w:themeColor="text1"/>
          <w:szCs w:val="24"/>
          <w:highlight w:val="none"/>
          <w14:textFill>
            <w14:solidFill>
              <w14:schemeClr w14:val="tx1"/>
            </w14:solidFill>
          </w14:textFill>
        </w:rPr>
        <w:t>13.5工程隐蔽部位覆盖前的检查</w:t>
      </w:r>
      <w:bookmarkEnd w:id="1652"/>
      <w:bookmarkEnd w:id="1653"/>
      <w:bookmarkEnd w:id="1654"/>
      <w:bookmarkEnd w:id="1655"/>
      <w:bookmarkEnd w:id="1656"/>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13.5.1</w:t>
      </w:r>
      <w:r>
        <w:rPr>
          <w:rFonts w:hAnsi="宋体"/>
          <w:color w:val="000000" w:themeColor="text1"/>
          <w:sz w:val="24"/>
          <w:highlight w:val="none"/>
          <w14:textFill>
            <w14:solidFill>
              <w14:schemeClr w14:val="tx1"/>
            </w14:solidFill>
          </w14:textFill>
        </w:rPr>
        <w:t>监理人对工程隐蔽部位进行检查的期限：</w:t>
      </w:r>
      <w:r>
        <w:rPr>
          <w:color w:val="000000" w:themeColor="text1"/>
          <w:sz w:val="24"/>
          <w:highlight w:val="non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收到承包人自检确认的工程隐蔽部位具备覆盖条件</w:t>
      </w:r>
      <w:r>
        <w:rPr>
          <w:rFonts w:hint="eastAsia"/>
          <w:color w:val="000000" w:themeColor="text1"/>
          <w:sz w:val="24"/>
          <w:highlight w:val="none"/>
          <w:u w:val="single"/>
          <w14:textFill>
            <w14:solidFill>
              <w14:schemeClr w14:val="tx1"/>
            </w14:solidFill>
          </w14:textFill>
        </w:rPr>
        <w:t>的书面申请</w:t>
      </w:r>
      <w:r>
        <w:rPr>
          <w:color w:val="000000" w:themeColor="text1"/>
          <w:sz w:val="24"/>
          <w:highlight w:val="none"/>
          <w:u w:val="single"/>
          <w14:textFill>
            <w14:solidFill>
              <w14:schemeClr w14:val="tx1"/>
            </w14:solidFill>
          </w14:textFill>
        </w:rPr>
        <w:t xml:space="preserve"> 24 小时内进行检查并签字确认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13.5.5验收人员组成：</w:t>
      </w:r>
      <w:r>
        <w:rPr>
          <w:rFonts w:hint="eastAsia"/>
          <w:color w:val="000000" w:themeColor="text1"/>
          <w:sz w:val="24"/>
          <w:highlight w:val="none"/>
          <w:u w:val="single"/>
          <w14:textFill>
            <w14:solidFill>
              <w14:schemeClr w14:val="tx1"/>
            </w14:solidFill>
          </w14:textFill>
        </w:rPr>
        <w:t>发包人、监理单位、承包人及其他有关单位。属隐蔽工程的由上述单位验收签证。</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13.5.6双方约定对管道及管井进行闭水试验，未经专业监理工程师验收合格，不得隐蔽或继续施工，否则该部分工程被视为不合格，由此所产生的返工费用由承包人承担。</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57" w:name="_Toc7220"/>
      <w:bookmarkStart w:id="1658" w:name="_Toc100504335"/>
      <w:bookmarkStart w:id="1659" w:name="_Toc5632"/>
      <w:bookmarkStart w:id="1660" w:name="_Toc354042265"/>
      <w:bookmarkStart w:id="1661" w:name="_Toc22036"/>
      <w:r>
        <w:rPr>
          <w:rFonts w:eastAsia="宋体" w:cs="Times New Roman"/>
          <w:b/>
          <w:color w:val="000000" w:themeColor="text1"/>
          <w:szCs w:val="24"/>
          <w:highlight w:val="none"/>
          <w14:textFill>
            <w14:solidFill>
              <w14:schemeClr w14:val="tx1"/>
            </w14:solidFill>
          </w14:textFill>
        </w:rPr>
        <w:t>13.7质量争议</w:t>
      </w:r>
      <w:bookmarkEnd w:id="1657"/>
      <w:bookmarkEnd w:id="1658"/>
      <w:bookmarkEnd w:id="1659"/>
      <w:bookmarkEnd w:id="1660"/>
      <w:bookmarkEnd w:id="1661"/>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发包人和承包人对工程质量有争议的，除可按合同条款第</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spacing w:before="120" w:beforeLines="50" w:line="360" w:lineRule="auto"/>
        <w:outlineLvl w:val="1"/>
        <w:rPr>
          <w:rFonts w:hint="eastAsia" w:ascii="黑体" w:hAnsi="宋体" w:eastAsia="黑体"/>
          <w:color w:val="000000" w:themeColor="text1"/>
          <w:sz w:val="24"/>
          <w:highlight w:val="none"/>
          <w14:textFill>
            <w14:solidFill>
              <w14:schemeClr w14:val="tx1"/>
            </w14:solidFill>
          </w14:textFill>
        </w:rPr>
      </w:pPr>
      <w:bookmarkStart w:id="1662" w:name="_Toc354042266"/>
      <w:bookmarkStart w:id="1663" w:name="_Toc26654"/>
      <w:bookmarkStart w:id="1664" w:name="_Toc8890"/>
      <w:bookmarkStart w:id="1665" w:name="_Toc100504336"/>
      <w:bookmarkStart w:id="1666" w:name="_Toc13331"/>
      <w:r>
        <w:rPr>
          <w:rFonts w:hint="eastAsia" w:ascii="黑体" w:hAnsi="宋体" w:eastAsia="黑体"/>
          <w:color w:val="000000" w:themeColor="text1"/>
          <w:sz w:val="24"/>
          <w:highlight w:val="none"/>
          <w14:textFill>
            <w14:solidFill>
              <w14:schemeClr w14:val="tx1"/>
            </w14:solidFill>
          </w14:textFill>
        </w:rPr>
        <w:t>14. 试验和检验</w:t>
      </w:r>
      <w:bookmarkEnd w:id="1662"/>
      <w:bookmarkEnd w:id="1663"/>
      <w:bookmarkEnd w:id="1664"/>
      <w:bookmarkEnd w:id="1665"/>
      <w:bookmarkEnd w:id="1666"/>
    </w:p>
    <w:p>
      <w:pPr>
        <w:spacing w:before="120" w:beforeLines="50" w:line="360" w:lineRule="auto"/>
        <w:ind w:firstLine="480"/>
        <w:outlineLvl w:val="1"/>
        <w:rPr>
          <w:rFonts w:hint="eastAsia" w:hAnsi="宋体"/>
          <w:color w:val="000000" w:themeColor="text1"/>
          <w:sz w:val="24"/>
          <w:highlight w:val="none"/>
          <w14:textFill>
            <w14:solidFill>
              <w14:schemeClr w14:val="tx1"/>
            </w14:solidFill>
          </w14:textFill>
        </w:rPr>
      </w:pPr>
      <w:bookmarkStart w:id="1667" w:name="_Toc31224"/>
      <w:bookmarkStart w:id="1668" w:name="_Toc7620"/>
      <w:bookmarkStart w:id="1669" w:name="_Toc100504337"/>
      <w:bookmarkStart w:id="1670" w:name="_Toc26795"/>
      <w:r>
        <w:rPr>
          <w:rFonts w:hint="eastAsia" w:hAnsi="宋体"/>
          <w:color w:val="000000" w:themeColor="text1"/>
          <w:sz w:val="24"/>
          <w:highlight w:val="none"/>
          <w14:textFill>
            <w14:solidFill>
              <w14:schemeClr w14:val="tx1"/>
            </w14:solidFill>
          </w14:textFill>
        </w:rPr>
        <w:t>14.1 材料、工程设备和工程的试验和检验</w:t>
      </w:r>
      <w:bookmarkEnd w:id="1667"/>
      <w:bookmarkEnd w:id="1668"/>
      <w:bookmarkEnd w:id="1669"/>
      <w:bookmarkEnd w:id="1670"/>
    </w:p>
    <w:p>
      <w:pPr>
        <w:spacing w:before="120" w:beforeLines="50" w:line="360" w:lineRule="auto"/>
        <w:ind w:firstLine="480" w:firstLineChars="200"/>
        <w:rPr>
          <w:rFonts w:hint="eastAsia"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14.1.1相关行政部门明确规定由发包人委托具有检测资质的检测方进行的</w:t>
      </w:r>
      <w:r>
        <w:rPr>
          <w:rFonts w:ascii="宋体" w:hAnsi="宋体"/>
          <w:color w:val="000000" w:themeColor="text1"/>
          <w:sz w:val="24"/>
          <w:highlight w:val="none"/>
          <w14:textFill>
            <w14:solidFill>
              <w14:schemeClr w14:val="tx1"/>
            </w14:solidFill>
          </w14:textFill>
        </w:rPr>
        <w:br w:type="textWrapping"/>
      </w:r>
      <w:r>
        <w:rPr>
          <w:rFonts w:ascii="宋体" w:hAnsi="宋体"/>
          <w:color w:val="000000" w:themeColor="text1"/>
          <w:sz w:val="24"/>
          <w:highlight w:val="none"/>
          <w14:textFill>
            <w14:solidFill>
              <w14:schemeClr w14:val="tx1"/>
            </w14:solidFill>
          </w14:textFill>
        </w:rPr>
        <w:t>检测项目</w:t>
      </w:r>
      <w:r>
        <w:rPr>
          <w:rFonts w:hint="eastAsia" w:ascii="宋体"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材料、设备、桩基、CCTV等检测、检验、试验</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，检测费用由发包人支付，但承包人应无偿配合检测方的检测工作</w:t>
      </w:r>
      <w:r>
        <w:rPr>
          <w:rFonts w:hint="eastAsia" w:ascii="宋体" w:hAnsi="宋体"/>
          <w:color w:val="000000" w:themeColor="text1"/>
          <w:sz w:val="24"/>
          <w:highlight w:val="none"/>
          <w14:textFill>
            <w14:solidFill>
              <w14:schemeClr w14:val="tx1"/>
            </w14:solidFill>
          </w14:textFill>
        </w:rPr>
        <w:t>（包括但不限于：承包人必须在发包人要求的时间内及时提供检测场地、检测点、检测用材料、通道、水电接驳等配合措施，积极配合发包人及第三方检测单位完成相关工程的专项检（监）测及材料检验试验工作）。</w:t>
      </w:r>
      <w:r>
        <w:rPr>
          <w:rFonts w:hint="eastAsia" w:hAnsi="宋体"/>
          <w:color w:val="000000" w:themeColor="text1"/>
          <w:sz w:val="24"/>
          <w:highlight w:val="none"/>
          <w14:textFill>
            <w14:solidFill>
              <w14:schemeClr w14:val="tx1"/>
            </w14:solidFill>
          </w14:textFill>
        </w:rPr>
        <w:t>但若检测结果未达到验收标准，承包人必须对存在的缺陷进行返工修复至合格为止，第二次之后的检测费用及全部修复费用均由承包人支付，费用按发包人与检测单位确定的费用支付。在检测结果出具并经发包人确认后30个日历天内承包人向检测单位支付，否则发包人有权从履约保证金（履约保函）或在工程进度款中扣除。</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671" w:name="_Toc15006"/>
      <w:bookmarkStart w:id="1672" w:name="_Toc354042269"/>
      <w:bookmarkStart w:id="1673" w:name="_Toc100504338"/>
      <w:bookmarkStart w:id="1674" w:name="_Toc20346"/>
      <w:bookmarkStart w:id="1675" w:name="_Toc25330"/>
      <w:r>
        <w:rPr>
          <w:rFonts w:hAnsi="宋体"/>
          <w:b/>
          <w:color w:val="000000" w:themeColor="text1"/>
          <w:sz w:val="24"/>
          <w:highlight w:val="none"/>
          <w14:textFill>
            <w14:solidFill>
              <w14:schemeClr w14:val="tx1"/>
            </w14:solidFill>
          </w14:textFill>
        </w:rPr>
        <w:t>15.</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变更</w:t>
      </w:r>
      <w:bookmarkEnd w:id="1671"/>
      <w:bookmarkEnd w:id="1672"/>
      <w:bookmarkEnd w:id="1673"/>
      <w:bookmarkEnd w:id="1674"/>
      <w:bookmarkEnd w:id="1675"/>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676" w:name="_Toc2583"/>
      <w:bookmarkStart w:id="1677" w:name="_Toc354042270"/>
      <w:bookmarkStart w:id="1678" w:name="_Toc8992"/>
      <w:bookmarkStart w:id="1679" w:name="_Toc691"/>
      <w:bookmarkStart w:id="1680" w:name="_Toc100504339"/>
      <w:r>
        <w:rPr>
          <w:rFonts w:eastAsia="宋体" w:cs="Times New Roman"/>
          <w:b/>
          <w:color w:val="000000" w:themeColor="text1"/>
          <w:szCs w:val="24"/>
          <w:highlight w:val="none"/>
          <w14:textFill>
            <w14:solidFill>
              <w14:schemeClr w14:val="tx1"/>
            </w14:solidFill>
          </w14:textFill>
        </w:rPr>
        <w:t>15.1　变更的范围和内容</w:t>
      </w:r>
      <w:bookmarkEnd w:id="1676"/>
      <w:bookmarkEnd w:id="1677"/>
      <w:bookmarkEnd w:id="1678"/>
      <w:bookmarkEnd w:id="1679"/>
      <w:bookmarkEnd w:id="1680"/>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（4）修改为：</w:t>
      </w:r>
      <w:r>
        <w:rPr>
          <w:rFonts w:hint="eastAsia" w:ascii="宋体" w:hAnsi="宋体"/>
          <w:color w:val="000000" w:themeColor="text1"/>
          <w:sz w:val="24"/>
          <w:highlight w:val="none"/>
          <w:u w:val="single"/>
          <w14:textFill>
            <w14:solidFill>
              <w14:schemeClr w14:val="tx1"/>
            </w14:solidFill>
          </w14:textFill>
        </w:rPr>
        <w:t>改变合同中任何一项工作已批准的施工工艺；</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（6）以下情形不属于工程变更范围：</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 = 1 \* GB3 </w:instrText>
      </w:r>
      <w:r>
        <w:rPr>
          <w:rFonts w:hint="eastAsia" w:ascii="宋体" w:hAnsi="宋体"/>
          <w:color w:val="000000" w:themeColor="text1"/>
          <w:sz w:val="24"/>
          <w:highlight w:val="none"/>
          <w14:textFill>
            <w14:solidFill>
              <w14:schemeClr w14:val="tx1"/>
            </w14:solidFill>
          </w14:textFill>
        </w:rPr>
        <w:fldChar w:fldCharType="separate"/>
      </w:r>
      <w:r>
        <w:rPr>
          <w:rFonts w:hint="eastAsia" w:ascii="宋体" w:hAnsi="宋体"/>
          <w:color w:val="000000" w:themeColor="text1"/>
          <w:sz w:val="24"/>
          <w:highlight w:val="none"/>
          <w14:textFill>
            <w14:solidFill>
              <w14:schemeClr w14:val="tx1"/>
            </w14:solidFill>
          </w14:textFill>
        </w:rPr>
        <w:t>①</w:t>
      </w:r>
      <w:r>
        <w:rPr>
          <w:rFonts w:hint="eastAsia"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发包人在工程招标文件及其配套的补充通知、设计图纸等文件中已明确应由承包人承担的工作内容、义务和风险，如工程实体的实施（含临时工程）、现场安全生产措施、物价正常波动等。</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 = 2 \* GB3 </w:instrText>
      </w:r>
      <w:r>
        <w:rPr>
          <w:rFonts w:hint="eastAsia" w:ascii="宋体" w:hAnsi="宋体"/>
          <w:color w:val="000000" w:themeColor="text1"/>
          <w:sz w:val="24"/>
          <w:highlight w:val="none"/>
          <w14:textFill>
            <w14:solidFill>
              <w14:schemeClr w14:val="tx1"/>
            </w14:solidFill>
          </w14:textFill>
        </w:rPr>
        <w:fldChar w:fldCharType="separate"/>
      </w:r>
      <w:r>
        <w:rPr>
          <w:rFonts w:hint="eastAsia" w:ascii="宋体" w:hAnsi="宋体"/>
          <w:color w:val="000000" w:themeColor="text1"/>
          <w:sz w:val="24"/>
          <w:highlight w:val="none"/>
          <w14:textFill>
            <w14:solidFill>
              <w14:schemeClr w14:val="tx1"/>
            </w14:solidFill>
          </w14:textFill>
        </w:rPr>
        <w:t>②</w:t>
      </w:r>
      <w:r>
        <w:rPr>
          <w:rFonts w:hint="eastAsia"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因承包人自身技术力量、施工机械、流动资金以及其他应由承包人自身解决的问题等原因导致的工程无法实施或难以实施。</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 = 3 \* GB3 </w:instrText>
      </w:r>
      <w:r>
        <w:rPr>
          <w:rFonts w:hint="eastAsia" w:ascii="宋体" w:hAnsi="宋体"/>
          <w:color w:val="000000" w:themeColor="text1"/>
          <w:sz w:val="24"/>
          <w:highlight w:val="none"/>
          <w14:textFill>
            <w14:solidFill>
              <w14:schemeClr w14:val="tx1"/>
            </w14:solidFill>
          </w14:textFill>
        </w:rPr>
        <w:fldChar w:fldCharType="separate"/>
      </w:r>
      <w:r>
        <w:rPr>
          <w:rFonts w:hint="eastAsia" w:ascii="宋体" w:hAnsi="宋体"/>
          <w:color w:val="000000" w:themeColor="text1"/>
          <w:sz w:val="24"/>
          <w:highlight w:val="none"/>
          <w14:textFill>
            <w14:solidFill>
              <w14:schemeClr w14:val="tx1"/>
            </w14:solidFill>
          </w14:textFill>
        </w:rPr>
        <w:t>③</w:t>
      </w:r>
      <w:r>
        <w:rPr>
          <w:rFonts w:hint="eastAsia"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施工图纸与工程量清单不一致（存在漏项或计量不准确等）。</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 = 4 \* GB3 </w:instrText>
      </w:r>
      <w:r>
        <w:rPr>
          <w:rFonts w:hint="eastAsia" w:ascii="宋体" w:hAnsi="宋体"/>
          <w:color w:val="000000" w:themeColor="text1"/>
          <w:sz w:val="24"/>
          <w:highlight w:val="none"/>
          <w14:textFill>
            <w14:solidFill>
              <w14:schemeClr w14:val="tx1"/>
            </w14:solidFill>
          </w14:textFill>
        </w:rPr>
        <w:fldChar w:fldCharType="separate"/>
      </w:r>
      <w:r>
        <w:rPr>
          <w:rFonts w:hint="eastAsia" w:ascii="宋体" w:hAnsi="宋体"/>
          <w:color w:val="000000" w:themeColor="text1"/>
          <w:sz w:val="24"/>
          <w:highlight w:val="none"/>
          <w14:textFill>
            <w14:solidFill>
              <w14:schemeClr w14:val="tx1"/>
            </w14:solidFill>
          </w14:textFill>
        </w:rPr>
        <w:t>④</w:t>
      </w:r>
      <w:r>
        <w:rPr>
          <w:rFonts w:hint="eastAsia"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承包人投标失误，如工程量、单价、总价计算错误，对现场施工组织考虑不周等。</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 = 5 \* GB3 </w:instrText>
      </w:r>
      <w:r>
        <w:rPr>
          <w:rFonts w:hint="eastAsia" w:ascii="宋体" w:hAnsi="宋体"/>
          <w:color w:val="000000" w:themeColor="text1"/>
          <w:sz w:val="24"/>
          <w:highlight w:val="none"/>
          <w14:textFill>
            <w14:solidFill>
              <w14:schemeClr w14:val="tx1"/>
            </w14:solidFill>
          </w14:textFill>
        </w:rPr>
        <w:fldChar w:fldCharType="separate"/>
      </w:r>
      <w:r>
        <w:rPr>
          <w:rFonts w:hint="eastAsia" w:ascii="宋体" w:hAnsi="宋体"/>
          <w:color w:val="000000" w:themeColor="text1"/>
          <w:sz w:val="24"/>
          <w:highlight w:val="none"/>
          <w14:textFill>
            <w14:solidFill>
              <w14:schemeClr w14:val="tx1"/>
            </w14:solidFill>
          </w14:textFill>
        </w:rPr>
        <w:t>⑤</w:t>
      </w:r>
      <w:r>
        <w:rPr>
          <w:rFonts w:hint="eastAsia"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 w:val="24"/>
          <w:highlight w:val="none"/>
          <w14:textFill>
            <w14:solidFill>
              <w14:schemeClr w14:val="tx1"/>
            </w14:solidFill>
          </w14:textFill>
        </w:rPr>
        <w:t>属于发包时约定由承包人统筹包干使用费用的项目（如一般临时工程、一般拆除工程、排水、承包人驻地建设、施工道路与通道、围蔽、支护、施工时借用道路通行费、配电变压器搬迁、临水临电接驳等）。</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⑥ 承包人应根据现场实际情况考虑切实可行的施工方案及费用，发包人一旦接受承包人的方案，发包人不再补偿因施工方案改变而引起的任何费用。施工过程中由于承包人的施工方案未考虑周全而造成的经济损失（包括但不限于调整施工方案所增加的费用、对发包人造成的经济损失）由承包人负责，情况严重时发包人可终止合同。</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⑦发包人不提供土方的取土点及弃土点，承包人在投标报价时对因土方运距变化而引起的造价风险已充分考虑，费用包含于签约合同价中。</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⑧</w:t>
      </w:r>
      <w:r>
        <w:rPr>
          <w:rFonts w:ascii="宋体" w:hAnsi="宋体"/>
          <w:color w:val="000000" w:themeColor="text1"/>
          <w:sz w:val="24"/>
          <w:highlight w:val="none"/>
          <w14:textFill>
            <w14:solidFill>
              <w14:schemeClr w14:val="tx1"/>
            </w14:solidFill>
          </w14:textFill>
        </w:rPr>
        <w:t>根据公路等路政管理部门的规定，若需承包人提交本工程的《安全技术预评价报告》时，此报告需</w:t>
      </w:r>
      <w:r>
        <w:rPr>
          <w:rFonts w:hint="eastAsia" w:ascii="宋体" w:hAnsi="宋体"/>
          <w:color w:val="000000" w:themeColor="text1"/>
          <w:sz w:val="24"/>
          <w:highlight w:val="none"/>
          <w14:textFill>
            <w14:solidFill>
              <w14:schemeClr w14:val="tx1"/>
            </w14:solidFill>
          </w14:textFill>
        </w:rPr>
        <w:t>由</w:t>
      </w:r>
      <w:r>
        <w:rPr>
          <w:rFonts w:ascii="宋体" w:hAnsi="宋体"/>
          <w:color w:val="000000" w:themeColor="text1"/>
          <w:sz w:val="24"/>
          <w:highlight w:val="none"/>
          <w14:textFill>
            <w14:solidFill>
              <w14:schemeClr w14:val="tx1"/>
            </w14:solidFill>
          </w14:textFill>
        </w:rPr>
        <w:t>具有相应资质的单位编写，并通过由发包人组织专家进行的评审，相关费用包含在</w:t>
      </w:r>
      <w:r>
        <w:rPr>
          <w:rFonts w:hint="eastAsia" w:ascii="宋体" w:hAnsi="宋体"/>
          <w:color w:val="000000" w:themeColor="text1"/>
          <w:sz w:val="24"/>
          <w:highlight w:val="none"/>
          <w14:textFill>
            <w14:solidFill>
              <w14:schemeClr w14:val="tx1"/>
            </w14:solidFill>
          </w14:textFill>
        </w:rPr>
        <w:t>签约合同价</w:t>
      </w:r>
      <w:r>
        <w:rPr>
          <w:rFonts w:ascii="宋体" w:hAnsi="宋体"/>
          <w:color w:val="000000" w:themeColor="text1"/>
          <w:sz w:val="24"/>
          <w:highlight w:val="none"/>
          <w14:textFill>
            <w14:solidFill>
              <w14:schemeClr w14:val="tx1"/>
            </w14:solidFill>
          </w14:textFill>
        </w:rPr>
        <w:t>内。</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⑨承包人须考虑支付设置施工现场视频监控系统的费用，并包含在签约合同价当中。</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⑩承包人依照穗建筑〖2007〗483号文的有关规定于工程开工前缴交新型墙体材料专项基金。                                    </w:t>
      </w:r>
    </w:p>
    <w:p>
      <w:pPr>
        <w:spacing w:line="360" w:lineRule="auto"/>
        <w:ind w:firstLine="480" w:firstLineChars="200"/>
        <w:rPr>
          <w:rFonts w:hint="eastAsia" w:ascii="黑体" w:eastAsia="黑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单项工程合同变更追加工程用款金额涉及招投标事项的，按《关于加强单项工程项目合同变更追加用款管理的通知》（穗财库[2009]21号）和《关于单项工程合同追加用款中有关招标事项》（穗财库[2010]38号）执行。</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发包人违背通用合同条款</w:t>
      </w:r>
      <w:r>
        <w:rPr>
          <w:color w:val="000000" w:themeColor="text1"/>
          <w:sz w:val="24"/>
          <w:highlight w:val="none"/>
          <w14:textFill>
            <w14:solidFill>
              <w14:schemeClr w14:val="tx1"/>
            </w14:solidFill>
          </w14:textFill>
        </w:rPr>
        <w:t>15.1（1）</w:t>
      </w:r>
      <w:r>
        <w:rPr>
          <w:rFonts w:hAnsi="宋体"/>
          <w:color w:val="000000" w:themeColor="text1"/>
          <w:sz w:val="24"/>
          <w:highlight w:val="none"/>
          <w14:textFill>
            <w14:solidFill>
              <w14:schemeClr w14:val="tx1"/>
            </w14:solidFill>
          </w14:textFill>
        </w:rPr>
        <w:t>目的约定，将被取消的合同中的工作转由发包人或其他人实施的，承包人可向监理人发出通知，要求发包人采取有效措施纠正违约行为，发包人在监理人收到承包人通知后</w:t>
      </w:r>
      <w:r>
        <w:rPr>
          <w:color w:val="000000" w:themeColor="text1"/>
          <w:sz w:val="24"/>
          <w:highlight w:val="none"/>
          <w14:textFill>
            <w14:solidFill>
              <w14:schemeClr w14:val="tx1"/>
            </w14:solidFill>
          </w14:textFill>
        </w:rPr>
        <w:t>28</w:t>
      </w:r>
      <w:r>
        <w:rPr>
          <w:rFonts w:hAnsi="宋体"/>
          <w:color w:val="000000" w:themeColor="text1"/>
          <w:sz w:val="24"/>
          <w:highlight w:val="none"/>
          <w14:textFill>
            <w14:solidFill>
              <w14:schemeClr w14:val="tx1"/>
            </w14:solidFill>
          </w14:textFill>
        </w:rPr>
        <w:t>日历天内仍不纠正违约行为的，应当赔偿承包人损失</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包括合理的利润</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并承担由此引起的其他责任。承包人应当按通用合同条款第</w:t>
      </w:r>
      <w:r>
        <w:rPr>
          <w:color w:val="000000" w:themeColor="text1"/>
          <w:sz w:val="24"/>
          <w:highlight w:val="none"/>
          <w14:textFill>
            <w14:solidFill>
              <w14:schemeClr w14:val="tx1"/>
            </w14:solidFill>
          </w14:textFill>
        </w:rPr>
        <w:t>23.1.（1）</w:t>
      </w:r>
      <w:r>
        <w:rPr>
          <w:rFonts w:hAnsi="宋体"/>
          <w:color w:val="000000" w:themeColor="text1"/>
          <w:sz w:val="24"/>
          <w:highlight w:val="none"/>
          <w14:textFill>
            <w14:solidFill>
              <w14:schemeClr w14:val="tx1"/>
            </w14:solidFill>
          </w14:textFill>
        </w:rPr>
        <w:t>目的约定，在上述</w:t>
      </w:r>
      <w:r>
        <w:rPr>
          <w:color w:val="000000" w:themeColor="text1"/>
          <w:sz w:val="24"/>
          <w:highlight w:val="none"/>
          <w14:textFill>
            <w14:solidFill>
              <w14:schemeClr w14:val="tx1"/>
            </w14:solidFill>
          </w14:textFill>
        </w:rPr>
        <w:t>28个</w:t>
      </w:r>
      <w:r>
        <w:rPr>
          <w:rFonts w:hAnsi="宋体"/>
          <w:color w:val="000000" w:themeColor="text1"/>
          <w:sz w:val="24"/>
          <w:highlight w:val="none"/>
          <w14:textFill>
            <w14:solidFill>
              <w14:schemeClr w14:val="tx1"/>
            </w14:solidFill>
          </w14:textFill>
        </w:rPr>
        <w:t>日历天期限到期后的</w:t>
      </w:r>
      <w:r>
        <w:rPr>
          <w:color w:val="000000" w:themeColor="text1"/>
          <w:sz w:val="24"/>
          <w:highlight w:val="none"/>
          <w14:textFill>
            <w14:solidFill>
              <w14:schemeClr w14:val="tx1"/>
            </w14:solidFill>
          </w14:textFill>
        </w:rPr>
        <w:t>28个</w:t>
      </w:r>
      <w:r>
        <w:rPr>
          <w:rFonts w:hAnsi="宋体"/>
          <w:color w:val="000000" w:themeColor="text1"/>
          <w:sz w:val="24"/>
          <w:highlight w:val="none"/>
          <w14:textFill>
            <w14:solidFill>
              <w14:schemeClr w14:val="tx1"/>
            </w14:solidFill>
          </w14:textFill>
        </w:rPr>
        <w:t>日历天内，向监理人递交索赔意向通知书，并按通用合同条款第</w:t>
      </w:r>
      <w:r>
        <w:rPr>
          <w:color w:val="000000" w:themeColor="text1"/>
          <w:sz w:val="24"/>
          <w:highlight w:val="none"/>
          <w14:textFill>
            <w14:solidFill>
              <w14:schemeClr w14:val="tx1"/>
            </w14:solidFill>
          </w14:textFill>
        </w:rPr>
        <w:t>23.1.（2）</w:t>
      </w:r>
      <w:r>
        <w:rPr>
          <w:rFonts w:hAnsi="宋体"/>
          <w:color w:val="000000" w:themeColor="text1"/>
          <w:sz w:val="24"/>
          <w:highlight w:val="none"/>
          <w14:textFill>
            <w14:solidFill>
              <w14:schemeClr w14:val="tx1"/>
            </w14:solidFill>
          </w14:textFill>
        </w:rPr>
        <w:t>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pStyle w:val="67"/>
        <w:keepNext w:val="0"/>
        <w:keepLines w:val="0"/>
        <w:spacing w:before="72" w:beforeLines="30" w:line="360" w:lineRule="auto"/>
        <w:rPr>
          <w:rFonts w:hint="eastAsia" w:ascii="黑体" w:cs="Times New Roman"/>
          <w:b/>
          <w:color w:val="000000" w:themeColor="text1"/>
          <w:szCs w:val="24"/>
          <w:highlight w:val="none"/>
          <w14:textFill>
            <w14:solidFill>
              <w14:schemeClr w14:val="tx1"/>
            </w14:solidFill>
          </w14:textFill>
        </w:rPr>
      </w:pPr>
      <w:bookmarkStart w:id="1681" w:name="_Toc12664"/>
      <w:bookmarkStart w:id="1682" w:name="_Toc354042271"/>
      <w:bookmarkStart w:id="1683" w:name="_Toc3837"/>
      <w:bookmarkStart w:id="1684" w:name="_Toc30797"/>
      <w:bookmarkStart w:id="1685" w:name="_Toc100504340"/>
      <w:r>
        <w:rPr>
          <w:rFonts w:hint="eastAsia" w:ascii="黑体" w:cs="Times New Roman"/>
          <w:b/>
          <w:color w:val="000000" w:themeColor="text1"/>
          <w:szCs w:val="24"/>
          <w:highlight w:val="none"/>
          <w14:textFill>
            <w14:solidFill>
              <w14:schemeClr w14:val="tx1"/>
            </w14:solidFill>
          </w14:textFill>
        </w:rPr>
        <w:t>15.2变更权</w:t>
      </w:r>
      <w:bookmarkEnd w:id="1681"/>
      <w:bookmarkEnd w:id="1682"/>
      <w:bookmarkEnd w:id="1683"/>
      <w:bookmarkEnd w:id="1684"/>
      <w:bookmarkEnd w:id="1685"/>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15.2.1单项工程经批准增加合同规定以外的内容，工程估算投资100万人民币以上（含100万）或者单项工程合同变更追加工程款超过签约合同价10%以上（含10%）但各项合同总额不超预（概）算的，应当组织招标；但经论证不适宜招标的，按照穗财库[2009]21号和穗财库【2010】38号规定经批准后可不招标。</w:t>
      </w:r>
    </w:p>
    <w:p>
      <w:pPr>
        <w:spacing w:line="360" w:lineRule="auto"/>
        <w:ind w:left="239" w:leftChars="114" w:firstLine="240" w:firstLineChars="1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15.2.2工程变更必须按照《番禺区财政性投资建设项目工程变更管理规定》和其他相关规定履行报批手续后方可变更。</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15.2.3工程变更还应遵循相关法律法规和政策规定以及发包人制定的设计变更管理办法：</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工程设计变更（含变更预算）必须经发包人审批并加盖“同意用于施工”专用章确认后，由总监理工程师向承包人发出设计变更实施的指令。若承包人采用未经正式批准的设计变更或擅自变更而发生的增加费用发包人不予支付，且承包人须同时赔偿发包人的有关损失，延误的工期不予顺延。</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（2）本工程采取的按招标图纸</w:t>
      </w:r>
      <w:r>
        <w:rPr>
          <w:rFonts w:hint="eastAsia" w:ascii="宋体" w:hAnsi="宋体"/>
          <w:color w:val="000000" w:themeColor="text1"/>
          <w:kern w:val="0"/>
          <w:sz w:val="24"/>
          <w:highlight w:val="none"/>
          <w14:textFill>
            <w14:solidFill>
              <w14:schemeClr w14:val="tx1"/>
            </w14:solidFill>
          </w14:textFill>
        </w:rPr>
        <w:t>固定总价承包</w:t>
      </w:r>
      <w:r>
        <w:rPr>
          <w:rFonts w:hint="eastAsia" w:ascii="宋体" w:hAnsi="宋体"/>
          <w:color w:val="000000" w:themeColor="text1"/>
          <w:sz w:val="24"/>
          <w:highlight w:val="none"/>
          <w14:textFill>
            <w14:solidFill>
              <w14:schemeClr w14:val="tx1"/>
            </w14:solidFill>
          </w14:textFill>
        </w:rPr>
        <w:t>形式指按招标文件、图纸及招标期间的补充资料进行大包干。工程变更的签证，应在变更工程量发生起的7个日历天内交发包人、监理人确认，过期不再补签证；工程项目实施期间所变更的工程量和项目，必须经监理单位和发包人现场管理人员签字确认后，方能成为变更工程量和新增项目的结算依据。</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（3）各项设计变更的结算价不得超过经发包人审批的设计变更预算价。若某项设计变更的结算价超过经发包人审批的设计变更预算价，则按发包人审批的设计变更预算价作为结算送审价。</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86" w:name="_Toc100504341"/>
      <w:bookmarkStart w:id="1687" w:name="_Toc27564"/>
      <w:bookmarkStart w:id="1688" w:name="_Toc29874"/>
      <w:bookmarkStart w:id="1689" w:name="_Toc354042272"/>
      <w:bookmarkStart w:id="1690" w:name="_Toc17931"/>
      <w:r>
        <w:rPr>
          <w:rFonts w:eastAsia="宋体" w:cs="Times New Roman"/>
          <w:b/>
          <w:color w:val="000000" w:themeColor="text1"/>
          <w:szCs w:val="24"/>
          <w:highlight w:val="none"/>
          <w14:textFill>
            <w14:solidFill>
              <w14:schemeClr w14:val="tx1"/>
            </w14:solidFill>
          </w14:textFill>
        </w:rPr>
        <w:t>15.3变更程序</w:t>
      </w:r>
      <w:bookmarkEnd w:id="1686"/>
      <w:bookmarkEnd w:id="1687"/>
      <w:bookmarkEnd w:id="1688"/>
      <w:bookmarkEnd w:id="1689"/>
      <w:bookmarkEnd w:id="169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15.3.2</w:t>
      </w:r>
      <w:r>
        <w:rPr>
          <w:rFonts w:hAnsi="宋体"/>
          <w:color w:val="000000" w:themeColor="text1"/>
          <w:sz w:val="24"/>
          <w:highlight w:val="none"/>
          <w14:textFill>
            <w14:solidFill>
              <w14:schemeClr w14:val="tx1"/>
            </w14:solidFill>
          </w14:textFill>
        </w:rPr>
        <w:t>变更估价</w:t>
      </w:r>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承包人提交变更报价书的期限：</w:t>
      </w:r>
      <w:r>
        <w:rPr>
          <w:rFonts w:hint="eastAsia" w:hAnsi="宋体"/>
          <w:color w:val="000000" w:themeColor="text1"/>
          <w:sz w:val="24"/>
          <w:highlight w:val="none"/>
          <w14:textFill>
            <w14:solidFill>
              <w14:schemeClr w14:val="tx1"/>
            </w14:solidFill>
          </w14:textFill>
        </w:rPr>
        <w:t>当发包人提出变更通知，承包人认为产生了增加费用，</w:t>
      </w:r>
      <w:r>
        <w:rPr>
          <w:rFonts w:hint="eastAsia"/>
          <w:color w:val="000000" w:themeColor="text1"/>
          <w:sz w:val="24"/>
          <w:highlight w:val="none"/>
          <w14:textFill>
            <w14:solidFill>
              <w14:schemeClr w14:val="tx1"/>
            </w14:solidFill>
          </w14:textFill>
        </w:rPr>
        <w:t>承包人应在发包人提出通知要求（发出指令）后7个日历天（或者以发包人提出的具体的时间为准）内，向发包人提交增加费用报告，报告内应说明变更原因、增加费用金额、增加费用计算书</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监理人商定或确定变更价格的期限：收到承包人变更报价书后</w:t>
      </w:r>
      <w:r>
        <w:rPr>
          <w:rFonts w:hint="eastAsia"/>
          <w:color w:val="000000" w:themeColor="text1"/>
          <w:sz w:val="24"/>
          <w:highlight w:val="none"/>
          <w:u w:val="single"/>
          <w14:textFill>
            <w14:solidFill>
              <w14:schemeClr w14:val="tx1"/>
            </w14:solidFill>
          </w14:textFill>
        </w:rPr>
        <w:t>5个日历天内</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收到变更指示后，如承包人未在规定的期限内提交变更报价书的，</w:t>
      </w:r>
      <w:r>
        <w:rPr>
          <w:rFonts w:hint="eastAsia" w:hAnsi="宋体"/>
          <w:color w:val="000000" w:themeColor="text1"/>
          <w:sz w:val="24"/>
          <w:highlight w:val="none"/>
          <w14:textFill>
            <w14:solidFill>
              <w14:schemeClr w14:val="tx1"/>
            </w14:solidFill>
          </w14:textFill>
        </w:rPr>
        <w:t>该类变更所涉及的增加费用视同已包含在签约合同价中，不另行增加</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承包人承诺：所有变更工程和新增工程引起的计价、计量调整、报批和审批过程，均不得影响变更的执行，承包人不得以此为理由公开或变相拖延或延误新增或变更工程的实施，否则，承包人须承担由此造成的发包人经济损失及工期延误的责任。</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691" w:name="_Toc28297"/>
      <w:bookmarkStart w:id="1692" w:name="_Toc354042273"/>
      <w:bookmarkStart w:id="1693" w:name="_Toc23744"/>
      <w:bookmarkStart w:id="1694" w:name="_Toc17389"/>
      <w:bookmarkStart w:id="1695" w:name="_Toc100504342"/>
      <w:r>
        <w:rPr>
          <w:rFonts w:eastAsia="宋体" w:cs="Times New Roman"/>
          <w:b/>
          <w:color w:val="000000" w:themeColor="text1"/>
          <w:szCs w:val="24"/>
          <w:highlight w:val="none"/>
          <w14:textFill>
            <w14:solidFill>
              <w14:schemeClr w14:val="tx1"/>
            </w14:solidFill>
          </w14:textFill>
        </w:rPr>
        <w:t>15.4变更的估价原则</w:t>
      </w:r>
      <w:bookmarkEnd w:id="1691"/>
      <w:bookmarkEnd w:id="1692"/>
      <w:bookmarkEnd w:id="1693"/>
      <w:bookmarkEnd w:id="1694"/>
      <w:bookmarkEnd w:id="1695"/>
    </w:p>
    <w:p>
      <w:pPr>
        <w:spacing w:line="360" w:lineRule="auto"/>
        <w:ind w:firstLine="422" w:firstLineChars="200"/>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 </w:t>
      </w:r>
      <w:bookmarkStart w:id="1696" w:name="_Toc354042274"/>
      <w:bookmarkStart w:id="1697" w:name="_Toc353972671"/>
      <w:bookmarkStart w:id="1698" w:name="_Toc354050751"/>
      <w:r>
        <w:rPr>
          <w:rFonts w:hint="eastAsia" w:ascii="宋体" w:hAnsi="宋体"/>
          <w:color w:val="000000" w:themeColor="text1"/>
          <w:sz w:val="24"/>
          <w:highlight w:val="none"/>
          <w14:textFill>
            <w14:solidFill>
              <w14:schemeClr w14:val="tx1"/>
            </w14:solidFill>
          </w14:textFill>
        </w:rPr>
        <w:t>15.4.</w:t>
      </w:r>
      <w:r>
        <w:rPr>
          <w:rFonts w:hint="eastAsia" w:ascii="宋体" w:hAnsi="宋体"/>
          <w:color w:val="000000" w:themeColor="text1"/>
          <w:sz w:val="24"/>
          <w:highlight w:val="none"/>
          <w:lang w:val="en-US" w:eastAsia="zh-CN"/>
          <w14:textFill>
            <w14:solidFill>
              <w14:schemeClr w14:val="tx1"/>
            </w14:solidFill>
          </w14:textFill>
        </w:rPr>
        <w:t>1变更估价原则</w:t>
      </w:r>
      <w:r>
        <w:rPr>
          <w:rFonts w:hint="eastAsia" w:ascii="宋体" w:hAnsi="宋体"/>
          <w:color w:val="000000" w:themeColor="text1"/>
          <w:sz w:val="24"/>
          <w:highlight w:val="none"/>
          <w14:textFill>
            <w14:solidFill>
              <w14:schemeClr w14:val="tx1"/>
            </w14:solidFill>
          </w14:textFill>
        </w:rPr>
        <w:t>执行以下计费方法：</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（1）计价依据：采用招标时期行政主管部门颁发的广东省、广州市相关专业定额，与定额对应的工程计价办法及计价程序表，有上下限的费率取平均值。</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人工、材料、机械台班价格依据：执行建设行政主管部门的有关结算文件规定及广州市造价管理站发布的《广州地区建设工程常用材料综合价格》；对于《广州地区建设工程常用材料综合价格》中没有的材料单价，参考广州市造价管理站发布的《广州地区建设工程材料（设备）厂商价格信息》并结合市场询价决定。</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（3）人工、材料、机械台班价格取定：若变更项目属于合同内的项目，则取值于招标时期的上述文件；若变更项目属于合同外的项目，则取值于实际施工时期的上述文件。</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（4）如相关变更项目没有相应定额子目的，由双方协商约定。</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（5）按以上计价约定计算的工程造价下浮15%作为工程变更价款。</w:t>
      </w:r>
      <w:bookmarkEnd w:id="1696"/>
      <w:bookmarkEnd w:id="1697"/>
      <w:bookmarkEnd w:id="1698"/>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15.4.</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因变更引起价格调整的其他处理方式：</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（1）如某项目变更数量增加或减少超过原合同数量的10%（含），发包人保留对该项目增加或减少超过原合同数量部分的综合单价的不平衡性进行重新审定的权利。</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（2）若道路修复项目由公路等路产权属部门自行完成时，则原属于承包人承包范围内的路面修复及路基稳定层修复项目的费用应扣减，结算方式执行本合同专用条款第15.4.1条~第15.4.</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条的约定</w:t>
      </w:r>
      <w:r>
        <w:rPr>
          <w:rFonts w:hAnsi="宋体"/>
          <w:color w:val="000000" w:themeColor="text1"/>
          <w:sz w:val="24"/>
          <w:highlight w:val="none"/>
          <w14:textFill>
            <w14:solidFill>
              <w14:schemeClr w14:val="tx1"/>
            </w14:solidFill>
          </w14:textFill>
        </w:rPr>
        <w:t>。</w:t>
      </w:r>
    </w:p>
    <w:p>
      <w:pPr>
        <w:spacing w:line="360" w:lineRule="auto"/>
        <w:ind w:firstLine="480"/>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（3）工程变更价款及结算总价最终以番禺区财政局审定价为准</w:t>
      </w:r>
      <w:r>
        <w:rPr>
          <w:rFonts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699" w:name="_Toc22623"/>
      <w:bookmarkStart w:id="1700" w:name="_Toc354042275"/>
      <w:bookmarkStart w:id="1701" w:name="_Toc24591"/>
      <w:bookmarkStart w:id="1702" w:name="_Toc26658"/>
      <w:bookmarkStart w:id="1703" w:name="_Toc100504343"/>
      <w:r>
        <w:rPr>
          <w:rFonts w:eastAsia="宋体" w:cs="Times New Roman"/>
          <w:b/>
          <w:color w:val="000000" w:themeColor="text1"/>
          <w:szCs w:val="24"/>
          <w:highlight w:val="none"/>
          <w14:textFill>
            <w14:solidFill>
              <w14:schemeClr w14:val="tx1"/>
            </w14:solidFill>
          </w14:textFill>
        </w:rPr>
        <w:t>15.5承包人的合理化建议</w:t>
      </w:r>
      <w:bookmarkEnd w:id="1699"/>
      <w:bookmarkEnd w:id="1700"/>
      <w:bookmarkEnd w:id="1701"/>
      <w:bookmarkEnd w:id="1702"/>
      <w:bookmarkEnd w:id="1703"/>
    </w:p>
    <w:p>
      <w:pPr>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15.5.2</w:t>
      </w:r>
      <w:r>
        <w:rPr>
          <w:rFonts w:hAnsi="宋体"/>
          <w:color w:val="000000" w:themeColor="text1"/>
          <w:sz w:val="24"/>
          <w:highlight w:val="none"/>
          <w14:textFill>
            <w14:solidFill>
              <w14:schemeClr w14:val="tx1"/>
            </w14:solidFill>
          </w14:textFill>
        </w:rPr>
        <w:t>对承包人提出合理化建议的奖励方法：</w:t>
      </w:r>
      <w:r>
        <w:rPr>
          <w:rFonts w:hint="eastAsia"/>
          <w:color w:val="000000" w:themeColor="text1"/>
          <w:sz w:val="24"/>
          <w:highlight w:val="none"/>
          <w:u w:val="single"/>
          <w14:textFill>
            <w14:solidFill>
              <w14:schemeClr w14:val="tx1"/>
            </w14:solidFill>
          </w14:textFill>
        </w:rPr>
        <w:t>无约定</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704" w:name="_Toc354042276"/>
      <w:bookmarkStart w:id="1705" w:name="_Toc28643"/>
      <w:bookmarkStart w:id="1706" w:name="_Toc10142"/>
      <w:bookmarkStart w:id="1707" w:name="_Toc100504344"/>
      <w:bookmarkStart w:id="1708" w:name="_Toc3726"/>
      <w:r>
        <w:rPr>
          <w:rFonts w:eastAsia="宋体" w:cs="Times New Roman"/>
          <w:b/>
          <w:color w:val="000000" w:themeColor="text1"/>
          <w:szCs w:val="24"/>
          <w:highlight w:val="none"/>
          <w14:textFill>
            <w14:solidFill>
              <w14:schemeClr w14:val="tx1"/>
            </w14:solidFill>
          </w14:textFill>
        </w:rPr>
        <w:t>15.8暂估价</w:t>
      </w:r>
      <w:bookmarkEnd w:id="1704"/>
      <w:r>
        <w:rPr>
          <w:rFonts w:hint="eastAsia" w:eastAsia="宋体" w:cs="Times New Roman"/>
          <w:b/>
          <w:color w:val="000000" w:themeColor="text1"/>
          <w:szCs w:val="24"/>
          <w:highlight w:val="none"/>
          <w14:textFill>
            <w14:solidFill>
              <w14:schemeClr w14:val="tx1"/>
            </w14:solidFill>
          </w14:textFill>
        </w:rPr>
        <w:t>（本工程无）</w:t>
      </w:r>
      <w:bookmarkEnd w:id="1705"/>
      <w:bookmarkEnd w:id="1706"/>
      <w:bookmarkEnd w:id="1707"/>
      <w:bookmarkEnd w:id="1708"/>
    </w:p>
    <w:p>
      <w:pPr>
        <w:spacing w:line="360" w:lineRule="auto"/>
        <w:rPr>
          <w:rFonts w:hAnsi="宋体"/>
          <w:b/>
          <w:color w:val="000000" w:themeColor="text1"/>
          <w:sz w:val="24"/>
          <w:highlight w:val="none"/>
          <w14:textFill>
            <w14:solidFill>
              <w14:schemeClr w14:val="tx1"/>
            </w14:solidFill>
          </w14:textFill>
        </w:rPr>
      </w:pPr>
      <w:bookmarkStart w:id="1709" w:name="_Toc354042277"/>
      <w:r>
        <w:rPr>
          <w:rFonts w:hAnsi="宋体"/>
          <w:b/>
          <w:color w:val="000000" w:themeColor="text1"/>
          <w:sz w:val="24"/>
          <w:highlight w:val="none"/>
          <w14:textFill>
            <w14:solidFill>
              <w14:schemeClr w14:val="tx1"/>
            </w14:solidFill>
          </w14:textFill>
        </w:rPr>
        <w:t>16.</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价格调整</w:t>
      </w:r>
      <w:bookmarkEnd w:id="1709"/>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710" w:name="_Toc354042278"/>
      <w:bookmarkStart w:id="1711" w:name="_Toc22861"/>
      <w:bookmarkStart w:id="1712" w:name="_Toc100504345"/>
      <w:bookmarkStart w:id="1713" w:name="_Toc10108"/>
      <w:bookmarkStart w:id="1714" w:name="_Toc20914"/>
      <w:r>
        <w:rPr>
          <w:rFonts w:eastAsia="宋体" w:cs="Times New Roman"/>
          <w:b/>
          <w:color w:val="000000" w:themeColor="text1"/>
          <w:szCs w:val="24"/>
          <w:highlight w:val="none"/>
          <w14:textFill>
            <w14:solidFill>
              <w14:schemeClr w14:val="tx1"/>
            </w14:solidFill>
          </w14:textFill>
        </w:rPr>
        <w:t>16.1物价波动引起的价格调整</w:t>
      </w:r>
      <w:bookmarkEnd w:id="1710"/>
      <w:r>
        <w:rPr>
          <w:rFonts w:hint="eastAsia" w:eastAsia="宋体" w:cs="Times New Roman"/>
          <w:b/>
          <w:color w:val="000000" w:themeColor="text1"/>
          <w:szCs w:val="24"/>
          <w:highlight w:val="none"/>
          <w14:textFill>
            <w14:solidFill>
              <w14:schemeClr w14:val="tx1"/>
            </w14:solidFill>
          </w14:textFill>
        </w:rPr>
        <w:t>：</w:t>
      </w:r>
      <w:r>
        <w:rPr>
          <w:rFonts w:eastAsia="宋体" w:cs="Times New Roman"/>
          <w:b/>
          <w:color w:val="000000" w:themeColor="text1"/>
          <w:szCs w:val="24"/>
          <w:highlight w:val="none"/>
          <w14:textFill>
            <w14:solidFill>
              <w14:schemeClr w14:val="tx1"/>
            </w14:solidFill>
          </w14:textFill>
        </w:rPr>
        <w:t>无</w:t>
      </w:r>
      <w:bookmarkEnd w:id="1711"/>
      <w:bookmarkEnd w:id="1712"/>
      <w:bookmarkEnd w:id="1713"/>
      <w:bookmarkEnd w:id="1714"/>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715" w:name="_Toc6154"/>
      <w:bookmarkStart w:id="1716" w:name="_Toc833"/>
      <w:bookmarkStart w:id="1717" w:name="_Toc100504346"/>
      <w:bookmarkStart w:id="1718" w:name="_Toc32386"/>
      <w:r>
        <w:rPr>
          <w:rFonts w:eastAsia="宋体" w:cs="Times New Roman"/>
          <w:b/>
          <w:color w:val="000000" w:themeColor="text1"/>
          <w:szCs w:val="24"/>
          <w:highlight w:val="none"/>
          <w14:textFill>
            <w14:solidFill>
              <w14:schemeClr w14:val="tx1"/>
            </w14:solidFill>
          </w14:textFill>
        </w:rPr>
        <w:t>16.2 法律变化引起的价格调整</w:t>
      </w:r>
      <w:bookmarkEnd w:id="1715"/>
      <w:bookmarkEnd w:id="1716"/>
      <w:bookmarkEnd w:id="1717"/>
      <w:bookmarkEnd w:id="1718"/>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发包人支付本合同工程各期进度款及报审结算时，以承包人实际或应开具的、符合最新国家税法规定的增值税发票当期税率相应调整。</w:t>
      </w:r>
    </w:p>
    <w:p>
      <w:pPr>
        <w:spacing w:line="360" w:lineRule="auto"/>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16.3本合同采用固定价格合同。签约合同价中包括的风险范围：</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（1）招标文件中提示的风险；</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 除非合同中另有规定，报价汇总中的价格应包括施工设备、临时用水、用电、进场道路、临时设施费、赶工措施费、交通安全维护设施费、技术措施费、绿化养护费用、工程施工、劳务、管理、材料、安装、维护、保险、利润、税金和政策性文件规定及合同中包含的所有风险、责任等各项应有费用。并包括执行和完成本合同工程时所有附带工作及费用，不论它们是否在合同文件中有所说明。</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承包人承担的风险费用包括但不限于：①承包人在施工过程所需的施工风险处理费用及不可预见费用。承包人在施工过程造成附近建筑物、构筑物、管线、绿化、市政设施、农用地及现场已完成的构件破坏，需要原状恢复的费用，并满足物业产权人的验收要求；②凡施工图设计中未有详细注明的做法，则按国家及广东省有关设计规范及施工验收规范进行施工的费用；③施工用的临时运输道路及临时征地的使用；④施工过程中如需对路面开凿及修复的，发包人提供的路面开凿及修复的数量仅供参考，承包人在投标时应已充分考虑本工程符合竣工验收标准，相应增加的施工措施费用，承包人不得以施工方案变更为借口，提出增加费用的要求；⑤管道基坑开挖严格按相应施工图及施工规范进行施工的相关费用。若因征地拆迁原因导致工程项目无法实施时，依据设计要求的深度，按未完成工程量扣减相应的工程款，如图纸无具体设计要求，则依据基坑支护设计规范扣减未完成部分的的工程款，其风险由</w:t>
      </w:r>
      <w:r>
        <w:rPr>
          <w:rFonts w:hint="eastAsia" w:ascii="宋体" w:hAnsi="宋体"/>
          <w:color w:val="000000" w:themeColor="text1"/>
          <w:sz w:val="24"/>
          <w:highlight w:val="none"/>
          <w14:textFill>
            <w14:solidFill>
              <w14:schemeClr w14:val="tx1"/>
            </w14:solidFill>
          </w14:textFill>
        </w:rPr>
        <w:t>承包人</w:t>
      </w:r>
      <w:r>
        <w:rPr>
          <w:rFonts w:hint="eastAsia" w:hAnsi="宋体"/>
          <w:color w:val="000000" w:themeColor="text1"/>
          <w:sz w:val="24"/>
          <w:highlight w:val="none"/>
          <w14:textFill>
            <w14:solidFill>
              <w14:schemeClr w14:val="tx1"/>
            </w14:solidFill>
          </w14:textFill>
        </w:rPr>
        <w:t>承担。⑥基坑支护及顶管施工、沉井施工等专项施工方案的设计、评审及施工验收等费用；</w:t>
      </w:r>
      <w:bookmarkStart w:id="1719" w:name="OLE_LINK1"/>
      <w:r>
        <w:rPr>
          <w:rFonts w:hint="eastAsia" w:hAnsi="宋体"/>
          <w:color w:val="000000" w:themeColor="text1"/>
          <w:sz w:val="24"/>
          <w:highlight w:val="none"/>
          <w14:textFill>
            <w14:solidFill>
              <w14:schemeClr w14:val="tx1"/>
            </w14:solidFill>
          </w14:textFill>
        </w:rPr>
        <w:t>⑦除行政部门规定由发包人支付的相关行政费用外，承包人应负责办理向市政、公路、水利、海事、航道等职能部门的申报手续并通过审批。</w:t>
      </w:r>
    </w:p>
    <w:bookmarkEnd w:id="1719"/>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720" w:name="_Toc22998"/>
      <w:bookmarkStart w:id="1721" w:name="_Toc2311"/>
      <w:bookmarkStart w:id="1722" w:name="_Toc100504347"/>
      <w:bookmarkStart w:id="1723" w:name="_Toc354042279"/>
      <w:bookmarkStart w:id="1724" w:name="_Toc12615"/>
      <w:r>
        <w:rPr>
          <w:rFonts w:hAnsi="宋体"/>
          <w:b/>
          <w:color w:val="000000" w:themeColor="text1"/>
          <w:sz w:val="24"/>
          <w:highlight w:val="none"/>
          <w14:textFill>
            <w14:solidFill>
              <w14:schemeClr w14:val="tx1"/>
            </w14:solidFill>
          </w14:textFill>
        </w:rPr>
        <w:t>17.</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计量与支付</w:t>
      </w:r>
      <w:bookmarkEnd w:id="1720"/>
      <w:bookmarkEnd w:id="1721"/>
      <w:bookmarkEnd w:id="1722"/>
      <w:bookmarkEnd w:id="1723"/>
      <w:bookmarkEnd w:id="1724"/>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25" w:name="_Toc100504348"/>
      <w:bookmarkStart w:id="1726" w:name="_Toc10467"/>
      <w:bookmarkStart w:id="1727" w:name="_Toc18843"/>
      <w:bookmarkStart w:id="1728" w:name="_Toc354042280"/>
      <w:bookmarkStart w:id="1729" w:name="_Toc24457"/>
      <w:r>
        <w:rPr>
          <w:rFonts w:eastAsia="宋体" w:cs="Times New Roman"/>
          <w:b/>
          <w:color w:val="000000" w:themeColor="text1"/>
          <w:szCs w:val="24"/>
          <w:highlight w:val="none"/>
          <w14:textFill>
            <w14:solidFill>
              <w14:schemeClr w14:val="tx1"/>
            </w14:solidFill>
          </w14:textFill>
        </w:rPr>
        <w:t>17.1计量</w:t>
      </w:r>
      <w:bookmarkEnd w:id="1725"/>
      <w:bookmarkEnd w:id="1726"/>
      <w:bookmarkEnd w:id="1727"/>
      <w:bookmarkEnd w:id="1728"/>
      <w:bookmarkEnd w:id="1729"/>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17.1.2</w:t>
      </w:r>
      <w:r>
        <w:rPr>
          <w:rFonts w:hAnsi="宋体"/>
          <w:color w:val="000000" w:themeColor="text1"/>
          <w:sz w:val="24"/>
          <w:highlight w:val="none"/>
          <w14:textFill>
            <w14:solidFill>
              <w14:schemeClr w14:val="tx1"/>
            </w14:solidFill>
          </w14:textFill>
        </w:rPr>
        <w:t>计量方法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工程量计算规则执行国家标准《建设工程工程量清单计价规范》</w:t>
      </w:r>
      <w:r>
        <w:rPr>
          <w:color w:val="000000" w:themeColor="text1"/>
          <w:sz w:val="24"/>
          <w:highlight w:val="none"/>
          <w14:textFill>
            <w14:solidFill>
              <w14:schemeClr w14:val="tx1"/>
            </w14:solidFill>
          </w14:textFill>
        </w:rPr>
        <w:t>（GB50500—</w:t>
      </w:r>
      <w:r>
        <w:rPr>
          <w:rFonts w:hint="eastAsia"/>
          <w:color w:val="000000" w:themeColor="text1"/>
          <w:sz w:val="24"/>
          <w:highlight w:val="none"/>
          <w14:textFill>
            <w14:solidFill>
              <w14:schemeClr w14:val="tx1"/>
            </w14:solidFill>
          </w14:textFill>
        </w:rPr>
        <w:t>2013</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或其适用的修订版本。除合同另有约定外，承包人实际完成的工程量按约定的工程量计算规则和有合同约束力的图纸进行计量。合</w:t>
      </w:r>
      <w:r>
        <w:rPr>
          <w:rFonts w:hint="eastAsia" w:hAnsi="宋体"/>
          <w:color w:val="000000" w:themeColor="text1"/>
          <w:sz w:val="24"/>
          <w:highlight w:val="none"/>
          <w14:textFill>
            <w14:solidFill>
              <w14:schemeClr w14:val="tx1"/>
            </w14:solidFill>
          </w14:textFill>
        </w:rPr>
        <w:t>同内未实施或已实施但不合格的工程量，不予计量、计价及结算。</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17.1.3承包人向工程师提交已完工程量报告的时间：</w:t>
      </w:r>
      <w:r>
        <w:rPr>
          <w:rFonts w:hint="eastAsia"/>
          <w:color w:val="000000" w:themeColor="text1"/>
          <w:sz w:val="24"/>
          <w:highlight w:val="none"/>
          <w:u w:val="single"/>
          <w14:textFill>
            <w14:solidFill>
              <w14:schemeClr w14:val="tx1"/>
            </w14:solidFill>
          </w14:textFill>
        </w:rPr>
        <w:t xml:space="preserve"> 每月15号 。</w:t>
      </w:r>
      <w:r>
        <w:rPr>
          <w:rFonts w:hint="eastAsia"/>
          <w:color w:val="000000" w:themeColor="text1"/>
          <w:sz w:val="24"/>
          <w:highlight w:val="none"/>
          <w14:textFill>
            <w14:solidFill>
              <w14:schemeClr w14:val="tx1"/>
            </w14:solidFill>
          </w14:textFill>
        </w:rPr>
        <w:t xml:space="preserve">   </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30" w:name="_Toc100504349"/>
      <w:bookmarkStart w:id="1731" w:name="_Toc11250"/>
      <w:bookmarkStart w:id="1732" w:name="_Toc3390"/>
      <w:bookmarkStart w:id="1733" w:name="_Toc16131"/>
      <w:bookmarkStart w:id="1734" w:name="_Toc354042281"/>
      <w:r>
        <w:rPr>
          <w:rFonts w:eastAsia="宋体" w:cs="Times New Roman"/>
          <w:b/>
          <w:color w:val="000000" w:themeColor="text1"/>
          <w:szCs w:val="24"/>
          <w:highlight w:val="none"/>
          <w14:textFill>
            <w14:solidFill>
              <w14:schemeClr w14:val="tx1"/>
            </w14:solidFill>
          </w14:textFill>
        </w:rPr>
        <w:t>17.2预付款</w:t>
      </w:r>
      <w:bookmarkEnd w:id="1730"/>
      <w:bookmarkEnd w:id="1731"/>
      <w:bookmarkEnd w:id="1732"/>
      <w:bookmarkEnd w:id="1733"/>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17.2.1预付款</w:t>
      </w:r>
      <w:r>
        <w:rPr>
          <w:rFonts w:hAnsi="宋体"/>
          <w:color w:val="000000" w:themeColor="text1"/>
          <w:sz w:val="24"/>
          <w:highlight w:val="none"/>
          <w14:textFill>
            <w14:solidFill>
              <w14:schemeClr w14:val="tx1"/>
            </w14:solidFill>
          </w14:textFill>
        </w:rPr>
        <w:t>的额度</w:t>
      </w:r>
      <w:r>
        <w:rPr>
          <w:rFonts w:hint="eastAsia" w:hAnsi="宋体"/>
          <w:color w:val="000000" w:themeColor="text1"/>
          <w:sz w:val="24"/>
          <w:highlight w:val="none"/>
          <w14:textFill>
            <w14:solidFill>
              <w14:schemeClr w14:val="tx1"/>
            </w14:solidFill>
          </w14:textFill>
        </w:rPr>
        <w:t>：签约合同价的</w:t>
      </w:r>
      <w:r>
        <w:rPr>
          <w:rFonts w:hint="eastAsia" w:hAnsi="宋体"/>
          <w:color w:val="000000" w:themeColor="text1"/>
          <w:sz w:val="24"/>
          <w:highlight w:val="none"/>
          <w:lang w:val="en-US" w:eastAsia="zh-CN"/>
          <w14:textFill>
            <w14:solidFill>
              <w14:schemeClr w14:val="tx1"/>
            </w14:solidFill>
          </w14:textFill>
        </w:rPr>
        <w:t>3</w:t>
      </w:r>
      <w:r>
        <w:rPr>
          <w:rFonts w:hint="eastAsia" w:hAnsi="宋体"/>
          <w:color w:val="000000" w:themeColor="text1"/>
          <w:sz w:val="24"/>
          <w:highlight w:val="none"/>
          <w14:textFill>
            <w14:solidFill>
              <w14:schemeClr w14:val="tx1"/>
            </w14:solidFill>
          </w14:textFill>
        </w:rPr>
        <w:t>0%。</w:t>
      </w:r>
    </w:p>
    <w:p>
      <w:pPr>
        <w:spacing w:line="360" w:lineRule="auto"/>
        <w:ind w:firstLine="480" w:firstLineChars="200"/>
        <w:rPr>
          <w:rFonts w:hint="eastAsia"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17.2.2预付款的支付条件：承包人收到</w:t>
      </w:r>
      <w:r>
        <w:rPr>
          <w:rFonts w:hint="eastAsia"/>
          <w:color w:val="000000" w:themeColor="text1"/>
          <w:sz w:val="24"/>
          <w:highlight w:val="none"/>
          <w:lang w:val="en-US" w:eastAsia="zh-CN"/>
          <w14:textFill>
            <w14:solidFill>
              <w14:schemeClr w14:val="tx1"/>
            </w14:solidFill>
          </w14:textFill>
        </w:rPr>
        <w:t>开工令</w:t>
      </w:r>
      <w:r>
        <w:rPr>
          <w:rFonts w:hint="eastAsia"/>
          <w:color w:val="000000" w:themeColor="text1"/>
          <w:sz w:val="24"/>
          <w:highlight w:val="none"/>
          <w14:textFill>
            <w14:solidFill>
              <w14:schemeClr w14:val="tx1"/>
            </w14:solidFill>
          </w14:textFill>
        </w:rPr>
        <w:t>后，向发包人提交请款资料，</w:t>
      </w:r>
      <w:r>
        <w:rPr>
          <w:rFonts w:hint="eastAsia" w:hAnsi="宋体" w:cs="宋体"/>
          <w:color w:val="000000" w:themeColor="text1"/>
          <w:sz w:val="24"/>
          <w:highlight w:val="none"/>
          <w14:textFill>
            <w14:solidFill>
              <w14:schemeClr w14:val="tx1"/>
            </w14:solidFill>
          </w14:textFill>
        </w:rPr>
        <w:t>并提供与预付款等额的增值税发票。</w:t>
      </w:r>
    </w:p>
    <w:p>
      <w:pPr>
        <w:spacing w:line="360" w:lineRule="auto"/>
        <w:ind w:firstLine="480" w:firstLineChars="200"/>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17.2.</w:t>
      </w:r>
      <w:r>
        <w:rPr>
          <w:rFonts w:hint="eastAsia" w:hAnsi="宋体" w:cs="宋体"/>
          <w:color w:val="000000" w:themeColor="text1"/>
          <w:sz w:val="24"/>
          <w:highlight w:val="none"/>
          <w:lang w:val="en-US" w:eastAsia="zh-CN"/>
          <w14:textFill>
            <w14:solidFill>
              <w14:schemeClr w14:val="tx1"/>
            </w14:solidFill>
          </w14:textFill>
        </w:rPr>
        <w:t>3</w:t>
      </w:r>
      <w:r>
        <w:rPr>
          <w:rFonts w:hAnsi="宋体"/>
          <w:color w:val="000000" w:themeColor="text1"/>
          <w:sz w:val="24"/>
          <w:highlight w:val="none"/>
          <w14:textFill>
            <w14:solidFill>
              <w14:schemeClr w14:val="tx1"/>
            </w14:solidFill>
          </w14:textFill>
        </w:rPr>
        <w:t>预付款的扣回与还清</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lang w:eastAsia="zh-CN"/>
          <w14:textFill>
            <w14:solidFill>
              <w14:schemeClr w14:val="tx1"/>
            </w14:solidFill>
          </w14:textFill>
        </w:rPr>
        <w:t>预付款在已完工作量达到合同承包价的</w:t>
      </w:r>
      <w:r>
        <w:rPr>
          <w:rFonts w:hint="eastAsia" w:hAnsi="宋体"/>
          <w:color w:val="000000" w:themeColor="text1"/>
          <w:sz w:val="24"/>
          <w:highlight w:val="none"/>
          <w:lang w:val="en-US" w:eastAsia="zh-CN"/>
          <w14:textFill>
            <w14:solidFill>
              <w14:schemeClr w14:val="tx1"/>
            </w14:solidFill>
          </w14:textFill>
        </w:rPr>
        <w:t>50%时，扣回预付款的50%；</w:t>
      </w:r>
      <w:r>
        <w:rPr>
          <w:rFonts w:hint="eastAsia" w:hAnsi="宋体"/>
          <w:color w:val="000000" w:themeColor="text1"/>
          <w:sz w:val="24"/>
          <w:highlight w:val="none"/>
          <w:lang w:eastAsia="zh-CN"/>
          <w14:textFill>
            <w14:solidFill>
              <w14:schemeClr w14:val="tx1"/>
            </w14:solidFill>
          </w14:textFill>
        </w:rPr>
        <w:t>在已完工作量达到合同承包价的</w:t>
      </w:r>
      <w:r>
        <w:rPr>
          <w:rFonts w:hint="eastAsia" w:hAnsi="宋体"/>
          <w:color w:val="000000" w:themeColor="text1"/>
          <w:sz w:val="24"/>
          <w:highlight w:val="none"/>
          <w:lang w:val="en-US" w:eastAsia="zh-CN"/>
          <w14:textFill>
            <w14:solidFill>
              <w14:schemeClr w14:val="tx1"/>
            </w14:solidFill>
          </w14:textFill>
        </w:rPr>
        <w:t>70%时，扣回预付款的100%</w:t>
      </w:r>
      <w:r>
        <w:rPr>
          <w:rFonts w:hint="eastAsia" w:hAnsi="宋体" w:cs="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bookmarkStart w:id="1735" w:name="_Toc502849605"/>
      <w:r>
        <w:rPr>
          <w:rFonts w:hint="eastAsia"/>
          <w:color w:val="000000" w:themeColor="text1"/>
          <w:sz w:val="24"/>
          <w:highlight w:val="none"/>
          <w14:textFill>
            <w14:solidFill>
              <w14:schemeClr w14:val="tx1"/>
            </w14:solidFill>
          </w14:textFill>
        </w:rPr>
        <w:t>17.2.</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预付款</w:t>
      </w:r>
      <w:r>
        <w:rPr>
          <w:rFonts w:hint="eastAsia"/>
          <w:color w:val="000000" w:themeColor="text1"/>
          <w:sz w:val="24"/>
          <w:highlight w:val="none"/>
          <w14:textFill>
            <w14:solidFill>
              <w14:schemeClr w14:val="tx1"/>
            </w14:solidFill>
          </w14:textFill>
        </w:rPr>
        <w:t>支付后</w:t>
      </w:r>
      <w:r>
        <w:rPr>
          <w:color w:val="000000" w:themeColor="text1"/>
          <w:sz w:val="24"/>
          <w:highlight w:val="none"/>
          <w14:textFill>
            <w14:solidFill>
              <w14:schemeClr w14:val="tx1"/>
            </w14:solidFill>
          </w14:textFill>
        </w:rPr>
        <w:t>的</w:t>
      </w:r>
      <w:r>
        <w:rPr>
          <w:rFonts w:hint="eastAsia"/>
          <w:color w:val="000000" w:themeColor="text1"/>
          <w:sz w:val="24"/>
          <w:highlight w:val="none"/>
          <w14:textFill>
            <w14:solidFill>
              <w14:schemeClr w14:val="tx1"/>
            </w14:solidFill>
          </w14:textFill>
        </w:rPr>
        <w:t>管理：若承包人收到预付款后，未能按发包人的要求组织进场开工，超期5天及以上的，则扣罚50%的预付款；超期10天及以上的，则扣罚全额的预付款。</w:t>
      </w:r>
      <w:bookmarkEnd w:id="1734"/>
      <w:bookmarkEnd w:id="1735"/>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36" w:name="_Toc12848"/>
      <w:bookmarkStart w:id="1737" w:name="_Toc26627"/>
      <w:bookmarkStart w:id="1738" w:name="_Toc100504350"/>
      <w:bookmarkStart w:id="1739" w:name="_Toc22605"/>
      <w:bookmarkStart w:id="1740" w:name="_Toc354042283"/>
      <w:r>
        <w:rPr>
          <w:rFonts w:eastAsia="宋体" w:cs="Times New Roman"/>
          <w:b/>
          <w:color w:val="000000" w:themeColor="text1"/>
          <w:szCs w:val="24"/>
          <w:highlight w:val="none"/>
          <w14:textFill>
            <w14:solidFill>
              <w14:schemeClr w14:val="tx1"/>
            </w14:solidFill>
          </w14:textFill>
        </w:rPr>
        <w:t>17.3工程进度付款</w:t>
      </w:r>
      <w:bookmarkEnd w:id="1736"/>
      <w:bookmarkEnd w:id="1737"/>
      <w:bookmarkEnd w:id="1738"/>
      <w:bookmarkEnd w:id="1739"/>
      <w:bookmarkEnd w:id="1740"/>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17.3.2工程款付款条件：</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（1）当月工程质量应符合质量标准（设计、规范要求及招标文件要求）； </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（2）完成当月工程进度计划；</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（3）内业资料同步；</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（4）试验（复试）报告证明所用材料合格或满足合同要求；</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（5）经监理工程师验收合格；</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（6）安全文明施工符合国家规范、法规和招标文件的要求；。</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（7）无因欠发施工人员工资，而出现上访或其他不良事件；</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（8）无违反本合同《附件十四》中相关制度。</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如未能达到以上要求，工程款停止支付，直至整改至符合以上要求。</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17.3.3工程进度款支付的方式和时间：</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（1）若本合同工程是财政</w:t>
      </w:r>
      <w:r>
        <w:rPr>
          <w:color w:val="000000" w:themeColor="text1"/>
          <w:sz w:val="24"/>
          <w:highlight w:val="none"/>
          <w14:textFill>
            <w14:solidFill>
              <w14:schemeClr w14:val="tx1"/>
            </w14:solidFill>
          </w14:textFill>
        </w:rPr>
        <w:t>投资项目</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付款</w:t>
      </w:r>
      <w:r>
        <w:rPr>
          <w:rFonts w:hint="eastAsia"/>
          <w:color w:val="000000" w:themeColor="text1"/>
          <w:sz w:val="24"/>
          <w:highlight w:val="none"/>
          <w14:textFill>
            <w14:solidFill>
              <w14:schemeClr w14:val="tx1"/>
            </w14:solidFill>
          </w14:textFill>
        </w:rPr>
        <w:t>的具体</w:t>
      </w:r>
      <w:r>
        <w:rPr>
          <w:color w:val="000000" w:themeColor="text1"/>
          <w:sz w:val="24"/>
          <w:highlight w:val="none"/>
          <w14:textFill>
            <w14:solidFill>
              <w14:schemeClr w14:val="tx1"/>
            </w14:solidFill>
          </w14:textFill>
        </w:rPr>
        <w:t>时间以财政部门批准为准</w:t>
      </w:r>
      <w:r>
        <w:rPr>
          <w:rFonts w:hint="eastAsia"/>
          <w:color w:val="000000" w:themeColor="text1"/>
          <w:sz w:val="24"/>
          <w:highlight w:val="non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（2）工程款由工人工资款及其他款项组成，工程款应分别拨付至承包人为本工程开设的工人工资支付专用账户及</w:t>
      </w:r>
      <w:r>
        <w:rPr>
          <w:rFonts w:hint="eastAsia"/>
          <w:color w:val="000000" w:themeColor="text1"/>
          <w:sz w:val="24"/>
          <w:highlight w:val="none"/>
          <w:lang w:eastAsia="zh-CN"/>
          <w14:textFill>
            <w14:solidFill>
              <w14:schemeClr w14:val="tx1"/>
            </w14:solidFill>
          </w14:textFill>
        </w:rPr>
        <w:t>工程项目其它费用支付账户</w:t>
      </w:r>
      <w:r>
        <w:rPr>
          <w:rFonts w:hint="eastAsia"/>
          <w:color w:val="000000" w:themeColor="text1"/>
          <w:sz w:val="24"/>
          <w:highlight w:val="none"/>
          <w14:textFill>
            <w14:solidFill>
              <w14:schemeClr w14:val="tx1"/>
            </w14:solidFill>
          </w14:textFill>
        </w:rPr>
        <w:t>中，账户由承包人监管。承包人开户时须向开户银行和发包人或本工程的支付方提交书面授权书，同意发包人或本工程的支付方有权查询本工程</w:t>
      </w:r>
      <w:r>
        <w:rPr>
          <w:rFonts w:hint="eastAsia"/>
          <w:color w:val="000000" w:themeColor="text1"/>
          <w:sz w:val="24"/>
          <w:highlight w:val="none"/>
          <w:lang w:eastAsia="zh-CN"/>
          <w14:textFill>
            <w14:solidFill>
              <w14:schemeClr w14:val="tx1"/>
            </w14:solidFill>
          </w14:textFill>
        </w:rPr>
        <w:t>账户</w:t>
      </w:r>
      <w:r>
        <w:rPr>
          <w:rFonts w:hint="eastAsia"/>
          <w:color w:val="000000" w:themeColor="text1"/>
          <w:sz w:val="24"/>
          <w:highlight w:val="none"/>
          <w14:textFill>
            <w14:solidFill>
              <w14:schemeClr w14:val="tx1"/>
            </w14:solidFill>
          </w14:textFill>
        </w:rPr>
        <w:t>资金使用情况，或由发包人（或本项目的支付方）授权第三方中介机构对项目资金使用情况进行审计；授权开户银行每月定期向发包人报送资金收付账单（包括收付款人、金额、支出用途、支出依据等）。</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承包人必须确保工程款用于本工程项目建设，做到专款专用；工程款必须优先保障工人工资。发包人定期对工程款的使用情况进行检查，承包人要积极配合。</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（3）本工程的预付款、安全文明施工费、进度款、结算款及质量保证金，按</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%（工人工资款比例）和</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%（工程款比例）分别划拨至承包人的工人工资支付专用账户及</w:t>
      </w:r>
      <w:r>
        <w:rPr>
          <w:rFonts w:hint="eastAsia"/>
          <w:color w:val="000000" w:themeColor="text1"/>
          <w:sz w:val="24"/>
          <w:highlight w:val="none"/>
          <w:lang w:eastAsia="zh-CN"/>
          <w14:textFill>
            <w14:solidFill>
              <w14:schemeClr w14:val="tx1"/>
            </w14:solidFill>
          </w14:textFill>
        </w:rPr>
        <w:t>工程项目其它费用支付账户</w:t>
      </w:r>
      <w:r>
        <w:rPr>
          <w:rFonts w:hint="eastAsia"/>
          <w:color w:val="000000" w:themeColor="text1"/>
          <w:sz w:val="24"/>
          <w:highlight w:val="non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（4）承包人每次请款时，必须向发包人提交完整的请款资料、与发包人审定额等额（若有约定从其约定）的增值税发票（发票应符合最新国家税法规定），发包人按合同约定支付工程相关款项。</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在本工程开工前，承包人负有依法支付本工程工人工资支付保证金的义务。双方根据相关政府规定及约定按以下支付方式处理本工程工人工资支付保证金：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依照《广州市建筑施工企业工人工资支付保证金管理办法》（穗人社发[2014]43号）规定，承包人向发包人提供</w:t>
      </w:r>
      <w:r>
        <w:rPr>
          <w:rFonts w:hint="eastAsia" w:ascii="宋体" w:hAnsi="宋体"/>
          <w:color w:val="000000" w:themeColor="text1"/>
          <w:sz w:val="24"/>
          <w:highlight w:val="none"/>
          <w14:textFill>
            <w14:solidFill>
              <w14:schemeClr w14:val="tx1"/>
            </w14:solidFill>
          </w14:textFill>
        </w:rPr>
        <w:t>相关请款资料，支付方将本工程工</w:t>
      </w:r>
      <w:r>
        <w:rPr>
          <w:rFonts w:hint="eastAsia" w:ascii="宋体" w:hAnsi="宋体" w:cs="宋体"/>
          <w:color w:val="000000" w:themeColor="text1"/>
          <w:sz w:val="24"/>
          <w:highlight w:val="none"/>
          <w14:textFill>
            <w14:solidFill>
              <w14:schemeClr w14:val="tx1"/>
            </w14:solidFill>
          </w14:textFill>
        </w:rPr>
        <w:t>资支付保证金（本工程签约合同价的2%，且不超过200万，不低于10万元）存入承包人企业工人工资保证金专用账户；如果承包人企业工人工资保证金专用账户已达最高限额，应向发包人提供不需存储工人工资保证金且本工程已纳入工人工资保证金管理的证明资料，本工程的支付方将相应的款项支付至承包人的工人工资支付专用账户。若承包人未办理工人工资保证金专用账户开立及缴存手续，则开工后第</w:t>
      </w:r>
      <w:r>
        <w:rPr>
          <w:rFonts w:hint="eastAsia" w:ascii="宋体" w:hAnsi="宋体" w:eastAsia="宋体" w:cs="宋体"/>
          <w:color w:val="000000" w:themeColor="text1"/>
          <w:sz w:val="24"/>
          <w:highlight w:val="none"/>
          <w14:textFill>
            <w14:solidFill>
              <w14:schemeClr w14:val="tx1"/>
            </w14:solidFill>
          </w14:textFill>
        </w:rPr>
        <w:t>一期月工程进度支付时间顺延。</w:t>
      </w:r>
    </w:p>
    <w:p>
      <w:pPr>
        <w:numPr>
          <w:ilvl w:val="0"/>
          <w:numId w:val="0"/>
        </w:numPr>
        <w:spacing w:line="360" w:lineRule="auto"/>
        <w:ind w:firstLine="480"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（6）工程进度款的支付:施工单位进场后按月验工计价，按每月完成工程费用支付工程进度款，工程进度款在验工计价并经甲方审核确认后15个工作日内支付给乙方，单位工程验收后累计支付至签约合同价的85%。</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(7)工程结算:工程完工，乙方报送结算资料后，甲方负责协调有关部门在6个月内完成结算工作，依据结算评审结果，甲方在收到乙方提交的申请资料后15个工作日内向乙方支付至建安工程结算总价款的90%，</w:t>
      </w:r>
      <w:r>
        <w:rPr>
          <w:rFonts w:hint="eastAsia" w:ascii="宋体" w:hAnsi="宋体" w:eastAsia="宋体" w:cs="宋体"/>
          <w:color w:val="000000" w:themeColor="text1"/>
          <w:sz w:val="24"/>
          <w:highlight w:val="none"/>
          <w14:textFill>
            <w14:solidFill>
              <w14:schemeClr w14:val="tx1"/>
            </w14:solidFill>
          </w14:textFill>
        </w:rPr>
        <w:t>余下工程最终结算价的7%作为绩效考核金和</w:t>
      </w:r>
      <w:r>
        <w:rPr>
          <w:rFonts w:hint="eastAsia" w:ascii="宋体" w:hAnsi="宋体"/>
          <w:color w:val="000000" w:themeColor="text1"/>
          <w:sz w:val="24"/>
          <w:highlight w:val="none"/>
          <w14:textFill>
            <w14:solidFill>
              <w14:schemeClr w14:val="tx1"/>
            </w14:solidFill>
          </w14:textFill>
        </w:rPr>
        <w:t>结算价的</w:t>
      </w:r>
      <w:r>
        <w:rPr>
          <w:rFonts w:hint="eastAsia" w:ascii="宋体" w:hAnsi="宋体" w:eastAsia="宋体" w:cs="宋体"/>
          <w:color w:val="000000" w:themeColor="text1"/>
          <w:sz w:val="24"/>
          <w:highlight w:val="none"/>
          <w14:textFill>
            <w14:solidFill>
              <w14:schemeClr w14:val="tx1"/>
            </w14:solidFill>
          </w14:textFill>
        </w:rPr>
        <w:t>3%作为工程质量保证金</w:t>
      </w:r>
      <w:r>
        <w:rPr>
          <w:rFonts w:hint="eastAsia" w:ascii="宋体" w:hAnsi="宋体" w:eastAsia="宋体" w:cs="宋体"/>
          <w:color w:val="000000" w:themeColor="text1"/>
          <w:sz w:val="24"/>
          <w:highlight w:val="none"/>
          <w:lang w:val="en-US" w:eastAsia="zh-CN"/>
          <w14:textFill>
            <w14:solidFill>
              <w14:schemeClr w14:val="tx1"/>
            </w14:solidFill>
          </w14:textFill>
        </w:rPr>
        <w:t>暂扣，工程质量保证金在工程缺陷责任期满后一个月内不计息一次性退还乙方。</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(8)若因发生变更引起工程造价款变化，变更款经甲乙双方、设计、监理、施工等各方商洽后确定并按上述比例同期支付。</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(9)上述工程款项由甲方支付给乙方，乙方在有关单位办理好相关手续后5个工作日内及时支付至相关单位，确保工程项目顺利推进。</w:t>
      </w:r>
    </w:p>
    <w:p>
      <w:pPr>
        <w:spacing w:line="360" w:lineRule="auto"/>
        <w:ind w:firstLine="480" w:firstLineChars="200"/>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(10)以</w:t>
      </w:r>
      <w:r>
        <w:rPr>
          <w:rFonts w:hint="eastAsia" w:ascii="宋体" w:hAnsi="宋体" w:eastAsia="宋体" w:cs="宋体"/>
          <w:color w:val="000000" w:themeColor="text1"/>
          <w:sz w:val="24"/>
          <w:highlight w:val="none"/>
          <w14:textFill>
            <w14:solidFill>
              <w14:schemeClr w14:val="tx1"/>
            </w14:solidFill>
          </w14:textFill>
        </w:rPr>
        <w:t>最终结算价的7%作为绩效考核金</w:t>
      </w:r>
      <w:r>
        <w:rPr>
          <w:rFonts w:hint="eastAsia" w:ascii="宋体" w:hAnsi="宋体" w:eastAsia="宋体" w:cs="宋体"/>
          <w:color w:val="000000" w:themeColor="text1"/>
          <w:sz w:val="24"/>
          <w:highlight w:val="none"/>
          <w:lang w:val="en-US" w:eastAsia="zh-CN"/>
          <w14:textFill>
            <w14:solidFill>
              <w14:schemeClr w14:val="tx1"/>
            </w14:solidFill>
          </w14:textFill>
        </w:rPr>
        <w:t>，考核期1年，起</w:t>
      </w:r>
      <w:r>
        <w:rPr>
          <w:rFonts w:hint="eastAsia" w:ascii="宋体" w:hAnsi="宋体"/>
          <w:color w:val="000000" w:themeColor="text1"/>
          <w:sz w:val="24"/>
          <w:szCs w:val="20"/>
          <w:highlight w:val="none"/>
          <w:lang w:val="en-US" w:eastAsia="zh-CN"/>
          <w14:textFill>
            <w14:solidFill>
              <w14:schemeClr w14:val="tx1"/>
            </w14:solidFill>
          </w14:textFill>
        </w:rPr>
        <w:t>点为最后一处工程建设的完工日期，终点为自起始点起算365个日历天，其中对 EPC 单位的考核为每季度1次，涉及每月监测指标的，以每季度的平均值为准。在考核期内按合同附件二十三《番禺区村居雨污分流工程绩效考核指引》要求每季度进行考核，具体支付比例结合绩效考核结果，按下表执行。</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3441"/>
        <w:gridCol w:w="3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noWrap w:val="0"/>
            <w:vAlign w:val="center"/>
          </w:tcPr>
          <w:p>
            <w:pPr>
              <w:spacing w:line="360" w:lineRule="auto"/>
              <w:ind w:firstLine="0" w:firstLineChars="0"/>
              <w:jc w:val="center"/>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序号</w:t>
            </w:r>
          </w:p>
        </w:tc>
        <w:tc>
          <w:tcPr>
            <w:tcW w:w="3441" w:type="dxa"/>
            <w:noWrap w:val="0"/>
            <w:vAlign w:val="center"/>
          </w:tcPr>
          <w:p>
            <w:pPr>
              <w:spacing w:line="360" w:lineRule="auto"/>
              <w:ind w:firstLine="0" w:firstLineChars="0"/>
              <w:jc w:val="center"/>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绩效考核得分</w:t>
            </w:r>
          </w:p>
        </w:tc>
        <w:tc>
          <w:tcPr>
            <w:tcW w:w="3635" w:type="dxa"/>
            <w:noWrap w:val="0"/>
            <w:vAlign w:val="center"/>
          </w:tcPr>
          <w:p>
            <w:pPr>
              <w:spacing w:line="360" w:lineRule="auto"/>
              <w:ind w:firstLine="0" w:firstLineChars="0"/>
              <w:jc w:val="center"/>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单季绩效考核金支付比例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5" w:type="dxa"/>
            <w:noWrap w:val="0"/>
            <w:vAlign w:val="center"/>
          </w:tcPr>
          <w:p>
            <w:pPr>
              <w:spacing w:line="360" w:lineRule="auto"/>
              <w:ind w:firstLine="0" w:firstLineChars="0"/>
              <w:jc w:val="center"/>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1</w:t>
            </w:r>
          </w:p>
        </w:tc>
        <w:tc>
          <w:tcPr>
            <w:tcW w:w="3441" w:type="dxa"/>
            <w:noWrap w:val="0"/>
            <w:vAlign w:val="center"/>
          </w:tcPr>
          <w:p>
            <w:pPr>
              <w:spacing w:line="360" w:lineRule="auto"/>
              <w:ind w:firstLine="0" w:firstLineChars="0"/>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当次绩效考核得分≥90分</w:t>
            </w:r>
          </w:p>
        </w:tc>
        <w:tc>
          <w:tcPr>
            <w:tcW w:w="3635" w:type="dxa"/>
            <w:noWrap w:val="0"/>
            <w:vAlign w:val="center"/>
          </w:tcPr>
          <w:p>
            <w:pPr>
              <w:spacing w:line="360" w:lineRule="auto"/>
              <w:ind w:firstLine="0" w:firstLineChars="0"/>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95" w:type="dxa"/>
            <w:noWrap w:val="0"/>
            <w:vAlign w:val="center"/>
          </w:tcPr>
          <w:p>
            <w:pPr>
              <w:spacing w:line="360" w:lineRule="auto"/>
              <w:ind w:firstLine="0" w:firstLineChars="0"/>
              <w:jc w:val="center"/>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2</w:t>
            </w:r>
          </w:p>
        </w:tc>
        <w:tc>
          <w:tcPr>
            <w:tcW w:w="3441" w:type="dxa"/>
            <w:noWrap w:val="0"/>
            <w:vAlign w:val="center"/>
          </w:tcPr>
          <w:p>
            <w:pPr>
              <w:spacing w:line="360" w:lineRule="auto"/>
              <w:ind w:firstLine="0" w:firstLineChars="0"/>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当次绩效考核得分＜90分</w:t>
            </w:r>
          </w:p>
        </w:tc>
        <w:tc>
          <w:tcPr>
            <w:tcW w:w="3635" w:type="dxa"/>
            <w:noWrap w:val="0"/>
            <w:vAlign w:val="center"/>
          </w:tcPr>
          <w:p>
            <w:pPr>
              <w:spacing w:line="360" w:lineRule="auto"/>
              <w:ind w:firstLine="0" w:firstLineChars="0"/>
              <w:rPr>
                <w:rFonts w:hint="eastAsia" w:ascii="宋体" w:hAnsi="宋体"/>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按线性比例支付（如绩效考核得分为82分时，支付82%）</w:t>
            </w:r>
          </w:p>
        </w:tc>
      </w:tr>
    </w:tbl>
    <w:p>
      <w:pPr>
        <w:numPr>
          <w:ilvl w:val="0"/>
          <w:numId w:val="0"/>
        </w:numPr>
        <w:spacing w:line="360" w:lineRule="auto"/>
        <w:ind w:left="420" w:leftChars="0"/>
        <w:rPr>
          <w:rFonts w:hint="eastAsia" w:ascii="宋体" w:hAnsi="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w:t>
      </w:r>
      <w:r>
        <w:rPr>
          <w:rFonts w:hint="eastAsia" w:ascii="宋体" w:hAnsi="宋体"/>
          <w:color w:val="000000" w:themeColor="text1"/>
          <w:sz w:val="24"/>
          <w:highlight w:val="none"/>
          <w14:textFill>
            <w14:solidFill>
              <w14:schemeClr w14:val="tx1"/>
            </w14:solidFill>
          </w14:textFill>
        </w:rPr>
        <w:t>在工程质保期满且取得发包人签认证明后，支付工程结算价的3％，承包人提供等额增值税发票（复印件）。</w:t>
      </w:r>
    </w:p>
    <w:p>
      <w:pPr>
        <w:pStyle w:val="2"/>
        <w:numPr>
          <w:ilvl w:val="0"/>
          <w:numId w:val="0"/>
        </w:numPr>
        <w:ind w:left="420" w:leftChars="0"/>
        <w:rPr>
          <w:rFonts w:hint="eastAsia" w:ascii="宋体" w:hAnsi="宋体" w:eastAsia="宋体" w:cs="Times New Roman"/>
          <w:b w:val="0"/>
          <w:color w:val="000000" w:themeColor="text1"/>
          <w:kern w:val="2"/>
          <w:sz w:val="24"/>
          <w:szCs w:val="24"/>
          <w:highlight w:val="none"/>
          <w:lang w:val="en-US" w:eastAsia="zh-CN" w:bidi="ar-SA"/>
          <w14:textFill>
            <w14:solidFill>
              <w14:schemeClr w14:val="tx1"/>
            </w14:solidFill>
          </w14:textFill>
        </w:rPr>
      </w:pPr>
    </w:p>
    <w:p>
      <w:pPr>
        <w:spacing w:line="360" w:lineRule="auto"/>
        <w:ind w:left="1080" w:right="420"/>
        <w:jc w:val="center"/>
        <w:rPr>
          <w:rFonts w:hint="eastAsia" w:ascii="宋体" w:hAnsi="宋体"/>
          <w:color w:val="000000" w:themeColor="text1"/>
          <w:sz w:val="24"/>
          <w:szCs w:val="20"/>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41" w:name="_Toc14784"/>
      <w:bookmarkStart w:id="1742" w:name="_Toc354042284"/>
      <w:bookmarkStart w:id="1743" w:name="_Toc6423"/>
      <w:bookmarkStart w:id="1744" w:name="_Toc1390"/>
      <w:bookmarkStart w:id="1745" w:name="_Toc100504351"/>
      <w:r>
        <w:rPr>
          <w:rFonts w:eastAsia="宋体" w:cs="Times New Roman"/>
          <w:b/>
          <w:color w:val="000000" w:themeColor="text1"/>
          <w:szCs w:val="24"/>
          <w:highlight w:val="none"/>
          <w14:textFill>
            <w14:solidFill>
              <w14:schemeClr w14:val="tx1"/>
            </w14:solidFill>
          </w14:textFill>
        </w:rPr>
        <w:t>17.4质量保证金</w:t>
      </w:r>
      <w:bookmarkEnd w:id="1741"/>
      <w:bookmarkEnd w:id="1742"/>
      <w:bookmarkEnd w:id="1743"/>
      <w:bookmarkEnd w:id="1744"/>
      <w:bookmarkEnd w:id="1745"/>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17.4.1</w:t>
      </w:r>
      <w:r>
        <w:rPr>
          <w:rFonts w:hint="eastAsia"/>
          <w:color w:val="000000" w:themeColor="text1"/>
          <w:sz w:val="24"/>
          <w:highlight w:val="none"/>
          <w14:textFill>
            <w14:solidFill>
              <w14:schemeClr w14:val="tx1"/>
            </w14:solidFill>
          </w14:textFill>
        </w:rPr>
        <w:t>质量保证金金额：工程结算总价的3%</w:t>
      </w:r>
      <w:r>
        <w:rPr>
          <w:rFonts w:hint="eastAsia"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17.4.2</w:t>
      </w:r>
      <w:r>
        <w:rPr>
          <w:rFonts w:hint="eastAsia"/>
          <w:color w:val="000000" w:themeColor="text1"/>
          <w:sz w:val="24"/>
          <w:highlight w:val="none"/>
          <w14:textFill>
            <w14:solidFill>
              <w14:schemeClr w14:val="tx1"/>
            </w14:solidFill>
          </w14:textFill>
        </w:rPr>
        <w:t>质量保证金返还：</w:t>
      </w:r>
      <w:r>
        <w:rPr>
          <w:rFonts w:hint="eastAsia" w:hAnsi="宋体"/>
          <w:color w:val="000000" w:themeColor="text1"/>
          <w:sz w:val="24"/>
          <w:highlight w:val="none"/>
          <w14:textFill>
            <w14:solidFill>
              <w14:schemeClr w14:val="tx1"/>
            </w14:solidFill>
          </w14:textFill>
        </w:rPr>
        <w:t>在</w:t>
      </w:r>
      <w:r>
        <w:rPr>
          <w:rFonts w:hint="eastAsia"/>
          <w:color w:val="000000" w:themeColor="text1"/>
          <w:szCs w:val="21"/>
          <w:highlight w:val="none"/>
          <w:lang w:eastAsia="zh-CN"/>
          <w14:textFill>
            <w14:solidFill>
              <w14:schemeClr w14:val="tx1"/>
            </w14:solidFill>
          </w14:textFill>
        </w:rPr>
        <w:t>单位工程验收</w:t>
      </w:r>
      <w:r>
        <w:rPr>
          <w:rFonts w:hint="eastAsia" w:hAnsi="宋体"/>
          <w:color w:val="000000" w:themeColor="text1"/>
          <w:sz w:val="24"/>
          <w:highlight w:val="none"/>
          <w14:textFill>
            <w14:solidFill>
              <w14:schemeClr w14:val="tx1"/>
            </w14:solidFill>
          </w14:textFill>
        </w:rPr>
        <w:t>合格满两年且完成全部保修项目，经双方再次组织验收合格并签订移交书后，提交齐完整请款资料及工程结算总价3%发票的复印件后一个月内，无息付清扣除应扣款项（若有）后的余额。</w:t>
      </w:r>
    </w:p>
    <w:p>
      <w:pPr>
        <w:spacing w:line="360" w:lineRule="auto"/>
        <w:ind w:firstLine="480" w:firstLineChars="200"/>
        <w:rPr>
          <w:dstrike/>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17.4.3保修责任期内，由承包人原因造成的工程缺陷，承包人应负责维修，如承包人不予维修的，发包人有权委托有资质的第三方进行维修，由此产生的鉴定及维修费用由承包人承担，发包人仅将第三方提供的维修发票复印件（发票付款方名称按财政支付规定）提供给承包人作为扣款凭证，发包人有权按合同约定在质量保证金中扣除，并由承包人承担违约责任；如承包人维修并承担相应费用后，仍不免除其对发包人损害赔偿责任。</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46" w:name="_Toc354042285"/>
      <w:bookmarkStart w:id="1747" w:name="_Toc22488"/>
      <w:bookmarkStart w:id="1748" w:name="_Toc100504352"/>
      <w:bookmarkStart w:id="1749" w:name="_Toc11790"/>
      <w:bookmarkStart w:id="1750" w:name="_Toc4566"/>
      <w:r>
        <w:rPr>
          <w:rFonts w:eastAsia="宋体" w:cs="Times New Roman"/>
          <w:b/>
          <w:color w:val="000000" w:themeColor="text1"/>
          <w:szCs w:val="24"/>
          <w:highlight w:val="none"/>
          <w14:textFill>
            <w14:solidFill>
              <w14:schemeClr w14:val="tx1"/>
            </w14:solidFill>
          </w14:textFill>
        </w:rPr>
        <w:t>17.5</w:t>
      </w:r>
      <w:bookmarkEnd w:id="1746"/>
      <w:r>
        <w:rPr>
          <w:rFonts w:hint="eastAsia" w:eastAsia="宋体" w:cs="Times New Roman"/>
          <w:b/>
          <w:color w:val="000000" w:themeColor="text1"/>
          <w:szCs w:val="24"/>
          <w:highlight w:val="none"/>
          <w14:textFill>
            <w14:solidFill>
              <w14:schemeClr w14:val="tx1"/>
            </w14:solidFill>
          </w14:textFill>
        </w:rPr>
        <w:t>竣工结算</w:t>
      </w:r>
      <w:bookmarkEnd w:id="1747"/>
      <w:bookmarkEnd w:id="1748"/>
      <w:bookmarkEnd w:id="1749"/>
      <w:bookmarkEnd w:id="175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17.5.1</w:t>
      </w:r>
      <w:r>
        <w:rPr>
          <w:rFonts w:hAnsi="宋体"/>
          <w:color w:val="000000" w:themeColor="text1"/>
          <w:sz w:val="24"/>
          <w:highlight w:val="none"/>
          <w14:textFill>
            <w14:solidFill>
              <w14:schemeClr w14:val="tx1"/>
            </w14:solidFill>
          </w14:textFill>
        </w:rPr>
        <w:t>竣工付款申请单</w:t>
      </w:r>
    </w:p>
    <w:p>
      <w:pPr>
        <w:spacing w:line="360" w:lineRule="auto"/>
        <w:ind w:firstLine="480" w:firstLineChars="200"/>
        <w:jc w:val="lef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承包人提交竣工付款申请单的份数：</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按发包人当期规定</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jc w:val="lef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承包人提交竣工付款申请单的期限：</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执行专用合同条款第17.5.4项    </w:t>
      </w:r>
      <w:r>
        <w:rPr>
          <w:rFonts w:hint="eastAsia" w:hAnsi="宋体"/>
          <w:color w:val="000000" w:themeColor="text1"/>
          <w:sz w:val="24"/>
          <w:highlight w:val="none"/>
          <w14:textFill>
            <w14:solidFill>
              <w14:schemeClr w14:val="tx1"/>
            </w14:solidFill>
          </w14:textFill>
        </w:rPr>
        <w:t xml:space="preserve"> 。</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竣工付款申请单的内容：</w:t>
      </w:r>
      <w:r>
        <w:rPr>
          <w:rFonts w:hint="eastAsia"/>
          <w:color w:val="000000" w:themeColor="text1"/>
          <w:sz w:val="24"/>
          <w:highlight w:val="none"/>
          <w:u w:val="single"/>
          <w14:textFill>
            <w14:solidFill>
              <w14:schemeClr w14:val="tx1"/>
            </w14:solidFill>
          </w14:textFill>
        </w:rPr>
        <w:t>按发包人当期规定</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17.5.2发包人收到竣工结算报告及结算资料后经评审，评审结果（即为本工程结算总价）确定后，承包人提出支付申请后28个日历天内发包人无正当理由不支付工程竣工结算价款，从第29个日历天起按</w:t>
      </w:r>
      <w:r>
        <w:rPr>
          <w:rFonts w:hint="eastAsia" w:ascii="宋体" w:hAnsi="宋体"/>
          <w:color w:val="000000" w:themeColor="text1"/>
          <w:sz w:val="24"/>
          <w:highlight w:val="none"/>
          <w14:textFill>
            <w14:solidFill>
              <w14:schemeClr w14:val="tx1"/>
            </w14:solidFill>
          </w14:textFill>
        </w:rPr>
        <w:t>当日由中国人民银行发布的同期同档次金融机构人民币贷款基准利率</w:t>
      </w:r>
      <w:r>
        <w:rPr>
          <w:rFonts w:hint="eastAsia" w:hAnsi="宋体"/>
          <w:color w:val="000000" w:themeColor="text1"/>
          <w:sz w:val="24"/>
          <w:highlight w:val="none"/>
          <w14:textFill>
            <w14:solidFill>
              <w14:schemeClr w14:val="tx1"/>
            </w14:solidFill>
          </w14:textFill>
        </w:rPr>
        <w:t>支付拖欠工程价款的利息，并承担违约责任。政府工程则以财政审批时间为准，因政府相关部门财政审批迟延支付工程款的，发包人不承担违约责任。</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17.5.3发包人收到竣工结算报告及结算资料后经评审，评审结果确定后，承包人提出支付申请后28个日历天内发包人无正当理由不支付工程竣工结算价款，承包人可以催告发包人支付结算价款。发包人在收到竣工结算报告及结算资料后经评审，评审结果确定，承包人提出支付申请后56个日历天内发包人或本工程支付方仍不支付的，承包人可以与发包人协议将该工程折价，也可以由承包人申请</w:t>
      </w:r>
      <w:r>
        <w:rPr>
          <w:rFonts w:hint="eastAsia" w:ascii="宋体" w:hAnsi="宋体"/>
          <w:color w:val="000000" w:themeColor="text1"/>
          <w:sz w:val="24"/>
          <w:highlight w:val="none"/>
          <w14:textFill>
            <w14:solidFill>
              <w14:schemeClr w14:val="tx1"/>
            </w14:solidFill>
          </w14:textFill>
        </w:rPr>
        <w:t>番禺区</w:t>
      </w:r>
      <w:r>
        <w:rPr>
          <w:rFonts w:hint="eastAsia" w:hAnsi="宋体"/>
          <w:color w:val="000000" w:themeColor="text1"/>
          <w:sz w:val="24"/>
          <w:highlight w:val="none"/>
          <w14:textFill>
            <w14:solidFill>
              <w14:schemeClr w14:val="tx1"/>
            </w14:solidFill>
          </w14:textFill>
        </w:rPr>
        <w:t xml:space="preserve">人民法院将该工程依法拍卖，承包人就该工程折价或者拍卖的价款优先受偿。 </w:t>
      </w:r>
    </w:p>
    <w:p>
      <w:pPr>
        <w:spacing w:line="360" w:lineRule="auto"/>
        <w:ind w:firstLine="540"/>
        <w:rPr>
          <w:rFonts w:hint="eastAsia" w:ascii="宋体"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17.5.4工程</w:t>
      </w:r>
      <w:r>
        <w:rPr>
          <w:rFonts w:hint="eastAsia"/>
          <w:color w:val="000000" w:themeColor="text1"/>
          <w:szCs w:val="21"/>
          <w:highlight w:val="none"/>
          <w:lang w:eastAsia="zh-CN"/>
          <w14:textFill>
            <w14:solidFill>
              <w14:schemeClr w14:val="tx1"/>
            </w14:solidFill>
          </w14:textFill>
        </w:rPr>
        <w:t>单位工程验收</w:t>
      </w:r>
      <w:r>
        <w:rPr>
          <w:rFonts w:hint="eastAsia" w:hAnsi="宋体"/>
          <w:color w:val="000000" w:themeColor="text1"/>
          <w:sz w:val="24"/>
          <w:highlight w:val="none"/>
          <w14:textFill>
            <w14:solidFill>
              <w14:schemeClr w14:val="tx1"/>
            </w14:solidFill>
          </w14:textFill>
        </w:rPr>
        <w:t>报告经发包人认可后28个日历天内，承包人未能向发包人递交竣工结算报告及完整的结算资料，造成工程竣工结算不能正常进行或工程竣工结算价款不能及时支付，发包人要求交付工程的，承包人应当交付；发包人不要求交付工程的，承包人承担保管责任。</w:t>
      </w:r>
      <w:r>
        <w:rPr>
          <w:rFonts w:hint="eastAsia" w:ascii="宋体" w:hAnsi="宋体"/>
          <w:color w:val="000000" w:themeColor="text1"/>
          <w:sz w:val="24"/>
          <w:highlight w:val="none"/>
          <w14:textFill>
            <w14:solidFill>
              <w14:schemeClr w14:val="tx1"/>
            </w14:solidFill>
          </w14:textFill>
        </w:rPr>
        <w:t>若承包人在工程</w:t>
      </w:r>
      <w:r>
        <w:rPr>
          <w:rFonts w:hint="eastAsia"/>
          <w:color w:val="000000" w:themeColor="text1"/>
          <w:szCs w:val="21"/>
          <w:highlight w:val="none"/>
          <w:lang w:eastAsia="zh-CN"/>
          <w14:textFill>
            <w14:solidFill>
              <w14:schemeClr w14:val="tx1"/>
            </w14:solidFill>
          </w14:textFill>
        </w:rPr>
        <w:t>单位工程验收</w:t>
      </w:r>
      <w:r>
        <w:rPr>
          <w:rFonts w:hint="eastAsia" w:ascii="宋体" w:hAnsi="宋体"/>
          <w:color w:val="000000" w:themeColor="text1"/>
          <w:sz w:val="24"/>
          <w:highlight w:val="none"/>
          <w14:textFill>
            <w14:solidFill>
              <w14:schemeClr w14:val="tx1"/>
            </w14:solidFill>
          </w14:textFill>
        </w:rPr>
        <w:t>后二年内不能向发包人递交竣工结算报告及完整的结算资料，则视为承包人放弃工程款及相关权利，发包人有权不予支付工程款。</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17.5.5</w:t>
      </w:r>
      <w:r>
        <w:rPr>
          <w:rFonts w:ascii="宋体" w:hAnsi="宋体" w:cs="宋体"/>
          <w:color w:val="000000" w:themeColor="text1"/>
          <w:kern w:val="0"/>
          <w:sz w:val="24"/>
          <w:highlight w:val="none"/>
          <w14:textFill>
            <w14:solidFill>
              <w14:schemeClr w14:val="tx1"/>
            </w14:solidFill>
          </w14:textFill>
        </w:rPr>
        <w:t>结算组织工作要求（见本合同附件十七《工程结算工作协议书》）</w:t>
      </w:r>
      <w:r>
        <w:rPr>
          <w:rFonts w:hint="eastAsia" w:ascii="宋体" w:hAnsi="宋体" w:cs="宋体"/>
          <w:color w:val="000000" w:themeColor="text1"/>
          <w:kern w:val="0"/>
          <w:sz w:val="24"/>
          <w:highlight w:val="none"/>
          <w14:textFill>
            <w14:solidFill>
              <w14:schemeClr w14:val="tx1"/>
            </w14:solidFill>
          </w14:textFill>
        </w:rPr>
        <w:t>。</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17.5.6 </w:t>
      </w:r>
      <w:r>
        <w:rPr>
          <w:rFonts w:hint="eastAsia" w:ascii="宋体" w:hAnsi="宋体"/>
          <w:color w:val="000000" w:themeColor="text1"/>
          <w:sz w:val="24"/>
          <w:highlight w:val="none"/>
          <w14:textFill>
            <w14:solidFill>
              <w14:schemeClr w14:val="tx1"/>
            </w14:solidFill>
          </w14:textFill>
        </w:rPr>
        <w:t>发包人与承包人对工程</w:t>
      </w:r>
      <w:r>
        <w:rPr>
          <w:rFonts w:hint="eastAsia" w:ascii="宋体" w:hAnsi="宋体" w:cs="宋体"/>
          <w:color w:val="000000" w:themeColor="text1"/>
          <w:sz w:val="24"/>
          <w:highlight w:val="none"/>
          <w14:textFill>
            <w14:solidFill>
              <w14:schemeClr w14:val="tx1"/>
            </w14:solidFill>
          </w14:textFill>
        </w:rPr>
        <w:t>竣工</w:t>
      </w:r>
      <w:r>
        <w:rPr>
          <w:rFonts w:hint="eastAsia" w:ascii="宋体" w:hAnsi="宋体"/>
          <w:color w:val="000000" w:themeColor="text1"/>
          <w:sz w:val="24"/>
          <w:highlight w:val="none"/>
          <w14:textFill>
            <w14:solidFill>
              <w14:schemeClr w14:val="tx1"/>
            </w14:solidFill>
          </w14:textFill>
        </w:rPr>
        <w:t>结算价款发生争议时，按本合同</w:t>
      </w:r>
      <w:r>
        <w:rPr>
          <w:rFonts w:ascii="宋体" w:hAnsi="宋体" w:cs="宋体"/>
          <w:color w:val="000000" w:themeColor="text1"/>
          <w:kern w:val="0"/>
          <w:sz w:val="24"/>
          <w:highlight w:val="none"/>
          <w14:textFill>
            <w14:solidFill>
              <w14:schemeClr w14:val="tx1"/>
            </w14:solidFill>
          </w14:textFill>
        </w:rPr>
        <w:t>附件十七《工程结算工作协议书》</w:t>
      </w:r>
      <w:r>
        <w:rPr>
          <w:rFonts w:hint="eastAsia" w:ascii="宋体" w:hAnsi="宋体"/>
          <w:color w:val="000000" w:themeColor="text1"/>
          <w:sz w:val="24"/>
          <w:highlight w:val="none"/>
          <w14:textFill>
            <w14:solidFill>
              <w14:schemeClr w14:val="tx1"/>
            </w14:solidFill>
          </w14:textFill>
        </w:rPr>
        <w:t>关于争议的约定处理。</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51" w:name="_Toc4145"/>
      <w:bookmarkStart w:id="1752" w:name="_Toc17609"/>
      <w:bookmarkStart w:id="1753" w:name="_Toc100504353"/>
      <w:bookmarkStart w:id="1754" w:name="_Toc9623"/>
      <w:bookmarkStart w:id="1755" w:name="_Toc354042286"/>
      <w:r>
        <w:rPr>
          <w:rFonts w:eastAsia="宋体" w:cs="Times New Roman"/>
          <w:b/>
          <w:color w:val="000000" w:themeColor="text1"/>
          <w:szCs w:val="24"/>
          <w:highlight w:val="none"/>
          <w14:textFill>
            <w14:solidFill>
              <w14:schemeClr w14:val="tx1"/>
            </w14:solidFill>
          </w14:textFill>
        </w:rPr>
        <w:t>17.6最终结清</w:t>
      </w:r>
      <w:bookmarkEnd w:id="1751"/>
      <w:bookmarkEnd w:id="1752"/>
      <w:bookmarkEnd w:id="1753"/>
      <w:bookmarkEnd w:id="1754"/>
      <w:bookmarkEnd w:id="175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17.6.1</w:t>
      </w:r>
      <w:r>
        <w:rPr>
          <w:rFonts w:hAnsi="宋体"/>
          <w:color w:val="000000" w:themeColor="text1"/>
          <w:sz w:val="24"/>
          <w:highlight w:val="none"/>
          <w14:textFill>
            <w14:solidFill>
              <w14:schemeClr w14:val="tx1"/>
            </w14:solidFill>
          </w14:textFill>
        </w:rPr>
        <w:t>最终结清申请单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承包人提交最终结清申请单的份数：</w:t>
      </w:r>
      <w:r>
        <w:rPr>
          <w:rFonts w:hint="eastAsia"/>
          <w:color w:val="000000" w:themeColor="text1"/>
          <w:sz w:val="24"/>
          <w:highlight w:val="none"/>
          <w:u w:val="single"/>
          <w14:textFill>
            <w14:solidFill>
              <w14:schemeClr w14:val="tx1"/>
            </w14:solidFill>
          </w14:textFill>
        </w:rPr>
        <w:t>按发包人当期规定</w:t>
      </w:r>
      <w:r>
        <w:rPr>
          <w:color w:val="000000" w:themeColor="text1"/>
          <w:sz w:val="24"/>
          <w:highlight w:val="none"/>
          <w:u w:val="singl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承包人提交最终结清申请单的期限：</w:t>
      </w:r>
      <w:r>
        <w:rPr>
          <w:rFonts w:hint="eastAsia"/>
          <w:color w:val="000000" w:themeColor="text1"/>
          <w:sz w:val="24"/>
          <w:highlight w:val="none"/>
          <w:u w:val="single"/>
          <w14:textFill>
            <w14:solidFill>
              <w14:schemeClr w14:val="tx1"/>
            </w14:solidFill>
          </w14:textFill>
        </w:rPr>
        <w:t>按专用合同条款第17.4项要求的期限</w:t>
      </w:r>
      <w:r>
        <w:rPr>
          <w:color w:val="000000" w:themeColor="text1"/>
          <w:sz w:val="24"/>
          <w:highlight w:val="none"/>
          <w:u w:val="single"/>
          <w14:textFill>
            <w14:solidFill>
              <w14:schemeClr w14:val="tx1"/>
            </w14:solidFill>
          </w14:textFill>
        </w:rPr>
        <w:t xml:space="preserve">  。</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756" w:name="_Toc25819"/>
      <w:bookmarkStart w:id="1757" w:name="_Toc100504354"/>
      <w:bookmarkStart w:id="1758" w:name="_Toc8527"/>
      <w:bookmarkStart w:id="1759" w:name="_Toc19853"/>
      <w:bookmarkStart w:id="1760" w:name="_Toc354042287"/>
      <w:r>
        <w:rPr>
          <w:rFonts w:hAnsi="宋体"/>
          <w:b/>
          <w:color w:val="000000" w:themeColor="text1"/>
          <w:sz w:val="24"/>
          <w:highlight w:val="none"/>
          <w14:textFill>
            <w14:solidFill>
              <w14:schemeClr w14:val="tx1"/>
            </w14:solidFill>
          </w14:textFill>
        </w:rPr>
        <w:t>18.</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竣工验收</w:t>
      </w:r>
      <w:bookmarkEnd w:id="1756"/>
      <w:bookmarkEnd w:id="1757"/>
      <w:bookmarkEnd w:id="1758"/>
      <w:bookmarkEnd w:id="1759"/>
      <w:bookmarkEnd w:id="176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61" w:name="_Toc772"/>
      <w:bookmarkStart w:id="1762" w:name="_Toc100504355"/>
      <w:bookmarkStart w:id="1763" w:name="_Toc16187"/>
      <w:bookmarkStart w:id="1764" w:name="_Toc354042288"/>
      <w:bookmarkStart w:id="1765" w:name="_Toc21926"/>
      <w:r>
        <w:rPr>
          <w:rFonts w:eastAsia="宋体" w:cs="Times New Roman"/>
          <w:b/>
          <w:color w:val="000000" w:themeColor="text1"/>
          <w:szCs w:val="24"/>
          <w:highlight w:val="none"/>
          <w14:textFill>
            <w14:solidFill>
              <w14:schemeClr w14:val="tx1"/>
            </w14:solidFill>
          </w14:textFill>
        </w:rPr>
        <w:t>18.2竣工验收申请报告</w:t>
      </w:r>
      <w:bookmarkEnd w:id="1761"/>
      <w:bookmarkEnd w:id="1762"/>
      <w:bookmarkEnd w:id="1763"/>
      <w:bookmarkEnd w:id="1764"/>
      <w:bookmarkEnd w:id="1765"/>
    </w:p>
    <w:p>
      <w:pPr>
        <w:spacing w:line="360" w:lineRule="auto"/>
        <w:ind w:firstLine="48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承包人负责整理和提交的竣工验收资料应当符合工程所在地建设行政主管部门和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城市建设档案管理机构有关施工资料的要求，具体内容包括：</w:t>
      </w:r>
      <w:r>
        <w:rPr>
          <w:rFonts w:hint="eastAsia" w:hAnsi="宋体"/>
          <w:color w:val="000000" w:themeColor="text1"/>
          <w:sz w:val="24"/>
          <w:highlight w:val="none"/>
          <w14:textFill>
            <w14:solidFill>
              <w14:schemeClr w14:val="tx1"/>
            </w14:solidFill>
          </w14:textFill>
        </w:rPr>
        <w:t xml:space="preserve">      </w:t>
      </w:r>
    </w:p>
    <w:p>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承包人在竣工验收后十个工作天内，向发包人提交。竣工备案手续由承包人办理，竣工验收资料须按工程档案管理的有关要求编制成册，竣工图纸应委托设计单位绘制。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竣工验收资料的份数：</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竣工验收资料4套、安全文明施工管理竣工资料2套（按《广州市市政基础设施（水务工程部分）工程档案编制指南》要求编制），竣工验收报告8份、竣工图纸5套、竣工图电子文件光盘2套</w:t>
      </w:r>
      <w:r>
        <w:rPr>
          <w:rFonts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竣工验收资料的费用支付方式：</w:t>
      </w:r>
      <w:r>
        <w:rPr>
          <w:rFonts w:hint="eastAsia"/>
          <w:color w:val="000000" w:themeColor="text1"/>
          <w:sz w:val="24"/>
          <w:highlight w:val="none"/>
          <w:u w:val="single"/>
          <w14:textFill>
            <w14:solidFill>
              <w14:schemeClr w14:val="tx1"/>
            </w14:solidFill>
          </w14:textFill>
        </w:rPr>
        <w:t>制作费用已包含在签约合同价内</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66" w:name="_Toc130"/>
      <w:bookmarkStart w:id="1767" w:name="_Toc354042289"/>
      <w:bookmarkStart w:id="1768" w:name="_Toc19665"/>
      <w:bookmarkStart w:id="1769" w:name="_Toc100504356"/>
      <w:bookmarkStart w:id="1770" w:name="_Toc462"/>
      <w:r>
        <w:rPr>
          <w:rFonts w:eastAsia="宋体" w:cs="Times New Roman"/>
          <w:b/>
          <w:color w:val="000000" w:themeColor="text1"/>
          <w:szCs w:val="24"/>
          <w:highlight w:val="none"/>
          <w14:textFill>
            <w14:solidFill>
              <w14:schemeClr w14:val="tx1"/>
            </w14:solidFill>
          </w14:textFill>
        </w:rPr>
        <w:t>18.3验收</w:t>
      </w:r>
      <w:bookmarkEnd w:id="1766"/>
      <w:bookmarkEnd w:id="1767"/>
      <w:bookmarkEnd w:id="1768"/>
      <w:bookmarkEnd w:id="1769"/>
      <w:bookmarkEnd w:id="1770"/>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18.3.5</w:t>
      </w:r>
      <w:r>
        <w:rPr>
          <w:rFonts w:hAnsi="宋体"/>
          <w:color w:val="000000" w:themeColor="text1"/>
          <w:sz w:val="24"/>
          <w:highlight w:val="none"/>
          <w14:textFill>
            <w14:solidFill>
              <w14:schemeClr w14:val="tx1"/>
            </w14:solidFill>
          </w14:textFill>
        </w:rPr>
        <w:t>经验收合格的工程，实际竣工日期为承包人按照第</w:t>
      </w:r>
      <w:r>
        <w:rPr>
          <w:color w:val="000000" w:themeColor="text1"/>
          <w:sz w:val="24"/>
          <w:highlight w:val="none"/>
          <w14:textFill>
            <w14:solidFill>
              <w14:schemeClr w14:val="tx1"/>
            </w14:solidFill>
          </w14:textFill>
        </w:rPr>
        <w:t>18.2</w:t>
      </w:r>
      <w:r>
        <w:rPr>
          <w:rFonts w:hAnsi="宋体"/>
          <w:color w:val="000000" w:themeColor="text1"/>
          <w:sz w:val="24"/>
          <w:highlight w:val="none"/>
          <w14:textFill>
            <w14:solidFill>
              <w14:schemeClr w14:val="tx1"/>
            </w14:solidFill>
          </w14:textFill>
        </w:rPr>
        <w:t>款提交竣工验收申请报告或按照本款重新提交竣工验收申请报告的日期</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以两者中时间在后者为准</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18.3.7竣工验收标准按国家有关现行工程质量验收标准执行，且验收达到合格等级。</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71" w:name="_Toc354042290"/>
      <w:bookmarkStart w:id="1772" w:name="_Toc25218"/>
      <w:bookmarkStart w:id="1773" w:name="_Toc100504357"/>
      <w:bookmarkStart w:id="1774" w:name="_Toc27492"/>
      <w:bookmarkStart w:id="1775" w:name="_Toc9876"/>
      <w:r>
        <w:rPr>
          <w:rFonts w:eastAsia="宋体" w:cs="Times New Roman"/>
          <w:b/>
          <w:color w:val="000000" w:themeColor="text1"/>
          <w:szCs w:val="24"/>
          <w:highlight w:val="none"/>
          <w14:textFill>
            <w14:solidFill>
              <w14:schemeClr w14:val="tx1"/>
            </w14:solidFill>
          </w14:textFill>
        </w:rPr>
        <w:t>18.5施工期运行</w:t>
      </w:r>
      <w:bookmarkEnd w:id="1771"/>
      <w:bookmarkEnd w:id="1772"/>
      <w:bookmarkEnd w:id="1773"/>
      <w:bookmarkEnd w:id="1774"/>
      <w:bookmarkEnd w:id="1775"/>
    </w:p>
    <w:p>
      <w:pPr>
        <w:spacing w:line="360" w:lineRule="auto"/>
        <w:ind w:firstLine="480" w:firstLineChars="200"/>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18.5.1</w:t>
      </w:r>
      <w:r>
        <w:rPr>
          <w:rFonts w:hAnsi="宋体"/>
          <w:color w:val="000000" w:themeColor="text1"/>
          <w:sz w:val="24"/>
          <w:highlight w:val="none"/>
          <w14:textFill>
            <w14:solidFill>
              <w14:schemeClr w14:val="tx1"/>
            </w14:solidFill>
          </w14:textFill>
        </w:rPr>
        <w:t>需要施工期运行的单位工程或设备安装工程：</w:t>
      </w:r>
      <w:r>
        <w:rPr>
          <w:rFonts w:hint="eastAsia"/>
          <w:color w:val="000000" w:themeColor="text1"/>
          <w:sz w:val="24"/>
          <w:highlight w:val="none"/>
          <w:u w:val="single"/>
          <w14:textFill>
            <w14:solidFill>
              <w14:schemeClr w14:val="tx1"/>
            </w14:solidFill>
          </w14:textFill>
        </w:rPr>
        <w:t>按发包人及监理人的规定</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76" w:name="_Toc2444"/>
      <w:bookmarkStart w:id="1777" w:name="_Toc100504358"/>
      <w:bookmarkStart w:id="1778" w:name="_Toc5075"/>
      <w:bookmarkStart w:id="1779" w:name="_Toc24507"/>
      <w:bookmarkStart w:id="1780" w:name="_Toc354042291"/>
      <w:r>
        <w:rPr>
          <w:rFonts w:eastAsia="宋体" w:cs="Times New Roman"/>
          <w:b/>
          <w:color w:val="000000" w:themeColor="text1"/>
          <w:szCs w:val="24"/>
          <w:highlight w:val="none"/>
          <w14:textFill>
            <w14:solidFill>
              <w14:schemeClr w14:val="tx1"/>
            </w14:solidFill>
          </w14:textFill>
        </w:rPr>
        <w:t>18.6试运行</w:t>
      </w:r>
      <w:bookmarkEnd w:id="1776"/>
      <w:bookmarkEnd w:id="1777"/>
      <w:bookmarkEnd w:id="1778"/>
      <w:bookmarkEnd w:id="1779"/>
      <w:bookmarkEnd w:id="1780"/>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18.6.1</w:t>
      </w:r>
      <w:r>
        <w:rPr>
          <w:rFonts w:hAnsi="宋体"/>
          <w:color w:val="000000" w:themeColor="text1"/>
          <w:sz w:val="24"/>
          <w:highlight w:val="none"/>
          <w14:textFill>
            <w14:solidFill>
              <w14:schemeClr w14:val="tx1"/>
            </w14:solidFill>
          </w14:textFill>
        </w:rPr>
        <w:t>工程及工程设备试运行的组织与费用承担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）工程设备安装具备单机无负荷试运行条件，由承包人组织试运行，费用由承包人承担。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）工程设备安装具备无负荷联动试运行条件，由发包人组织试运行，费用由</w:t>
      </w:r>
      <w:r>
        <w:rPr>
          <w:rFonts w:hint="eastAsia" w:hAnsi="宋体"/>
          <w:color w:val="000000" w:themeColor="text1"/>
          <w:sz w:val="24"/>
          <w:highlight w:val="none"/>
          <w14:textFill>
            <w14:solidFill>
              <w14:schemeClr w14:val="tx1"/>
            </w14:solidFill>
          </w14:textFill>
        </w:rPr>
        <w:t>承包人</w:t>
      </w:r>
      <w:r>
        <w:rPr>
          <w:rFonts w:hAnsi="宋体"/>
          <w:color w:val="000000" w:themeColor="text1"/>
          <w:sz w:val="24"/>
          <w:highlight w:val="none"/>
          <w14:textFill>
            <w14:solidFill>
              <w14:schemeClr w14:val="tx1"/>
            </w14:solidFill>
          </w14:textFill>
        </w:rPr>
        <w:t>承担。</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）投料试运行应在工程竣工验收后由发包人负责，如发包人要求在工程竣工验收前进行或需要承包人配合时，应征得承包人同意，另行签订补充协议。</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81" w:name="_Toc23842"/>
      <w:bookmarkStart w:id="1782" w:name="_Toc28445"/>
      <w:bookmarkStart w:id="1783" w:name="_Toc100504359"/>
      <w:bookmarkStart w:id="1784" w:name="_Toc354042292"/>
      <w:bookmarkStart w:id="1785" w:name="_Toc24454"/>
      <w:r>
        <w:rPr>
          <w:rFonts w:eastAsia="宋体" w:cs="Times New Roman"/>
          <w:b/>
          <w:color w:val="000000" w:themeColor="text1"/>
          <w:szCs w:val="24"/>
          <w:highlight w:val="none"/>
          <w14:textFill>
            <w14:solidFill>
              <w14:schemeClr w14:val="tx1"/>
            </w14:solidFill>
          </w14:textFill>
        </w:rPr>
        <w:t>18.7竣工清场</w:t>
      </w:r>
      <w:bookmarkEnd w:id="1781"/>
      <w:bookmarkEnd w:id="1782"/>
      <w:bookmarkEnd w:id="1783"/>
      <w:bookmarkEnd w:id="1784"/>
      <w:bookmarkEnd w:id="1785"/>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18.7.1</w:t>
      </w:r>
      <w:r>
        <w:rPr>
          <w:rFonts w:hAnsi="宋体"/>
          <w:color w:val="000000" w:themeColor="text1"/>
          <w:sz w:val="24"/>
          <w:highlight w:val="none"/>
          <w14:textFill>
            <w14:solidFill>
              <w14:schemeClr w14:val="tx1"/>
            </w14:solidFill>
          </w14:textFill>
        </w:rPr>
        <w:t>监理人颁发</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出具</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工程接收证书后，承包人负责按照通用合同条款本项约定的要求对施工场地进行清理并承担相关费用，直至监理人检验合格为止。</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86" w:name="_Toc354042293"/>
      <w:bookmarkStart w:id="1787" w:name="_Toc13768"/>
      <w:bookmarkStart w:id="1788" w:name="_Toc10491"/>
      <w:bookmarkStart w:id="1789" w:name="_Toc100504360"/>
      <w:bookmarkStart w:id="1790" w:name="_Toc4009"/>
      <w:r>
        <w:rPr>
          <w:rFonts w:eastAsia="宋体" w:cs="Times New Roman"/>
          <w:b/>
          <w:color w:val="000000" w:themeColor="text1"/>
          <w:szCs w:val="24"/>
          <w:highlight w:val="none"/>
          <w14:textFill>
            <w14:solidFill>
              <w14:schemeClr w14:val="tx1"/>
            </w14:solidFill>
          </w14:textFill>
        </w:rPr>
        <w:t>18.8施工队伍的撤离</w:t>
      </w:r>
      <w:bookmarkEnd w:id="1786"/>
      <w:bookmarkEnd w:id="1787"/>
      <w:bookmarkEnd w:id="1788"/>
      <w:bookmarkEnd w:id="1789"/>
      <w:bookmarkEnd w:id="1790"/>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承包人按照通用合同条款第</w:t>
      </w:r>
      <w:r>
        <w:rPr>
          <w:color w:val="000000" w:themeColor="text1"/>
          <w:sz w:val="24"/>
          <w:highlight w:val="none"/>
          <w14:textFill>
            <w14:solidFill>
              <w14:schemeClr w14:val="tx1"/>
            </w14:solidFill>
          </w14:textFill>
        </w:rPr>
        <w:t>18.8</w:t>
      </w:r>
      <w:r>
        <w:rPr>
          <w:rFonts w:hAnsi="宋体"/>
          <w:color w:val="000000" w:themeColor="text1"/>
          <w:sz w:val="24"/>
          <w:highlight w:val="none"/>
          <w14:textFill>
            <w14:solidFill>
              <w14:schemeClr w14:val="tx1"/>
            </w14:solidFill>
          </w14:textFill>
        </w:rPr>
        <w:t>款约定撤离施工场地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现场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时，监理人和承包人应当办理永久工程和施工场地移交手续，移交手续以书面方式出具，并分别经过发包人、监理人和承包人的签认。但是，监理人和发包人未按专用合同条款</w:t>
      </w:r>
      <w:r>
        <w:rPr>
          <w:color w:val="000000" w:themeColor="text1"/>
          <w:sz w:val="24"/>
          <w:highlight w:val="none"/>
          <w14:textFill>
            <w14:solidFill>
              <w14:schemeClr w14:val="tx1"/>
            </w14:solidFill>
          </w14:textFill>
        </w:rPr>
        <w:t>17.5.1</w:t>
      </w:r>
      <w:r>
        <w:rPr>
          <w:rFonts w:hAnsi="宋体"/>
          <w:color w:val="000000" w:themeColor="text1"/>
          <w:sz w:val="24"/>
          <w:highlight w:val="none"/>
          <w14:textFill>
            <w14:solidFill>
              <w14:schemeClr w14:val="tx1"/>
            </w14:solidFill>
          </w14:textFill>
        </w:rPr>
        <w:t>项约定的期限办清竣工结算和竣工付款的，本工程不得交付使用，发包人和监理人也无权要求承包人按合同约定的期限撤离施工场地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现场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和办理工程移交手续。</w:t>
      </w:r>
    </w:p>
    <w:p>
      <w:pPr>
        <w:spacing w:line="360" w:lineRule="auto"/>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缺陷责任期满时，承包人可以继续在施工场地保留的人员和施工设备以及最终撤离的期限：</w:t>
      </w:r>
      <w:r>
        <w:rPr>
          <w:rFonts w:hAnsi="宋体"/>
          <w:color w:val="000000" w:themeColor="text1"/>
          <w:sz w:val="24"/>
          <w:highlight w:val="none"/>
          <w:u w:val="single"/>
          <w14:textFill>
            <w14:solidFill>
              <w14:schemeClr w14:val="tx1"/>
            </w14:solidFill>
          </w14:textFill>
        </w:rPr>
        <w:t>缺陷责任期满</w:t>
      </w:r>
      <w:r>
        <w:rPr>
          <w:rFonts w:hint="eastAsia" w:hAnsi="宋体"/>
          <w:color w:val="000000" w:themeColor="text1"/>
          <w:sz w:val="24"/>
          <w:highlight w:val="none"/>
          <w:u w:val="single"/>
          <w14:textFill>
            <w14:solidFill>
              <w14:schemeClr w14:val="tx1"/>
            </w14:solidFill>
          </w14:textFill>
        </w:rPr>
        <w:t xml:space="preserve">之日起10个日历天内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791" w:name="_Toc28414"/>
      <w:bookmarkStart w:id="1792" w:name="_Toc354042294"/>
      <w:bookmarkStart w:id="1793" w:name="_Toc5876"/>
      <w:bookmarkStart w:id="1794" w:name="_Toc100504361"/>
      <w:bookmarkStart w:id="1795" w:name="_Toc31652"/>
      <w:r>
        <w:rPr>
          <w:rFonts w:eastAsia="宋体" w:cs="Times New Roman"/>
          <w:b/>
          <w:color w:val="000000" w:themeColor="text1"/>
          <w:szCs w:val="24"/>
          <w:highlight w:val="none"/>
          <w14:textFill>
            <w14:solidFill>
              <w14:schemeClr w14:val="tx1"/>
            </w14:solidFill>
          </w14:textFill>
        </w:rPr>
        <w:t>18.9中间验收</w:t>
      </w:r>
      <w:bookmarkEnd w:id="1791"/>
      <w:bookmarkEnd w:id="1792"/>
      <w:bookmarkEnd w:id="1793"/>
      <w:bookmarkEnd w:id="1794"/>
      <w:bookmarkEnd w:id="1795"/>
    </w:p>
    <w:p>
      <w:pPr>
        <w:spacing w:line="360" w:lineRule="auto"/>
        <w:ind w:firstLine="480" w:firstLineChars="200"/>
        <w:rPr>
          <w:rFonts w:hAnsi="宋体"/>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本工程需要进行中间验收的部位如下：隐蔽工程项目</w:t>
      </w:r>
      <w:r>
        <w:rPr>
          <w:rFonts w:hint="eastAsia" w:hAnsi="宋体"/>
          <w:color w:val="000000" w:themeColor="text1"/>
          <w:sz w:val="24"/>
          <w:highlight w:val="non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当工程进度达到本款约定的中间验收部位时，承包人应当进行自检，并在中间验收前</w:t>
      </w:r>
      <w:r>
        <w:rPr>
          <w:color w:val="000000" w:themeColor="text1"/>
          <w:sz w:val="24"/>
          <w:highlight w:val="none"/>
          <w14:textFill>
            <w14:solidFill>
              <w14:schemeClr w14:val="tx1"/>
            </w14:solidFill>
          </w14:textFill>
        </w:rPr>
        <w:t>48</w:t>
      </w:r>
      <w:r>
        <w:rPr>
          <w:rFonts w:hAnsi="宋体"/>
          <w:color w:val="000000" w:themeColor="text1"/>
          <w:sz w:val="24"/>
          <w:highlight w:val="none"/>
          <w14:textFill>
            <w14:solidFill>
              <w14:schemeClr w14:val="tx1"/>
            </w14:solidFill>
          </w14:textFill>
        </w:rPr>
        <w:t>小时以书面形式通知监理人验收。书面通知应包括中间验收的内容、验收时间和地点。承包人应当准备验收记录。只有监理人验收合格并在验收记录上签字后，承包人方可继续施工。验收不合格的，承包人在</w:t>
      </w:r>
      <w:r>
        <w:rPr>
          <w:color w:val="000000" w:themeColor="text1"/>
          <w:sz w:val="24"/>
          <w:highlight w:val="non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2个日历天内</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期限内进行修改后重新验收。</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监理人不能按时进行验收的，应在验收前</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小时以书面形式向承包人提出延期要求，延期不能超过</w:t>
      </w:r>
      <w:r>
        <w:rPr>
          <w:color w:val="000000" w:themeColor="text1"/>
          <w:sz w:val="24"/>
          <w:highlight w:val="none"/>
          <w14:textFill>
            <w14:solidFill>
              <w14:schemeClr w14:val="tx1"/>
            </w14:solidFill>
          </w14:textFill>
        </w:rPr>
        <w:t>48</w:t>
      </w:r>
      <w:r>
        <w:rPr>
          <w:rFonts w:hAnsi="宋体"/>
          <w:color w:val="000000" w:themeColor="text1"/>
          <w:sz w:val="24"/>
          <w:highlight w:val="none"/>
          <w14:textFill>
            <w14:solidFill>
              <w14:schemeClr w14:val="tx1"/>
            </w14:solidFill>
          </w14:textFill>
        </w:rPr>
        <w:t>小时。监理人未能按本款约定的时限提出延期要求，又未按期进行验收的，承包人可自行组织验收，监理人必须认同验收记录。</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经监理人验收后工程质量符合约定的验收标准，但验收</w:t>
      </w: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小时后监理人仍不在验收记录上签字的，视为监理人已经认可验收记录，承包人可继续施工。</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796" w:name="_Toc17782"/>
      <w:bookmarkStart w:id="1797" w:name="_Toc100504362"/>
      <w:bookmarkStart w:id="1798" w:name="_Toc22794"/>
      <w:bookmarkStart w:id="1799" w:name="_Toc354042295"/>
      <w:bookmarkStart w:id="1800" w:name="_Toc785"/>
      <w:r>
        <w:rPr>
          <w:rFonts w:hAnsi="宋体"/>
          <w:b/>
          <w:color w:val="000000" w:themeColor="text1"/>
          <w:sz w:val="24"/>
          <w:highlight w:val="none"/>
          <w14:textFill>
            <w14:solidFill>
              <w14:schemeClr w14:val="tx1"/>
            </w14:solidFill>
          </w14:textFill>
        </w:rPr>
        <w:t>19.</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缺陷责任与保修责任</w:t>
      </w:r>
      <w:bookmarkEnd w:id="1796"/>
      <w:bookmarkEnd w:id="1797"/>
      <w:bookmarkEnd w:id="1798"/>
      <w:bookmarkEnd w:id="1799"/>
      <w:bookmarkEnd w:id="180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01" w:name="_Toc100504363"/>
      <w:bookmarkStart w:id="1802" w:name="_Toc11564"/>
      <w:bookmarkStart w:id="1803" w:name="_Toc11773"/>
      <w:bookmarkStart w:id="1804" w:name="_Toc22932"/>
      <w:bookmarkStart w:id="1805" w:name="_Toc354042296"/>
      <w:r>
        <w:rPr>
          <w:rFonts w:eastAsia="宋体" w:cs="Times New Roman"/>
          <w:b/>
          <w:color w:val="000000" w:themeColor="text1"/>
          <w:szCs w:val="24"/>
          <w:highlight w:val="none"/>
          <w14:textFill>
            <w14:solidFill>
              <w14:schemeClr w14:val="tx1"/>
            </w14:solidFill>
          </w14:textFill>
        </w:rPr>
        <w:t>19.7保修责任</w:t>
      </w:r>
      <w:bookmarkEnd w:id="1801"/>
      <w:bookmarkEnd w:id="1802"/>
      <w:bookmarkEnd w:id="1803"/>
      <w:bookmarkEnd w:id="1804"/>
      <w:bookmarkEnd w:id="1805"/>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工程质量保修范围：</w:t>
      </w:r>
      <w:r>
        <w:rPr>
          <w:rFonts w:hint="eastAsia" w:hAnsi="宋体"/>
          <w:color w:val="000000" w:themeColor="text1"/>
          <w:sz w:val="24"/>
          <w:highlight w:val="none"/>
          <w:u w:val="single"/>
          <w14:textFill>
            <w14:solidFill>
              <w14:schemeClr w14:val="tx1"/>
            </w14:solidFill>
          </w14:textFill>
        </w:rPr>
        <w:t>见本合同附件五《</w:t>
      </w:r>
      <w:r>
        <w:rPr>
          <w:rFonts w:hAnsi="宋体"/>
          <w:color w:val="000000" w:themeColor="text1"/>
          <w:sz w:val="24"/>
          <w:highlight w:val="none"/>
          <w:u w:val="single"/>
          <w14:textFill>
            <w14:solidFill>
              <w14:schemeClr w14:val="tx1"/>
            </w14:solidFill>
          </w14:textFill>
        </w:rPr>
        <w:t>质量保修书</w:t>
      </w:r>
      <w:r>
        <w:rPr>
          <w:rFonts w:hint="eastAsia"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Ansi="宋体"/>
          <w:color w:val="000000" w:themeColor="text1"/>
          <w:sz w:val="24"/>
          <w:highlight w:val="none"/>
          <w14:textFill>
            <w14:solidFill>
              <w14:schemeClr w14:val="tx1"/>
            </w14:solidFill>
          </w14:textFill>
        </w:rPr>
        <w:t>工程质量保修期限：</w:t>
      </w:r>
      <w:r>
        <w:rPr>
          <w:rFonts w:hint="eastAsia" w:hAnsi="宋体"/>
          <w:color w:val="000000" w:themeColor="text1"/>
          <w:sz w:val="24"/>
          <w:highlight w:val="none"/>
          <w:u w:val="single"/>
          <w14:textFill>
            <w14:solidFill>
              <w14:schemeClr w14:val="tx1"/>
            </w14:solidFill>
          </w14:textFill>
        </w:rPr>
        <w:t>见本合同附件五《</w:t>
      </w:r>
      <w:r>
        <w:rPr>
          <w:rFonts w:hAnsi="宋体"/>
          <w:color w:val="000000" w:themeColor="text1"/>
          <w:sz w:val="24"/>
          <w:highlight w:val="none"/>
          <w:u w:val="single"/>
          <w14:textFill>
            <w14:solidFill>
              <w14:schemeClr w14:val="tx1"/>
            </w14:solidFill>
          </w14:textFill>
        </w:rPr>
        <w:t>质量保修书</w:t>
      </w:r>
      <w:r>
        <w:rPr>
          <w:rFonts w:hint="eastAsia" w:hAnsi="宋体"/>
          <w:color w:val="000000" w:themeColor="text1"/>
          <w:sz w:val="24"/>
          <w:highlight w:val="none"/>
          <w:u w:val="single"/>
          <w14:textFill>
            <w14:solidFill>
              <w14:schemeClr w14:val="tx1"/>
            </w14:solidFill>
          </w14:textFill>
        </w:rPr>
        <w:t>》。</w:t>
      </w:r>
    </w:p>
    <w:p>
      <w:pPr>
        <w:spacing w:line="360" w:lineRule="auto"/>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Ansi="宋体"/>
          <w:color w:val="000000" w:themeColor="text1"/>
          <w:sz w:val="24"/>
          <w:highlight w:val="none"/>
          <w14:textFill>
            <w14:solidFill>
              <w14:schemeClr w14:val="tx1"/>
            </w14:solidFill>
          </w14:textFill>
        </w:rPr>
        <w:t>工程质量保修责任：</w:t>
      </w:r>
      <w:r>
        <w:rPr>
          <w:rFonts w:hint="eastAsia" w:hAnsi="宋体"/>
          <w:color w:val="000000" w:themeColor="text1"/>
          <w:sz w:val="24"/>
          <w:highlight w:val="none"/>
          <w:u w:val="single"/>
          <w14:textFill>
            <w14:solidFill>
              <w14:schemeClr w14:val="tx1"/>
            </w14:solidFill>
          </w14:textFill>
        </w:rPr>
        <w:t>见本合同附件五《</w:t>
      </w:r>
      <w:r>
        <w:rPr>
          <w:rFonts w:hAnsi="宋体"/>
          <w:color w:val="000000" w:themeColor="text1"/>
          <w:sz w:val="24"/>
          <w:highlight w:val="none"/>
          <w:u w:val="single"/>
          <w14:textFill>
            <w14:solidFill>
              <w14:schemeClr w14:val="tx1"/>
            </w14:solidFill>
          </w14:textFill>
        </w:rPr>
        <w:t>质量保修书</w:t>
      </w:r>
      <w:r>
        <w:rPr>
          <w:rFonts w:hint="eastAsia"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质量保修书是竣工验收申请报告的组成内容。承包人应当按照有关法律法规规定和合同所附的格式出具质量保修书，质量保修书的主要内容应当与本款上述约定内容一致。承包人在递交合同条款第</w:t>
      </w:r>
      <w:r>
        <w:rPr>
          <w:color w:val="000000" w:themeColor="text1"/>
          <w:sz w:val="24"/>
          <w:highlight w:val="none"/>
          <w14:textFill>
            <w14:solidFill>
              <w14:schemeClr w14:val="tx1"/>
            </w14:solidFill>
          </w14:textFill>
        </w:rPr>
        <w:t>18.2</w:t>
      </w:r>
      <w:r>
        <w:rPr>
          <w:rFonts w:hAnsi="宋体"/>
          <w:color w:val="000000" w:themeColor="text1"/>
          <w:sz w:val="24"/>
          <w:highlight w:val="none"/>
          <w14:textFill>
            <w14:solidFill>
              <w14:schemeClr w14:val="tx1"/>
            </w14:solidFill>
          </w14:textFill>
        </w:rPr>
        <w:t>款约定的竣工验收报告的同时，将质量保修书一并报送监理人。</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806" w:name="_Toc14295"/>
      <w:bookmarkStart w:id="1807" w:name="_Toc100504364"/>
      <w:bookmarkStart w:id="1808" w:name="_Toc354042297"/>
      <w:bookmarkStart w:id="1809" w:name="_Toc27467"/>
      <w:bookmarkStart w:id="1810" w:name="_Toc16391"/>
      <w:r>
        <w:rPr>
          <w:rFonts w:hAnsi="宋体"/>
          <w:b/>
          <w:color w:val="000000" w:themeColor="text1"/>
          <w:sz w:val="24"/>
          <w:highlight w:val="none"/>
          <w14:textFill>
            <w14:solidFill>
              <w14:schemeClr w14:val="tx1"/>
            </w14:solidFill>
          </w14:textFill>
        </w:rPr>
        <w:t>20.</w:t>
      </w:r>
      <w:r>
        <w:rPr>
          <w:rFonts w:hint="eastAsia"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t>保险</w:t>
      </w:r>
      <w:bookmarkEnd w:id="1806"/>
      <w:bookmarkEnd w:id="1807"/>
      <w:bookmarkEnd w:id="1808"/>
      <w:bookmarkEnd w:id="1809"/>
      <w:bookmarkEnd w:id="1810"/>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11" w:name="_Toc12414"/>
      <w:bookmarkStart w:id="1812" w:name="_Toc354042298"/>
      <w:bookmarkStart w:id="1813" w:name="_Toc13340"/>
      <w:bookmarkStart w:id="1814" w:name="_Toc27050"/>
      <w:bookmarkStart w:id="1815" w:name="_Toc100504365"/>
      <w:r>
        <w:rPr>
          <w:rFonts w:eastAsia="宋体" w:cs="Times New Roman"/>
          <w:b/>
          <w:color w:val="000000" w:themeColor="text1"/>
          <w:szCs w:val="24"/>
          <w:highlight w:val="none"/>
          <w14:textFill>
            <w14:solidFill>
              <w14:schemeClr w14:val="tx1"/>
            </w14:solidFill>
          </w14:textFill>
        </w:rPr>
        <w:t>20.1工程保险</w:t>
      </w:r>
      <w:bookmarkEnd w:id="1811"/>
      <w:bookmarkEnd w:id="1812"/>
      <w:bookmarkEnd w:id="1813"/>
      <w:bookmarkEnd w:id="1814"/>
      <w:bookmarkEnd w:id="1815"/>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本工程双方约定投保内容如下：</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（1）发包人投保内容：</w:t>
      </w:r>
      <w:r>
        <w:rPr>
          <w:rFonts w:hint="eastAsia" w:hAnsi="宋体"/>
          <w:color w:val="000000" w:themeColor="text1"/>
          <w:sz w:val="24"/>
          <w:highlight w:val="none"/>
          <w:u w:val="single"/>
          <w14:textFill>
            <w14:solidFill>
              <w14:schemeClr w14:val="tx1"/>
            </w14:solidFill>
          </w14:textFill>
        </w:rPr>
        <w:t>已委托承包人投保。</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发包人委托承包人办理保险事项：</w:t>
      </w:r>
      <w:r>
        <w:rPr>
          <w:rFonts w:hint="eastAsia" w:hAnsi="宋体"/>
          <w:color w:val="000000" w:themeColor="text1"/>
          <w:sz w:val="24"/>
          <w:highlight w:val="none"/>
          <w:u w:val="single"/>
          <w14:textFill>
            <w14:solidFill>
              <w14:schemeClr w14:val="tx1"/>
            </w14:solidFill>
          </w14:textFill>
        </w:rPr>
        <w:t xml:space="preserve"> 按通用条款第20项所列投保内容。</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（2）承包人投保内容：</w:t>
      </w:r>
      <w:r>
        <w:rPr>
          <w:rFonts w:hint="eastAsia" w:hAnsi="宋体"/>
          <w:color w:val="000000" w:themeColor="text1"/>
          <w:sz w:val="24"/>
          <w:highlight w:val="none"/>
          <w:u w:val="single"/>
          <w14:textFill>
            <w14:solidFill>
              <w14:schemeClr w14:val="tx1"/>
            </w14:solidFill>
          </w14:textFill>
        </w:rPr>
        <w:t>按通用条款第20项所列投保内容投保。</w:t>
      </w:r>
    </w:p>
    <w:p>
      <w:pPr>
        <w:spacing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保险费用由承包人承担并包含在签约合同价内，承包人必须在开工前把投保单送发包人备案，否</w:t>
      </w:r>
      <w:r>
        <w:rPr>
          <w:rFonts w:hint="eastAsia" w:ascii="宋体" w:hAnsi="宋体"/>
          <w:color w:val="000000" w:themeColor="text1"/>
          <w:sz w:val="24"/>
          <w:highlight w:val="none"/>
          <w14:textFill>
            <w14:solidFill>
              <w14:schemeClr w14:val="tx1"/>
            </w14:solidFill>
          </w14:textFill>
        </w:rPr>
        <w:t>则不得开工，工期不予顺延。</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16" w:name="_Toc22800"/>
      <w:bookmarkStart w:id="1817" w:name="_Toc100504366"/>
      <w:bookmarkStart w:id="1818" w:name="_Toc7379"/>
      <w:bookmarkStart w:id="1819" w:name="_Toc354042299"/>
      <w:bookmarkStart w:id="1820" w:name="_Toc26285"/>
      <w:r>
        <w:rPr>
          <w:rFonts w:eastAsia="宋体" w:cs="Times New Roman"/>
          <w:b/>
          <w:color w:val="000000" w:themeColor="text1"/>
          <w:szCs w:val="24"/>
          <w:highlight w:val="none"/>
          <w14:textFill>
            <w14:solidFill>
              <w14:schemeClr w14:val="tx1"/>
            </w14:solidFill>
          </w14:textFill>
        </w:rPr>
        <w:t>20.4第三者责任险</w:t>
      </w:r>
      <w:bookmarkEnd w:id="1816"/>
      <w:bookmarkEnd w:id="1817"/>
      <w:bookmarkEnd w:id="1818"/>
      <w:bookmarkEnd w:id="1819"/>
      <w:bookmarkEnd w:id="1820"/>
    </w:p>
    <w:p>
      <w:pPr>
        <w:spacing w:line="360" w:lineRule="auto"/>
        <w:ind w:left="479" w:leftChars="228"/>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20.4.2</w:t>
      </w:r>
      <w:r>
        <w:rPr>
          <w:rFonts w:hAnsi="宋体"/>
          <w:color w:val="000000" w:themeColor="text1"/>
          <w:sz w:val="24"/>
          <w:highlight w:val="none"/>
          <w14:textFill>
            <w14:solidFill>
              <w14:schemeClr w14:val="tx1"/>
            </w14:solidFill>
          </w14:textFill>
        </w:rPr>
        <w:t>保险金额：</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w:t>
      </w:r>
      <w:r>
        <w:rPr>
          <w:rFonts w:hAnsi="宋体"/>
          <w:color w:val="000000" w:themeColor="text1"/>
          <w:sz w:val="24"/>
          <w:highlight w:val="none"/>
          <w:u w:val="single"/>
          <w14:textFill>
            <w14:solidFill>
              <w14:schemeClr w14:val="tx1"/>
            </w14:solidFill>
          </w14:textFill>
        </w:rPr>
        <w:t>保险费率由承包人与发包人同意的保险人商定，相关保险费由</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承包人</w:t>
      </w:r>
      <w:r>
        <w:rPr>
          <w:rFonts w:hAnsi="宋体"/>
          <w:color w:val="000000" w:themeColor="text1"/>
          <w:sz w:val="24"/>
          <w:highlight w:val="none"/>
          <w:u w:val="single"/>
          <w14:textFill>
            <w14:solidFill>
              <w14:schemeClr w14:val="tx1"/>
            </w14:solidFill>
          </w14:textFill>
        </w:rPr>
        <w:t>承担。</w:t>
      </w:r>
    </w:p>
    <w:p>
      <w:pPr>
        <w:pStyle w:val="67"/>
        <w:keepNext w:val="0"/>
        <w:keepLines w:val="0"/>
        <w:spacing w:before="72" w:beforeLines="30" w:line="360" w:lineRule="auto"/>
        <w:rPr>
          <w:rFonts w:hint="eastAsia" w:eastAsia="宋体" w:cs="Times New Roman"/>
          <w:b/>
          <w:color w:val="000000" w:themeColor="text1"/>
          <w:szCs w:val="24"/>
          <w:highlight w:val="none"/>
          <w14:textFill>
            <w14:solidFill>
              <w14:schemeClr w14:val="tx1"/>
            </w14:solidFill>
          </w14:textFill>
        </w:rPr>
      </w:pPr>
      <w:bookmarkStart w:id="1821" w:name="_Toc354042300"/>
      <w:bookmarkStart w:id="1822" w:name="_Toc100504367"/>
      <w:bookmarkStart w:id="1823" w:name="_Toc31790"/>
      <w:bookmarkStart w:id="1824" w:name="_Toc12614"/>
      <w:bookmarkStart w:id="1825" w:name="_Toc14948"/>
      <w:r>
        <w:rPr>
          <w:rFonts w:eastAsia="宋体" w:cs="Times New Roman"/>
          <w:b/>
          <w:color w:val="000000" w:themeColor="text1"/>
          <w:szCs w:val="24"/>
          <w:highlight w:val="none"/>
          <w14:textFill>
            <w14:solidFill>
              <w14:schemeClr w14:val="tx1"/>
            </w14:solidFill>
          </w14:textFill>
        </w:rPr>
        <w:t>20.5其他保险</w:t>
      </w:r>
      <w:bookmarkEnd w:id="1821"/>
      <w:bookmarkEnd w:id="1822"/>
      <w:bookmarkEnd w:id="1823"/>
      <w:bookmarkEnd w:id="1824"/>
      <w:bookmarkEnd w:id="1825"/>
    </w:p>
    <w:p>
      <w:pPr>
        <w:spacing w:line="360" w:lineRule="auto"/>
        <w:ind w:firstLine="480" w:firstLineChars="200"/>
        <w:rPr>
          <w:rFonts w:hAnsi="宋体"/>
          <w:color w:val="000000" w:themeColor="text1"/>
          <w:sz w:val="24"/>
          <w:highlight w:val="none"/>
          <w:u w:val="single"/>
          <w14:textFill>
            <w14:solidFill>
              <w14:schemeClr w14:val="tx1"/>
            </w14:solidFill>
          </w14:textFill>
        </w:rPr>
      </w:pPr>
      <w:r>
        <w:rPr>
          <w:rFonts w:hAnsi="宋体"/>
          <w:color w:val="000000" w:themeColor="text1"/>
          <w:sz w:val="24"/>
          <w:highlight w:val="none"/>
          <w14:textFill>
            <w14:solidFill>
              <w14:schemeClr w14:val="tx1"/>
            </w14:solidFill>
          </w14:textFill>
        </w:rPr>
        <w:t>承包人应为其施工设备、进场材料和工程设备等办理的保险：</w:t>
      </w:r>
      <w:r>
        <w:rPr>
          <w:rFonts w:hint="eastAsia" w:hAnsi="宋体"/>
          <w:color w:val="000000" w:themeColor="text1"/>
          <w:sz w:val="24"/>
          <w:highlight w:val="none"/>
          <w:u w:val="single"/>
          <w14:textFill>
            <w14:solidFill>
              <w14:schemeClr w14:val="tx1"/>
            </w14:solidFill>
          </w14:textFill>
        </w:rPr>
        <w:t>费用已包含在签约合同价中</w:t>
      </w:r>
      <w:r>
        <w:rPr>
          <w:rFonts w:hAnsi="宋体"/>
          <w:color w:val="000000" w:themeColor="text1"/>
          <w:sz w:val="24"/>
          <w:highlight w:val="none"/>
          <w:u w:val="singl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26" w:name="_Toc837"/>
      <w:bookmarkStart w:id="1827" w:name="_Toc1455"/>
      <w:bookmarkStart w:id="1828" w:name="_Toc32525"/>
      <w:bookmarkStart w:id="1829" w:name="_Toc354042301"/>
      <w:bookmarkStart w:id="1830" w:name="_Toc100504368"/>
      <w:r>
        <w:rPr>
          <w:rFonts w:eastAsia="宋体" w:cs="Times New Roman"/>
          <w:b/>
          <w:color w:val="000000" w:themeColor="text1"/>
          <w:szCs w:val="24"/>
          <w:highlight w:val="none"/>
          <w14:textFill>
            <w14:solidFill>
              <w14:schemeClr w14:val="tx1"/>
            </w14:solidFill>
          </w14:textFill>
        </w:rPr>
        <w:t>20.6对各项保险的一般要求</w:t>
      </w:r>
      <w:bookmarkEnd w:id="1826"/>
      <w:bookmarkEnd w:id="1827"/>
      <w:bookmarkEnd w:id="1828"/>
      <w:bookmarkEnd w:id="1829"/>
      <w:bookmarkEnd w:id="1830"/>
    </w:p>
    <w:p>
      <w:pPr>
        <w:spacing w:line="360" w:lineRule="auto"/>
        <w:ind w:firstLine="480" w:firstLineChars="200"/>
        <w:outlineLvl w:val="0"/>
        <w:rPr>
          <w:color w:val="000000" w:themeColor="text1"/>
          <w:sz w:val="24"/>
          <w:highlight w:val="none"/>
          <w14:textFill>
            <w14:solidFill>
              <w14:schemeClr w14:val="tx1"/>
            </w14:solidFill>
          </w14:textFill>
        </w:rPr>
      </w:pPr>
      <w:bookmarkStart w:id="1831" w:name="_Toc353466382"/>
      <w:bookmarkStart w:id="1832" w:name="_Toc19509"/>
      <w:bookmarkStart w:id="1833" w:name="_Toc30314"/>
      <w:bookmarkStart w:id="1834" w:name="_Toc354042302"/>
      <w:bookmarkStart w:id="1835" w:name="_Toc12598"/>
      <w:bookmarkStart w:id="1836" w:name="_Toc100504369"/>
      <w:r>
        <w:rPr>
          <w:color w:val="000000" w:themeColor="text1"/>
          <w:sz w:val="24"/>
          <w:highlight w:val="none"/>
          <w14:textFill>
            <w14:solidFill>
              <w14:schemeClr w14:val="tx1"/>
            </w14:solidFill>
          </w14:textFill>
        </w:rPr>
        <w:t>20.6.1</w:t>
      </w:r>
      <w:r>
        <w:rPr>
          <w:rFonts w:hAnsi="宋体"/>
          <w:color w:val="000000" w:themeColor="text1"/>
          <w:sz w:val="24"/>
          <w:highlight w:val="none"/>
          <w14:textFill>
            <w14:solidFill>
              <w14:schemeClr w14:val="tx1"/>
            </w14:solidFill>
          </w14:textFill>
        </w:rPr>
        <w:t>保险凭证</w:t>
      </w:r>
      <w:bookmarkEnd w:id="1831"/>
      <w:bookmarkEnd w:id="1832"/>
      <w:bookmarkEnd w:id="1833"/>
      <w:bookmarkEnd w:id="1834"/>
      <w:bookmarkEnd w:id="1835"/>
      <w:bookmarkEnd w:id="1836"/>
    </w:p>
    <w:p>
      <w:pPr>
        <w:spacing w:line="360" w:lineRule="auto"/>
        <w:rPr>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承包人向发包人提交各项保险生效的证据和保险单副本的期限：</w:t>
      </w:r>
      <w:r>
        <w:rPr>
          <w:rFonts w:hint="eastAsia"/>
          <w:color w:val="000000" w:themeColor="text1"/>
          <w:sz w:val="24"/>
          <w:highlight w:val="none"/>
          <w:u w:val="single"/>
          <w14:textFill>
            <w14:solidFill>
              <w14:schemeClr w14:val="tx1"/>
            </w14:solidFill>
          </w14:textFill>
        </w:rPr>
        <w:t xml:space="preserve">按发包人对请款资料的要求及其他相关规定   </w:t>
      </w:r>
      <w:r>
        <w:rPr>
          <w:rFonts w:hAnsi="宋体"/>
          <w:color w:val="000000" w:themeColor="text1"/>
          <w:sz w:val="24"/>
          <w:highlight w:val="none"/>
          <w:u w:val="single"/>
          <w14:textFill>
            <w14:solidFill>
              <w14:schemeClr w14:val="tx1"/>
            </w14:solidFill>
          </w14:textFill>
        </w:rPr>
        <w:t>。</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20.6.4</w:t>
      </w:r>
      <w:r>
        <w:rPr>
          <w:rFonts w:hAnsi="宋体"/>
          <w:color w:val="000000" w:themeColor="text1"/>
          <w:sz w:val="24"/>
          <w:highlight w:val="none"/>
          <w14:textFill>
            <w14:solidFill>
              <w14:schemeClr w14:val="tx1"/>
            </w14:solidFill>
          </w14:textFill>
        </w:rPr>
        <w:t>保险金不足的补偿</w:t>
      </w:r>
    </w:p>
    <w:p>
      <w:pPr>
        <w:spacing w:line="360" w:lineRule="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保险金不足以补偿损失时，承包人和发包人负责补偿的责任分摊</w:t>
      </w:r>
      <w:r>
        <w:rPr>
          <w:rFonts w:hint="eastAsia" w:hAnsi="宋体"/>
          <w:color w:val="000000" w:themeColor="text1"/>
          <w:sz w:val="24"/>
          <w:highlight w:val="none"/>
          <w14:textFill>
            <w14:solidFill>
              <w14:schemeClr w14:val="tx1"/>
            </w14:solidFill>
          </w14:textFill>
        </w:rPr>
        <w:t>：</w:t>
      </w:r>
      <w:r>
        <w:rPr>
          <w:rFonts w:hint="eastAsia" w:hAnsi="宋体"/>
          <w:color w:val="000000" w:themeColor="text1"/>
          <w:sz w:val="24"/>
          <w:highlight w:val="none"/>
          <w:u w:val="single"/>
          <w14:textFill>
            <w14:solidFill>
              <w14:schemeClr w14:val="tx1"/>
            </w14:solidFill>
          </w14:textFill>
        </w:rPr>
        <w:t>由承包人承担</w:t>
      </w:r>
      <w:r>
        <w:rPr>
          <w:rFonts w:hAnsi="宋体"/>
          <w:color w:val="000000" w:themeColor="text1"/>
          <w:sz w:val="24"/>
          <w:highlight w:val="none"/>
          <w:u w:val="single"/>
          <w14:textFill>
            <w14:solidFill>
              <w14:schemeClr w14:val="tx1"/>
            </w14:solidFill>
          </w14:textFill>
        </w:rPr>
        <w:t>。</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837" w:name="_Toc100504370"/>
      <w:bookmarkStart w:id="1838" w:name="_Toc10289"/>
      <w:bookmarkStart w:id="1839" w:name="_Toc31376"/>
      <w:bookmarkStart w:id="1840" w:name="_Toc354042303"/>
      <w:bookmarkStart w:id="1841" w:name="_Toc11294"/>
      <w:r>
        <w:rPr>
          <w:rFonts w:hAnsi="宋体"/>
          <w:b/>
          <w:color w:val="000000" w:themeColor="text1"/>
          <w:sz w:val="24"/>
          <w:highlight w:val="none"/>
          <w14:textFill>
            <w14:solidFill>
              <w14:schemeClr w14:val="tx1"/>
            </w14:solidFill>
          </w14:textFill>
        </w:rPr>
        <w:t>21.不可抗力</w:t>
      </w:r>
      <w:bookmarkEnd w:id="1837"/>
      <w:bookmarkEnd w:id="1838"/>
      <w:bookmarkEnd w:id="1839"/>
      <w:bookmarkEnd w:id="1840"/>
      <w:bookmarkEnd w:id="1841"/>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42" w:name="_Toc100504371"/>
      <w:bookmarkStart w:id="1843" w:name="_Toc559"/>
      <w:bookmarkStart w:id="1844" w:name="_Toc354042304"/>
      <w:bookmarkStart w:id="1845" w:name="_Toc7721"/>
      <w:bookmarkStart w:id="1846" w:name="_Toc16524"/>
      <w:r>
        <w:rPr>
          <w:rFonts w:eastAsia="宋体" w:cs="Times New Roman"/>
          <w:b/>
          <w:color w:val="000000" w:themeColor="text1"/>
          <w:szCs w:val="24"/>
          <w:highlight w:val="none"/>
          <w14:textFill>
            <w14:solidFill>
              <w14:schemeClr w14:val="tx1"/>
            </w14:solidFill>
          </w14:textFill>
        </w:rPr>
        <w:t>21.1不可抗力的确认</w:t>
      </w:r>
      <w:bookmarkEnd w:id="1842"/>
      <w:bookmarkEnd w:id="1843"/>
      <w:bookmarkEnd w:id="1844"/>
      <w:bookmarkEnd w:id="1845"/>
      <w:bookmarkEnd w:id="1846"/>
    </w:p>
    <w:p>
      <w:pPr>
        <w:spacing w:line="360" w:lineRule="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21.1.1</w:t>
      </w:r>
      <w:r>
        <w:rPr>
          <w:rFonts w:hAnsi="宋体"/>
          <w:color w:val="000000" w:themeColor="text1"/>
          <w:sz w:val="24"/>
          <w:highlight w:val="none"/>
          <w14:textFill>
            <w14:solidFill>
              <w14:schemeClr w14:val="tx1"/>
            </w14:solidFill>
          </w14:textFill>
        </w:rPr>
        <w:t>通用合同条款第</w:t>
      </w:r>
      <w:r>
        <w:rPr>
          <w:color w:val="000000" w:themeColor="text1"/>
          <w:sz w:val="24"/>
          <w:highlight w:val="none"/>
          <w14:textFill>
            <w14:solidFill>
              <w14:schemeClr w14:val="tx1"/>
            </w14:solidFill>
          </w14:textFill>
        </w:rPr>
        <w:t>21.1.1</w:t>
      </w:r>
      <w:r>
        <w:rPr>
          <w:rFonts w:hAnsi="宋体"/>
          <w:color w:val="000000" w:themeColor="text1"/>
          <w:sz w:val="24"/>
          <w:highlight w:val="none"/>
          <w14:textFill>
            <w14:solidFill>
              <w14:schemeClr w14:val="tx1"/>
            </w14:solidFill>
          </w14:textFill>
        </w:rPr>
        <w:t>项约定的不可抗力以外的其他情形：</w:t>
      </w:r>
      <w:r>
        <w:rPr>
          <w:rFonts w:hint="eastAsia"/>
          <w:color w:val="000000" w:themeColor="text1"/>
          <w:sz w:val="24"/>
          <w:highlight w:val="none"/>
          <w:u w:val="single"/>
          <w14:textFill>
            <w14:solidFill>
              <w14:schemeClr w14:val="tx1"/>
            </w14:solidFill>
          </w14:textFill>
        </w:rPr>
        <w:t>无约定</w:t>
      </w:r>
      <w:r>
        <w:rPr>
          <w:rFonts w:hAnsi="宋体"/>
          <w:color w:val="000000" w:themeColor="text1"/>
          <w:sz w:val="24"/>
          <w:highlight w:val="none"/>
          <w14:textFill>
            <w14:solidFill>
              <w14:schemeClr w14:val="tx1"/>
            </w14:solidFill>
          </w14:textFill>
        </w:rPr>
        <w:t>。</w:t>
      </w:r>
    </w:p>
    <w:p>
      <w:pPr>
        <w:spacing w:line="360" w:lineRule="auto"/>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不可抗力的等级范围约定：</w:t>
      </w:r>
      <w:r>
        <w:rPr>
          <w:rFonts w:hint="eastAsia"/>
          <w:color w:val="000000" w:themeColor="text1"/>
          <w:sz w:val="24"/>
          <w:highlight w:val="none"/>
          <w:u w:val="single"/>
          <w14:textFill>
            <w14:solidFill>
              <w14:schemeClr w14:val="tx1"/>
            </w14:solidFill>
          </w14:textFill>
        </w:rPr>
        <w:t>无约定</w:t>
      </w:r>
      <w:r>
        <w:rPr>
          <w:rFonts w:hAnsi="宋体"/>
          <w:color w:val="000000" w:themeColor="text1"/>
          <w:sz w:val="24"/>
          <w:highlight w:val="none"/>
          <w14:textFill>
            <w14:solidFill>
              <w14:schemeClr w14:val="tx1"/>
            </w14:solidFill>
          </w14:textFill>
        </w:rPr>
        <w:t>。</w:t>
      </w:r>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47" w:name="_Toc14084"/>
      <w:bookmarkStart w:id="1848" w:name="_Toc1242"/>
      <w:bookmarkStart w:id="1849" w:name="_Toc31437"/>
      <w:bookmarkStart w:id="1850" w:name="_Toc354042305"/>
      <w:bookmarkStart w:id="1851" w:name="_Toc100504372"/>
      <w:r>
        <w:rPr>
          <w:rFonts w:eastAsia="宋体" w:cs="Times New Roman"/>
          <w:b/>
          <w:color w:val="000000" w:themeColor="text1"/>
          <w:szCs w:val="24"/>
          <w:highlight w:val="none"/>
          <w14:textFill>
            <w14:solidFill>
              <w14:schemeClr w14:val="tx1"/>
            </w14:solidFill>
          </w14:textFill>
        </w:rPr>
        <w:t>21.3不可抗力后果及其处理</w:t>
      </w:r>
      <w:bookmarkEnd w:id="1847"/>
      <w:bookmarkEnd w:id="1848"/>
      <w:bookmarkEnd w:id="1849"/>
      <w:bookmarkEnd w:id="1850"/>
      <w:bookmarkEnd w:id="1851"/>
    </w:p>
    <w:p>
      <w:pPr>
        <w:spacing w:line="360" w:lineRule="auto"/>
        <w:ind w:firstLine="480" w:firstLineChars="200"/>
        <w:outlineLvl w:val="0"/>
        <w:rPr>
          <w:color w:val="000000" w:themeColor="text1"/>
          <w:sz w:val="24"/>
          <w:highlight w:val="none"/>
          <w14:textFill>
            <w14:solidFill>
              <w14:schemeClr w14:val="tx1"/>
            </w14:solidFill>
          </w14:textFill>
        </w:rPr>
      </w:pPr>
      <w:bookmarkStart w:id="1852" w:name="_Toc354042306"/>
      <w:bookmarkStart w:id="1853" w:name="_Toc20270"/>
      <w:bookmarkStart w:id="1854" w:name="_Toc100504373"/>
      <w:bookmarkStart w:id="1855" w:name="_Toc29423"/>
      <w:bookmarkStart w:id="1856" w:name="_Toc31561"/>
      <w:r>
        <w:rPr>
          <w:color w:val="000000" w:themeColor="text1"/>
          <w:sz w:val="24"/>
          <w:highlight w:val="none"/>
          <w14:textFill>
            <w14:solidFill>
              <w14:schemeClr w14:val="tx1"/>
            </w14:solidFill>
          </w14:textFill>
        </w:rPr>
        <w:t>21.3.1</w:t>
      </w:r>
      <w:r>
        <w:rPr>
          <w:rFonts w:hAnsi="宋体"/>
          <w:color w:val="000000" w:themeColor="text1"/>
          <w:sz w:val="24"/>
          <w:highlight w:val="none"/>
          <w14:textFill>
            <w14:solidFill>
              <w14:schemeClr w14:val="tx1"/>
            </w14:solidFill>
          </w14:textFill>
        </w:rPr>
        <w:t>不可抗力造成损害的责任</w:t>
      </w:r>
      <w:bookmarkEnd w:id="1852"/>
      <w:bookmarkEnd w:id="1853"/>
      <w:bookmarkEnd w:id="1854"/>
      <w:bookmarkEnd w:id="1855"/>
      <w:bookmarkEnd w:id="1856"/>
    </w:p>
    <w:p>
      <w:pPr>
        <w:spacing w:line="360" w:lineRule="auto"/>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不可抗力导致的人员伤亡、财产损失、费用增加和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工期延误等后果，由合同双方按通用合同条款第</w:t>
      </w:r>
      <w:r>
        <w:rPr>
          <w:color w:val="000000" w:themeColor="text1"/>
          <w:sz w:val="24"/>
          <w:highlight w:val="none"/>
          <w14:textFill>
            <w14:solidFill>
              <w14:schemeClr w14:val="tx1"/>
            </w14:solidFill>
          </w14:textFill>
        </w:rPr>
        <w:t>21.3.1</w:t>
      </w:r>
      <w:r>
        <w:rPr>
          <w:rFonts w:hAnsi="宋体"/>
          <w:color w:val="000000" w:themeColor="text1"/>
          <w:sz w:val="24"/>
          <w:highlight w:val="none"/>
          <w14:textFill>
            <w14:solidFill>
              <w14:schemeClr w14:val="tx1"/>
            </w14:solidFill>
          </w14:textFill>
        </w:rPr>
        <w:t>项约定的原则承担。</w:t>
      </w:r>
    </w:p>
    <w:p>
      <w:pPr>
        <w:spacing w:before="120" w:beforeLines="50" w:line="360" w:lineRule="auto"/>
        <w:outlineLvl w:val="1"/>
        <w:rPr>
          <w:rFonts w:hAnsi="宋体"/>
          <w:b/>
          <w:color w:val="000000" w:themeColor="text1"/>
          <w:sz w:val="24"/>
          <w:highlight w:val="none"/>
          <w14:textFill>
            <w14:solidFill>
              <w14:schemeClr w14:val="tx1"/>
            </w14:solidFill>
          </w14:textFill>
        </w:rPr>
      </w:pPr>
      <w:bookmarkStart w:id="1857" w:name="_Toc354042307"/>
      <w:bookmarkStart w:id="1858" w:name="_Toc100504374"/>
      <w:bookmarkStart w:id="1859" w:name="_Toc11371"/>
      <w:bookmarkStart w:id="1860" w:name="_Toc29856"/>
      <w:bookmarkStart w:id="1861" w:name="_Toc11594"/>
      <w:r>
        <w:rPr>
          <w:rFonts w:hAnsi="宋体"/>
          <w:b/>
          <w:color w:val="000000" w:themeColor="text1"/>
          <w:sz w:val="24"/>
          <w:highlight w:val="none"/>
          <w14:textFill>
            <w14:solidFill>
              <w14:schemeClr w14:val="tx1"/>
            </w14:solidFill>
          </w14:textFill>
        </w:rPr>
        <w:t>24.争议的解决</w:t>
      </w:r>
      <w:bookmarkEnd w:id="1857"/>
      <w:bookmarkEnd w:id="1858"/>
      <w:bookmarkEnd w:id="1859"/>
      <w:bookmarkEnd w:id="1860"/>
      <w:bookmarkEnd w:id="1861"/>
    </w:p>
    <w:p>
      <w:pPr>
        <w:pStyle w:val="67"/>
        <w:keepNext w:val="0"/>
        <w:keepLines w:val="0"/>
        <w:spacing w:before="72" w:beforeLines="30" w:line="360" w:lineRule="auto"/>
        <w:rPr>
          <w:rFonts w:eastAsia="宋体" w:cs="Times New Roman"/>
          <w:b/>
          <w:color w:val="000000" w:themeColor="text1"/>
          <w:szCs w:val="24"/>
          <w:highlight w:val="none"/>
          <w14:textFill>
            <w14:solidFill>
              <w14:schemeClr w14:val="tx1"/>
            </w14:solidFill>
          </w14:textFill>
        </w:rPr>
      </w:pPr>
      <w:bookmarkStart w:id="1862" w:name="_Toc31156"/>
      <w:bookmarkStart w:id="1863" w:name="_Toc31718"/>
      <w:bookmarkStart w:id="1864" w:name="_Toc354042308"/>
      <w:bookmarkStart w:id="1865" w:name="_Toc100504375"/>
      <w:bookmarkStart w:id="1866" w:name="_Toc16020"/>
      <w:r>
        <w:rPr>
          <w:rFonts w:eastAsia="宋体" w:cs="Times New Roman"/>
          <w:b/>
          <w:color w:val="000000" w:themeColor="text1"/>
          <w:szCs w:val="24"/>
          <w:highlight w:val="none"/>
          <w14:textFill>
            <w14:solidFill>
              <w14:schemeClr w14:val="tx1"/>
            </w14:solidFill>
          </w14:textFill>
        </w:rPr>
        <w:t>24.1争议的解决方式</w:t>
      </w:r>
      <w:bookmarkEnd w:id="1862"/>
      <w:bookmarkEnd w:id="1863"/>
      <w:bookmarkEnd w:id="1864"/>
      <w:bookmarkEnd w:id="1865"/>
      <w:bookmarkEnd w:id="1866"/>
    </w:p>
    <w:p>
      <w:pPr>
        <w:spacing w:line="360" w:lineRule="auto"/>
        <w:ind w:firstLine="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双方约定，本合同在履行过程中发生争议时，由双方当事人协商解决，协商不成的按</w:t>
      </w:r>
      <w:r>
        <w:rPr>
          <w:rFonts w:hint="eastAsia" w:ascii="宋体" w:hAnsi="宋体"/>
          <w:color w:val="000000" w:themeColor="text1"/>
          <w:sz w:val="24"/>
          <w:highlight w:val="none"/>
          <w:u w:val="single"/>
          <w14:textFill>
            <w14:solidFill>
              <w14:schemeClr w14:val="tx1"/>
            </w14:solidFill>
          </w14:textFill>
        </w:rPr>
        <w:t>下列第（二）方式</w:t>
      </w:r>
      <w:r>
        <w:rPr>
          <w:rFonts w:hint="eastAsia" w:ascii="宋体" w:hAnsi="宋体"/>
          <w:color w:val="000000" w:themeColor="text1"/>
          <w:sz w:val="24"/>
          <w:highlight w:val="none"/>
          <w14:textFill>
            <w14:solidFill>
              <w14:schemeClr w14:val="tx1"/>
            </w14:solidFill>
          </w14:textFill>
        </w:rPr>
        <w:t>解决：</w:t>
      </w:r>
    </w:p>
    <w:p>
      <w:pPr>
        <w:spacing w:line="360" w:lineRule="auto"/>
        <w:ind w:firstLine="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（一）提交仲裁委员会仲裁；</w:t>
      </w:r>
    </w:p>
    <w:p>
      <w:pPr>
        <w:spacing w:line="360" w:lineRule="auto"/>
        <w:ind w:firstLine="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（二）依法向广州市番禺区人民法院起诉。</w:t>
      </w:r>
    </w:p>
    <w:p>
      <w:pPr>
        <w:spacing w:line="360" w:lineRule="auto"/>
        <w:rPr>
          <w:rFonts w:hint="eastAsia" w:ascii="宋体" w:hAnsi="宋体"/>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24.4、</w:t>
      </w:r>
      <w:r>
        <w:rPr>
          <w:rFonts w:hint="eastAsia" w:ascii="宋体" w:hAnsi="宋体"/>
          <w:color w:val="000000" w:themeColor="text1"/>
          <w:sz w:val="24"/>
          <w:highlight w:val="none"/>
          <w14:textFill>
            <w14:solidFill>
              <w14:schemeClr w14:val="tx1"/>
            </w14:solidFill>
          </w14:textFill>
        </w:rPr>
        <w:t>本合同在履行时如发生争议，承包人在协商解决过程中不得因此停止施工，否则，发包人为确保工程按时竣工，有权委托其他施工单位进行施工，发生的费用由承包人承担；情况严重时发包人有权终止合同和要求承包人先行退场，退场后再进行工程结算。</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（本页下无正文）</w:t>
      </w:r>
    </w:p>
    <w:p>
      <w:pPr>
        <w:spacing w:line="360" w:lineRule="auto"/>
        <w:jc w:val="center"/>
        <w:rPr>
          <w:rFonts w:hint="eastAsia" w:ascii="黑体" w:eastAsia="黑体"/>
          <w:color w:val="000000" w:themeColor="text1"/>
          <w:sz w:val="24"/>
          <w:highlight w:val="none"/>
          <w14:textFill>
            <w14:solidFill>
              <w14:schemeClr w14:val="tx1"/>
            </w14:solidFill>
          </w14:textFill>
        </w:rPr>
      </w:pPr>
    </w:p>
    <w:p>
      <w:pPr>
        <w:jc w:val="center"/>
        <w:rPr>
          <w:rFonts w:ascii="黑体" w:eastAsia="黑体"/>
          <w:color w:val="000000" w:themeColor="text1"/>
          <w:sz w:val="24"/>
          <w:highlight w:val="none"/>
          <w14:textFill>
            <w14:solidFill>
              <w14:schemeClr w14:val="tx1"/>
            </w14:solidFill>
          </w14:textFill>
        </w:rPr>
        <w:sectPr>
          <w:footerReference r:id="rId10" w:type="default"/>
          <w:footerReference r:id="rId11" w:type="even"/>
          <w:pgSz w:w="11899" w:h="16840"/>
          <w:pgMar w:top="1440" w:right="1797" w:bottom="1091" w:left="1797" w:header="720" w:footer="570" w:gutter="0"/>
          <w:pgNumType w:fmt="decimal"/>
          <w:cols w:space="720" w:num="1"/>
        </w:sectPr>
      </w:pPr>
    </w:p>
    <w:p>
      <w:pPr>
        <w:spacing w:before="240" w:beforeLines="100" w:after="240" w:afterLines="100" w:line="560" w:lineRule="exact"/>
        <w:jc w:val="center"/>
        <w:outlineLvl w:val="0"/>
        <w:rPr>
          <w:rFonts w:hint="eastAsia" w:ascii="黑体" w:eastAsia="黑体"/>
          <w:b/>
          <w:color w:val="000000" w:themeColor="text1"/>
          <w:sz w:val="32"/>
          <w:szCs w:val="32"/>
          <w:highlight w:val="none"/>
          <w14:textFill>
            <w14:solidFill>
              <w14:schemeClr w14:val="tx1"/>
            </w14:solidFill>
          </w14:textFill>
        </w:rPr>
      </w:pPr>
      <w:bookmarkStart w:id="1867" w:name="_Toc354042310"/>
      <w:bookmarkStart w:id="1868" w:name="_Toc9528"/>
      <w:bookmarkStart w:id="1869" w:name="_Toc100504376"/>
      <w:bookmarkStart w:id="1870" w:name="_Toc21961"/>
      <w:bookmarkStart w:id="1871" w:name="_Toc25980"/>
      <w:r>
        <w:rPr>
          <w:rFonts w:hint="eastAsia" w:ascii="黑体" w:eastAsia="黑体"/>
          <w:b/>
          <w:color w:val="000000" w:themeColor="text1"/>
          <w:sz w:val="32"/>
          <w:szCs w:val="32"/>
          <w:highlight w:val="none"/>
          <w14:textFill>
            <w14:solidFill>
              <w14:schemeClr w14:val="tx1"/>
            </w14:solidFill>
          </w14:textFill>
        </w:rPr>
        <w:t>第</w:t>
      </w:r>
      <w:r>
        <w:rPr>
          <w:rFonts w:hint="eastAsia" w:ascii="黑体" w:eastAsia="黑体"/>
          <w:b/>
          <w:color w:val="000000" w:themeColor="text1"/>
          <w:sz w:val="32"/>
          <w:szCs w:val="32"/>
          <w:highlight w:val="none"/>
          <w:lang w:val="en-US" w:eastAsia="zh-CN"/>
          <w14:textFill>
            <w14:solidFill>
              <w14:schemeClr w14:val="tx1"/>
            </w14:solidFill>
          </w14:textFill>
        </w:rPr>
        <w:t>五</w:t>
      </w:r>
      <w:r>
        <w:rPr>
          <w:rFonts w:hint="eastAsia" w:ascii="黑体" w:eastAsia="黑体"/>
          <w:b/>
          <w:color w:val="000000" w:themeColor="text1"/>
          <w:sz w:val="32"/>
          <w:szCs w:val="32"/>
          <w:highlight w:val="none"/>
          <w14:textFill>
            <w14:solidFill>
              <w14:schemeClr w14:val="tx1"/>
            </w14:solidFill>
          </w14:textFill>
        </w:rPr>
        <w:t>部分   合同附件格式</w:t>
      </w:r>
      <w:bookmarkEnd w:id="1867"/>
      <w:bookmarkEnd w:id="1868"/>
      <w:bookmarkEnd w:id="1869"/>
      <w:bookmarkEnd w:id="1870"/>
      <w:bookmarkEnd w:id="1871"/>
    </w:p>
    <w:p>
      <w:pPr>
        <w:spacing w:before="120" w:beforeLines="50" w:line="580" w:lineRule="exact"/>
        <w:outlineLvl w:val="1"/>
        <w:rPr>
          <w:rFonts w:hint="eastAsia" w:hAnsi="宋体"/>
          <w:b/>
          <w:color w:val="000000" w:themeColor="text1"/>
          <w:sz w:val="24"/>
          <w:highlight w:val="none"/>
          <w14:textFill>
            <w14:solidFill>
              <w14:schemeClr w14:val="tx1"/>
            </w14:solidFill>
          </w14:textFill>
        </w:rPr>
      </w:pPr>
      <w:bookmarkStart w:id="1872" w:name="_Toc32576"/>
      <w:bookmarkStart w:id="1873" w:name="_Toc23788"/>
      <w:bookmarkStart w:id="1874" w:name="_Toc354042311"/>
      <w:bookmarkStart w:id="1875" w:name="_Toc100504377"/>
      <w:bookmarkStart w:id="1876" w:name="_Toc11885"/>
      <w:r>
        <w:rPr>
          <w:rFonts w:hint="eastAsia" w:hAnsi="宋体"/>
          <w:b/>
          <w:color w:val="000000" w:themeColor="text1"/>
          <w:sz w:val="24"/>
          <w:highlight w:val="none"/>
          <w14:textFill>
            <w14:solidFill>
              <w14:schemeClr w14:val="tx1"/>
            </w14:solidFill>
          </w14:textFill>
        </w:rPr>
        <w:t>附件一：承包人提供的材料和工程设备一览表</w:t>
      </w:r>
      <w:bookmarkEnd w:id="1872"/>
      <w:bookmarkEnd w:id="1873"/>
      <w:bookmarkEnd w:id="1874"/>
      <w:bookmarkEnd w:id="1875"/>
      <w:bookmarkEnd w:id="1876"/>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68"/>
        <w:gridCol w:w="1027"/>
        <w:gridCol w:w="612"/>
        <w:gridCol w:w="612"/>
        <w:gridCol w:w="612"/>
        <w:gridCol w:w="896"/>
        <w:gridCol w:w="896"/>
        <w:gridCol w:w="896"/>
        <w:gridCol w:w="8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57"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77" w:name="_Toc377540765"/>
            <w:r>
              <w:rPr>
                <w:rFonts w:ascii="Arial" w:hAnsi="宋体"/>
                <w:b/>
                <w:color w:val="000000" w:themeColor="text1"/>
                <w:sz w:val="24"/>
                <w:highlight w:val="none"/>
                <w14:textFill>
                  <w14:solidFill>
                    <w14:schemeClr w14:val="tx1"/>
                  </w14:solidFill>
                </w14:textFill>
              </w:rPr>
              <w:t>序号</w:t>
            </w:r>
            <w:bookmarkEnd w:id="1877"/>
          </w:p>
        </w:tc>
        <w:tc>
          <w:tcPr>
            <w:tcW w:w="1168" w:type="dxa"/>
            <w:noWrap w:val="0"/>
            <w:vAlign w:val="center"/>
          </w:tcPr>
          <w:p>
            <w:pPr>
              <w:adjustRightInd w:val="0"/>
              <w:spacing w:before="240" w:after="60" w:line="420" w:lineRule="atLeast"/>
              <w:jc w:val="center"/>
              <w:textAlignment w:val="baseline"/>
              <w:rPr>
                <w:rFonts w:hint="eastAsia" w:ascii="Arial" w:hAnsi="宋体"/>
                <w:b/>
                <w:color w:val="000000" w:themeColor="text1"/>
                <w:sz w:val="24"/>
                <w:highlight w:val="none"/>
                <w14:textFill>
                  <w14:solidFill>
                    <w14:schemeClr w14:val="tx1"/>
                  </w14:solidFill>
                </w14:textFill>
              </w:rPr>
            </w:pPr>
            <w:bookmarkStart w:id="1878" w:name="_Toc377540766"/>
            <w:r>
              <w:rPr>
                <w:rFonts w:ascii="Arial" w:hAnsi="宋体"/>
                <w:b/>
                <w:color w:val="000000" w:themeColor="text1"/>
                <w:sz w:val="24"/>
                <w:highlight w:val="none"/>
                <w14:textFill>
                  <w14:solidFill>
                    <w14:schemeClr w14:val="tx1"/>
                  </w14:solidFill>
                </w14:textFill>
              </w:rPr>
              <w:t>材料</w:t>
            </w:r>
            <w:bookmarkEnd w:id="1878"/>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79" w:name="_Toc377540767"/>
            <w:r>
              <w:rPr>
                <w:rFonts w:ascii="Arial" w:hAnsi="宋体"/>
                <w:b/>
                <w:color w:val="000000" w:themeColor="text1"/>
                <w:sz w:val="24"/>
                <w:highlight w:val="none"/>
                <w14:textFill>
                  <w14:solidFill>
                    <w14:schemeClr w14:val="tx1"/>
                  </w14:solidFill>
                </w14:textFill>
              </w:rPr>
              <w:t>设备</w:t>
            </w:r>
            <w:bookmarkEnd w:id="1879"/>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0" w:name="_Toc377540768"/>
            <w:r>
              <w:rPr>
                <w:rFonts w:ascii="Arial" w:hAnsi="宋体"/>
                <w:b/>
                <w:color w:val="000000" w:themeColor="text1"/>
                <w:sz w:val="24"/>
                <w:highlight w:val="none"/>
                <w14:textFill>
                  <w14:solidFill>
                    <w14:schemeClr w14:val="tx1"/>
                  </w14:solidFill>
                </w14:textFill>
              </w:rPr>
              <w:t>名称</w:t>
            </w:r>
            <w:bookmarkEnd w:id="1880"/>
          </w:p>
        </w:tc>
        <w:tc>
          <w:tcPr>
            <w:tcW w:w="1027"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1" w:name="_Toc377540769"/>
            <w:r>
              <w:rPr>
                <w:rFonts w:ascii="Arial" w:hAnsi="宋体"/>
                <w:b/>
                <w:color w:val="000000" w:themeColor="text1"/>
                <w:sz w:val="24"/>
                <w:highlight w:val="none"/>
                <w14:textFill>
                  <w14:solidFill>
                    <w14:schemeClr w14:val="tx1"/>
                  </w14:solidFill>
                </w14:textFill>
              </w:rPr>
              <w:t>规格</w:t>
            </w:r>
            <w:bookmarkEnd w:id="1881"/>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2" w:name="_Toc377540770"/>
            <w:r>
              <w:rPr>
                <w:rFonts w:ascii="Arial" w:hAnsi="宋体"/>
                <w:b/>
                <w:color w:val="000000" w:themeColor="text1"/>
                <w:sz w:val="24"/>
                <w:highlight w:val="none"/>
                <w14:textFill>
                  <w14:solidFill>
                    <w14:schemeClr w14:val="tx1"/>
                  </w14:solidFill>
                </w14:textFill>
              </w:rPr>
              <w:t>型号</w:t>
            </w:r>
            <w:bookmarkEnd w:id="1882"/>
          </w:p>
        </w:tc>
        <w:tc>
          <w:tcPr>
            <w:tcW w:w="612"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3" w:name="_Toc377540771"/>
            <w:r>
              <w:rPr>
                <w:rFonts w:ascii="Arial" w:hAnsi="宋体"/>
                <w:b/>
                <w:color w:val="000000" w:themeColor="text1"/>
                <w:sz w:val="24"/>
                <w:highlight w:val="none"/>
                <w14:textFill>
                  <w14:solidFill>
                    <w14:schemeClr w14:val="tx1"/>
                  </w14:solidFill>
                </w14:textFill>
              </w:rPr>
              <w:t>单位</w:t>
            </w:r>
            <w:bookmarkEnd w:id="1883"/>
          </w:p>
        </w:tc>
        <w:tc>
          <w:tcPr>
            <w:tcW w:w="612"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4" w:name="_Toc377540772"/>
            <w:r>
              <w:rPr>
                <w:rFonts w:ascii="Arial" w:hAnsi="宋体"/>
                <w:b/>
                <w:color w:val="000000" w:themeColor="text1"/>
                <w:sz w:val="24"/>
                <w:highlight w:val="none"/>
                <w14:textFill>
                  <w14:solidFill>
                    <w14:schemeClr w14:val="tx1"/>
                  </w14:solidFill>
                </w14:textFill>
              </w:rPr>
              <w:t>数量</w:t>
            </w:r>
            <w:bookmarkEnd w:id="1884"/>
          </w:p>
        </w:tc>
        <w:tc>
          <w:tcPr>
            <w:tcW w:w="612"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5" w:name="_Toc377540773"/>
            <w:r>
              <w:rPr>
                <w:rFonts w:ascii="Arial" w:hAnsi="宋体"/>
                <w:b/>
                <w:color w:val="000000" w:themeColor="text1"/>
                <w:sz w:val="24"/>
                <w:highlight w:val="none"/>
                <w14:textFill>
                  <w14:solidFill>
                    <w14:schemeClr w14:val="tx1"/>
                  </w14:solidFill>
                </w14:textFill>
              </w:rPr>
              <w:t>单价</w:t>
            </w:r>
            <w:bookmarkEnd w:id="1885"/>
          </w:p>
        </w:tc>
        <w:tc>
          <w:tcPr>
            <w:tcW w:w="896"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6" w:name="_Toc377540774"/>
            <w:r>
              <w:rPr>
                <w:rFonts w:ascii="Arial" w:hAnsi="宋体"/>
                <w:b/>
                <w:color w:val="000000" w:themeColor="text1"/>
                <w:sz w:val="24"/>
                <w:highlight w:val="none"/>
                <w14:textFill>
                  <w14:solidFill>
                    <w14:schemeClr w14:val="tx1"/>
                  </w14:solidFill>
                </w14:textFill>
              </w:rPr>
              <w:t>交货</w:t>
            </w:r>
            <w:bookmarkEnd w:id="1886"/>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7" w:name="_Toc377540775"/>
            <w:r>
              <w:rPr>
                <w:rFonts w:ascii="Arial" w:hAnsi="宋体"/>
                <w:b/>
                <w:color w:val="000000" w:themeColor="text1"/>
                <w:sz w:val="24"/>
                <w:highlight w:val="none"/>
                <w14:textFill>
                  <w14:solidFill>
                    <w14:schemeClr w14:val="tx1"/>
                  </w14:solidFill>
                </w14:textFill>
              </w:rPr>
              <w:t>方式</w:t>
            </w:r>
            <w:bookmarkEnd w:id="1887"/>
          </w:p>
        </w:tc>
        <w:tc>
          <w:tcPr>
            <w:tcW w:w="896"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8" w:name="_Toc377540776"/>
            <w:r>
              <w:rPr>
                <w:rFonts w:ascii="Arial" w:hAnsi="宋体"/>
                <w:b/>
                <w:color w:val="000000" w:themeColor="text1"/>
                <w:sz w:val="24"/>
                <w:highlight w:val="none"/>
                <w14:textFill>
                  <w14:solidFill>
                    <w14:schemeClr w14:val="tx1"/>
                  </w14:solidFill>
                </w14:textFill>
              </w:rPr>
              <w:t>交货</w:t>
            </w:r>
            <w:bookmarkEnd w:id="1888"/>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89" w:name="_Toc377540777"/>
            <w:r>
              <w:rPr>
                <w:rFonts w:ascii="Arial" w:hAnsi="宋体"/>
                <w:b/>
                <w:color w:val="000000" w:themeColor="text1"/>
                <w:sz w:val="24"/>
                <w:highlight w:val="none"/>
                <w14:textFill>
                  <w14:solidFill>
                    <w14:schemeClr w14:val="tx1"/>
                  </w14:solidFill>
                </w14:textFill>
              </w:rPr>
              <w:t>地点</w:t>
            </w:r>
            <w:bookmarkEnd w:id="1889"/>
          </w:p>
        </w:tc>
        <w:tc>
          <w:tcPr>
            <w:tcW w:w="896"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90" w:name="_Toc377540778"/>
            <w:r>
              <w:rPr>
                <w:rFonts w:ascii="Arial" w:hAnsi="宋体"/>
                <w:b/>
                <w:color w:val="000000" w:themeColor="text1"/>
                <w:sz w:val="24"/>
                <w:highlight w:val="none"/>
                <w14:textFill>
                  <w14:solidFill>
                    <w14:schemeClr w14:val="tx1"/>
                  </w14:solidFill>
                </w14:textFill>
              </w:rPr>
              <w:t>计划</w:t>
            </w:r>
            <w:bookmarkEnd w:id="1890"/>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91" w:name="_Toc377540779"/>
            <w:r>
              <w:rPr>
                <w:rFonts w:ascii="Arial" w:hAnsi="宋体"/>
                <w:b/>
                <w:color w:val="000000" w:themeColor="text1"/>
                <w:sz w:val="24"/>
                <w:highlight w:val="none"/>
                <w14:textFill>
                  <w14:solidFill>
                    <w14:schemeClr w14:val="tx1"/>
                  </w14:solidFill>
                </w14:textFill>
              </w:rPr>
              <w:t>交货</w:t>
            </w:r>
            <w:bookmarkEnd w:id="1891"/>
          </w:p>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92" w:name="_Toc377540780"/>
            <w:r>
              <w:rPr>
                <w:rFonts w:ascii="Arial" w:hAnsi="宋体"/>
                <w:b/>
                <w:color w:val="000000" w:themeColor="text1"/>
                <w:sz w:val="24"/>
                <w:highlight w:val="none"/>
                <w14:textFill>
                  <w14:solidFill>
                    <w14:schemeClr w14:val="tx1"/>
                  </w14:solidFill>
                </w14:textFill>
              </w:rPr>
              <w:t>时间</w:t>
            </w:r>
            <w:bookmarkEnd w:id="1892"/>
          </w:p>
        </w:tc>
        <w:tc>
          <w:tcPr>
            <w:tcW w:w="896" w:type="dxa"/>
            <w:noWrap w:val="0"/>
            <w:vAlign w:val="center"/>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bookmarkStart w:id="1893" w:name="_Toc377540781"/>
            <w:r>
              <w:rPr>
                <w:rFonts w:ascii="Arial" w:hAnsi="宋体"/>
                <w:b/>
                <w:color w:val="000000" w:themeColor="text1"/>
                <w:sz w:val="24"/>
                <w:highlight w:val="none"/>
                <w14:textFill>
                  <w14:solidFill>
                    <w14:schemeClr w14:val="tx1"/>
                  </w14:solidFill>
                </w14:textFill>
              </w:rPr>
              <w:t>备注</w:t>
            </w:r>
            <w:bookmarkEnd w:id="189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420" w:lineRule="atLeast"/>
              <w:jc w:val="center"/>
              <w:textAlignment w:val="baseline"/>
              <w:rPr>
                <w:rFonts w:ascii="Arial" w:hAnsi="Arial"/>
                <w:b/>
                <w:color w:val="000000" w:themeColor="text1"/>
                <w:sz w:val="24"/>
                <w:highlight w:val="none"/>
                <w14:textFill>
                  <w14:solidFill>
                    <w14:schemeClr w14:val="tx1"/>
                  </w14:solidFill>
                </w14:textFill>
              </w:rPr>
            </w:pPr>
          </w:p>
        </w:tc>
      </w:tr>
    </w:tbl>
    <w:p>
      <w:pPr>
        <w:spacing w:before="120" w:beforeLines="50" w:line="580" w:lineRule="exact"/>
        <w:outlineLvl w:val="1"/>
        <w:rPr>
          <w:rFonts w:hint="eastAsia" w:hAnsi="宋体"/>
          <w:b/>
          <w:color w:val="000000" w:themeColor="text1"/>
          <w:sz w:val="24"/>
          <w:highlight w:val="none"/>
          <w14:textFill>
            <w14:solidFill>
              <w14:schemeClr w14:val="tx1"/>
            </w14:solidFill>
          </w14:textFill>
        </w:rPr>
      </w:pPr>
      <w:bookmarkStart w:id="1894" w:name="_Toc354042312"/>
      <w:bookmarkStart w:id="1895" w:name="_Toc32723"/>
      <w:bookmarkStart w:id="1896" w:name="_Toc28385"/>
      <w:bookmarkStart w:id="1897" w:name="_Toc30413"/>
      <w:bookmarkStart w:id="1898" w:name="_Toc100504378"/>
      <w:r>
        <w:rPr>
          <w:rFonts w:hint="eastAsia" w:hAnsi="宋体"/>
          <w:b/>
          <w:color w:val="000000" w:themeColor="text1"/>
          <w:sz w:val="24"/>
          <w:highlight w:val="none"/>
          <w14:textFill>
            <w14:solidFill>
              <w14:schemeClr w14:val="tx1"/>
            </w14:solidFill>
          </w14:textFill>
        </w:rPr>
        <w:t>附件二：发包人提供的材料和工程设备一览表</w:t>
      </w:r>
      <w:bookmarkEnd w:id="1894"/>
      <w:r>
        <w:rPr>
          <w:rFonts w:hint="eastAsia" w:hAnsi="宋体"/>
          <w:b/>
          <w:color w:val="000000" w:themeColor="text1"/>
          <w:sz w:val="24"/>
          <w:highlight w:val="none"/>
          <w14:textFill>
            <w14:solidFill>
              <w14:schemeClr w14:val="tx1"/>
            </w14:solidFill>
          </w14:textFill>
        </w:rPr>
        <w:t>（本工程不采用此表）</w:t>
      </w:r>
      <w:bookmarkEnd w:id="1895"/>
      <w:bookmarkEnd w:id="1896"/>
      <w:bookmarkEnd w:id="1897"/>
      <w:bookmarkEnd w:id="1898"/>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68"/>
        <w:gridCol w:w="1027"/>
        <w:gridCol w:w="612"/>
        <w:gridCol w:w="612"/>
        <w:gridCol w:w="612"/>
        <w:gridCol w:w="896"/>
        <w:gridCol w:w="896"/>
        <w:gridCol w:w="896"/>
        <w:gridCol w:w="8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57"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899" w:name="_Toc377540783"/>
            <w:r>
              <w:rPr>
                <w:rFonts w:ascii="Arial" w:hAnsi="宋体"/>
                <w:b/>
                <w:color w:val="000000" w:themeColor="text1"/>
                <w:sz w:val="24"/>
                <w:highlight w:val="none"/>
                <w14:textFill>
                  <w14:solidFill>
                    <w14:schemeClr w14:val="tx1"/>
                  </w14:solidFill>
                </w14:textFill>
              </w:rPr>
              <w:t>序号</w:t>
            </w:r>
            <w:bookmarkEnd w:id="1899"/>
          </w:p>
        </w:tc>
        <w:tc>
          <w:tcPr>
            <w:tcW w:w="1168" w:type="dxa"/>
            <w:noWrap w:val="0"/>
            <w:vAlign w:val="center"/>
          </w:tcPr>
          <w:p>
            <w:pPr>
              <w:adjustRightInd w:val="0"/>
              <w:spacing w:line="260" w:lineRule="exact"/>
              <w:jc w:val="center"/>
              <w:textAlignment w:val="baseline"/>
              <w:rPr>
                <w:rFonts w:hint="eastAsia" w:ascii="Arial" w:hAnsi="宋体"/>
                <w:b/>
                <w:color w:val="000000" w:themeColor="text1"/>
                <w:sz w:val="24"/>
                <w:highlight w:val="none"/>
                <w14:textFill>
                  <w14:solidFill>
                    <w14:schemeClr w14:val="tx1"/>
                  </w14:solidFill>
                </w14:textFill>
              </w:rPr>
            </w:pPr>
            <w:bookmarkStart w:id="1900" w:name="_Toc377540784"/>
            <w:r>
              <w:rPr>
                <w:rFonts w:ascii="Arial" w:hAnsi="宋体"/>
                <w:b/>
                <w:color w:val="000000" w:themeColor="text1"/>
                <w:sz w:val="24"/>
                <w:highlight w:val="none"/>
                <w14:textFill>
                  <w14:solidFill>
                    <w14:schemeClr w14:val="tx1"/>
                  </w14:solidFill>
                </w14:textFill>
              </w:rPr>
              <w:t>材料</w:t>
            </w:r>
            <w:bookmarkEnd w:id="1900"/>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1" w:name="_Toc377540785"/>
            <w:r>
              <w:rPr>
                <w:rFonts w:ascii="Arial" w:hAnsi="宋体"/>
                <w:b/>
                <w:color w:val="000000" w:themeColor="text1"/>
                <w:sz w:val="24"/>
                <w:highlight w:val="none"/>
                <w14:textFill>
                  <w14:solidFill>
                    <w14:schemeClr w14:val="tx1"/>
                  </w14:solidFill>
                </w14:textFill>
              </w:rPr>
              <w:t>设备</w:t>
            </w:r>
            <w:bookmarkEnd w:id="1901"/>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2" w:name="_Toc377540786"/>
            <w:r>
              <w:rPr>
                <w:rFonts w:ascii="Arial" w:hAnsi="宋体"/>
                <w:b/>
                <w:color w:val="000000" w:themeColor="text1"/>
                <w:sz w:val="24"/>
                <w:highlight w:val="none"/>
                <w14:textFill>
                  <w14:solidFill>
                    <w14:schemeClr w14:val="tx1"/>
                  </w14:solidFill>
                </w14:textFill>
              </w:rPr>
              <w:t>名称</w:t>
            </w:r>
            <w:bookmarkEnd w:id="1902"/>
          </w:p>
        </w:tc>
        <w:tc>
          <w:tcPr>
            <w:tcW w:w="1027"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3" w:name="_Toc377540787"/>
            <w:r>
              <w:rPr>
                <w:rFonts w:ascii="Arial" w:hAnsi="宋体"/>
                <w:b/>
                <w:color w:val="000000" w:themeColor="text1"/>
                <w:sz w:val="24"/>
                <w:highlight w:val="none"/>
                <w14:textFill>
                  <w14:solidFill>
                    <w14:schemeClr w14:val="tx1"/>
                  </w14:solidFill>
                </w14:textFill>
              </w:rPr>
              <w:t>规格</w:t>
            </w:r>
            <w:bookmarkEnd w:id="1903"/>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4" w:name="_Toc377540788"/>
            <w:r>
              <w:rPr>
                <w:rFonts w:ascii="Arial" w:hAnsi="宋体"/>
                <w:b/>
                <w:color w:val="000000" w:themeColor="text1"/>
                <w:sz w:val="24"/>
                <w:highlight w:val="none"/>
                <w14:textFill>
                  <w14:solidFill>
                    <w14:schemeClr w14:val="tx1"/>
                  </w14:solidFill>
                </w14:textFill>
              </w:rPr>
              <w:t>型号</w:t>
            </w:r>
            <w:bookmarkEnd w:id="1904"/>
          </w:p>
        </w:tc>
        <w:tc>
          <w:tcPr>
            <w:tcW w:w="612"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5" w:name="_Toc377540789"/>
            <w:r>
              <w:rPr>
                <w:rFonts w:ascii="Arial" w:hAnsi="宋体"/>
                <w:b/>
                <w:color w:val="000000" w:themeColor="text1"/>
                <w:sz w:val="24"/>
                <w:highlight w:val="none"/>
                <w14:textFill>
                  <w14:solidFill>
                    <w14:schemeClr w14:val="tx1"/>
                  </w14:solidFill>
                </w14:textFill>
              </w:rPr>
              <w:t>单位</w:t>
            </w:r>
            <w:bookmarkEnd w:id="1905"/>
          </w:p>
        </w:tc>
        <w:tc>
          <w:tcPr>
            <w:tcW w:w="612"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6" w:name="_Toc377540790"/>
            <w:r>
              <w:rPr>
                <w:rFonts w:ascii="Arial" w:hAnsi="宋体"/>
                <w:b/>
                <w:color w:val="000000" w:themeColor="text1"/>
                <w:sz w:val="24"/>
                <w:highlight w:val="none"/>
                <w14:textFill>
                  <w14:solidFill>
                    <w14:schemeClr w14:val="tx1"/>
                  </w14:solidFill>
                </w14:textFill>
              </w:rPr>
              <w:t>数量</w:t>
            </w:r>
            <w:bookmarkEnd w:id="1906"/>
          </w:p>
        </w:tc>
        <w:tc>
          <w:tcPr>
            <w:tcW w:w="612"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7" w:name="_Toc377540791"/>
            <w:r>
              <w:rPr>
                <w:rFonts w:ascii="Arial" w:hAnsi="宋体"/>
                <w:b/>
                <w:color w:val="000000" w:themeColor="text1"/>
                <w:sz w:val="24"/>
                <w:highlight w:val="none"/>
                <w14:textFill>
                  <w14:solidFill>
                    <w14:schemeClr w14:val="tx1"/>
                  </w14:solidFill>
                </w14:textFill>
              </w:rPr>
              <w:t>单价</w:t>
            </w:r>
            <w:bookmarkEnd w:id="1907"/>
          </w:p>
        </w:tc>
        <w:tc>
          <w:tcPr>
            <w:tcW w:w="896"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8" w:name="_Toc377540792"/>
            <w:r>
              <w:rPr>
                <w:rFonts w:ascii="Arial" w:hAnsi="宋体"/>
                <w:b/>
                <w:color w:val="000000" w:themeColor="text1"/>
                <w:sz w:val="24"/>
                <w:highlight w:val="none"/>
                <w14:textFill>
                  <w14:solidFill>
                    <w14:schemeClr w14:val="tx1"/>
                  </w14:solidFill>
                </w14:textFill>
              </w:rPr>
              <w:t>交货</w:t>
            </w:r>
            <w:bookmarkEnd w:id="1908"/>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09" w:name="_Toc377540793"/>
            <w:r>
              <w:rPr>
                <w:rFonts w:ascii="Arial" w:hAnsi="宋体"/>
                <w:b/>
                <w:color w:val="000000" w:themeColor="text1"/>
                <w:sz w:val="24"/>
                <w:highlight w:val="none"/>
                <w14:textFill>
                  <w14:solidFill>
                    <w14:schemeClr w14:val="tx1"/>
                  </w14:solidFill>
                </w14:textFill>
              </w:rPr>
              <w:t>方式</w:t>
            </w:r>
            <w:bookmarkEnd w:id="1909"/>
          </w:p>
        </w:tc>
        <w:tc>
          <w:tcPr>
            <w:tcW w:w="896"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0" w:name="_Toc377540794"/>
            <w:r>
              <w:rPr>
                <w:rFonts w:ascii="Arial" w:hAnsi="宋体"/>
                <w:b/>
                <w:color w:val="000000" w:themeColor="text1"/>
                <w:sz w:val="24"/>
                <w:highlight w:val="none"/>
                <w14:textFill>
                  <w14:solidFill>
                    <w14:schemeClr w14:val="tx1"/>
                  </w14:solidFill>
                </w14:textFill>
              </w:rPr>
              <w:t>交货</w:t>
            </w:r>
            <w:bookmarkEnd w:id="1910"/>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1" w:name="_Toc377540795"/>
            <w:r>
              <w:rPr>
                <w:rFonts w:ascii="Arial" w:hAnsi="宋体"/>
                <w:b/>
                <w:color w:val="000000" w:themeColor="text1"/>
                <w:sz w:val="24"/>
                <w:highlight w:val="none"/>
                <w14:textFill>
                  <w14:solidFill>
                    <w14:schemeClr w14:val="tx1"/>
                  </w14:solidFill>
                </w14:textFill>
              </w:rPr>
              <w:t>地点</w:t>
            </w:r>
            <w:bookmarkEnd w:id="1911"/>
          </w:p>
        </w:tc>
        <w:tc>
          <w:tcPr>
            <w:tcW w:w="896"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2" w:name="_Toc377540796"/>
            <w:r>
              <w:rPr>
                <w:rFonts w:ascii="Arial" w:hAnsi="宋体"/>
                <w:b/>
                <w:color w:val="000000" w:themeColor="text1"/>
                <w:sz w:val="24"/>
                <w:highlight w:val="none"/>
                <w14:textFill>
                  <w14:solidFill>
                    <w14:schemeClr w14:val="tx1"/>
                  </w14:solidFill>
                </w14:textFill>
              </w:rPr>
              <w:t>计划</w:t>
            </w:r>
            <w:bookmarkEnd w:id="1912"/>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3" w:name="_Toc377540797"/>
            <w:r>
              <w:rPr>
                <w:rFonts w:ascii="Arial" w:hAnsi="宋体"/>
                <w:b/>
                <w:color w:val="000000" w:themeColor="text1"/>
                <w:sz w:val="24"/>
                <w:highlight w:val="none"/>
                <w14:textFill>
                  <w14:solidFill>
                    <w14:schemeClr w14:val="tx1"/>
                  </w14:solidFill>
                </w14:textFill>
              </w:rPr>
              <w:t>交货</w:t>
            </w:r>
            <w:bookmarkEnd w:id="1913"/>
          </w:p>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4" w:name="_Toc377540798"/>
            <w:r>
              <w:rPr>
                <w:rFonts w:ascii="Arial" w:hAnsi="宋体"/>
                <w:b/>
                <w:color w:val="000000" w:themeColor="text1"/>
                <w:sz w:val="24"/>
                <w:highlight w:val="none"/>
                <w14:textFill>
                  <w14:solidFill>
                    <w14:schemeClr w14:val="tx1"/>
                  </w14:solidFill>
                </w14:textFill>
              </w:rPr>
              <w:t>时间</w:t>
            </w:r>
            <w:bookmarkEnd w:id="1914"/>
          </w:p>
        </w:tc>
        <w:tc>
          <w:tcPr>
            <w:tcW w:w="896" w:type="dxa"/>
            <w:noWrap w:val="0"/>
            <w:vAlign w:val="center"/>
          </w:tcPr>
          <w:p>
            <w:pPr>
              <w:adjustRightInd w:val="0"/>
              <w:spacing w:line="260" w:lineRule="exact"/>
              <w:jc w:val="center"/>
              <w:textAlignment w:val="baseline"/>
              <w:rPr>
                <w:rFonts w:ascii="Arial" w:hAnsi="Arial"/>
                <w:b/>
                <w:color w:val="000000" w:themeColor="text1"/>
                <w:sz w:val="24"/>
                <w:highlight w:val="none"/>
                <w14:textFill>
                  <w14:solidFill>
                    <w14:schemeClr w14:val="tx1"/>
                  </w14:solidFill>
                </w14:textFill>
              </w:rPr>
            </w:pPr>
            <w:bookmarkStart w:id="1915" w:name="_Toc377540799"/>
            <w:r>
              <w:rPr>
                <w:rFonts w:ascii="Arial" w:hAnsi="宋体"/>
                <w:b/>
                <w:color w:val="000000" w:themeColor="text1"/>
                <w:sz w:val="24"/>
                <w:highlight w:val="none"/>
                <w14:textFill>
                  <w14:solidFill>
                    <w14:schemeClr w14:val="tx1"/>
                  </w14:solidFill>
                </w14:textFill>
              </w:rPr>
              <w:t>备注</w:t>
            </w:r>
            <w:bookmarkEnd w:id="191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80" w:lineRule="exact"/>
              <w:jc w:val="center"/>
              <w:textAlignment w:val="baseline"/>
              <w:rPr>
                <w:rFonts w:ascii="Arial" w:hAnsi="Arial"/>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80" w:lineRule="exact"/>
              <w:jc w:val="center"/>
              <w:textAlignment w:val="baseline"/>
              <w:rPr>
                <w:rFonts w:ascii="Arial" w:hAnsi="Arial"/>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80" w:lineRule="exact"/>
              <w:jc w:val="center"/>
              <w:textAlignment w:val="baseline"/>
              <w:rPr>
                <w:rFonts w:hint="eastAsia" w:ascii="Arial" w:hAnsi="Arial"/>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hint="eastAsia"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168"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1027"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612"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c>
          <w:tcPr>
            <w:tcW w:w="896" w:type="dxa"/>
            <w:noWrap w:val="0"/>
            <w:vAlign w:val="top"/>
          </w:tcPr>
          <w:p>
            <w:pPr>
              <w:adjustRightInd w:val="0"/>
              <w:spacing w:before="240" w:after="60" w:line="260" w:lineRule="exact"/>
              <w:jc w:val="center"/>
              <w:textAlignment w:val="baseline"/>
              <w:rPr>
                <w:rFonts w:ascii="Arial" w:hAnsi="Arial"/>
                <w:b/>
                <w:color w:val="000000" w:themeColor="text1"/>
                <w:sz w:val="24"/>
                <w:highlight w:val="none"/>
                <w14:textFill>
                  <w14:solidFill>
                    <w14:schemeClr w14:val="tx1"/>
                  </w14:solidFill>
                </w14:textFill>
              </w:rPr>
            </w:pPr>
          </w:p>
        </w:tc>
      </w:tr>
    </w:tbl>
    <w:p>
      <w:pPr>
        <w:spacing w:line="380" w:lineRule="exact"/>
        <w:ind w:left="482" w:hanging="482" w:hangingChars="200"/>
        <w:rPr>
          <w:rFonts w:hint="eastAsia" w:ascii="宋体" w:hAnsi="宋体"/>
          <w:color w:val="000000" w:themeColor="text1"/>
          <w:sz w:val="24"/>
          <w:highlight w:val="none"/>
          <w14:textFill>
            <w14:solidFill>
              <w14:schemeClr w14:val="tx1"/>
            </w14:solidFill>
          </w14:textFill>
        </w:rPr>
      </w:pPr>
      <w:r>
        <w:rPr>
          <w:rFonts w:hint="eastAsia" w:ascii="黑体" w:hAnsi="宋体" w:eastAsia="黑体"/>
          <w:b/>
          <w:color w:val="000000" w:themeColor="text1"/>
          <w:sz w:val="24"/>
          <w:highlight w:val="none"/>
          <w14:textFill>
            <w14:solidFill>
              <w14:schemeClr w14:val="tx1"/>
            </w14:solidFill>
          </w14:textFill>
        </w:rPr>
        <w:t>备注：</w:t>
      </w:r>
      <w:r>
        <w:rPr>
          <w:rFonts w:hint="eastAsia" w:ascii="宋体" w:hAnsi="宋体"/>
          <w:color w:val="000000" w:themeColor="text1"/>
          <w:sz w:val="24"/>
          <w:highlight w:val="none"/>
          <w14:textFill>
            <w14:solidFill>
              <w14:schemeClr w14:val="tx1"/>
            </w14:solidFill>
          </w14:textFill>
        </w:rPr>
        <w:t>除合同另有约定外，本表所列发包人供应材料和工程设备的数量不考虑施工损耗，施工损耗被认为已经包括在承包人的投标价格中。</w:t>
      </w:r>
    </w:p>
    <w:p>
      <w:pPr>
        <w:spacing w:before="120" w:beforeLines="50" w:line="580" w:lineRule="exact"/>
        <w:outlineLvl w:val="1"/>
        <w:rPr>
          <w:rFonts w:hint="eastAsia" w:hAnsi="宋体" w:eastAsia="宋体"/>
          <w:b/>
          <w:color w:val="000000" w:themeColor="text1"/>
          <w:sz w:val="24"/>
          <w:highlight w:val="none"/>
          <w:lang w:eastAsia="zh-CN"/>
          <w14:textFill>
            <w14:solidFill>
              <w14:schemeClr w14:val="tx1"/>
            </w14:solidFill>
          </w14:textFill>
        </w:rPr>
      </w:pPr>
      <w:bookmarkStart w:id="1916" w:name="_Toc354042313"/>
      <w:r>
        <w:rPr>
          <w:rFonts w:hAnsi="宋体"/>
          <w:b/>
          <w:color w:val="000000" w:themeColor="text1"/>
          <w:sz w:val="24"/>
          <w:highlight w:val="none"/>
          <w14:textFill>
            <w14:solidFill>
              <w14:schemeClr w14:val="tx1"/>
            </w14:solidFill>
          </w14:textFill>
        </w:rPr>
        <w:br w:type="page"/>
      </w:r>
      <w:bookmarkStart w:id="1917" w:name="_Toc3804"/>
      <w:bookmarkStart w:id="1918" w:name="_Toc24451"/>
      <w:bookmarkStart w:id="1919" w:name="_Toc100504379"/>
      <w:bookmarkStart w:id="1920" w:name="_Toc26556"/>
      <w:r>
        <w:rPr>
          <w:rFonts w:hint="eastAsia" w:hAnsi="宋体"/>
          <w:b/>
          <w:color w:val="000000" w:themeColor="text1"/>
          <w:sz w:val="24"/>
          <w:highlight w:val="none"/>
          <w14:textFill>
            <w14:solidFill>
              <w14:schemeClr w14:val="tx1"/>
            </w14:solidFill>
          </w14:textFill>
        </w:rPr>
        <w:t>附件三：预付款担保格式</w:t>
      </w:r>
      <w:bookmarkEnd w:id="1916"/>
      <w:r>
        <w:rPr>
          <w:rFonts w:hint="eastAsia" w:hAnsi="宋体"/>
          <w:color w:val="000000" w:themeColor="text1"/>
          <w:sz w:val="24"/>
          <w:highlight w:val="none"/>
          <w14:textFill>
            <w14:solidFill>
              <w14:schemeClr w14:val="tx1"/>
            </w14:solidFill>
          </w14:textFill>
        </w:rPr>
        <w:t>（建议格式，最终以担保银行格式为准）</w:t>
      </w:r>
      <w:bookmarkEnd w:id="1917"/>
      <w:bookmarkEnd w:id="1918"/>
      <w:bookmarkEnd w:id="1919"/>
      <w:bookmarkEnd w:id="1920"/>
      <w:r>
        <w:rPr>
          <w:rFonts w:hint="eastAsia" w:hAnsi="宋体"/>
          <w:color w:val="000000" w:themeColor="text1"/>
          <w:sz w:val="24"/>
          <w:highlight w:val="none"/>
          <w:lang w:eastAsia="zh-CN"/>
          <w14:textFill>
            <w14:solidFill>
              <w14:schemeClr w14:val="tx1"/>
            </w14:solidFill>
          </w14:textFill>
        </w:rPr>
        <w:t>（本项目不适用）</w:t>
      </w:r>
    </w:p>
    <w:p>
      <w:pPr>
        <w:spacing w:before="192" w:beforeLines="80" w:after="240" w:afterLines="100" w:line="400" w:lineRule="exact"/>
        <w:jc w:val="center"/>
        <w:rPr>
          <w:rFonts w:hint="eastAsia"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预付款担保</w:t>
      </w:r>
    </w:p>
    <w:p>
      <w:pPr>
        <w:spacing w:line="560" w:lineRule="exact"/>
        <w:ind w:firstLine="480" w:firstLineChars="200"/>
        <w:jc w:val="center"/>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保函编号：</w:t>
      </w:r>
      <w:r>
        <w:rPr>
          <w:color w:val="000000" w:themeColor="text1"/>
          <w:sz w:val="24"/>
          <w:highlight w:val="none"/>
          <w14:textFill>
            <w14:solidFill>
              <w14:schemeClr w14:val="tx1"/>
            </w14:solidFill>
          </w14:textFill>
        </w:rPr>
        <w:t xml:space="preserve">          </w:t>
      </w:r>
    </w:p>
    <w:p>
      <w:pPr>
        <w:spacing w:line="560" w:lineRule="exact"/>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发包人名称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p>
    <w:p>
      <w:pPr>
        <w:spacing w:line="560" w:lineRule="exact"/>
        <w:ind w:firstLine="480" w:firstLineChars="200"/>
        <w:jc w:val="lef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鉴于你方作为发包人已经与</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承包人名称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以下称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于</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月</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日签订了</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工程名称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合同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以下称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主合同</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w:t>
      </w:r>
    </w:p>
    <w:p>
      <w:pPr>
        <w:spacing w:line="560" w:lineRule="exact"/>
        <w:ind w:firstLine="456" w:firstLineChars="200"/>
        <w:jc w:val="left"/>
        <w:rPr>
          <w:color w:val="000000" w:themeColor="text1"/>
          <w:sz w:val="24"/>
          <w:highlight w:val="none"/>
          <w14:textFill>
            <w14:solidFill>
              <w14:schemeClr w14:val="tx1"/>
            </w14:solidFill>
          </w14:textFill>
        </w:rPr>
      </w:pPr>
      <w:r>
        <w:rPr>
          <w:rFonts w:hAnsi="宋体"/>
          <w:color w:val="000000" w:themeColor="text1"/>
          <w:spacing w:val="-6"/>
          <w:sz w:val="24"/>
          <w:highlight w:val="none"/>
          <w14:textFill>
            <w14:solidFill>
              <w14:schemeClr w14:val="tx1"/>
            </w14:solidFill>
          </w14:textFill>
        </w:rPr>
        <w:t>鉴于该主合同规定，你方将支付承包人一笔金额为</w:t>
      </w:r>
      <w:r>
        <w:rPr>
          <w:color w:val="000000" w:themeColor="text1"/>
          <w:spacing w:val="-6"/>
          <w:sz w:val="24"/>
          <w:highlight w:val="none"/>
          <w14:textFill>
            <w14:solidFill>
              <w14:schemeClr w14:val="tx1"/>
            </w14:solidFill>
          </w14:textFill>
        </w:rPr>
        <w:t xml:space="preserve">  </w:t>
      </w:r>
      <w:r>
        <w:rPr>
          <w:rFonts w:hint="eastAsia"/>
          <w:color w:val="000000" w:themeColor="text1"/>
          <w:spacing w:val="-6"/>
          <w:sz w:val="24"/>
          <w:highlight w:val="none"/>
          <w14:textFill>
            <w14:solidFill>
              <w14:schemeClr w14:val="tx1"/>
            </w14:solidFill>
          </w14:textFill>
        </w:rPr>
        <w:t xml:space="preserve">  </w:t>
      </w:r>
      <w:r>
        <w:rPr>
          <w:color w:val="000000" w:themeColor="text1"/>
          <w:spacing w:val="-6"/>
          <w:sz w:val="24"/>
          <w:highlight w:val="none"/>
          <w14:textFill>
            <w14:solidFill>
              <w14:schemeClr w14:val="tx1"/>
            </w14:solidFill>
          </w14:textFill>
        </w:rPr>
        <w:t xml:space="preserve">    （</w:t>
      </w:r>
      <w:r>
        <w:rPr>
          <w:rFonts w:hAnsi="宋体"/>
          <w:color w:val="000000" w:themeColor="text1"/>
          <w:spacing w:val="-6"/>
          <w:sz w:val="24"/>
          <w:highlight w:val="none"/>
          <w14:textFill>
            <w14:solidFill>
              <w14:schemeClr w14:val="tx1"/>
            </w14:solidFill>
          </w14:textFill>
        </w:rPr>
        <w:t>大写：</w:t>
      </w:r>
      <w:r>
        <w:rPr>
          <w:color w:val="000000" w:themeColor="text1"/>
          <w:spacing w:val="-6"/>
          <w:sz w:val="24"/>
          <w:highlight w:val="none"/>
          <w14:textFill>
            <w14:solidFill>
              <w14:schemeClr w14:val="tx1"/>
            </w14:solidFill>
          </w14:textFill>
        </w:rPr>
        <w:t xml:space="preserve">  </w:t>
      </w:r>
      <w:r>
        <w:rPr>
          <w:rFonts w:hint="eastAsia"/>
          <w:color w:val="000000" w:themeColor="text1"/>
          <w:spacing w:val="-6"/>
          <w:sz w:val="24"/>
          <w:highlight w:val="none"/>
          <w14:textFill>
            <w14:solidFill>
              <w14:schemeClr w14:val="tx1"/>
            </w14:solidFill>
          </w14:textFill>
        </w:rPr>
        <w:t xml:space="preserve"> </w:t>
      </w:r>
      <w:r>
        <w:rPr>
          <w:color w:val="000000" w:themeColor="text1"/>
          <w:spacing w:val="-6"/>
          <w:sz w:val="24"/>
          <w:highlight w:val="none"/>
          <w14:textFill>
            <w14:solidFill>
              <w14:schemeClr w14:val="tx1"/>
            </w14:solidFill>
          </w14:textFill>
        </w:rPr>
        <w:t xml:space="preserve">   </w:t>
      </w:r>
      <w:r>
        <w:rPr>
          <w:rFonts w:hint="eastAsia"/>
          <w:color w:val="000000" w:themeColor="text1"/>
          <w:spacing w:val="-6"/>
          <w:sz w:val="24"/>
          <w:highlight w:val="none"/>
          <w14:textFill>
            <w14:solidFill>
              <w14:schemeClr w14:val="tx1"/>
            </w14:solidFill>
          </w14:textFill>
        </w:rPr>
        <w:t xml:space="preserve"> </w:t>
      </w:r>
      <w:r>
        <w:rPr>
          <w:color w:val="000000" w:themeColor="text1"/>
          <w:spacing w:val="-6"/>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的预付款</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以下称</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预付款</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，而承包人须向你方提供与预付款等额的不可撤消和无条件兑现的预付款保函。</w:t>
      </w:r>
    </w:p>
    <w:p>
      <w:pPr>
        <w:spacing w:line="560" w:lineRule="exact"/>
        <w:ind w:firstLine="456" w:firstLineChars="200"/>
        <w:jc w:val="left"/>
        <w:rPr>
          <w:color w:val="000000" w:themeColor="text1"/>
          <w:spacing w:val="-6"/>
          <w:sz w:val="24"/>
          <w:highlight w:val="none"/>
          <w14:textFill>
            <w14:solidFill>
              <w14:schemeClr w14:val="tx1"/>
            </w14:solidFill>
          </w14:textFill>
        </w:rPr>
      </w:pPr>
      <w:r>
        <w:rPr>
          <w:rFonts w:hAnsi="宋体"/>
          <w:color w:val="000000" w:themeColor="text1"/>
          <w:spacing w:val="-6"/>
          <w:sz w:val="24"/>
          <w:highlight w:val="none"/>
          <w14:textFill>
            <w14:solidFill>
              <w14:schemeClr w14:val="tx1"/>
            </w14:solidFill>
          </w14:textFill>
        </w:rPr>
        <w:t>我方受承包人委托，为承包人履行主合同规定的义务作出如下不可撤销的保证：</w:t>
      </w:r>
    </w:p>
    <w:p>
      <w:pPr>
        <w:spacing w:line="560" w:lineRule="exact"/>
        <w:ind w:firstLine="480" w:firstLineChars="200"/>
        <w:jc w:val="left"/>
        <w:rPr>
          <w:rFonts w:hint="eastAsia"/>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我方将在收到你方提出要求收回上述预付款金额的部分或全部的索偿通知时，无须你方提出任何证明或证据，立即无条件地向你方支付不超过</w:t>
      </w:r>
      <w:r>
        <w:rPr>
          <w:color w:val="000000" w:themeColor="text1"/>
          <w:sz w:val="24"/>
          <w:highlight w:val="none"/>
          <w14:textFill>
            <w14:solidFill>
              <w14:schemeClr w14:val="tx1"/>
            </w14:solidFill>
          </w14:textFill>
        </w:rPr>
        <w:t xml:space="preserve">         </w:t>
      </w:r>
    </w:p>
    <w:p>
      <w:pPr>
        <w:spacing w:line="560" w:lineRule="exact"/>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大写：</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或根据本保函约定递减后的其他金额的任何你方要求的金额，并放弃向你方追索的权力。</w:t>
      </w:r>
    </w:p>
    <w:p>
      <w:pPr>
        <w:spacing w:line="560" w:lineRule="exact"/>
        <w:ind w:firstLine="480" w:firstLineChars="200"/>
        <w:jc w:val="lef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我方特此确认并同意：我方受本保函制约的责任是连续的，主合同的任何修改、变更、中止、终止或失效都不能削弱或影响我方受本保函制约的责任。</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在收到你方的书面通知后，本保函的担保金额将根据你方依主合同签认的进度付款证书中累计扣回的预付款金额作等额调减。</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本保函自预付款支付给承包人起生效，至你方签发的进度付款证书说明已抵扣完毕止。</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除非你方提前终止或解除本保函。本保函失效后请将本保函退回我方注销。</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本保函项下所有权利和义务均受中华人民共和国法律管辖和制约。</w:t>
      </w:r>
    </w:p>
    <w:p>
      <w:pPr>
        <w:spacing w:line="560" w:lineRule="exact"/>
        <w:ind w:firstLine="480" w:firstLineChars="200"/>
        <w:rPr>
          <w:color w:val="000000" w:themeColor="text1"/>
          <w:sz w:val="24"/>
          <w:highlight w:val="none"/>
          <w14:textFill>
            <w14:solidFill>
              <w14:schemeClr w14:val="tx1"/>
            </w14:solidFill>
          </w14:textFill>
        </w:rPr>
      </w:pP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担保人：</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盖单位章</w:t>
      </w:r>
      <w:r>
        <w:rPr>
          <w:color w:val="000000" w:themeColor="text1"/>
          <w:sz w:val="24"/>
          <w:highlight w:val="none"/>
          <w14:textFill>
            <w14:solidFill>
              <w14:schemeClr w14:val="tx1"/>
            </w14:solidFill>
          </w14:textFill>
        </w:rPr>
        <w:t>）</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法定代表人或其委托代理人：</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签字</w:t>
      </w:r>
      <w:r>
        <w:rPr>
          <w:color w:val="000000" w:themeColor="text1"/>
          <w:sz w:val="24"/>
          <w:highlight w:val="none"/>
          <w14:textFill>
            <w14:solidFill>
              <w14:schemeClr w14:val="tx1"/>
            </w14:solidFill>
          </w14:textFill>
        </w:rPr>
        <w:t>）</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地</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址：</w:t>
      </w:r>
      <w:r>
        <w:rPr>
          <w:color w:val="000000" w:themeColor="text1"/>
          <w:sz w:val="24"/>
          <w:highlight w:val="none"/>
          <w14:textFill>
            <w14:solidFill>
              <w14:schemeClr w14:val="tx1"/>
            </w14:solidFill>
          </w14:textFill>
        </w:rPr>
        <w:t xml:space="preserve">                               </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邮政编码：</w:t>
      </w:r>
      <w:r>
        <w:rPr>
          <w:color w:val="000000" w:themeColor="text1"/>
          <w:sz w:val="24"/>
          <w:highlight w:val="none"/>
          <w14:textFill>
            <w14:solidFill>
              <w14:schemeClr w14:val="tx1"/>
            </w14:solidFill>
          </w14:textFill>
        </w:rPr>
        <w:t xml:space="preserve">                               </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电</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话：</w:t>
      </w:r>
      <w:r>
        <w:rPr>
          <w:color w:val="000000" w:themeColor="text1"/>
          <w:sz w:val="24"/>
          <w:highlight w:val="none"/>
          <w14:textFill>
            <w14:solidFill>
              <w14:schemeClr w14:val="tx1"/>
            </w14:solidFill>
          </w14:textFill>
        </w:rPr>
        <w:t xml:space="preserve">                               </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传</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真：</w:t>
      </w:r>
      <w:r>
        <w:rPr>
          <w:color w:val="000000" w:themeColor="text1"/>
          <w:sz w:val="24"/>
          <w:highlight w:val="none"/>
          <w14:textFill>
            <w14:solidFill>
              <w14:schemeClr w14:val="tx1"/>
            </w14:solidFill>
          </w14:textFill>
        </w:rPr>
        <w:t xml:space="preserve">                               </w:t>
      </w:r>
    </w:p>
    <w:p>
      <w:pPr>
        <w:spacing w:line="560" w:lineRule="exact"/>
        <w:ind w:firstLine="480" w:firstLineChars="200"/>
        <w:jc w:val="righ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月</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日</w:t>
      </w:r>
      <w:r>
        <w:rPr>
          <w:color w:val="000000" w:themeColor="text1"/>
          <w:sz w:val="24"/>
          <w:highlight w:val="none"/>
          <w14:textFill>
            <w14:solidFill>
              <w14:schemeClr w14:val="tx1"/>
            </w14:solidFill>
          </w14:textFill>
        </w:rPr>
        <w:t xml:space="preserve">  </w:t>
      </w:r>
    </w:p>
    <w:p>
      <w:pPr>
        <w:spacing w:line="560" w:lineRule="exact"/>
        <w:ind w:firstLine="482" w:firstLineChars="200"/>
        <w:rPr>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备注：</w:t>
      </w:r>
      <w:r>
        <w:rPr>
          <w:rFonts w:hAnsi="宋体"/>
          <w:color w:val="000000" w:themeColor="text1"/>
          <w:sz w:val="24"/>
          <w:highlight w:val="none"/>
          <w14:textFill>
            <w14:solidFill>
              <w14:schemeClr w14:val="tx1"/>
            </w14:solidFill>
          </w14:textFill>
        </w:rPr>
        <w:t>本预付款担保格式可采用经发包人认可的其他格式，但相关内容不得违背合同文件约定的实质性内容。</w:t>
      </w:r>
    </w:p>
    <w:p>
      <w:pPr>
        <w:spacing w:before="120" w:beforeLines="50" w:line="580" w:lineRule="exact"/>
        <w:outlineLvl w:val="1"/>
        <w:rPr>
          <w:rFonts w:hint="eastAsia" w:ascii="宋体" w:hAnsi="宋体"/>
          <w:b/>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bookmarkStart w:id="1921" w:name="_Toc354042314"/>
      <w:bookmarkStart w:id="1922" w:name="_Toc8995"/>
      <w:bookmarkStart w:id="1923" w:name="_Toc7573"/>
      <w:bookmarkStart w:id="1924" w:name="_Toc22643"/>
      <w:bookmarkStart w:id="1925" w:name="_Toc100504380"/>
      <w:r>
        <w:rPr>
          <w:rFonts w:hint="eastAsia" w:hAnsi="宋体"/>
          <w:b/>
          <w:color w:val="000000" w:themeColor="text1"/>
          <w:sz w:val="24"/>
          <w:highlight w:val="none"/>
          <w14:textFill>
            <w14:solidFill>
              <w14:schemeClr w14:val="tx1"/>
            </w14:solidFill>
          </w14:textFill>
        </w:rPr>
        <w:t>附件四：履约担保格式</w:t>
      </w:r>
      <w:bookmarkEnd w:id="1921"/>
      <w:r>
        <w:rPr>
          <w:rFonts w:hint="eastAsia" w:ascii="宋体" w:hAnsi="宋体"/>
          <w:color w:val="000000" w:themeColor="text1"/>
          <w:sz w:val="24"/>
          <w:highlight w:val="none"/>
          <w14:textFill>
            <w14:solidFill>
              <w14:schemeClr w14:val="tx1"/>
            </w14:solidFill>
          </w14:textFill>
        </w:rPr>
        <w:t>（建议格式，最终以银行格式为准）</w:t>
      </w:r>
      <w:bookmarkEnd w:id="1922"/>
      <w:bookmarkEnd w:id="1923"/>
      <w:bookmarkEnd w:id="1924"/>
      <w:bookmarkEnd w:id="1925"/>
    </w:p>
    <w:p>
      <w:pPr>
        <w:spacing w:before="192" w:beforeLines="80" w:after="240" w:afterLines="100" w:line="400" w:lineRule="exact"/>
        <w:jc w:val="center"/>
        <w:rPr>
          <w:rFonts w:hint="eastAsia"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承包人履约保函</w:t>
      </w:r>
    </w:p>
    <w:p>
      <w:pPr>
        <w:spacing w:line="440" w:lineRule="exact"/>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ab/>
      </w:r>
      <w:r>
        <w:rPr>
          <w:rFonts w:eastAsia="仿宋_GB2312"/>
          <w:color w:val="000000" w:themeColor="text1"/>
          <w:sz w:val="30"/>
          <w:szCs w:val="30"/>
          <w:highlight w:val="none"/>
          <w14:textFill>
            <w14:solidFill>
              <w14:schemeClr w14:val="tx1"/>
            </w14:solidFill>
          </w14:textFill>
        </w:rPr>
        <w:t>（发包人名称）：</w:t>
      </w:r>
    </w:p>
    <w:p>
      <w:pPr>
        <w:spacing w:line="440" w:lineRule="exact"/>
        <w:rPr>
          <w:rFonts w:eastAsia="仿宋_GB2312"/>
          <w:color w:val="000000" w:themeColor="text1"/>
          <w:sz w:val="30"/>
          <w:szCs w:val="30"/>
          <w:highlight w:val="none"/>
          <w14:textFill>
            <w14:solidFill>
              <w14:schemeClr w14:val="tx1"/>
            </w14:solidFill>
          </w14:textFill>
        </w:rPr>
      </w:pP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鉴于</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 xml:space="preserve">（发包人名称，以下简称“发包人”）与 </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（承包人名称）（以下称“承包人”）于</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年</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月</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日就</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 xml:space="preserve">（工程名称）施工及有关事项协商一致共同签订《XXXX合同》。我方愿意无条件地、不可撤销地就承包人履行与你方签订的合同，向你方提供连带责任担保。 </w:t>
      </w: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1. 担保金额</w:t>
      </w:r>
      <w:r>
        <w:rPr>
          <w:rFonts w:hint="eastAsia" w:eastAsia="仿宋_GB2312"/>
          <w:color w:val="000000" w:themeColor="text1"/>
          <w:sz w:val="30"/>
          <w:szCs w:val="30"/>
          <w:highlight w:val="none"/>
          <w14:textFill>
            <w14:solidFill>
              <w14:schemeClr w14:val="tx1"/>
            </w14:solidFill>
          </w14:textFill>
        </w:rPr>
        <w:t>：履约担保金额为中标价的10%，即：</w:t>
      </w:r>
      <w:r>
        <w:rPr>
          <w:rFonts w:eastAsia="仿宋_GB2312"/>
          <w:color w:val="000000" w:themeColor="text1"/>
          <w:sz w:val="30"/>
          <w:szCs w:val="30"/>
          <w:highlight w:val="none"/>
          <w14:textFill>
            <w14:solidFill>
              <w14:schemeClr w14:val="tx1"/>
            </w14:solidFill>
          </w14:textFill>
        </w:rPr>
        <w:t>人民币（大写）</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元（¥</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w:t>
      </w: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2. 担保有效期</w:t>
      </w:r>
      <w:r>
        <w:rPr>
          <w:rFonts w:hint="eastAsia" w:eastAsia="仿宋_GB2312"/>
          <w:color w:val="000000" w:themeColor="text1"/>
          <w:sz w:val="30"/>
          <w:szCs w:val="30"/>
          <w:highlight w:val="none"/>
          <w14:textFill>
            <w14:solidFill>
              <w14:schemeClr w14:val="tx1"/>
            </w14:solidFill>
          </w14:textFill>
        </w:rPr>
        <w:t>间不得少于自你方与承包人签订的合同生效之日起至工程实际竣工之日止；若工期延误，则保函担保期相应顺延或由承包人另行办理保函。</w:t>
      </w: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3. 在本担保有效期内，因承包人违反合同约定的义务给你方造成经济损失时，我方在收到你方以书面形式提出的在担保金额内的赔偿要求后，在</w:t>
      </w:r>
      <w:r>
        <w:rPr>
          <w:rFonts w:hint="eastAsia" w:eastAsia="仿宋_GB2312"/>
          <w:color w:val="000000" w:themeColor="text1"/>
          <w:sz w:val="30"/>
          <w:szCs w:val="30"/>
          <w:highlight w:val="none"/>
          <w14:textFill>
            <w14:solidFill>
              <w14:schemeClr w14:val="tx1"/>
            </w14:solidFill>
          </w14:textFill>
        </w:rPr>
        <w:t>10个工作日</w:t>
      </w:r>
      <w:r>
        <w:rPr>
          <w:rFonts w:eastAsia="仿宋_GB2312"/>
          <w:color w:val="000000" w:themeColor="text1"/>
          <w:sz w:val="30"/>
          <w:szCs w:val="30"/>
          <w:highlight w:val="none"/>
          <w14:textFill>
            <w14:solidFill>
              <w14:schemeClr w14:val="tx1"/>
            </w14:solidFill>
          </w14:textFill>
        </w:rPr>
        <w:t>内无条件支付。</w:t>
      </w: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4. 你方和承包人按合同约定变更合同时，我方承担本担保规定的义务不变。</w:t>
      </w:r>
    </w:p>
    <w:p>
      <w:pPr>
        <w:spacing w:line="360" w:lineRule="auto"/>
        <w:ind w:firstLine="600" w:firstLineChars="200"/>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5. 因本保函发生的纠纷，可由双方协商解决，协商不成的，任何一方均可依法向</w:t>
      </w:r>
      <w:r>
        <w:rPr>
          <w:rFonts w:eastAsia="仿宋_GB2312"/>
          <w:color w:val="000000" w:themeColor="text1"/>
          <w:sz w:val="30"/>
          <w:szCs w:val="30"/>
          <w:highlight w:val="none"/>
          <w:u w:val="single"/>
          <w14:textFill>
            <w14:solidFill>
              <w14:schemeClr w14:val="tx1"/>
            </w14:solidFill>
          </w14:textFill>
        </w:rPr>
        <w:t>广州市</w:t>
      </w:r>
      <w:r>
        <w:rPr>
          <w:rFonts w:hint="eastAsia" w:eastAsia="仿宋_GB2312"/>
          <w:color w:val="000000" w:themeColor="text1"/>
          <w:sz w:val="30"/>
          <w:szCs w:val="30"/>
          <w:highlight w:val="none"/>
          <w:u w:val="single"/>
          <w14:textFill>
            <w14:solidFill>
              <w14:schemeClr w14:val="tx1"/>
            </w14:solidFill>
          </w14:textFill>
        </w:rPr>
        <w:t>番禺区人民法院起诉</w:t>
      </w:r>
      <w:r>
        <w:rPr>
          <w:rFonts w:eastAsia="仿宋_GB2312"/>
          <w:color w:val="000000" w:themeColor="text1"/>
          <w:sz w:val="30"/>
          <w:szCs w:val="30"/>
          <w:highlight w:val="none"/>
          <w14:textFill>
            <w14:solidFill>
              <w14:schemeClr w14:val="tx1"/>
            </w14:solidFill>
          </w14:textFill>
        </w:rPr>
        <w:t>。</w:t>
      </w:r>
    </w:p>
    <w:p>
      <w:pPr>
        <w:spacing w:line="360" w:lineRule="auto"/>
        <w:ind w:firstLine="600" w:firstLineChars="200"/>
        <w:rPr>
          <w:rFonts w:hint="eastAsia"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6. 本保函自我方法定代表人（或其授权代理人）签字并加盖公章之日起生效。</w:t>
      </w:r>
    </w:p>
    <w:p>
      <w:pPr>
        <w:spacing w:line="360" w:lineRule="auto"/>
        <w:rPr>
          <w:rFonts w:hint="eastAsia" w:eastAsia="仿宋_GB2312"/>
          <w:color w:val="000000" w:themeColor="text1"/>
          <w:sz w:val="30"/>
          <w:szCs w:val="30"/>
          <w:highlight w:val="none"/>
          <w14:textFill>
            <w14:solidFill>
              <w14:schemeClr w14:val="tx1"/>
            </w14:solidFill>
          </w14:textFill>
        </w:rPr>
      </w:pPr>
    </w:p>
    <w:p>
      <w:pPr>
        <w:spacing w:line="360" w:lineRule="auto"/>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担 保 人：</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（盖单位章）</w:t>
      </w:r>
    </w:p>
    <w:p>
      <w:pPr>
        <w:spacing w:line="360" w:lineRule="auto"/>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法定代表人或其委托代理人：</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（签字）</w:t>
      </w:r>
    </w:p>
    <w:p>
      <w:pPr>
        <w:spacing w:line="360" w:lineRule="auto"/>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地    址：</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p>
    <w:p>
      <w:pPr>
        <w:spacing w:line="360" w:lineRule="auto"/>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邮政编码：</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p>
    <w:p>
      <w:pPr>
        <w:spacing w:line="360" w:lineRule="auto"/>
        <w:rPr>
          <w:rFonts w:eastAsia="仿宋_GB2312"/>
          <w:color w:val="000000" w:themeColor="text1"/>
          <w:sz w:val="30"/>
          <w:szCs w:val="30"/>
          <w:highlight w:val="none"/>
          <w:u w:val="singl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电    话：</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p>
    <w:p>
      <w:pPr>
        <w:spacing w:line="360" w:lineRule="auto"/>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传    真：</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hint="eastAsia"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p>
    <w:p>
      <w:pPr>
        <w:spacing w:line="360" w:lineRule="auto"/>
        <w:jc w:val="left"/>
        <w:rPr>
          <w:rFonts w:eastAsia="仿宋_GB2312"/>
          <w:color w:val="000000" w:themeColor="text1"/>
          <w:sz w:val="30"/>
          <w:szCs w:val="30"/>
          <w:highlight w:val="none"/>
          <w:u w:val="single"/>
          <w14:textFill>
            <w14:solidFill>
              <w14:schemeClr w14:val="tx1"/>
            </w14:solidFill>
          </w14:textFill>
        </w:rPr>
      </w:pPr>
    </w:p>
    <w:p>
      <w:pPr>
        <w:spacing w:line="560" w:lineRule="exact"/>
        <w:ind w:firstLine="600" w:firstLineChars="200"/>
        <w:jc w:val="left"/>
        <w:rPr>
          <w:rFonts w:hint="eastAsia"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 xml:space="preserve">             </w:t>
      </w:r>
      <w:r>
        <w:rPr>
          <w:rFonts w:hint="eastAsia" w:eastAsia="仿宋_GB2312"/>
          <w:color w:val="000000" w:themeColor="text1"/>
          <w:sz w:val="30"/>
          <w:szCs w:val="30"/>
          <w:highlight w:val="none"/>
          <w14:textFill>
            <w14:solidFill>
              <w14:schemeClr w14:val="tx1"/>
            </w14:solidFill>
          </w14:textFill>
        </w:rPr>
        <w:t xml:space="preserve">  </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年</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月</w:t>
      </w:r>
      <w:r>
        <w:rPr>
          <w:rFonts w:eastAsia="仿宋_GB2312"/>
          <w:color w:val="000000" w:themeColor="text1"/>
          <w:sz w:val="30"/>
          <w:szCs w:val="30"/>
          <w:highlight w:val="none"/>
          <w:u w:val="single"/>
          <w14:textFill>
            <w14:solidFill>
              <w14:schemeClr w14:val="tx1"/>
            </w14:solidFill>
          </w14:textFill>
        </w:rPr>
        <w:t xml:space="preserve">        </w:t>
      </w:r>
      <w:r>
        <w:rPr>
          <w:rFonts w:eastAsia="仿宋_GB2312"/>
          <w:color w:val="000000" w:themeColor="text1"/>
          <w:sz w:val="30"/>
          <w:szCs w:val="30"/>
          <w:highlight w:val="none"/>
          <w14:textFill>
            <w14:solidFill>
              <w14:schemeClr w14:val="tx1"/>
            </w14:solidFill>
          </w14:textFill>
        </w:rPr>
        <w:t>日</w:t>
      </w:r>
    </w:p>
    <w:p>
      <w:pPr>
        <w:spacing w:line="560" w:lineRule="exact"/>
        <w:ind w:firstLine="480" w:firstLineChars="200"/>
        <w:jc w:val="left"/>
        <w:rPr>
          <w:color w:val="000000" w:themeColor="text1"/>
          <w:sz w:val="24"/>
          <w:highlight w:val="none"/>
          <w14:textFill>
            <w14:solidFill>
              <w14:schemeClr w14:val="tx1"/>
            </w14:solidFill>
          </w14:textFill>
        </w:rPr>
      </w:pPr>
    </w:p>
    <w:p>
      <w:pPr>
        <w:spacing w:line="560" w:lineRule="exact"/>
        <w:rPr>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备注：</w:t>
      </w:r>
      <w:r>
        <w:rPr>
          <w:rFonts w:hAnsi="宋体"/>
          <w:color w:val="000000" w:themeColor="text1"/>
          <w:sz w:val="24"/>
          <w:highlight w:val="none"/>
          <w14:textFill>
            <w14:solidFill>
              <w14:schemeClr w14:val="tx1"/>
            </w14:solidFill>
          </w14:textFill>
        </w:rPr>
        <w:t>本履约担保格式可以采用经发包人同意的其他格式，但相关内容不得违背合同约定的实质性内容。</w:t>
      </w:r>
    </w:p>
    <w:p>
      <w:pPr>
        <w:spacing w:before="120" w:beforeLines="50" w:line="580" w:lineRule="exact"/>
        <w:outlineLvl w:val="1"/>
        <w:rPr>
          <w:rFonts w:hAnsi="宋体"/>
          <w:b/>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bookmarkStart w:id="1926" w:name="_Toc100504381"/>
      <w:bookmarkStart w:id="1927" w:name="_Toc18297"/>
      <w:bookmarkStart w:id="1928" w:name="_Toc431"/>
      <w:bookmarkStart w:id="1929" w:name="_Toc15811"/>
      <w:bookmarkStart w:id="1930" w:name="_Toc354042315"/>
      <w:r>
        <w:rPr>
          <w:rFonts w:hint="eastAsia" w:hAnsi="宋体"/>
          <w:b/>
          <w:color w:val="000000" w:themeColor="text1"/>
          <w:sz w:val="24"/>
          <w:highlight w:val="none"/>
          <w14:textFill>
            <w14:solidFill>
              <w14:schemeClr w14:val="tx1"/>
            </w14:solidFill>
          </w14:textFill>
        </w:rPr>
        <w:t>附件五：质量保修书格式</w:t>
      </w:r>
      <w:bookmarkEnd w:id="1926"/>
      <w:bookmarkEnd w:id="1927"/>
      <w:bookmarkEnd w:id="1928"/>
      <w:bookmarkEnd w:id="1929"/>
      <w:bookmarkEnd w:id="1930"/>
    </w:p>
    <w:p>
      <w:pPr>
        <w:spacing w:before="192" w:beforeLines="80" w:after="240" w:afterLines="100" w:line="400" w:lineRule="exact"/>
        <w:jc w:val="center"/>
        <w:rPr>
          <w:rFonts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工程质量保修书</w:t>
      </w:r>
    </w:p>
    <w:p>
      <w:pPr>
        <w:pStyle w:val="64"/>
        <w:spacing w:before="0" w:after="0" w:line="560" w:lineRule="exact"/>
        <w:ind w:left="0" w:right="0"/>
        <w:rPr>
          <w:rFonts w:hint="eastAsia"/>
          <w:b/>
          <w:color w:val="000000" w:themeColor="text1"/>
          <w:szCs w:val="24"/>
          <w:highlight w:val="none"/>
          <w14:textFill>
            <w14:solidFill>
              <w14:schemeClr w14:val="tx1"/>
            </w14:solidFill>
          </w14:textFill>
        </w:rPr>
      </w:pPr>
      <w:r>
        <w:rPr>
          <w:rFonts w:hAnsi="宋体"/>
          <w:b/>
          <w:color w:val="000000" w:themeColor="text1"/>
          <w:szCs w:val="24"/>
          <w:highlight w:val="none"/>
          <w14:textFill>
            <w14:solidFill>
              <w14:schemeClr w14:val="tx1"/>
            </w14:solidFill>
          </w14:textFill>
        </w:rPr>
        <w:t>发包人（全称）：</w:t>
      </w:r>
      <w:r>
        <w:rPr>
          <w:rFonts w:hint="eastAsia"/>
          <w:b/>
          <w:color w:val="000000" w:themeColor="text1"/>
          <w:szCs w:val="24"/>
          <w:highlight w:val="none"/>
          <w:u w:val="single"/>
          <w14:textFill>
            <w14:solidFill>
              <w14:schemeClr w14:val="tx1"/>
            </w14:solidFill>
          </w14:textFill>
        </w:rPr>
        <w:t>广州市番禺区水务工程建管中心（广州市番禺区水旱灾害防御中心）</w:t>
      </w:r>
    </w:p>
    <w:p>
      <w:pPr>
        <w:pStyle w:val="64"/>
        <w:spacing w:before="0" w:after="0" w:line="560" w:lineRule="exact"/>
        <w:ind w:left="0" w:right="0"/>
        <w:rPr>
          <w:rFonts w:hint="eastAsia"/>
          <w:b/>
          <w:color w:val="000000" w:themeColor="text1"/>
          <w:szCs w:val="24"/>
          <w:highlight w:val="none"/>
          <w:u w:val="single"/>
          <w14:textFill>
            <w14:solidFill>
              <w14:schemeClr w14:val="tx1"/>
            </w14:solidFill>
          </w14:textFill>
        </w:rPr>
      </w:pPr>
      <w:r>
        <w:rPr>
          <w:rFonts w:hAnsi="宋体"/>
          <w:b/>
          <w:color w:val="000000" w:themeColor="text1"/>
          <w:szCs w:val="24"/>
          <w:highlight w:val="none"/>
          <w14:textFill>
            <w14:solidFill>
              <w14:schemeClr w14:val="tx1"/>
            </w14:solidFill>
          </w14:textFill>
        </w:rPr>
        <w:t>承包人（全称）：</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p>
    <w:p>
      <w:pPr>
        <w:pStyle w:val="64"/>
        <w:spacing w:before="0" w:after="0"/>
        <w:ind w:left="0" w:right="0" w:firstLine="480" w:firstLineChars="200"/>
        <w:rPr>
          <w:color w:val="000000" w:themeColor="text1"/>
          <w:szCs w:val="24"/>
          <w:highlight w:val="none"/>
          <w14:textFill>
            <w14:solidFill>
              <w14:schemeClr w14:val="tx1"/>
            </w14:solidFill>
          </w14:textFill>
        </w:rPr>
      </w:pPr>
    </w:p>
    <w:p>
      <w:pPr>
        <w:spacing w:line="52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为保证</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工程名称</w:t>
      </w:r>
      <w:r>
        <w:rPr>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在合理使用期限内正常使用，发包人、承包人协商一致签订工程质量保修书。承包人在质量保修期内按照国务院《建设工程质量管理条例》有关管理规定及双方约定承担工程质量保修责任。</w:t>
      </w:r>
    </w:p>
    <w:p>
      <w:pPr>
        <w:spacing w:before="72" w:beforeLines="30" w:line="5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一、工程质量保修范围和内容</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承包人负责保修施工期间由承包人承包施工的全部工程内容</w:t>
      </w:r>
      <w:r>
        <w:rPr>
          <w:rFonts w:hAnsi="宋体"/>
          <w:color w:val="000000" w:themeColor="text1"/>
          <w:szCs w:val="24"/>
          <w:highlight w:val="none"/>
          <w14:textFill>
            <w14:solidFill>
              <w14:schemeClr w14:val="tx1"/>
            </w14:solidFill>
          </w14:textFill>
        </w:rPr>
        <w:t>。</w:t>
      </w:r>
    </w:p>
    <w:p>
      <w:pPr>
        <w:spacing w:before="72" w:beforeLines="30" w:line="5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二、质量保修期</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质量保修期从工程实际竣工验收通过之日算起。分单项竣工验收的工程，按单项工程分别计算质量保修期。</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双方根据国家有关规定，结合具体工程约定本工程的质量保修期如下：</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（一）基础设施工程、</w:t>
      </w:r>
      <w:r>
        <w:rPr>
          <w:rFonts w:hint="eastAsia" w:hAnsi="宋体"/>
          <w:color w:val="000000" w:themeColor="text1"/>
          <w:szCs w:val="24"/>
          <w:highlight w:val="none"/>
          <w14:textFill>
            <w14:solidFill>
              <w14:schemeClr w14:val="tx1"/>
            </w14:solidFill>
          </w14:textFill>
        </w:rPr>
        <w:t>管道基础（含管道地基处理）、管道主体、</w:t>
      </w:r>
      <w:r>
        <w:rPr>
          <w:rFonts w:hAnsi="宋体"/>
          <w:color w:val="000000" w:themeColor="text1"/>
          <w:szCs w:val="24"/>
          <w:highlight w:val="none"/>
          <w14:textFill>
            <w14:solidFill>
              <w14:schemeClr w14:val="tx1"/>
            </w14:solidFill>
          </w14:textFill>
        </w:rPr>
        <w:t>房屋建筑的地基基础工程和主体结构工程，为设计文件规定的该工程的合理使用年限；</w:t>
      </w:r>
      <w:r>
        <w:rPr>
          <w:color w:val="000000" w:themeColor="text1"/>
          <w:szCs w:val="24"/>
          <w:highlight w:val="none"/>
          <w14:textFill>
            <w14:solidFill>
              <w14:schemeClr w14:val="tx1"/>
            </w14:solidFill>
          </w14:textFill>
        </w:rPr>
        <w:t xml:space="preserve"> </w:t>
      </w:r>
    </w:p>
    <w:p>
      <w:pPr>
        <w:pStyle w:val="64"/>
        <w:spacing w:before="0" w:after="0" w:line="520" w:lineRule="exact"/>
        <w:ind w:left="0" w:right="0" w:firstLine="464" w:firstLineChars="200"/>
        <w:rPr>
          <w:color w:val="000000" w:themeColor="text1"/>
          <w:spacing w:val="-4"/>
          <w:szCs w:val="24"/>
          <w:highlight w:val="none"/>
          <w14:textFill>
            <w14:solidFill>
              <w14:schemeClr w14:val="tx1"/>
            </w14:solidFill>
          </w14:textFill>
        </w:rPr>
      </w:pPr>
      <w:r>
        <w:rPr>
          <w:rFonts w:hAnsi="宋体"/>
          <w:color w:val="000000" w:themeColor="text1"/>
          <w:spacing w:val="-4"/>
          <w:szCs w:val="24"/>
          <w:highlight w:val="none"/>
          <w14:textFill>
            <w14:solidFill>
              <w14:schemeClr w14:val="tx1"/>
            </w14:solidFill>
          </w14:textFill>
        </w:rPr>
        <w:t>（二）屋面防水工程、有防水要求的卫生间、房间</w:t>
      </w:r>
      <w:r>
        <w:rPr>
          <w:rFonts w:hint="eastAsia" w:hAnsi="宋体"/>
          <w:color w:val="000000" w:themeColor="text1"/>
          <w:spacing w:val="-4"/>
          <w:szCs w:val="24"/>
          <w:highlight w:val="none"/>
          <w14:textFill>
            <w14:solidFill>
              <w14:schemeClr w14:val="tx1"/>
            </w14:solidFill>
          </w14:textFill>
        </w:rPr>
        <w:t>等建构筑物</w:t>
      </w:r>
      <w:r>
        <w:rPr>
          <w:rFonts w:hAnsi="宋体"/>
          <w:color w:val="000000" w:themeColor="text1"/>
          <w:spacing w:val="-4"/>
          <w:szCs w:val="24"/>
          <w:highlight w:val="none"/>
          <w14:textFill>
            <w14:solidFill>
              <w14:schemeClr w14:val="tx1"/>
            </w14:solidFill>
          </w14:textFill>
        </w:rPr>
        <w:t>和外墙面的防渗漏，为</w:t>
      </w:r>
      <w:r>
        <w:rPr>
          <w:rFonts w:hint="eastAsia"/>
          <w:color w:val="000000" w:themeColor="text1"/>
          <w:spacing w:val="-4"/>
          <w:szCs w:val="24"/>
          <w:highlight w:val="none"/>
          <w14:textFill>
            <w14:solidFill>
              <w14:schemeClr w14:val="tx1"/>
            </w14:solidFill>
          </w14:textFill>
        </w:rPr>
        <w:t>五</w:t>
      </w:r>
      <w:r>
        <w:rPr>
          <w:rFonts w:hAnsi="宋体"/>
          <w:color w:val="000000" w:themeColor="text1"/>
          <w:spacing w:val="-4"/>
          <w:szCs w:val="24"/>
          <w:highlight w:val="none"/>
          <w14:textFill>
            <w14:solidFill>
              <w14:schemeClr w14:val="tx1"/>
            </w14:solidFill>
          </w14:textFill>
        </w:rPr>
        <w:t>年；</w:t>
      </w:r>
      <w:r>
        <w:rPr>
          <w:color w:val="000000" w:themeColor="text1"/>
          <w:spacing w:val="-4"/>
          <w:szCs w:val="24"/>
          <w:highlight w:val="none"/>
          <w14:textFill>
            <w14:solidFill>
              <w14:schemeClr w14:val="tx1"/>
            </w14:solidFill>
          </w14:textFill>
        </w:rPr>
        <w:t xml:space="preserve"> </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三</w:t>
      </w:r>
      <w:r>
        <w:rPr>
          <w:rFonts w:hAnsi="宋体"/>
          <w:color w:val="000000" w:themeColor="text1"/>
          <w:szCs w:val="24"/>
          <w:highlight w:val="none"/>
          <w14:textFill>
            <w14:solidFill>
              <w14:schemeClr w14:val="tx1"/>
            </w14:solidFill>
          </w14:textFill>
        </w:rPr>
        <w:t>）供热与供冷系统，为</w:t>
      </w:r>
      <w:r>
        <w:rPr>
          <w:rFonts w:hint="eastAsia"/>
          <w:color w:val="000000" w:themeColor="text1"/>
          <w:szCs w:val="24"/>
          <w:highlight w:val="none"/>
          <w14:textFill>
            <w14:solidFill>
              <w14:schemeClr w14:val="tx1"/>
            </w14:solidFill>
          </w14:textFill>
        </w:rPr>
        <w:t>二</w:t>
      </w:r>
      <w:r>
        <w:rPr>
          <w:rFonts w:hAnsi="宋体"/>
          <w:color w:val="000000" w:themeColor="text1"/>
          <w:szCs w:val="24"/>
          <w:highlight w:val="none"/>
          <w14:textFill>
            <w14:solidFill>
              <w14:schemeClr w14:val="tx1"/>
            </w14:solidFill>
          </w14:textFill>
        </w:rPr>
        <w:t>个采暖期、供冷期；</w:t>
      </w:r>
      <w:r>
        <w:rPr>
          <w:color w:val="000000" w:themeColor="text1"/>
          <w:szCs w:val="24"/>
          <w:highlight w:val="none"/>
          <w14:textFill>
            <w14:solidFill>
              <w14:schemeClr w14:val="tx1"/>
            </w14:solidFill>
          </w14:textFill>
        </w:rPr>
        <w:t xml:space="preserve"> </w:t>
      </w:r>
    </w:p>
    <w:p>
      <w:pPr>
        <w:pStyle w:val="64"/>
        <w:spacing w:before="0" w:after="0" w:line="520" w:lineRule="exact"/>
        <w:ind w:left="0" w:right="0" w:firstLine="480" w:firstLineChars="20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四</w:t>
      </w:r>
      <w:r>
        <w:rPr>
          <w:rFonts w:hAnsi="宋体"/>
          <w:color w:val="000000" w:themeColor="text1"/>
          <w:szCs w:val="24"/>
          <w:highlight w:val="none"/>
          <w14:textFill>
            <w14:solidFill>
              <w14:schemeClr w14:val="tx1"/>
            </w14:solidFill>
          </w14:textFill>
        </w:rPr>
        <w:t>）电气管线、给排水管道、设备安装和装修工程，为</w:t>
      </w:r>
      <w:r>
        <w:rPr>
          <w:rFonts w:hint="eastAsia"/>
          <w:color w:val="000000" w:themeColor="text1"/>
          <w:szCs w:val="24"/>
          <w:highlight w:val="none"/>
          <w14:textFill>
            <w14:solidFill>
              <w14:schemeClr w14:val="tx1"/>
            </w14:solidFill>
          </w14:textFill>
        </w:rPr>
        <w:t>二</w:t>
      </w:r>
      <w:r>
        <w:rPr>
          <w:rFonts w:hAnsi="宋体"/>
          <w:color w:val="000000" w:themeColor="text1"/>
          <w:szCs w:val="24"/>
          <w:highlight w:val="none"/>
          <w14:textFill>
            <w14:solidFill>
              <w14:schemeClr w14:val="tx1"/>
            </w14:solidFill>
          </w14:textFill>
        </w:rPr>
        <w:t>年</w:t>
      </w:r>
      <w:r>
        <w:rPr>
          <w:rFonts w:hint="eastAsia" w:hAnsi="宋体"/>
          <w:color w:val="000000" w:themeColor="text1"/>
          <w:szCs w:val="24"/>
          <w:highlight w:val="none"/>
          <w14:textFill>
            <w14:solidFill>
              <w14:schemeClr w14:val="tx1"/>
            </w14:solidFill>
          </w14:textFill>
        </w:rPr>
        <w:t>；</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（五）消防工程，为二年；绿化工程，为一年；</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六</w:t>
      </w:r>
      <w:r>
        <w:rPr>
          <w:rFonts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14:textFill>
            <w14:solidFill>
              <w14:schemeClr w14:val="tx1"/>
            </w14:solidFill>
          </w14:textFill>
        </w:rPr>
        <w:t>其他项目的保修期限约定：</w:t>
      </w:r>
      <w:r>
        <w:rPr>
          <w:rFonts w:hint="eastAsia" w:hAnsi="宋体"/>
          <w:b/>
          <w:color w:val="000000" w:themeColor="text1"/>
          <w:szCs w:val="24"/>
          <w:highlight w:val="none"/>
          <w14:textFill>
            <w14:solidFill>
              <w14:schemeClr w14:val="tx1"/>
            </w14:solidFill>
          </w14:textFill>
        </w:rPr>
        <w:t xml:space="preserve"> 二 </w:t>
      </w:r>
      <w:r>
        <w:rPr>
          <w:rFonts w:hint="eastAsia" w:hAnsi="宋体"/>
          <w:color w:val="000000" w:themeColor="text1"/>
          <w:szCs w:val="24"/>
          <w:highlight w:val="none"/>
          <w14:textFill>
            <w14:solidFill>
              <w14:schemeClr w14:val="tx1"/>
            </w14:solidFill>
          </w14:textFill>
        </w:rPr>
        <w:t>年</w:t>
      </w:r>
      <w:r>
        <w:rPr>
          <w:rFonts w:hAnsi="宋体"/>
          <w:color w:val="000000" w:themeColor="text1"/>
          <w:szCs w:val="24"/>
          <w:highlight w:val="none"/>
          <w14:textFill>
            <w14:solidFill>
              <w14:schemeClr w14:val="tx1"/>
            </w14:solidFill>
          </w14:textFill>
        </w:rPr>
        <w:t>。</w:t>
      </w:r>
    </w:p>
    <w:p>
      <w:pPr>
        <w:spacing w:before="72" w:beforeLines="30" w:line="5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三、质量保修责任</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1</w:t>
      </w:r>
      <w:r>
        <w:rPr>
          <w:rFonts w:hAnsi="宋体"/>
          <w:color w:val="000000" w:themeColor="text1"/>
          <w:szCs w:val="24"/>
          <w:highlight w:val="none"/>
          <w14:textFill>
            <w14:solidFill>
              <w14:schemeClr w14:val="tx1"/>
            </w14:solidFill>
          </w14:textFill>
        </w:rPr>
        <w:t>、属于保修范围、内容的项目，承包人应当在接到保修通知之日起</w:t>
      </w:r>
      <w:r>
        <w:rPr>
          <w:color w:val="000000" w:themeColor="text1"/>
          <w:szCs w:val="24"/>
          <w:highlight w:val="none"/>
          <w14:textFill>
            <w14:solidFill>
              <w14:schemeClr w14:val="tx1"/>
            </w14:solidFill>
          </w14:textFill>
        </w:rPr>
        <w:t>7个</w:t>
      </w:r>
      <w:r>
        <w:rPr>
          <w:rFonts w:hAnsi="宋体"/>
          <w:color w:val="000000" w:themeColor="text1"/>
          <w:szCs w:val="24"/>
          <w:highlight w:val="none"/>
          <w14:textFill>
            <w14:solidFill>
              <w14:schemeClr w14:val="tx1"/>
            </w14:solidFill>
          </w14:textFill>
        </w:rPr>
        <w:t>日历天内派人修理。承包人不在约定期限内派人修理，发包人可以委托</w:t>
      </w:r>
      <w:r>
        <w:rPr>
          <w:rFonts w:hint="eastAsia" w:hAnsi="宋体"/>
          <w:color w:val="000000" w:themeColor="text1"/>
          <w:szCs w:val="24"/>
          <w:highlight w:val="none"/>
          <w14:textFill>
            <w14:solidFill>
              <w14:schemeClr w14:val="tx1"/>
            </w14:solidFill>
          </w14:textFill>
        </w:rPr>
        <w:t>第三方</w:t>
      </w:r>
      <w:r>
        <w:rPr>
          <w:rFonts w:hAnsi="宋体"/>
          <w:color w:val="000000" w:themeColor="text1"/>
          <w:szCs w:val="24"/>
          <w:highlight w:val="none"/>
          <w14:textFill>
            <w14:solidFill>
              <w14:schemeClr w14:val="tx1"/>
            </w14:solidFill>
          </w14:textFill>
        </w:rPr>
        <w:t>修理，保修费用从质量保</w:t>
      </w:r>
      <w:r>
        <w:rPr>
          <w:rFonts w:hint="eastAsia" w:hAnsi="宋体"/>
          <w:color w:val="000000" w:themeColor="text1"/>
          <w:szCs w:val="24"/>
          <w:highlight w:val="none"/>
          <w14:textFill>
            <w14:solidFill>
              <w14:schemeClr w14:val="tx1"/>
            </w14:solidFill>
          </w14:textFill>
        </w:rPr>
        <w:t>证</w:t>
      </w:r>
      <w:r>
        <w:rPr>
          <w:rFonts w:hAnsi="宋体"/>
          <w:color w:val="000000" w:themeColor="text1"/>
          <w:szCs w:val="24"/>
          <w:highlight w:val="none"/>
          <w14:textFill>
            <w14:solidFill>
              <w14:schemeClr w14:val="tx1"/>
            </w14:solidFill>
          </w14:textFill>
        </w:rPr>
        <w:t>金内扣除。</w:t>
      </w:r>
    </w:p>
    <w:p>
      <w:pPr>
        <w:pStyle w:val="64"/>
        <w:spacing w:before="0" w:after="0" w:line="530" w:lineRule="exact"/>
        <w:ind w:left="0" w:right="0" w:firstLine="480" w:firstLineChars="200"/>
        <w:rPr>
          <w:rFonts w:hint="eastAsia" w:hAnsi="宋体"/>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2</w:t>
      </w:r>
      <w:r>
        <w:rPr>
          <w:rFonts w:hAnsi="宋体"/>
          <w:color w:val="000000" w:themeColor="text1"/>
          <w:szCs w:val="24"/>
          <w:highlight w:val="none"/>
          <w14:textFill>
            <w14:solidFill>
              <w14:schemeClr w14:val="tx1"/>
            </w14:solidFill>
          </w14:textFill>
        </w:rPr>
        <w:t>、发生紧急抢修事故的（如</w:t>
      </w:r>
      <w:r>
        <w:rPr>
          <w:rFonts w:hint="eastAsia" w:hAnsi="宋体"/>
          <w:color w:val="000000" w:themeColor="text1"/>
          <w:szCs w:val="24"/>
          <w:highlight w:val="none"/>
          <w14:textFill>
            <w14:solidFill>
              <w14:schemeClr w14:val="tx1"/>
            </w14:solidFill>
          </w14:textFill>
        </w:rPr>
        <w:t>涉及结构安全的质量缺陷、上下水道或管线漏水、</w:t>
      </w:r>
      <w:r>
        <w:rPr>
          <w:rFonts w:hAnsi="宋体"/>
          <w:color w:val="000000" w:themeColor="text1"/>
          <w:szCs w:val="24"/>
          <w:highlight w:val="none"/>
          <w14:textFill>
            <w14:solidFill>
              <w14:schemeClr w14:val="tx1"/>
            </w14:solidFill>
          </w14:textFill>
        </w:rPr>
        <w:t>上水跑水、暖气漏水漏气、燃气漏气等</w:t>
      </w:r>
      <w:r>
        <w:rPr>
          <w:rFonts w:hint="eastAsia" w:hAnsi="宋体"/>
          <w:color w:val="000000" w:themeColor="text1"/>
          <w:szCs w:val="24"/>
          <w:highlight w:val="none"/>
          <w14:textFill>
            <w14:solidFill>
              <w14:schemeClr w14:val="tx1"/>
            </w14:solidFill>
          </w14:textFill>
        </w:rPr>
        <w:t>严重影响使用功能</w:t>
      </w:r>
      <w:r>
        <w:rPr>
          <w:rFonts w:hAnsi="宋体"/>
          <w:color w:val="000000" w:themeColor="text1"/>
          <w:szCs w:val="24"/>
          <w:highlight w:val="none"/>
          <w14:textFill>
            <w14:solidFill>
              <w14:schemeClr w14:val="tx1"/>
            </w14:solidFill>
          </w14:textFill>
        </w:rPr>
        <w:t>），承包人在接到事故通知后，应当立即到达事故现场抢修。非承包人施工质量引起的事故，抢修费用由发包人承担。</w:t>
      </w:r>
    </w:p>
    <w:p>
      <w:pPr>
        <w:pStyle w:val="64"/>
        <w:spacing w:before="0" w:after="0" w:line="530" w:lineRule="exact"/>
        <w:ind w:left="0" w:right="0"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pStyle w:val="64"/>
        <w:spacing w:before="0" w:after="0" w:line="530" w:lineRule="exact"/>
        <w:ind w:left="0" w:right="0" w:firstLine="480" w:firstLineChars="200"/>
        <w:rPr>
          <w:rFonts w:hint="eastAsia" w:hAnsi="宋体"/>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4</w:t>
      </w:r>
      <w:r>
        <w:rPr>
          <w:rFonts w:hAnsi="宋体"/>
          <w:color w:val="000000" w:themeColor="text1"/>
          <w:szCs w:val="24"/>
          <w:highlight w:val="none"/>
          <w14:textFill>
            <w14:solidFill>
              <w14:schemeClr w14:val="tx1"/>
            </w14:solidFill>
          </w14:textFill>
        </w:rPr>
        <w:t>、在国家规定的工程合理使用期限内，承包人确保地基基础工程和主体结构的质量。因承包人原因致使工程在合理使用期限内造成人身和财产损害的，承包人应承担损害赔偿责任。</w:t>
      </w:r>
    </w:p>
    <w:p>
      <w:pPr>
        <w:pStyle w:val="64"/>
        <w:spacing w:before="0" w:after="0" w:line="530" w:lineRule="exact"/>
        <w:ind w:left="0" w:right="0"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5．保修完成后，由发包人组织验收。</w:t>
      </w:r>
    </w:p>
    <w:p>
      <w:pPr>
        <w:pStyle w:val="64"/>
        <w:spacing w:before="0" w:after="0" w:line="530" w:lineRule="exact"/>
        <w:ind w:left="0" w:right="0" w:firstLine="480" w:firstLineChars="200"/>
        <w:rPr>
          <w:rFonts w:hint="eastAsia"/>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6．保修费用由造成质量缺</w:t>
      </w:r>
      <w:r>
        <w:rPr>
          <w:rFonts w:hint="eastAsia"/>
          <w:color w:val="000000" w:themeColor="text1"/>
          <w:szCs w:val="24"/>
          <w:highlight w:val="none"/>
          <w14:textFill>
            <w14:solidFill>
              <w14:schemeClr w14:val="tx1"/>
            </w14:solidFill>
          </w14:textFill>
        </w:rPr>
        <w:t>陷的责任方承担。</w:t>
      </w:r>
    </w:p>
    <w:p>
      <w:pPr>
        <w:pStyle w:val="64"/>
        <w:spacing w:before="0" w:after="0" w:line="530" w:lineRule="exact"/>
        <w:ind w:left="0" w:right="0"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7</w:t>
      </w:r>
      <w:r>
        <w:rPr>
          <w:rFonts w:hAnsi="宋体"/>
          <w:color w:val="000000" w:themeColor="text1"/>
          <w:szCs w:val="24"/>
          <w:highlight w:val="none"/>
          <w14:textFill>
            <w14:solidFill>
              <w14:schemeClr w14:val="tx1"/>
            </w14:solidFill>
          </w14:textFill>
        </w:rPr>
        <w:t>、双方对质量问题有争议的，</w:t>
      </w:r>
      <w:r>
        <w:rPr>
          <w:rFonts w:ascii="宋体" w:hAnsi="宋体"/>
          <w:color w:val="000000" w:themeColor="text1"/>
          <w:szCs w:val="24"/>
          <w:highlight w:val="none"/>
          <w14:textFill>
            <w14:solidFill>
              <w14:schemeClr w14:val="tx1"/>
            </w14:solidFill>
          </w14:textFill>
        </w:rPr>
        <w:t>按</w:t>
      </w:r>
      <w:r>
        <w:rPr>
          <w:rFonts w:hint="eastAsia" w:ascii="宋体" w:hAnsi="宋体"/>
          <w:color w:val="000000" w:themeColor="text1"/>
          <w:szCs w:val="24"/>
          <w:highlight w:val="none"/>
          <w14:textFill>
            <w14:solidFill>
              <w14:schemeClr w14:val="tx1"/>
            </w14:solidFill>
          </w14:textFill>
        </w:rPr>
        <w:t>专用</w:t>
      </w:r>
      <w:r>
        <w:rPr>
          <w:rFonts w:ascii="宋体" w:hAnsi="宋体"/>
          <w:color w:val="000000" w:themeColor="text1"/>
          <w:szCs w:val="24"/>
          <w:highlight w:val="none"/>
          <w14:textFill>
            <w14:solidFill>
              <w14:schemeClr w14:val="tx1"/>
            </w14:solidFill>
          </w14:textFill>
        </w:rPr>
        <w:t>合同</w:t>
      </w:r>
      <w:r>
        <w:rPr>
          <w:rFonts w:hint="eastAsia" w:ascii="宋体" w:hAnsi="宋体"/>
          <w:color w:val="000000" w:themeColor="text1"/>
          <w:szCs w:val="24"/>
          <w:highlight w:val="none"/>
          <w14:textFill>
            <w14:solidFill>
              <w14:schemeClr w14:val="tx1"/>
            </w14:solidFill>
          </w14:textFill>
        </w:rPr>
        <w:t>条款</w:t>
      </w:r>
      <w:r>
        <w:rPr>
          <w:rFonts w:ascii="宋体" w:hAnsi="宋体"/>
          <w:color w:val="000000" w:themeColor="text1"/>
          <w:szCs w:val="24"/>
          <w:highlight w:val="none"/>
          <w14:textFill>
            <w14:solidFill>
              <w14:schemeClr w14:val="tx1"/>
            </w14:solidFill>
          </w14:textFill>
        </w:rPr>
        <w:t>第</w:t>
      </w:r>
      <w:r>
        <w:rPr>
          <w:rFonts w:hint="eastAsia" w:ascii="宋体" w:hAnsi="宋体"/>
          <w:color w:val="000000" w:themeColor="text1"/>
          <w:highlight w:val="none"/>
          <w14:textFill>
            <w14:solidFill>
              <w14:schemeClr w14:val="tx1"/>
            </w14:solidFill>
          </w14:textFill>
        </w:rPr>
        <w:t>13.2.6</w:t>
      </w:r>
      <w:r>
        <w:rPr>
          <w:rFonts w:ascii="宋体" w:hAnsi="宋体"/>
          <w:color w:val="000000" w:themeColor="text1"/>
          <w:szCs w:val="24"/>
          <w:highlight w:val="none"/>
          <w14:textFill>
            <w14:solidFill>
              <w14:schemeClr w14:val="tx1"/>
            </w14:solidFill>
          </w14:textFill>
        </w:rPr>
        <w:t>条处理</w:t>
      </w:r>
      <w:r>
        <w:rPr>
          <w:rFonts w:hAnsi="宋体"/>
          <w:color w:val="000000" w:themeColor="text1"/>
          <w:szCs w:val="24"/>
          <w:highlight w:val="none"/>
          <w14:textFill>
            <w14:solidFill>
              <w14:schemeClr w14:val="tx1"/>
            </w14:solidFill>
          </w14:textFill>
        </w:rPr>
        <w:t>。</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四、质量保</w:t>
      </w:r>
      <w:r>
        <w:rPr>
          <w:rFonts w:hint="eastAsia" w:hAnsi="宋体"/>
          <w:b/>
          <w:color w:val="000000" w:themeColor="text1"/>
          <w:sz w:val="24"/>
          <w:highlight w:val="none"/>
          <w14:textFill>
            <w14:solidFill>
              <w14:schemeClr w14:val="tx1"/>
            </w14:solidFill>
          </w14:textFill>
        </w:rPr>
        <w:t>证</w:t>
      </w:r>
      <w:r>
        <w:rPr>
          <w:rFonts w:hAnsi="宋体"/>
          <w:b/>
          <w:color w:val="000000" w:themeColor="text1"/>
          <w:sz w:val="24"/>
          <w:highlight w:val="none"/>
          <w14:textFill>
            <w14:solidFill>
              <w14:schemeClr w14:val="tx1"/>
            </w14:solidFill>
          </w14:textFill>
        </w:rPr>
        <w:t>金的支付</w:t>
      </w:r>
    </w:p>
    <w:p>
      <w:pPr>
        <w:pStyle w:val="64"/>
        <w:spacing w:before="0" w:after="0" w:line="53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本工程约定的工程质量保</w:t>
      </w:r>
      <w:r>
        <w:rPr>
          <w:rFonts w:hint="eastAsia" w:hAnsi="宋体"/>
          <w:color w:val="000000" w:themeColor="text1"/>
          <w:szCs w:val="24"/>
          <w:highlight w:val="none"/>
          <w14:textFill>
            <w14:solidFill>
              <w14:schemeClr w14:val="tx1"/>
            </w14:solidFill>
          </w14:textFill>
        </w:rPr>
        <w:t>证</w:t>
      </w:r>
      <w:r>
        <w:rPr>
          <w:rFonts w:hAnsi="宋体"/>
          <w:color w:val="000000" w:themeColor="text1"/>
          <w:szCs w:val="24"/>
          <w:highlight w:val="none"/>
          <w14:textFill>
            <w14:solidFill>
              <w14:schemeClr w14:val="tx1"/>
            </w14:solidFill>
          </w14:textFill>
        </w:rPr>
        <w:t>金为</w:t>
      </w:r>
      <w:r>
        <w:rPr>
          <w:rFonts w:hint="eastAsia" w:hAnsi="宋体"/>
          <w:color w:val="000000" w:themeColor="text1"/>
          <w:szCs w:val="24"/>
          <w:highlight w:val="none"/>
          <w14:textFill>
            <w14:solidFill>
              <w14:schemeClr w14:val="tx1"/>
            </w14:solidFill>
          </w14:textFill>
        </w:rPr>
        <w:t>工程结算价款3%</w:t>
      </w:r>
      <w:r>
        <w:rPr>
          <w:rFonts w:hAnsi="宋体"/>
          <w:color w:val="000000" w:themeColor="text1"/>
          <w:szCs w:val="24"/>
          <w:highlight w:val="none"/>
          <w14:textFill>
            <w14:solidFill>
              <w14:schemeClr w14:val="tx1"/>
            </w14:solidFill>
          </w14:textFill>
        </w:rPr>
        <w:t>。质量保</w:t>
      </w:r>
      <w:r>
        <w:rPr>
          <w:rFonts w:hint="eastAsia" w:hAnsi="宋体"/>
          <w:color w:val="000000" w:themeColor="text1"/>
          <w:szCs w:val="24"/>
          <w:highlight w:val="none"/>
          <w14:textFill>
            <w14:solidFill>
              <w14:schemeClr w14:val="tx1"/>
            </w14:solidFill>
          </w14:textFill>
        </w:rPr>
        <w:t>证</w:t>
      </w:r>
      <w:r>
        <w:rPr>
          <w:rFonts w:hAnsi="宋体"/>
          <w:color w:val="000000" w:themeColor="text1"/>
          <w:szCs w:val="24"/>
          <w:highlight w:val="none"/>
          <w14:textFill>
            <w14:solidFill>
              <w14:schemeClr w14:val="tx1"/>
            </w14:solidFill>
          </w14:textFill>
        </w:rPr>
        <w:t>金银行利率为</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零</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w:t>
      </w:r>
    </w:p>
    <w:p>
      <w:pPr>
        <w:pStyle w:val="64"/>
        <w:spacing w:before="0" w:after="0" w:line="530" w:lineRule="exact"/>
        <w:ind w:left="479" w:leftChars="228" w:right="0"/>
        <w:rPr>
          <w:rFonts w:hint="eastAsia"/>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本工程双方约定承包人向发包人支付工程质量保</w:t>
      </w:r>
      <w:r>
        <w:rPr>
          <w:rFonts w:hint="eastAsia" w:hAnsi="宋体"/>
          <w:color w:val="000000" w:themeColor="text1"/>
          <w:szCs w:val="24"/>
          <w:highlight w:val="none"/>
          <w14:textFill>
            <w14:solidFill>
              <w14:schemeClr w14:val="tx1"/>
            </w14:solidFill>
          </w14:textFill>
        </w:rPr>
        <w:t>证</w:t>
      </w:r>
      <w:r>
        <w:rPr>
          <w:rFonts w:hAnsi="宋体"/>
          <w:color w:val="000000" w:themeColor="text1"/>
          <w:szCs w:val="24"/>
          <w:highlight w:val="none"/>
          <w14:textFill>
            <w14:solidFill>
              <w14:schemeClr w14:val="tx1"/>
            </w14:solidFill>
          </w14:textFill>
        </w:rPr>
        <w:t>金暂定为</w:t>
      </w:r>
      <w:r>
        <w:rPr>
          <w:rFonts w:hint="eastAsia" w:hAnsi="宋体"/>
          <w:color w:val="000000" w:themeColor="text1"/>
          <w:szCs w:val="24"/>
          <w:highlight w:val="none"/>
          <w14:textFill>
            <w14:solidFill>
              <w14:schemeClr w14:val="tx1"/>
            </w14:solidFill>
          </w14:textFill>
        </w:rPr>
        <w:t>人民币：       （小写）：</w:t>
      </w:r>
      <w:r>
        <w:rPr>
          <w:rFonts w:hint="eastAsia" w:ascii="宋体" w:hAnsi="宋体"/>
          <w:color w:val="000000" w:themeColor="text1"/>
          <w:szCs w:val="24"/>
          <w:highlight w:val="none"/>
          <w:u w:val="single"/>
          <w14:textFill>
            <w14:solidFill>
              <w14:schemeClr w14:val="tx1"/>
            </w14:solidFill>
          </w14:textFill>
        </w:rPr>
        <w:t xml:space="preserve"> ￥   </w:t>
      </w:r>
      <w:r>
        <w:rPr>
          <w:rFonts w:hint="eastAsia" w:hAnsi="宋体"/>
          <w:color w:val="000000" w:themeColor="text1"/>
          <w:szCs w:val="24"/>
          <w:highlight w:val="none"/>
          <w:u w:val="single"/>
          <w14:textFill>
            <w14:solidFill>
              <w14:schemeClr w14:val="tx1"/>
            </w14:solidFill>
          </w14:textFill>
        </w:rPr>
        <w:t xml:space="preserve">    </w:t>
      </w:r>
      <w:r>
        <w:rPr>
          <w:color w:val="000000" w:themeColor="text1"/>
          <w:szCs w:val="24"/>
          <w:highlight w:val="none"/>
          <w14:textFill>
            <w14:solidFill>
              <w14:schemeClr w14:val="tx1"/>
            </w14:solidFill>
          </w14:textFill>
        </w:rPr>
        <w:t xml:space="preserve">  </w:t>
      </w:r>
    </w:p>
    <w:p>
      <w:pPr>
        <w:pStyle w:val="64"/>
        <w:spacing w:before="0" w:after="0" w:line="530" w:lineRule="exact"/>
        <w:ind w:left="0" w:right="0" w:firstLine="480" w:firstLineChars="20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（大写）</w:t>
      </w:r>
      <w:r>
        <w:rPr>
          <w:rFonts w:hint="eastAsia" w:hAnsi="宋体"/>
          <w:color w:val="000000" w:themeColor="text1"/>
          <w:szCs w:val="24"/>
          <w:highlight w:val="none"/>
          <w14:textFill>
            <w14:solidFill>
              <w14:schemeClr w14:val="tx1"/>
            </w14:solidFill>
          </w14:textFill>
        </w:rPr>
        <w:t>：</w:t>
      </w:r>
      <w:r>
        <w:rPr>
          <w:rFonts w:hint="eastAsia" w:hAnsi="宋体"/>
          <w:color w:val="000000" w:themeColor="text1"/>
          <w:szCs w:val="24"/>
          <w:highlight w:val="none"/>
          <w:u w:val="singl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w:t>
      </w:r>
    </w:p>
    <w:p>
      <w:pPr>
        <w:pStyle w:val="64"/>
        <w:spacing w:before="0" w:after="0" w:line="530" w:lineRule="exact"/>
        <w:ind w:left="0" w:right="0" w:firstLine="480" w:firstLineChars="200"/>
        <w:rPr>
          <w:rFonts w:hint="eastAsia" w:hAnsi="宋体"/>
          <w:color w:val="000000" w:themeColor="text1"/>
          <w:szCs w:val="24"/>
          <w:highlight w:val="none"/>
          <w14:textFill>
            <w14:solidFill>
              <w14:schemeClr w14:val="tx1"/>
            </w14:solidFill>
          </w14:textFill>
        </w:rPr>
      </w:pPr>
      <w:r>
        <w:rPr>
          <w:rFonts w:hint="eastAsia" w:hAnsi="宋体"/>
          <w:color w:val="000000" w:themeColor="text1"/>
          <w:szCs w:val="24"/>
          <w:highlight w:val="none"/>
          <w14:textFill>
            <w14:solidFill>
              <w14:schemeClr w14:val="tx1"/>
            </w14:solidFill>
          </w14:textFill>
        </w:rPr>
        <w:t>如出现本工程质量保修书中第三条第1款之情形，发包人仅需将第三方提供的维修发票复印件（发票付款方名称按财政支付规定）提供给承包人作为扣款凭证。</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五、质量保</w:t>
      </w:r>
      <w:r>
        <w:rPr>
          <w:rFonts w:hint="eastAsia" w:hAnsi="宋体"/>
          <w:b/>
          <w:color w:val="000000" w:themeColor="text1"/>
          <w:sz w:val="24"/>
          <w:highlight w:val="none"/>
          <w14:textFill>
            <w14:solidFill>
              <w14:schemeClr w14:val="tx1"/>
            </w14:solidFill>
          </w14:textFill>
        </w:rPr>
        <w:t>证</w:t>
      </w:r>
      <w:r>
        <w:rPr>
          <w:rFonts w:hAnsi="宋体"/>
          <w:b/>
          <w:color w:val="000000" w:themeColor="text1"/>
          <w:sz w:val="24"/>
          <w:highlight w:val="none"/>
          <w14:textFill>
            <w14:solidFill>
              <w14:schemeClr w14:val="tx1"/>
            </w14:solidFill>
          </w14:textFill>
        </w:rPr>
        <w:t>金的返还</w:t>
      </w:r>
    </w:p>
    <w:p>
      <w:pPr>
        <w:spacing w:before="72" w:beforeLines="30" w:line="530" w:lineRule="exact"/>
        <w:ind w:firstLine="480" w:firstLineChars="200"/>
        <w:rPr>
          <w:rFonts w:hint="eastAsia" w:hAnsi="宋体"/>
          <w:color w:val="000000" w:themeColor="text1"/>
          <w:kern w:val="0"/>
          <w:sz w:val="24"/>
          <w:highlight w:val="none"/>
          <w14:textFill>
            <w14:solidFill>
              <w14:schemeClr w14:val="tx1"/>
            </w14:solidFill>
          </w14:textFill>
        </w:rPr>
      </w:pPr>
      <w:r>
        <w:rPr>
          <w:rFonts w:hAnsi="宋体"/>
          <w:color w:val="000000" w:themeColor="text1"/>
          <w:kern w:val="0"/>
          <w:sz w:val="24"/>
          <w:highlight w:val="none"/>
          <w14:textFill>
            <w14:solidFill>
              <w14:schemeClr w14:val="tx1"/>
            </w14:solidFill>
          </w14:textFill>
        </w:rPr>
        <w:t>质量保</w:t>
      </w:r>
      <w:r>
        <w:rPr>
          <w:rFonts w:hint="eastAsia" w:hAnsi="宋体"/>
          <w:color w:val="000000" w:themeColor="text1"/>
          <w:kern w:val="0"/>
          <w:sz w:val="24"/>
          <w:highlight w:val="none"/>
          <w14:textFill>
            <w14:solidFill>
              <w14:schemeClr w14:val="tx1"/>
            </w14:solidFill>
          </w14:textFill>
        </w:rPr>
        <w:t>证</w:t>
      </w:r>
      <w:r>
        <w:rPr>
          <w:rFonts w:hAnsi="宋体"/>
          <w:color w:val="000000" w:themeColor="text1"/>
          <w:kern w:val="0"/>
          <w:sz w:val="24"/>
          <w:highlight w:val="none"/>
          <w14:textFill>
            <w14:solidFill>
              <w14:schemeClr w14:val="tx1"/>
            </w14:solidFill>
          </w14:textFill>
        </w:rPr>
        <w:t>金的返还</w:t>
      </w:r>
      <w:r>
        <w:rPr>
          <w:rFonts w:hint="eastAsia" w:ascii="宋体" w:hAnsi="宋体"/>
          <w:color w:val="000000" w:themeColor="text1"/>
          <w:sz w:val="24"/>
          <w:szCs w:val="20"/>
          <w:highlight w:val="none"/>
          <w14:textFill>
            <w14:solidFill>
              <w14:schemeClr w14:val="tx1"/>
            </w14:solidFill>
          </w14:textFill>
        </w:rPr>
        <w:t>执行本合同</w:t>
      </w:r>
      <w:r>
        <w:rPr>
          <w:rFonts w:hint="eastAsia"/>
          <w:color w:val="000000" w:themeColor="text1"/>
          <w:highlight w:val="none"/>
          <w14:textFill>
            <w14:solidFill>
              <w14:schemeClr w14:val="tx1"/>
            </w14:solidFill>
          </w14:textFill>
        </w:rPr>
        <w:t>《</w:t>
      </w:r>
      <w:r>
        <w:rPr>
          <w:rFonts w:hint="eastAsia" w:ascii="宋体" w:hAnsi="宋体"/>
          <w:color w:val="000000" w:themeColor="text1"/>
          <w:sz w:val="24"/>
          <w:szCs w:val="20"/>
          <w:highlight w:val="none"/>
          <w14:textFill>
            <w14:solidFill>
              <w14:schemeClr w14:val="tx1"/>
            </w14:solidFill>
          </w14:textFill>
        </w:rPr>
        <w:t>第</w:t>
      </w:r>
      <w:r>
        <w:rPr>
          <w:rFonts w:hint="eastAsia" w:ascii="宋体" w:hAnsi="宋体"/>
          <w:color w:val="000000" w:themeColor="text1"/>
          <w:sz w:val="24"/>
          <w:szCs w:val="20"/>
          <w:highlight w:val="none"/>
          <w:lang w:val="en-US" w:eastAsia="zh-CN"/>
          <w14:textFill>
            <w14:solidFill>
              <w14:schemeClr w14:val="tx1"/>
            </w14:solidFill>
          </w14:textFill>
        </w:rPr>
        <w:t>四</w:t>
      </w:r>
      <w:r>
        <w:rPr>
          <w:rFonts w:hint="eastAsia" w:ascii="宋体" w:hAnsi="宋体"/>
          <w:color w:val="000000" w:themeColor="text1"/>
          <w:sz w:val="24"/>
          <w:szCs w:val="20"/>
          <w:highlight w:val="none"/>
          <w14:textFill>
            <w14:solidFill>
              <w14:schemeClr w14:val="tx1"/>
            </w14:solidFill>
          </w14:textFill>
        </w:rPr>
        <w:t>部分专用合同条款</w:t>
      </w:r>
      <w:r>
        <w:rPr>
          <w:rFonts w:hint="eastAsia"/>
          <w:color w:val="000000" w:themeColor="text1"/>
          <w:highlight w:val="none"/>
          <w14:textFill>
            <w14:solidFill>
              <w14:schemeClr w14:val="tx1"/>
            </w14:solidFill>
          </w14:textFill>
        </w:rPr>
        <w:t>》</w:t>
      </w:r>
      <w:r>
        <w:rPr>
          <w:rFonts w:hint="eastAsia" w:ascii="宋体" w:hAnsi="宋体"/>
          <w:color w:val="000000" w:themeColor="text1"/>
          <w:sz w:val="24"/>
          <w:szCs w:val="20"/>
          <w:highlight w:val="none"/>
          <w14:textFill>
            <w14:solidFill>
              <w14:schemeClr w14:val="tx1"/>
            </w14:solidFill>
          </w14:textFill>
        </w:rPr>
        <w:t>中第17.4条相关约定。</w:t>
      </w:r>
    </w:p>
    <w:p>
      <w:pPr>
        <w:spacing w:before="72" w:beforeLines="30" w:line="530" w:lineRule="exact"/>
        <w:ind w:firstLine="480" w:firstLineChars="200"/>
        <w:rPr>
          <w:color w:val="000000" w:themeColor="text1"/>
          <w:highlight w:val="none"/>
          <w14:textFill>
            <w14:solidFill>
              <w14:schemeClr w14:val="tx1"/>
            </w14:solidFill>
          </w14:textFill>
        </w:rPr>
      </w:pPr>
      <w:r>
        <w:rPr>
          <w:rFonts w:hint="eastAsia" w:hAnsi="宋体"/>
          <w:color w:val="000000" w:themeColor="text1"/>
          <w:kern w:val="0"/>
          <w:sz w:val="24"/>
          <w:highlight w:val="none"/>
          <w14:textFill>
            <w14:solidFill>
              <w14:schemeClr w14:val="tx1"/>
            </w14:solidFill>
          </w14:textFill>
        </w:rPr>
        <w:t>质量保证金返还后承包人须按照约定继续承担工程质量保修责任。</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六、其他</w:t>
      </w:r>
    </w:p>
    <w:p>
      <w:pPr>
        <w:pStyle w:val="64"/>
        <w:spacing w:before="0" w:after="0" w:line="530" w:lineRule="exact"/>
        <w:ind w:left="0" w:right="0" w:firstLine="480" w:firstLineChars="200"/>
        <w:rPr>
          <w:rFonts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本工程质量保修书作为施工合同附件，由发包人、承包人双方共同签署</w:t>
      </w:r>
      <w:r>
        <w:rPr>
          <w:rFonts w:hint="eastAsia" w:hAnsi="宋体"/>
          <w:color w:val="000000" w:themeColor="text1"/>
          <w:szCs w:val="24"/>
          <w:highlight w:val="none"/>
          <w14:textFill>
            <w14:solidFill>
              <w14:schemeClr w14:val="tx1"/>
            </w14:solidFill>
          </w14:textFill>
        </w:rPr>
        <w:t>，并自双方签署之日起生效，作为施工合同附件，其有效期限至保修期满。</w:t>
      </w:r>
    </w:p>
    <w:p>
      <w:pPr>
        <w:pStyle w:val="64"/>
        <w:spacing w:before="0" w:after="0"/>
        <w:ind w:left="0" w:right="0" w:firstLine="480" w:firstLineChars="200"/>
        <w:rPr>
          <w:color w:val="000000" w:themeColor="text1"/>
          <w:szCs w:val="24"/>
          <w:highlight w:val="none"/>
          <w14:textFill>
            <w14:solidFill>
              <w14:schemeClr w14:val="tx1"/>
            </w14:solidFill>
          </w14:textFill>
        </w:rPr>
      </w:pPr>
    </w:p>
    <w:p>
      <w:pPr>
        <w:pStyle w:val="64"/>
        <w:spacing w:before="0" w:after="0" w:line="520" w:lineRule="exact"/>
        <w:ind w:left="0" w:right="0" w:firstLine="480" w:firstLineChars="200"/>
        <w:rPr>
          <w:rFonts w:hint="eastAsia" w:hAnsi="宋体"/>
          <w:color w:val="000000" w:themeColor="text1"/>
          <w:szCs w:val="24"/>
          <w:highlight w:val="none"/>
          <w14:textFill>
            <w14:solidFill>
              <w14:schemeClr w14:val="tx1"/>
            </w14:solidFill>
          </w14:textFill>
        </w:rPr>
      </w:pP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发包人（甲方）：</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承包人（乙方）：</w:t>
      </w:r>
    </w:p>
    <w:p>
      <w:pPr>
        <w:pStyle w:val="64"/>
        <w:spacing w:before="72" w:beforeLines="30" w:after="0" w:line="520" w:lineRule="exact"/>
        <w:ind w:left="0" w:right="0"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 xml:space="preserve">广州市番禺区水务工程建管中心                  </w:t>
      </w:r>
      <w:r>
        <w:rPr>
          <w:rFonts w:hAnsi="宋体"/>
          <w:color w:val="000000" w:themeColor="text1"/>
          <w:szCs w:val="24"/>
          <w:highlight w:val="none"/>
          <w14:textFill>
            <w14:solidFill>
              <w14:schemeClr w14:val="tx1"/>
            </w14:solidFill>
          </w14:textFill>
        </w:rPr>
        <w:t>（盖公章）</w:t>
      </w:r>
    </w:p>
    <w:p>
      <w:pPr>
        <w:pStyle w:val="64"/>
        <w:spacing w:before="72" w:beforeLines="30" w:after="0" w:line="520" w:lineRule="exact"/>
        <w:ind w:left="0" w:right="0" w:firstLine="480" w:firstLineChars="200"/>
        <w:rPr>
          <w:rFonts w:hint="eastAsia"/>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（广州市番禺区水旱灾害防御中心）</w:t>
      </w:r>
    </w:p>
    <w:p>
      <w:pPr>
        <w:pStyle w:val="64"/>
        <w:spacing w:before="72" w:beforeLines="3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（盖公章）</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 xml:space="preserve">                                  </w:t>
      </w:r>
    </w:p>
    <w:p>
      <w:pPr>
        <w:pStyle w:val="64"/>
        <w:spacing w:before="0" w:after="0" w:line="520" w:lineRule="exact"/>
        <w:ind w:left="0" w:right="0" w:firstLine="480" w:firstLineChars="20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地址：</w:t>
      </w:r>
      <w:r>
        <w:rPr>
          <w:rFonts w:hint="eastAsia"/>
          <w:color w:val="000000" w:themeColor="text1"/>
          <w:szCs w:val="24"/>
          <w:highlight w:val="none"/>
          <w14:textFill>
            <w14:solidFill>
              <w14:schemeClr w14:val="tx1"/>
            </w14:solidFill>
          </w14:textFill>
        </w:rPr>
        <w:t xml:space="preserve">                       </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地址：</w:t>
      </w:r>
    </w:p>
    <w:p>
      <w:pPr>
        <w:pStyle w:val="64"/>
        <w:spacing w:before="0" w:after="0" w:line="520" w:lineRule="exact"/>
        <w:ind w:left="0" w:right="0" w:firstLine="1200" w:firstLineChars="500"/>
        <w:rPr>
          <w:rFonts w:hint="eastAsia" w:hAnsi="宋体"/>
          <w:color w:val="000000" w:themeColor="text1"/>
          <w:szCs w:val="24"/>
          <w:highlight w:val="none"/>
          <w14:textFill>
            <w14:solidFill>
              <w14:schemeClr w14:val="tx1"/>
            </w14:solidFill>
          </w14:textFill>
        </w:rPr>
      </w:pP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p>
    <w:p>
      <w:pPr>
        <w:pStyle w:val="64"/>
        <w:spacing w:before="0" w:after="0" w:line="520" w:lineRule="exact"/>
        <w:ind w:left="0" w:right="0" w:firstLine="480" w:firstLineChars="20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法定代表人：</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 xml:space="preserve"> </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法定代表人：</w:t>
      </w: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p>
    <w:p>
      <w:pPr>
        <w:pStyle w:val="64"/>
        <w:tabs>
          <w:tab w:val="left" w:pos="4860"/>
        </w:tabs>
        <w:spacing w:before="0" w:after="0" w:line="520" w:lineRule="exact"/>
        <w:ind w:left="0" w:right="0" w:firstLine="480" w:firstLineChars="20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或委托代理人：</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 xml:space="preserve">     </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或</w:t>
      </w:r>
      <w:r>
        <w:rPr>
          <w:rFonts w:hAnsi="宋体"/>
          <w:color w:val="000000" w:themeColor="text1"/>
          <w:szCs w:val="24"/>
          <w:highlight w:val="none"/>
          <w14:textFill>
            <w14:solidFill>
              <w14:schemeClr w14:val="tx1"/>
            </w14:solidFill>
          </w14:textFill>
        </w:rPr>
        <w:t>委托代理人：</w:t>
      </w:r>
    </w:p>
    <w:p>
      <w:pPr>
        <w:pStyle w:val="64"/>
        <w:tabs>
          <w:tab w:val="left" w:pos="4860"/>
        </w:tabs>
        <w:spacing w:before="0" w:after="0" w:line="520" w:lineRule="exact"/>
        <w:ind w:left="0" w:right="0" w:firstLine="480" w:firstLineChars="200"/>
        <w:rPr>
          <w:color w:val="000000" w:themeColor="text1"/>
          <w:szCs w:val="24"/>
          <w:highlight w:val="none"/>
          <w14:textFill>
            <w14:solidFill>
              <w14:schemeClr w14:val="tx1"/>
            </w14:solidFill>
          </w14:textFill>
        </w:rPr>
      </w:pPr>
    </w:p>
    <w:p>
      <w:pPr>
        <w:pStyle w:val="64"/>
        <w:spacing w:before="0" w:after="0" w:line="520" w:lineRule="exact"/>
        <w:ind w:left="0" w:right="0" w:firstLine="480" w:firstLineChars="20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签订日期：</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年</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月</w:t>
      </w:r>
      <w:r>
        <w:rPr>
          <w:color w:val="000000" w:themeColor="text1"/>
          <w:szCs w:val="24"/>
          <w:highlight w:val="none"/>
          <w14:textFill>
            <w14:solidFill>
              <w14:schemeClr w14:val="tx1"/>
            </w14:solidFill>
          </w14:textFill>
        </w:rPr>
        <w:t xml:space="preserve">   </w:t>
      </w:r>
      <w:r>
        <w:rPr>
          <w:rFonts w:hAnsi="宋体"/>
          <w:color w:val="000000" w:themeColor="text1"/>
          <w:szCs w:val="24"/>
          <w:highlight w:val="none"/>
          <w14:textFill>
            <w14:solidFill>
              <w14:schemeClr w14:val="tx1"/>
            </w14:solidFill>
          </w14:textFill>
        </w:rPr>
        <w:t>日</w:t>
      </w:r>
      <w:r>
        <w:rPr>
          <w:rFonts w:hint="eastAsia" w:hAnsi="宋体"/>
          <w:color w:val="000000" w:themeColor="text1"/>
          <w:szCs w:val="24"/>
          <w:highlight w:val="none"/>
          <w14:textFill>
            <w14:solidFill>
              <w14:schemeClr w14:val="tx1"/>
            </w14:solidFill>
          </w14:textFill>
        </w:rPr>
        <w:t xml:space="preserve">          签订日期：    年   月   日</w:t>
      </w:r>
    </w:p>
    <w:p>
      <w:pPr>
        <w:spacing w:before="120" w:beforeLines="50" w:line="580" w:lineRule="exact"/>
        <w:outlineLvl w:val="1"/>
        <w:rPr>
          <w:rFonts w:hint="eastAsia" w:hAnsi="宋体"/>
          <w:b/>
          <w:color w:val="000000" w:themeColor="text1"/>
          <w:sz w:val="24"/>
          <w:highlight w:val="none"/>
          <w14:textFill>
            <w14:solidFill>
              <w14:schemeClr w14:val="tx1"/>
            </w14:solidFill>
          </w14:textFill>
        </w:rPr>
      </w:pPr>
      <w:bookmarkStart w:id="1931" w:name="_Toc354042316"/>
      <w:r>
        <w:rPr>
          <w:rFonts w:hAnsi="宋体"/>
          <w:b/>
          <w:color w:val="000000" w:themeColor="text1"/>
          <w:sz w:val="24"/>
          <w:highlight w:val="none"/>
          <w14:textFill>
            <w14:solidFill>
              <w14:schemeClr w14:val="tx1"/>
            </w14:solidFill>
          </w14:textFill>
        </w:rPr>
        <w:br w:type="page"/>
      </w:r>
      <w:bookmarkStart w:id="1932" w:name="_Toc5382"/>
      <w:bookmarkStart w:id="1933" w:name="_Toc9630"/>
      <w:bookmarkStart w:id="1934" w:name="_Toc100504382"/>
      <w:bookmarkStart w:id="1935" w:name="_Toc15751"/>
      <w:r>
        <w:rPr>
          <w:rFonts w:hint="eastAsia" w:hAnsi="宋体"/>
          <w:b/>
          <w:color w:val="000000" w:themeColor="text1"/>
          <w:sz w:val="24"/>
          <w:highlight w:val="none"/>
          <w14:textFill>
            <w14:solidFill>
              <w14:schemeClr w14:val="tx1"/>
            </w14:solidFill>
          </w14:textFill>
        </w:rPr>
        <w:t>附件六：廉政责任书格式</w:t>
      </w:r>
      <w:bookmarkEnd w:id="1931"/>
      <w:bookmarkEnd w:id="1932"/>
      <w:bookmarkEnd w:id="1933"/>
      <w:bookmarkEnd w:id="1934"/>
      <w:bookmarkEnd w:id="1935"/>
    </w:p>
    <w:p>
      <w:pPr>
        <w:spacing w:before="192" w:beforeLines="80" w:after="240" w:afterLines="100" w:line="400" w:lineRule="exact"/>
        <w:jc w:val="center"/>
        <w:rPr>
          <w:rFonts w:hint="eastAsia"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建设工程廉政责任书</w:t>
      </w:r>
    </w:p>
    <w:p>
      <w:pPr>
        <w:spacing w:line="560" w:lineRule="exact"/>
        <w:rPr>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发包人：</w:t>
      </w:r>
      <w:r>
        <w:rPr>
          <w:rFonts w:hint="eastAsia" w:ascii="宋体" w:hAnsi="宋体" w:cs="宋体-18030"/>
          <w:b/>
          <w:bCs/>
          <w:snapToGrid w:val="0"/>
          <w:color w:val="000000" w:themeColor="text1"/>
          <w:kern w:val="0"/>
          <w:sz w:val="24"/>
          <w:highlight w:val="none"/>
          <w14:textFill>
            <w14:solidFill>
              <w14:schemeClr w14:val="tx1"/>
            </w14:solidFill>
          </w14:textFill>
        </w:rPr>
        <w:t>广州市番禺区水务工程建管中心（广州市番禺区水旱灾害防御中心）</w:t>
      </w:r>
      <w:r>
        <w:rPr>
          <w:color w:val="000000" w:themeColor="text1"/>
          <w:sz w:val="24"/>
          <w:highlight w:val="none"/>
          <w14:textFill>
            <w14:solidFill>
              <w14:schemeClr w14:val="tx1"/>
            </w14:solidFill>
          </w14:textFill>
        </w:rPr>
        <w:t xml:space="preserve">                                              </w:t>
      </w:r>
    </w:p>
    <w:p>
      <w:pPr>
        <w:spacing w:line="560" w:lineRule="exact"/>
        <w:rPr>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 xml:space="preserve">                                               </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一、双方的责任</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1.1</w:t>
      </w:r>
      <w:r>
        <w:rPr>
          <w:rFonts w:hAnsi="宋体"/>
          <w:color w:val="000000" w:themeColor="text1"/>
          <w:sz w:val="24"/>
          <w:highlight w:val="none"/>
          <w14:textFill>
            <w14:solidFill>
              <w14:schemeClr w14:val="tx1"/>
            </w14:solidFill>
          </w14:textFill>
        </w:rPr>
        <w:t>应严格遵守国家关于建设工程的有关法律、法规，相关政策，以及廉政建设的各项规定。</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严格执行建设工程合同文件，自觉按合同办事。</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1.3</w:t>
      </w:r>
      <w:r>
        <w:rPr>
          <w:rFonts w:hAnsi="宋体"/>
          <w:color w:val="000000" w:themeColor="text1"/>
          <w:sz w:val="24"/>
          <w:highlight w:val="none"/>
          <w14:textFill>
            <w14:solidFill>
              <w14:schemeClr w14:val="tx1"/>
            </w14:solidFill>
          </w14:textFill>
        </w:rPr>
        <w:t>各项活动必须坚持公开、公平、公正、诚信、透明的原则</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除法律法规另有规定者外</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，不得为获取不正当的利益，损害国家、集体和对方利益，不得违反建设工程管理的规章制度。</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1.4</w:t>
      </w:r>
      <w:r>
        <w:rPr>
          <w:rFonts w:hAnsi="宋体"/>
          <w:color w:val="000000" w:themeColor="text1"/>
          <w:sz w:val="24"/>
          <w:highlight w:val="none"/>
          <w14:textFill>
            <w14:solidFill>
              <w14:schemeClr w14:val="tx1"/>
            </w14:solidFill>
          </w14:textFill>
        </w:rPr>
        <w:t>发现对方在业务活动中有违规、违纪、违法行为的，应及时提醒对方，情节严重的，应向其上级主管部门或纪检监察、司法等有关机关举报。</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二、发包人责任</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发包人的领导和从事该建设工程项目的工作人员，在工程建设的事前、事中、事后应遵守以下规定：</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2.1</w:t>
      </w:r>
      <w:r>
        <w:rPr>
          <w:rFonts w:hAnsi="宋体"/>
          <w:color w:val="000000" w:themeColor="text1"/>
          <w:sz w:val="24"/>
          <w:highlight w:val="none"/>
          <w14:textFill>
            <w14:solidFill>
              <w14:schemeClr w14:val="tx1"/>
            </w14:solidFill>
          </w14:textFill>
        </w:rPr>
        <w:t>不得向承包人和相关单位索要或接受回扣、礼金、有价证券、贵重物品和好处费、感谢费等。</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2.2</w:t>
      </w:r>
      <w:r>
        <w:rPr>
          <w:rFonts w:hAnsi="宋体"/>
          <w:color w:val="000000" w:themeColor="text1"/>
          <w:sz w:val="24"/>
          <w:highlight w:val="none"/>
          <w14:textFill>
            <w14:solidFill>
              <w14:schemeClr w14:val="tx1"/>
            </w14:solidFill>
          </w14:textFill>
        </w:rPr>
        <w:t>不得在承包人和相关单位报销任何应由发包人或个人支付的费用。</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2.3</w:t>
      </w:r>
      <w:r>
        <w:rPr>
          <w:rFonts w:hAnsi="宋体"/>
          <w:color w:val="000000" w:themeColor="text1"/>
          <w:sz w:val="24"/>
          <w:highlight w:val="none"/>
          <w14:textFill>
            <w14:solidFill>
              <w14:schemeClr w14:val="tx1"/>
            </w14:solidFill>
          </w14:textFill>
        </w:rPr>
        <w:t>不得要求、暗示或接受承包人和相关单位为个人装修住房、婚丧嫁娶、配偶子女的工作安排以及出国</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境</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、旅游等提供方便。</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2.4</w:t>
      </w:r>
      <w:r>
        <w:rPr>
          <w:rFonts w:hAnsi="宋体"/>
          <w:color w:val="000000" w:themeColor="text1"/>
          <w:sz w:val="24"/>
          <w:highlight w:val="none"/>
          <w14:textFill>
            <w14:solidFill>
              <w14:schemeClr w14:val="tx1"/>
            </w14:solidFill>
          </w14:textFill>
        </w:rPr>
        <w:t>不得参加有可能影响公正执行公务的承包人和相关单位的宴请、健身、娱乐等活动。</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2.5</w:t>
      </w:r>
      <w:r>
        <w:rPr>
          <w:rFonts w:hAnsi="宋体"/>
          <w:color w:val="000000" w:themeColor="text1"/>
          <w:sz w:val="24"/>
          <w:highlight w:val="none"/>
          <w14:textFill>
            <w14:solidFill>
              <w14:schemeClr w14:val="tx1"/>
            </w14:solidFill>
          </w14:textFill>
        </w:rPr>
        <w:t>不得向承包人和相关单位介绍或为配偶、子女、亲属参与同发包人工程建设管理合同有关的业务活动；不得以任何理由要求承包人和相关单位使用某种产品、材料和设备。</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三、承包人责任</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应与发包人保持正常的业务交往，按照有关法律法规和程序开展业务工作，严格执行工程建设的有关方针、政策，执行工程建设强制性标准，并遵守以下规定：</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3.1</w:t>
      </w:r>
      <w:r>
        <w:rPr>
          <w:rFonts w:hAnsi="宋体"/>
          <w:color w:val="000000" w:themeColor="text1"/>
          <w:sz w:val="24"/>
          <w:highlight w:val="none"/>
          <w14:textFill>
            <w14:solidFill>
              <w14:schemeClr w14:val="tx1"/>
            </w14:solidFill>
          </w14:textFill>
        </w:rPr>
        <w:t>不得以任何理由向发包人及其工作人员索要、接受或赠送礼金、有价证券、贵重物品及回扣、好处费、感谢费等。</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3.2</w:t>
      </w:r>
      <w:r>
        <w:rPr>
          <w:rFonts w:hAnsi="宋体"/>
          <w:color w:val="000000" w:themeColor="text1"/>
          <w:sz w:val="24"/>
          <w:highlight w:val="none"/>
          <w14:textFill>
            <w14:solidFill>
              <w14:schemeClr w14:val="tx1"/>
            </w14:solidFill>
          </w14:textFill>
        </w:rPr>
        <w:t>不得以任何理由为发包人和相关单位报销应由对方或个人支付的费用。</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3.3</w:t>
      </w:r>
      <w:r>
        <w:rPr>
          <w:rFonts w:hAnsi="宋体"/>
          <w:color w:val="000000" w:themeColor="text1"/>
          <w:sz w:val="24"/>
          <w:highlight w:val="none"/>
          <w14:textFill>
            <w14:solidFill>
              <w14:schemeClr w14:val="tx1"/>
            </w14:solidFill>
          </w14:textFill>
        </w:rPr>
        <w:t>不得接受或暗示为发包人、相关单位或个人装修住房、婚丧嫁娶、配偶子女的工作安排以及出国</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境</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、旅游等提供方便。</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3.4</w:t>
      </w:r>
      <w:r>
        <w:rPr>
          <w:rFonts w:hAnsi="宋体"/>
          <w:color w:val="000000" w:themeColor="text1"/>
          <w:sz w:val="24"/>
          <w:highlight w:val="none"/>
          <w14:textFill>
            <w14:solidFill>
              <w14:schemeClr w14:val="tx1"/>
            </w14:solidFill>
          </w14:textFill>
        </w:rPr>
        <w:t>不得以任何理由为发包人、相关单位或个人组织有可能影响公正执行公务的宴请、健身、娱乐等活动。</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四、违约责任</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4.1</w:t>
      </w:r>
      <w:r>
        <w:rPr>
          <w:rFonts w:hAnsi="宋体"/>
          <w:color w:val="000000" w:themeColor="text1"/>
          <w:sz w:val="24"/>
          <w:highlight w:val="none"/>
          <w14:textFill>
            <w14:solidFill>
              <w14:schemeClr w14:val="tx1"/>
            </w14:solidFill>
          </w14:textFill>
        </w:rPr>
        <w:t>发包人工作人员有违反本责任书第一、二条责任行为的，依据有关法律、法规给予处理；涉嫌犯罪的，移交司法机关追究刑事责任；给承包人单位造成经济损失的，应予以赔偿。</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4.2</w:t>
      </w:r>
      <w:r>
        <w:rPr>
          <w:rFonts w:hAnsi="宋体"/>
          <w:color w:val="000000" w:themeColor="text1"/>
          <w:sz w:val="24"/>
          <w:highlight w:val="none"/>
          <w14:textFill>
            <w14:solidFill>
              <w14:schemeClr w14:val="tx1"/>
            </w14:solidFill>
          </w14:textFill>
        </w:rPr>
        <w:t>承包人工作人员有违反本责任书第一、三条责任行为的，依据有关法律法规处理；涉嫌犯罪的，移交司法机关追究刑事责任；给发包人单位造成经济损失的，应予以赔偿。</w:t>
      </w:r>
    </w:p>
    <w:p>
      <w:pPr>
        <w:spacing w:line="56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4.3</w:t>
      </w:r>
      <w:r>
        <w:rPr>
          <w:rFonts w:hAnsi="宋体"/>
          <w:color w:val="000000" w:themeColor="text1"/>
          <w:sz w:val="24"/>
          <w:highlight w:val="none"/>
          <w14:textFill>
            <w14:solidFill>
              <w14:schemeClr w14:val="tx1"/>
            </w14:solidFill>
          </w14:textFill>
        </w:rPr>
        <w:t>本责任书作为建设工程合同的组成部分，与建设工程合同具有同等法律效力。经双方签署后立即生效。</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五、责任书有效期</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本责任书的有效期为双方签署之日起至该工程项目竣工验收合格时止。</w:t>
      </w:r>
    </w:p>
    <w:p>
      <w:pPr>
        <w:spacing w:before="72" w:beforeLines="30" w:line="53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六、责任书份数</w:t>
      </w:r>
    </w:p>
    <w:p>
      <w:pPr>
        <w:spacing w:line="560" w:lineRule="exact"/>
        <w:ind w:firstLine="480" w:firstLineChars="20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本责任书一式二份，发包人承包人各执一份，具有同等效力。</w:t>
      </w:r>
    </w:p>
    <w:p>
      <w:pPr>
        <w:spacing w:line="560" w:lineRule="exact"/>
        <w:ind w:firstLine="480" w:firstLineChars="200"/>
        <w:rPr>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发包人：</w:t>
      </w:r>
      <w:r>
        <w:rPr>
          <w:color w:val="000000" w:themeColor="text1"/>
          <w:sz w:val="24"/>
          <w:highlight w:val="none"/>
          <w14:textFill>
            <w14:solidFill>
              <w14:schemeClr w14:val="tx1"/>
            </w14:solidFill>
          </w14:textFill>
        </w:rPr>
        <w:t xml:space="preserve">    （盖</w:t>
      </w:r>
      <w:r>
        <w:rPr>
          <w:rFonts w:hAnsi="宋体"/>
          <w:color w:val="000000" w:themeColor="text1"/>
          <w:sz w:val="24"/>
          <w:highlight w:val="none"/>
          <w14:textFill>
            <w14:solidFill>
              <w14:schemeClr w14:val="tx1"/>
            </w14:solidFill>
          </w14:textFill>
        </w:rPr>
        <w:t>公章</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承包人：</w:t>
      </w:r>
      <w:r>
        <w:rPr>
          <w:color w:val="000000" w:themeColor="text1"/>
          <w:sz w:val="24"/>
          <w:highlight w:val="none"/>
          <w14:textFill>
            <w14:solidFill>
              <w14:schemeClr w14:val="tx1"/>
            </w14:solidFill>
          </w14:textFill>
        </w:rPr>
        <w:t xml:space="preserve">               （盖</w:t>
      </w:r>
      <w:r>
        <w:rPr>
          <w:rFonts w:hAnsi="宋体"/>
          <w:color w:val="000000" w:themeColor="text1"/>
          <w:sz w:val="24"/>
          <w:highlight w:val="none"/>
          <w14:textFill>
            <w14:solidFill>
              <w14:schemeClr w14:val="tx1"/>
            </w14:solidFill>
          </w14:textFill>
        </w:rPr>
        <w:t>公章</w:t>
      </w:r>
      <w:r>
        <w:rPr>
          <w:color w:val="000000" w:themeColor="text1"/>
          <w:sz w:val="24"/>
          <w:highlight w:val="none"/>
          <w14:textFill>
            <w14:solidFill>
              <w14:schemeClr w14:val="tx1"/>
            </w14:solidFill>
          </w14:textFill>
        </w:rPr>
        <w:t>）</w:t>
      </w:r>
    </w:p>
    <w:p>
      <w:pPr>
        <w:spacing w:line="56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广州市番禺区水务工程建管中心</w:t>
      </w:r>
    </w:p>
    <w:p>
      <w:pPr>
        <w:spacing w:line="560" w:lineRule="exact"/>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（广州市番禺区水旱灾害防御中心）</w:t>
      </w: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法定地址：</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法定地址：</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p>
    <w:p>
      <w:pPr>
        <w:spacing w:line="560" w:lineRule="exact"/>
        <w:rPr>
          <w:rFonts w:hint="eastAsia" w:hAnsi="宋体"/>
          <w:color w:val="000000" w:themeColor="text1"/>
          <w:sz w:val="24"/>
          <w:highlight w:val="none"/>
          <w14:textFill>
            <w14:solidFill>
              <w14:schemeClr w14:val="tx1"/>
            </w14:solidFill>
          </w14:textFill>
        </w:rPr>
      </w:pP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法定代表人</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法定代表人</w:t>
      </w:r>
    </w:p>
    <w:p>
      <w:pPr>
        <w:spacing w:line="560" w:lineRule="exact"/>
        <w:rPr>
          <w:rFonts w:hint="eastAsia" w:hAnsi="宋体"/>
          <w:color w:val="000000" w:themeColor="text1"/>
          <w:sz w:val="24"/>
          <w:highlight w:val="none"/>
          <w14:textFill>
            <w14:solidFill>
              <w14:schemeClr w14:val="tx1"/>
            </w14:solidFill>
          </w14:textFill>
        </w:rPr>
      </w:pPr>
    </w:p>
    <w:p>
      <w:pPr>
        <w:spacing w:line="560" w:lineRule="exact"/>
        <w:rPr>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或其</w:t>
      </w:r>
      <w:r>
        <w:rPr>
          <w:rFonts w:hAnsi="宋体"/>
          <w:color w:val="000000" w:themeColor="text1"/>
          <w:sz w:val="24"/>
          <w:highlight w:val="none"/>
          <w14:textFill>
            <w14:solidFill>
              <w14:schemeClr w14:val="tx1"/>
            </w14:solidFill>
          </w14:textFill>
        </w:rPr>
        <w:t>委托代理人：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签字</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或其</w:t>
      </w:r>
      <w:r>
        <w:rPr>
          <w:rFonts w:hAnsi="宋体"/>
          <w:color w:val="000000" w:themeColor="text1"/>
          <w:sz w:val="24"/>
          <w:highlight w:val="none"/>
          <w14:textFill>
            <w14:solidFill>
              <w14:schemeClr w14:val="tx1"/>
            </w14:solidFill>
          </w14:textFill>
        </w:rPr>
        <w:t>委托代理人：</w:t>
      </w:r>
      <w:r>
        <w:rPr>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签字</w:t>
      </w:r>
      <w:r>
        <w:rPr>
          <w:color w:val="000000" w:themeColor="text1"/>
          <w:sz w:val="24"/>
          <w:highlight w:val="none"/>
          <w14:textFill>
            <w14:solidFill>
              <w14:schemeClr w14:val="tx1"/>
            </w14:solidFill>
          </w14:textFill>
        </w:rPr>
        <w:t>）</w:t>
      </w:r>
    </w:p>
    <w:p>
      <w:pPr>
        <w:spacing w:line="560" w:lineRule="exact"/>
        <w:rPr>
          <w:rFonts w:hint="eastAsia" w:hAnsi="宋体"/>
          <w:color w:val="000000" w:themeColor="text1"/>
          <w:sz w:val="24"/>
          <w:highlight w:val="none"/>
          <w14:textFill>
            <w14:solidFill>
              <w14:schemeClr w14:val="tx1"/>
            </w14:solidFill>
          </w14:textFill>
        </w:rPr>
      </w:pP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电话：</w:t>
      </w:r>
      <w:r>
        <w:rPr>
          <w:rFonts w:hint="eastAsia" w:hAnsi="宋体"/>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电话：</w:t>
      </w:r>
      <w:r>
        <w:rPr>
          <w:color w:val="000000" w:themeColor="text1"/>
          <w:sz w:val="24"/>
          <w:highlight w:val="none"/>
          <w14:textFill>
            <w14:solidFill>
              <w14:schemeClr w14:val="tx1"/>
            </w14:solidFill>
          </w14:textFill>
        </w:rPr>
        <w:t xml:space="preserve">                       </w:t>
      </w: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传真：</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传真：</w:t>
      </w:r>
      <w:r>
        <w:rPr>
          <w:color w:val="000000" w:themeColor="text1"/>
          <w:sz w:val="24"/>
          <w:highlight w:val="none"/>
          <w14:textFill>
            <w14:solidFill>
              <w14:schemeClr w14:val="tx1"/>
            </w14:solidFill>
          </w14:textFill>
        </w:rPr>
        <w:t xml:space="preserve">                       </w:t>
      </w: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电子邮箱：</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电子邮箱：</w:t>
      </w:r>
      <w:r>
        <w:rPr>
          <w:color w:val="000000" w:themeColor="text1"/>
          <w:sz w:val="24"/>
          <w:highlight w:val="none"/>
          <w14:textFill>
            <w14:solidFill>
              <w14:schemeClr w14:val="tx1"/>
            </w14:solidFill>
          </w14:textFill>
        </w:rPr>
        <w:t xml:space="preserve">                   </w:t>
      </w:r>
    </w:p>
    <w:p>
      <w:pPr>
        <w:spacing w:line="560" w:lineRule="exact"/>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邮政编码：</w:t>
      </w:r>
      <w:r>
        <w:rPr>
          <w:color w:val="000000" w:themeColor="text1"/>
          <w:sz w:val="24"/>
          <w:highlight w:val="non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邮政编码：</w:t>
      </w:r>
      <w:r>
        <w:rPr>
          <w:color w:val="000000" w:themeColor="text1"/>
          <w:sz w:val="24"/>
          <w:highlight w:val="none"/>
          <w14:textFill>
            <w14:solidFill>
              <w14:schemeClr w14:val="tx1"/>
            </w14:solidFill>
          </w14:textFill>
        </w:rPr>
        <w:t xml:space="preserve">                   </w:t>
      </w:r>
    </w:p>
    <w:p>
      <w:pPr>
        <w:spacing w:line="560" w:lineRule="exact"/>
        <w:rPr>
          <w:rFonts w:hint="eastAsia"/>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p>
    <w:p>
      <w:pPr>
        <w:spacing w:line="560" w:lineRule="exact"/>
        <w:rPr>
          <w:rFonts w:hint="eastAsia"/>
          <w:color w:val="000000" w:themeColor="text1"/>
          <w:sz w:val="24"/>
          <w:highlight w:val="none"/>
          <w14:textFill>
            <w14:solidFill>
              <w14:schemeClr w14:val="tx1"/>
            </w14:solidFill>
          </w14:textFill>
        </w:rPr>
      </w:pPr>
    </w:p>
    <w:p>
      <w:pPr>
        <w:spacing w:before="120" w:beforeLines="50" w:line="580" w:lineRule="exact"/>
        <w:outlineLvl w:val="1"/>
        <w:rPr>
          <w:rFonts w:hint="eastAsia" w:hAnsi="宋体"/>
          <w:b/>
          <w:color w:val="000000" w:themeColor="text1"/>
          <w:sz w:val="24"/>
          <w:highlight w:val="none"/>
          <w14:textFill>
            <w14:solidFill>
              <w14:schemeClr w14:val="tx1"/>
            </w14:solidFill>
          </w14:textFill>
        </w:rPr>
      </w:pPr>
      <w:bookmarkStart w:id="1936" w:name="_Toc354042317"/>
      <w:r>
        <w:rPr>
          <w:rFonts w:hAnsi="宋体"/>
          <w:b/>
          <w:color w:val="000000" w:themeColor="text1"/>
          <w:sz w:val="24"/>
          <w:highlight w:val="none"/>
          <w14:textFill>
            <w14:solidFill>
              <w14:schemeClr w14:val="tx1"/>
            </w14:solidFill>
          </w14:textFill>
        </w:rPr>
        <w:br w:type="page"/>
      </w:r>
      <w:bookmarkStart w:id="1937" w:name="_Toc15895"/>
      <w:bookmarkStart w:id="1938" w:name="_Toc1930"/>
      <w:bookmarkStart w:id="1939" w:name="_Toc20824"/>
      <w:bookmarkStart w:id="1940" w:name="_Toc100504383"/>
      <w:r>
        <w:rPr>
          <w:rFonts w:hint="eastAsia" w:hAnsi="宋体"/>
          <w:b/>
          <w:color w:val="000000" w:themeColor="text1"/>
          <w:sz w:val="24"/>
          <w:highlight w:val="none"/>
          <w14:textFill>
            <w14:solidFill>
              <w14:schemeClr w14:val="tx1"/>
            </w14:solidFill>
          </w14:textFill>
        </w:rPr>
        <w:t>附件七：</w:t>
      </w:r>
      <w:r>
        <w:rPr>
          <w:rFonts w:hAnsi="宋体"/>
          <w:b/>
          <w:color w:val="000000" w:themeColor="text1"/>
          <w:sz w:val="24"/>
          <w:highlight w:val="none"/>
          <w14:textFill>
            <w14:solidFill>
              <w14:schemeClr w14:val="tx1"/>
            </w14:solidFill>
          </w14:textFill>
        </w:rPr>
        <w:t>安全</w:t>
      </w:r>
      <w:r>
        <w:rPr>
          <w:rFonts w:hint="eastAsia" w:hAnsi="宋体"/>
          <w:b/>
          <w:color w:val="000000" w:themeColor="text1"/>
          <w:sz w:val="24"/>
          <w:highlight w:val="none"/>
          <w14:textFill>
            <w14:solidFill>
              <w14:schemeClr w14:val="tx1"/>
            </w14:solidFill>
          </w14:textFill>
        </w:rPr>
        <w:t>生产和文明施工</w:t>
      </w:r>
      <w:r>
        <w:rPr>
          <w:rFonts w:hAnsi="宋体"/>
          <w:b/>
          <w:color w:val="000000" w:themeColor="text1"/>
          <w:sz w:val="24"/>
          <w:highlight w:val="none"/>
          <w14:textFill>
            <w14:solidFill>
              <w14:schemeClr w14:val="tx1"/>
            </w14:solidFill>
          </w14:textFill>
        </w:rPr>
        <w:t>管理协议书</w:t>
      </w:r>
      <w:r>
        <w:rPr>
          <w:rFonts w:hint="eastAsia" w:hAnsi="宋体"/>
          <w:b/>
          <w:color w:val="000000" w:themeColor="text1"/>
          <w:sz w:val="24"/>
          <w:highlight w:val="none"/>
          <w14:textFill>
            <w14:solidFill>
              <w14:schemeClr w14:val="tx1"/>
            </w14:solidFill>
          </w14:textFill>
        </w:rPr>
        <w:t>格式</w:t>
      </w:r>
      <w:bookmarkEnd w:id="1936"/>
      <w:bookmarkEnd w:id="1937"/>
      <w:bookmarkEnd w:id="1938"/>
      <w:bookmarkEnd w:id="1939"/>
      <w:bookmarkEnd w:id="1940"/>
    </w:p>
    <w:p>
      <w:pPr>
        <w:spacing w:before="192" w:beforeLines="80" w:after="240" w:afterLines="100" w:line="400" w:lineRule="exact"/>
        <w:jc w:val="center"/>
        <w:rPr>
          <w:rFonts w:ascii="黑体" w:eastAsia="黑体"/>
          <w:b/>
          <w:color w:val="000000" w:themeColor="text1"/>
          <w:sz w:val="32"/>
          <w:szCs w:val="32"/>
          <w:highlight w:val="none"/>
          <w14:textFill>
            <w14:solidFill>
              <w14:schemeClr w14:val="tx1"/>
            </w14:solidFill>
          </w14:textFill>
        </w:rPr>
      </w:pPr>
      <w:r>
        <w:rPr>
          <w:rFonts w:hint="eastAsia" w:ascii="黑体" w:eastAsia="黑体"/>
          <w:b/>
          <w:color w:val="000000" w:themeColor="text1"/>
          <w:sz w:val="32"/>
          <w:szCs w:val="32"/>
          <w:highlight w:val="none"/>
          <w14:textFill>
            <w14:solidFill>
              <w14:schemeClr w14:val="tx1"/>
            </w14:solidFill>
          </w14:textFill>
        </w:rPr>
        <w:t>安全生产和文明施工管理协议书</w:t>
      </w:r>
    </w:p>
    <w:p>
      <w:pPr>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发包人(甲方)：</w:t>
      </w:r>
      <w:r>
        <w:rPr>
          <w:rFonts w:hint="eastAsia" w:ascii="宋体" w:hAnsi="宋体" w:cs="宋体-18030"/>
          <w:b/>
          <w:bCs/>
          <w:snapToGrid w:val="0"/>
          <w:color w:val="000000" w:themeColor="text1"/>
          <w:kern w:val="0"/>
          <w:sz w:val="24"/>
          <w:highlight w:val="none"/>
          <w14:textFill>
            <w14:solidFill>
              <w14:schemeClr w14:val="tx1"/>
            </w14:solidFill>
          </w14:textFill>
        </w:rPr>
        <w:t>广州市番禺区水务工程建管中心（广州市番禺区水旱灾害防御中心）</w:t>
      </w:r>
    </w:p>
    <w:p>
      <w:pPr>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承包人(乙方)：</w:t>
      </w:r>
    </w:p>
    <w:p>
      <w:pPr>
        <w:pStyle w:val="32"/>
        <w:tabs>
          <w:tab w:val="clear" w:pos="992"/>
        </w:tabs>
        <w:snapToGrid w:val="0"/>
        <w:spacing w:before="0" w:beforeLines="0" w:after="0" w:afterLines="0"/>
        <w:ind w:left="0" w:firstLine="472" w:firstLineChars="196"/>
        <w:jc w:val="both"/>
        <w:rPr>
          <w:rFonts w:hint="eastAsia"/>
          <w:b w:val="0"/>
          <w:color w:val="000000" w:themeColor="text1"/>
          <w:highlight w:val="none"/>
          <w14:textFill>
            <w14:solidFill>
              <w14:schemeClr w14:val="tx1"/>
            </w14:solidFill>
          </w14:textFill>
        </w:rPr>
      </w:pPr>
      <w:r>
        <w:rPr>
          <w:rStyle w:val="53"/>
          <w:rFonts w:hint="eastAsia"/>
          <w:color w:val="000000" w:themeColor="text1"/>
          <w:highlight w:val="none"/>
          <w14:textFill>
            <w14:solidFill>
              <w14:schemeClr w14:val="tx1"/>
            </w14:solidFill>
          </w14:textFill>
        </w:rPr>
        <w:t>第一条</w:t>
      </w:r>
      <w:r>
        <w:rPr>
          <w:rStyle w:val="53"/>
          <w:rFonts w:hint="eastAsia"/>
          <w:b w:val="0"/>
          <w:color w:val="000000" w:themeColor="text1"/>
          <w:highlight w:val="none"/>
          <w14:textFill>
            <w14:solidFill>
              <w14:schemeClr w14:val="tx1"/>
            </w14:solidFill>
          </w14:textFill>
        </w:rPr>
        <w:t xml:space="preserve">  </w:t>
      </w:r>
      <w:r>
        <w:rPr>
          <w:rFonts w:hint="eastAsia" w:cs="宋体"/>
          <w:b w:val="0"/>
          <w:color w:val="000000" w:themeColor="text1"/>
          <w:highlight w:val="none"/>
          <w14:textFill>
            <w14:solidFill>
              <w14:schemeClr w14:val="tx1"/>
            </w14:solidFill>
          </w14:textFill>
        </w:rPr>
        <w:t>为确保安全文明施工，保证工程顺利进行,</w:t>
      </w:r>
      <w:r>
        <w:rPr>
          <w:rFonts w:hint="eastAsia"/>
          <w:b w:val="0"/>
          <w:color w:val="000000" w:themeColor="text1"/>
          <w:highlight w:val="none"/>
          <w14:textFill>
            <w14:solidFill>
              <w14:schemeClr w14:val="tx1"/>
            </w14:solidFill>
          </w14:textFill>
        </w:rPr>
        <w:t xml:space="preserve"> 根据《中华人民共和国民法典》、《广东省建设厅建筑工程安全防护、文明施工措施费用管理办法》、《广州市建设工程文明施工管理规定》等规定，经双方协商，签订本协议书。</w:t>
      </w:r>
    </w:p>
    <w:p>
      <w:pPr>
        <w:pStyle w:val="32"/>
        <w:tabs>
          <w:tab w:val="clear" w:pos="992"/>
        </w:tabs>
        <w:snapToGrid w:val="0"/>
        <w:spacing w:before="0" w:beforeLines="0" w:after="0" w:afterLines="0"/>
        <w:ind w:left="0" w:firstLine="480" w:firstLineChars="20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本协议书所涉及的工程范围:</w:t>
      </w:r>
      <w:r>
        <w:rPr>
          <w:rFonts w:hint="eastAsia"/>
          <w:b w:val="0"/>
          <w:color w:val="000000" w:themeColor="text1"/>
          <w:highlight w:val="none"/>
          <w14:textFill>
            <w14:solidFill>
              <w14:schemeClr w14:val="tx1"/>
            </w14:solidFill>
          </w14:textFill>
        </w:rPr>
        <w:softHyphen/>
      </w:r>
      <w:r>
        <w:rPr>
          <w:rFonts w:hint="eastAsia"/>
          <w:b w:val="0"/>
          <w:color w:val="000000" w:themeColor="text1"/>
          <w:highlight w:val="none"/>
          <w14:textFill>
            <w14:solidFill>
              <w14:schemeClr w14:val="tx1"/>
            </w14:solidFill>
          </w14:textFill>
        </w:rPr>
        <w:t>按发包人提供的招标文件、招标答疑、招标图纸（含设计说明及补充说明）等招标过程中所发出的相关文件，</w:t>
      </w:r>
      <w:r>
        <w:rPr>
          <w:b w:val="0"/>
          <w:color w:val="000000" w:themeColor="text1"/>
          <w:highlight w:val="none"/>
          <w14:textFill>
            <w14:solidFill>
              <w14:schemeClr w14:val="tx1"/>
            </w14:solidFill>
          </w14:textFill>
        </w:rPr>
        <w:t>（具体以施工图设计为准）</w:t>
      </w:r>
      <w:r>
        <w:rPr>
          <w:rFonts w:hint="eastAsia"/>
          <w:b w:val="0"/>
          <w:color w:val="000000" w:themeColor="text1"/>
          <w:highlight w:val="none"/>
          <w14:textFill>
            <w14:solidFill>
              <w14:schemeClr w14:val="tx1"/>
            </w14:solidFill>
          </w14:textFill>
        </w:rPr>
        <w:t>。</w:t>
      </w:r>
    </w:p>
    <w:p>
      <w:pPr>
        <w:pStyle w:val="32"/>
        <w:tabs>
          <w:tab w:val="clear" w:pos="992"/>
        </w:tabs>
        <w:snapToGrid w:val="0"/>
        <w:spacing w:before="0" w:beforeLines="0" w:after="0" w:afterLines="0"/>
        <w:ind w:left="0" w:firstLine="482" w:firstLineChars="200"/>
        <w:rPr>
          <w:rFonts w:hint="eastAsia"/>
          <w:b w:val="0"/>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第二条</w:t>
      </w:r>
      <w:r>
        <w:rPr>
          <w:rFonts w:hint="eastAsia"/>
          <w:b w:val="0"/>
          <w:color w:val="000000" w:themeColor="text1"/>
          <w:highlight w:val="none"/>
          <w14:textFill>
            <w14:solidFill>
              <w14:schemeClr w14:val="tx1"/>
            </w14:solidFill>
          </w14:textFill>
        </w:rPr>
        <w:t xml:space="preserve">  甲乙双方均应当遵守《建筑施工安全检查标准》(JGJ59-2011)和广东省、广州市政府及其部门制定的有关建筑工程安全生产、文明施工管理办法和规定。</w:t>
      </w:r>
    </w:p>
    <w:p>
      <w:pPr>
        <w:snapToGrid w:val="0"/>
        <w:spacing w:line="360" w:lineRule="auto"/>
        <w:ind w:firstLine="472" w:firstLineChars="196"/>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第三条</w:t>
      </w:r>
      <w:r>
        <w:rPr>
          <w:rFonts w:hint="eastAsia" w:ascii="宋体" w:hAnsi="宋体"/>
          <w:color w:val="000000" w:themeColor="text1"/>
          <w:sz w:val="24"/>
          <w:highlight w:val="none"/>
          <w14:textFill>
            <w14:solidFill>
              <w14:schemeClr w14:val="tx1"/>
            </w14:solidFill>
          </w14:textFill>
        </w:rPr>
        <w:t xml:space="preserve"> 甲方权利和义务</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1、对乙方安全文明施工进行指导、监督，督促施工单位依法履行安全文明施工管理职责，并作好现场记录。</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2、督促乙方对生产中存在的安全隐患和违反文明施工规定的行为进行整改，及时协调解决各工地之间、工地与周边群众之间的矛盾。</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3、负责组织建设、监理、施工三方责任主体每月末按标准对乙方进行考核。</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4、每星期召开一次有乙方项目负责人、安全专职人员参加的安全文明施工会议，通报情况，交流经验，及时纠正施工中存在的安全隐患问题。</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5、甲方发现安全隐患或违反文明施工规定的行为，有权责令乙方停工整改，直至排除安全隐患。</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甲方或监理人发现乙方存在违章作业、不按设计要求或专项施工方案的要求落实安全防护措施或安全防护措施落实不到位的，对事故隐患拒不整改或整改不到位的，而构成违约行为的，有权依据《施工管理及处罚条例》相关条款对乙方实施违约处罚，情节严重的报告上级主管部门。</w:t>
      </w:r>
    </w:p>
    <w:p>
      <w:pPr>
        <w:snapToGrid w:val="0"/>
        <w:spacing w:line="360" w:lineRule="auto"/>
        <w:ind w:firstLine="472" w:firstLineChars="196"/>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第四条</w:t>
      </w:r>
      <w:r>
        <w:rPr>
          <w:rFonts w:hint="eastAsia" w:ascii="宋体" w:hAnsi="宋体"/>
          <w:color w:val="000000" w:themeColor="text1"/>
          <w:sz w:val="24"/>
          <w:highlight w:val="none"/>
          <w14:textFill>
            <w14:solidFill>
              <w14:schemeClr w14:val="tx1"/>
            </w14:solidFill>
          </w14:textFill>
        </w:rPr>
        <w:t xml:space="preserve">  乙方权利和义务</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1、严格执行国家和省市规定的安全生产和文明施工的相关规定。</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建立健全安全生产责任制、安全生产规章制度和操作规程，建立健全项目施工组织架构和安全生产管理架构。配备安全生产管理机构和专职安全生产管理人员，遵守我司已有的与项目施工相关的安全生产规章制度和操作规程。</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3、编制、审核和论证施工所需的各类专项施工方案，并落实安全技术交底。</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4、编制与实施相关的生产安全事故及自然灾害应急预案，配备应急救援的人员、装备和物资，并按预案开展事故应急救援演练。</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5、保证安全生产投入的有效实施，确保安全防护、文明施工措施费用专款专用，配齐安全防护设施和劳动保护用品。</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6、根据施工需要配齐特种设备和特种作业人员，严禁无证使用（上岗）。</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7、根据《安全生产法》的规定，乙方应对从业人员进行安全教育和培训，保证从业人员具备安全生产知识，熟悉安全生产规章制度和安全操作规程</w:t>
      </w:r>
      <w:r>
        <w:rPr>
          <w:rFonts w:hint="eastAsia" w:ascii="宋体" w:hAnsi="宋体"/>
          <w:i/>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掌握本岗位的安全操作技能，未经安全生产教育培训合格的人员不得上岗作业。</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8、文明施工现场管理必须按照广州市住建委《广州市住房和城乡建设委员会关于印发建设工程扬尘防治“6个100%”</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管理标准细化措施的通知》（穗建质[2018]1394号）要求执行，详见本合同附件二十一。</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9、施工现场应当按照下列要求设置相关设施：</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(1)在醒目位置设置施工铭牌，并张贴有关许可证件。施工铭牌应当明确项目名称，建设、施工、监理单位及项目负责人姓名，监督机构名称，开工、计划竣工日期和监督投诉电话等。</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(2)施工作业区与办公、生活区应当分开设置，具有足够的安全距离，采取相应的隔离措施；占用、挖掘城市道路施工的，不得设置办公场地、宿舍等非必要区域和设施。</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(3)施工现场四周应当设置连续、封闭的围档。管线工程、非全封闭的城市道路等工程应当使用路拦式围档。</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(4)工地内车辆出入口应当设置洗车场地和沉淀池，配备高压冲洗水枪；不具备设置洗车设施的管线工程、非全封闭的城市道路等工程，施工单位应当采用移动式冲水设备冲洗工地车辆，并安排工人保洁。</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(5)工地外立面脚手架使用钢管搭设，禁止使用竹子搭设或者钢竹混搭，脚手架杆件应当涂装规定颜色的警示漆，不应有明显锈迹，立面统一采用灰色密目式安全网围蔽。</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(6)施工现场的建筑材料和设备设施，应当按照施工总平面图划定的区域存放整齐，并设置标签，不得堆放在现场围蔽以外。</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(7)施工现场道路应当畅通，并设置通畅的排水设施和应急设施。</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10、对有较大危险因素的作业场所和有关设施、设备要设置明显的安全警示标志。</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11、安全文明施工监督检查人员进行监督检查时，乙方要主动接受检查，并积极配合，不得拒绝，阻挠和拖延，并在检查记录上签字。</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12、每周至少召开一次安全文明施工会议，自查自纠安全隐患及违反文明施工管理规定因素，保证工程顺利进行。</w:t>
      </w:r>
    </w:p>
    <w:p>
      <w:pPr>
        <w:snapToGrid w:val="0"/>
        <w:spacing w:line="360" w:lineRule="auto"/>
        <w:ind w:firstLine="482" w:firstLineChars="200"/>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第五条 </w:t>
      </w:r>
      <w:r>
        <w:rPr>
          <w:rFonts w:hint="eastAsia" w:ascii="宋体" w:hAnsi="宋体"/>
          <w:color w:val="000000" w:themeColor="text1"/>
          <w:sz w:val="24"/>
          <w:highlight w:val="none"/>
          <w14:textFill>
            <w14:solidFill>
              <w14:schemeClr w14:val="tx1"/>
            </w14:solidFill>
          </w14:textFill>
        </w:rPr>
        <w:t xml:space="preserve"> 安全文明施工措施费的计取和管理</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工程合同中标价（见中标通知书），其中应计取安全文明施工措施费用（见中标通知书）为专项费用，全部投入到施工工程的安全文明施工管理，按计量支付，总额控制，超过部分不另外支付。同时，在财务管理中应以工程项目为单位，单独列出安全防护、文明施工措施费收入和支出清单备查。</w:t>
      </w:r>
    </w:p>
    <w:p>
      <w:pPr>
        <w:pStyle w:val="29"/>
        <w:autoSpaceDN w:val="0"/>
        <w:adjustRightInd w:val="0"/>
        <w:snapToGrid w:val="0"/>
        <w:spacing w:line="360" w:lineRule="auto"/>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第六条</w:t>
      </w:r>
      <w:r>
        <w:rPr>
          <w:rFonts w:hint="eastAsia"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工程安全文明施工实行履约保证金或履约保函管理制度</w:t>
      </w:r>
    </w:p>
    <w:p>
      <w:pPr>
        <w:pStyle w:val="32"/>
        <w:tabs>
          <w:tab w:val="clear" w:pos="992"/>
        </w:tabs>
        <w:snapToGrid w:val="0"/>
        <w:spacing w:before="0" w:beforeLines="0" w:after="0" w:afterLines="0"/>
        <w:ind w:left="0" w:firstLine="480" w:firstLineChars="20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1、甲方不定时组织人员按照《建筑安全施工检查标准JGJ59-2011）》和《广州市建设工程文明施工管理规定》对乙方落实安全生产和文明施工措施进行检查评分，每个月评分一次，评分等级为不合格（综合分数低于60分）的在履约保证金或履约保函扣罚5万/次；乙方隐瞒安全风险的，按评定不合格处理。</w:t>
      </w:r>
    </w:p>
    <w:p>
      <w:pPr>
        <w:autoSpaceDN w:val="0"/>
        <w:adjustRightInd w:val="0"/>
        <w:snapToGrid w:val="0"/>
        <w:spacing w:line="360" w:lineRule="auto"/>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2、承包合同期间发生生产安全事故的按照附件十四《施工管理及处罚条例》相关约定处理。</w:t>
      </w:r>
    </w:p>
    <w:p>
      <w:pPr>
        <w:autoSpaceDN w:val="0"/>
        <w:adjustRightInd w:val="0"/>
        <w:snapToGrid w:val="0"/>
        <w:spacing w:line="360" w:lineRule="auto"/>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3、甲方每季度对施工承包人安全文明施工情况进行评价，并将评价结果录入市水务局诚信系统。</w:t>
      </w:r>
    </w:p>
    <w:p>
      <w:pPr>
        <w:autoSpaceDN w:val="0"/>
        <w:adjustRightInd w:val="0"/>
        <w:snapToGrid w:val="0"/>
        <w:spacing w:line="360" w:lineRule="auto"/>
        <w:ind w:firstLine="472" w:firstLineChars="196"/>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第七条</w:t>
      </w:r>
      <w:r>
        <w:rPr>
          <w:rFonts w:hint="eastAsia" w:ascii="宋体" w:hAnsi="宋体"/>
          <w:color w:val="000000" w:themeColor="text1"/>
          <w:sz w:val="24"/>
          <w:highlight w:val="none"/>
          <w14:textFill>
            <w14:solidFill>
              <w14:schemeClr w14:val="tx1"/>
            </w14:solidFill>
          </w14:textFill>
        </w:rPr>
        <w:t xml:space="preserve">  发生一般(或以上)安全生产责任事故的，对本工程施工承包人纳入广州市水务工程不诚信行为记录，记录有效期2年（不诚信行为记录自安监部门等相关单位的书面调查报告或行政处罚决定书发布的时间之日开始计算）。</w:t>
      </w:r>
    </w:p>
    <w:p>
      <w:pPr>
        <w:pStyle w:val="32"/>
        <w:tabs>
          <w:tab w:val="clear" w:pos="992"/>
        </w:tabs>
        <w:snapToGrid w:val="0"/>
        <w:spacing w:before="0" w:beforeLines="0" w:after="0" w:afterLines="0"/>
        <w:ind w:left="586" w:leftChars="279" w:firstLine="0"/>
        <w:rPr>
          <w:rFonts w:hint="eastAsia"/>
          <w:b w:val="0"/>
          <w:bCs w:val="0"/>
          <w:color w:val="000000" w:themeColor="text1"/>
          <w:highlight w:val="none"/>
          <w14:textFill>
            <w14:solidFill>
              <w14:schemeClr w14:val="tx1"/>
            </w14:solidFill>
          </w14:textFill>
        </w:rPr>
      </w:pPr>
      <w:r>
        <w:rPr>
          <w:rFonts w:hint="eastAsia"/>
          <w:bCs w:val="0"/>
          <w:color w:val="000000" w:themeColor="text1"/>
          <w:highlight w:val="none"/>
          <w14:textFill>
            <w14:solidFill>
              <w14:schemeClr w14:val="tx1"/>
            </w14:solidFill>
          </w14:textFill>
        </w:rPr>
        <w:t>第八条</w:t>
      </w:r>
      <w:r>
        <w:rPr>
          <w:rFonts w:hint="eastAsia"/>
          <w:b w:val="0"/>
          <w:bCs w:val="0"/>
          <w:color w:val="000000" w:themeColor="text1"/>
          <w:highlight w:val="none"/>
          <w14:textFill>
            <w14:solidFill>
              <w14:schemeClr w14:val="tx1"/>
            </w14:solidFill>
          </w14:textFill>
        </w:rPr>
        <w:t xml:space="preserve">  安全风险因素辨识和评估及安全交底</w:t>
      </w:r>
    </w:p>
    <w:p>
      <w:pPr>
        <w:pStyle w:val="32"/>
        <w:tabs>
          <w:tab w:val="clear" w:pos="992"/>
        </w:tabs>
        <w:snapToGrid w:val="0"/>
        <w:spacing w:before="0" w:beforeLines="0" w:after="0" w:afterLines="0"/>
        <w:ind w:left="0" w:firstLine="420" w:firstLineChars="175"/>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1、开工前，乙方应提交工程项目安全风险因素辨识和评估报告作为申请开工令的材料，该报告应根据具体项目以列表形式详细列出本项目可能的安全风险因素，并提出切实可行的安全防控措施。</w:t>
      </w:r>
    </w:p>
    <w:p>
      <w:pPr>
        <w:pStyle w:val="32"/>
        <w:tabs>
          <w:tab w:val="clear" w:pos="992"/>
        </w:tabs>
        <w:snapToGrid w:val="0"/>
        <w:spacing w:before="0" w:beforeLines="0" w:after="0" w:afterLines="0"/>
        <w:ind w:left="0" w:firstLine="420" w:firstLineChars="175"/>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2、乙方应该在项目安全风险因素辨识和评估报告的基础上，编制项目安全文明费的投入计划。</w:t>
      </w:r>
    </w:p>
    <w:p>
      <w:pPr>
        <w:pStyle w:val="32"/>
        <w:tabs>
          <w:tab w:val="clear" w:pos="992"/>
        </w:tabs>
        <w:snapToGrid w:val="0"/>
        <w:spacing w:before="0" w:beforeLines="0" w:after="0" w:afterLines="0"/>
        <w:ind w:left="0" w:firstLine="420" w:firstLineChars="175"/>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3、在开工前由甲方组织召开工程安全交底会议，参加人员包括甲方代表、甲方工程安全管理人员，乙方项目管理机构全体成员，乙方安全员、乙方施工班组长和作业人员、监理公司总监理工程师、工程安全监理工程师等。</w:t>
      </w:r>
    </w:p>
    <w:p>
      <w:pPr>
        <w:pStyle w:val="32"/>
        <w:tabs>
          <w:tab w:val="clear" w:pos="992"/>
        </w:tabs>
        <w:snapToGrid w:val="0"/>
        <w:spacing w:before="0" w:beforeLines="0" w:after="0" w:afterLines="0"/>
        <w:ind w:left="898" w:leftChars="304" w:hanging="260" w:hangingChars="108"/>
        <w:rPr>
          <w:rFonts w:hint="eastAsia"/>
          <w:b w:val="0"/>
          <w:bCs w:val="0"/>
          <w:color w:val="000000" w:themeColor="text1"/>
          <w:highlight w:val="none"/>
          <w14:textFill>
            <w14:solidFill>
              <w14:schemeClr w14:val="tx1"/>
            </w14:solidFill>
          </w14:textFill>
        </w:rPr>
      </w:pPr>
      <w:r>
        <w:rPr>
          <w:rFonts w:hint="eastAsia"/>
          <w:bCs w:val="0"/>
          <w:color w:val="000000" w:themeColor="text1"/>
          <w:highlight w:val="none"/>
          <w14:textFill>
            <w14:solidFill>
              <w14:schemeClr w14:val="tx1"/>
            </w14:solidFill>
          </w14:textFill>
        </w:rPr>
        <w:t>第九条</w:t>
      </w:r>
      <w:r>
        <w:rPr>
          <w:rFonts w:hint="eastAsia"/>
          <w:b w:val="0"/>
          <w:bCs w:val="0"/>
          <w:color w:val="000000" w:themeColor="text1"/>
          <w:highlight w:val="none"/>
          <w14:textFill>
            <w14:solidFill>
              <w14:schemeClr w14:val="tx1"/>
            </w14:solidFill>
          </w14:textFill>
        </w:rPr>
        <w:t xml:space="preserve">  安全预报和安全约谈</w:t>
      </w:r>
    </w:p>
    <w:p>
      <w:pPr>
        <w:pStyle w:val="32"/>
        <w:tabs>
          <w:tab w:val="clear" w:pos="992"/>
        </w:tabs>
        <w:snapToGrid w:val="0"/>
        <w:spacing w:before="0" w:beforeLines="0" w:after="0" w:afterLines="0"/>
        <w:ind w:left="0" w:firstLine="540" w:firstLineChars="225"/>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1、在施工过程中，甲方现场安全负责人、安全员应该根据工程的进度，及时进行动态跟踪，并根据现场实际情况及时进行安全预报，在每次的工程例会上，乙方现场安全负责人必须就具体工点进行安全风险分析和预报并形成会议纪要送监理工程师和甲方备案。</w:t>
      </w:r>
    </w:p>
    <w:p>
      <w:pPr>
        <w:pStyle w:val="32"/>
        <w:tabs>
          <w:tab w:val="clear" w:pos="992"/>
        </w:tabs>
        <w:snapToGrid w:val="0"/>
        <w:spacing w:before="0" w:beforeLines="0" w:after="0" w:afterLines="0"/>
        <w:ind w:left="0" w:firstLine="480" w:firstLineChars="20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2、除了开工前的安全交底外，在项目实施过程中，甲方在认为必要时，有权约集乙方及监理单位有关人员进行安全约谈，范围包括并不限于乙方本部安全责任人、现场安全负责人、安全员、施工班组长及监理单位有关人员等。乙方在接到约谈通知后，应根据甲方要求安排有关人员至指定的地点参加。</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w:t>
      </w:r>
      <w:r>
        <w:rPr>
          <w:rFonts w:hint="eastAsia"/>
          <w:color w:val="000000" w:themeColor="text1"/>
          <w:highlight w:val="none"/>
          <w14:textFill>
            <w14:solidFill>
              <w14:schemeClr w14:val="tx1"/>
            </w14:solidFill>
          </w14:textFill>
        </w:rPr>
        <w:t>第十条</w:t>
      </w:r>
      <w:r>
        <w:rPr>
          <w:rFonts w:hint="eastAsia"/>
          <w:b w:val="0"/>
          <w:color w:val="000000" w:themeColor="text1"/>
          <w:highlight w:val="none"/>
          <w14:textFill>
            <w14:solidFill>
              <w14:schemeClr w14:val="tx1"/>
            </w14:solidFill>
          </w14:textFill>
        </w:rPr>
        <w:t xml:space="preserve">  事故处理</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1、发生重伤或死亡或直接经济损失100万元以上的安全生产事故，乙方施工项目部负责人应立即按规定向事故所在地应急部门、行业主管部门和广州市规定的相关政府部门报告，并同时统计上报甲方代表。</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2、发生生产安全事故的，</w:t>
      </w:r>
      <w:r>
        <w:rPr>
          <w:rFonts w:hint="eastAsia"/>
          <w:b w:val="0"/>
          <w:color w:val="000000" w:themeColor="text1"/>
          <w:highlight w:val="none"/>
          <w:shd w:val="solid" w:color="FFFFFF" w:fill="auto"/>
          <w14:textFill>
            <w14:solidFill>
              <w14:schemeClr w14:val="tx1"/>
            </w14:solidFill>
          </w14:textFill>
        </w:rPr>
        <w:t>事故发生单位负责人接到事故报告后，应当立即启动事故相应应急预案，或者采取有效措施，组织抢救，防止事故扩大，减少人员伤亡和财产损失。</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3、乙方由于没有尽到自身安全责任，被认定为安全生产责任事故的，应承担违约责任。</w:t>
      </w:r>
    </w:p>
    <w:p>
      <w:pPr>
        <w:pStyle w:val="32"/>
        <w:tabs>
          <w:tab w:val="clear" w:pos="992"/>
        </w:tabs>
        <w:snapToGrid w:val="0"/>
        <w:spacing w:before="0" w:beforeLines="0" w:after="0" w:afterLines="0"/>
        <w:ind w:left="0" w:firstLine="420" w:firstLineChars="175"/>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4、对违章作业、冒险进入施工禁区及损坏安全防护设施、不按规定进行安全技术交底及组织施工造成伤亡事故的，应由乙方和事故责任者自己承担罚款及一切经济损失和刑事责任。</w:t>
      </w:r>
    </w:p>
    <w:p>
      <w:pPr>
        <w:pStyle w:val="32"/>
        <w:tabs>
          <w:tab w:val="clear" w:pos="992"/>
        </w:tabs>
        <w:snapToGrid w:val="0"/>
        <w:spacing w:before="0" w:beforeLines="0" w:after="0" w:afterLines="0"/>
        <w:ind w:left="0" w:firstLine="420" w:firstLineChars="175"/>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5、由于乙方原因发生安全生产事故，主管部门对甲方进行经济处罚的，乙方应承担甲方全部经济损失。</w:t>
      </w:r>
    </w:p>
    <w:p>
      <w:pPr>
        <w:pStyle w:val="32"/>
        <w:tabs>
          <w:tab w:val="clear" w:pos="992"/>
        </w:tabs>
        <w:snapToGrid w:val="0"/>
        <w:spacing w:before="0" w:beforeLines="0" w:after="0" w:afterLines="0"/>
        <w:ind w:left="0" w:firstLine="420" w:firstLineChars="175"/>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6.由于承包人违章作业或安全措施不力等原因造成人员伤亡事故的责任和因此发生的一切费用，由承包人自行承担。</w:t>
      </w:r>
    </w:p>
    <w:p>
      <w:pPr>
        <w:pStyle w:val="32"/>
        <w:tabs>
          <w:tab w:val="clear" w:pos="992"/>
        </w:tabs>
        <w:snapToGrid w:val="0"/>
        <w:spacing w:before="0" w:beforeLines="0" w:after="0" w:afterLines="0"/>
        <w:ind w:left="0" w:firstLine="420" w:firstLineChars="175"/>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承包人发生安全责任事故造成人员死亡的，除上述规定外，承包人还应承担违约责任，每死亡1人，承包人应向发包人支付50万元违约金。</w:t>
      </w:r>
    </w:p>
    <w:p>
      <w:pPr>
        <w:pStyle w:val="32"/>
        <w:tabs>
          <w:tab w:val="clear" w:pos="992"/>
        </w:tabs>
        <w:snapToGrid w:val="0"/>
        <w:spacing w:before="0" w:beforeLines="0" w:after="0" w:afterLines="0"/>
        <w:ind w:left="0" w:firstLine="420" w:firstLineChars="175"/>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7.承包人被相关行政主管部门要求停工整改的，承包人应承担违约责任，每停工整改1次，承包人应向发包人支付5万元违约金。</w:t>
      </w:r>
    </w:p>
    <w:p>
      <w:pPr>
        <w:pStyle w:val="32"/>
        <w:tabs>
          <w:tab w:val="clear" w:pos="992"/>
        </w:tabs>
        <w:snapToGrid w:val="0"/>
        <w:spacing w:before="0" w:beforeLines="0" w:after="0" w:afterLines="0"/>
        <w:ind w:left="0" w:firstLine="361" w:firstLineChars="150"/>
        <w:rPr>
          <w:rFonts w:hint="eastAsia"/>
          <w:b w:val="0"/>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第十一条  </w:t>
      </w:r>
      <w:r>
        <w:rPr>
          <w:rFonts w:hint="eastAsia"/>
          <w:b w:val="0"/>
          <w:color w:val="000000" w:themeColor="text1"/>
          <w:highlight w:val="none"/>
          <w14:textFill>
            <w14:solidFill>
              <w14:schemeClr w14:val="tx1"/>
            </w14:solidFill>
          </w14:textFill>
        </w:rPr>
        <w:t>开工前，乙方应向甲方提供的安全管理体系资料包括但不限于：</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1、安全管理架构图;</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2、安全生产管理机构和安全生产管理人员的配备情况;</w:t>
      </w:r>
    </w:p>
    <w:p>
      <w:pPr>
        <w:pStyle w:val="32"/>
        <w:tabs>
          <w:tab w:val="clear" w:pos="992"/>
        </w:tabs>
        <w:snapToGrid w:val="0"/>
        <w:spacing w:before="0" w:beforeLines="0" w:after="0" w:afterLines="0"/>
        <w:ind w:left="479" w:leftChars="228"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3、安全生产责任制、安全生产管理制度和操作规程及组织架构;</w:t>
      </w:r>
    </w:p>
    <w:p>
      <w:pPr>
        <w:pStyle w:val="32"/>
        <w:tabs>
          <w:tab w:val="clear" w:pos="992"/>
        </w:tabs>
        <w:snapToGrid w:val="0"/>
        <w:spacing w:before="0" w:beforeLines="0" w:after="0" w:afterLines="0"/>
        <w:ind w:left="479" w:leftChars="228"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4、项目管理人员、安全生产管理人员、工程技术人员、特种作业人员的职业资格、技术职称和作业资格证书；</w:t>
      </w:r>
    </w:p>
    <w:p>
      <w:pPr>
        <w:pStyle w:val="32"/>
        <w:tabs>
          <w:tab w:val="clear" w:pos="992"/>
        </w:tabs>
        <w:snapToGrid w:val="0"/>
        <w:spacing w:before="0" w:beforeLines="0" w:after="0" w:afterLines="0"/>
        <w:ind w:left="479" w:leftChars="228"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5、项目安全风险因素列表</w:t>
      </w:r>
    </w:p>
    <w:p>
      <w:pPr>
        <w:pStyle w:val="32"/>
        <w:tabs>
          <w:tab w:val="clear" w:pos="992"/>
        </w:tabs>
        <w:snapToGrid w:val="0"/>
        <w:spacing w:before="0" w:beforeLines="0" w:after="0" w:afterLines="0"/>
        <w:ind w:left="0" w:firstLine="0"/>
        <w:rPr>
          <w:rFonts w:hint="eastAsia"/>
          <w:b w:val="0"/>
          <w:color w:val="000000" w:themeColor="text1"/>
          <w:highlight w:val="none"/>
          <w14:textFill>
            <w14:solidFill>
              <w14:schemeClr w14:val="tx1"/>
            </w14:solidFill>
          </w14:textFill>
        </w:rPr>
      </w:pPr>
      <w:r>
        <w:rPr>
          <w:rFonts w:hint="eastAsia"/>
          <w:b w:val="0"/>
          <w:color w:val="000000" w:themeColor="text1"/>
          <w:highlight w:val="none"/>
          <w14:textFill>
            <w14:solidFill>
              <w14:schemeClr w14:val="tx1"/>
            </w14:solidFill>
          </w14:textFill>
        </w:rPr>
        <w:t xml:space="preserve">    6、甲方要求的其他资料。</w:t>
      </w:r>
    </w:p>
    <w:p>
      <w:pPr>
        <w:snapToGrid w:val="0"/>
        <w:spacing w:line="360" w:lineRule="auto"/>
        <w:ind w:firstLine="477" w:firstLineChars="198"/>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第十二条</w:t>
      </w:r>
      <w:r>
        <w:rPr>
          <w:rFonts w:hint="eastAsia" w:ascii="宋体" w:hAnsi="宋体"/>
          <w:color w:val="000000" w:themeColor="text1"/>
          <w:sz w:val="24"/>
          <w:highlight w:val="none"/>
          <w14:textFill>
            <w14:solidFill>
              <w14:schemeClr w14:val="tx1"/>
            </w14:solidFill>
          </w14:textFill>
        </w:rPr>
        <w:t xml:space="preserve"> 违约责任</w:t>
      </w:r>
    </w:p>
    <w:p>
      <w:pPr>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本协议为主合同附件，与主合同具同等效力，违反本协议的，按违反主合同的约定执行。</w:t>
      </w:r>
    </w:p>
    <w:p>
      <w:pPr>
        <w:snapToGrid w:val="0"/>
        <w:spacing w:line="360" w:lineRule="auto"/>
        <w:ind w:firstLine="482" w:firstLineChars="200"/>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第十三条  </w:t>
      </w:r>
      <w:r>
        <w:rPr>
          <w:rFonts w:hint="eastAsia" w:ascii="宋体" w:hAnsi="宋体"/>
          <w:color w:val="000000" w:themeColor="text1"/>
          <w:sz w:val="24"/>
          <w:highlight w:val="none"/>
          <w14:textFill>
            <w14:solidFill>
              <w14:schemeClr w14:val="tx1"/>
            </w14:solidFill>
          </w14:textFill>
        </w:rPr>
        <w:t>本协议一式陆份，甲乙双方签字或签章生效，工程竣工验收后自动失效。</w:t>
      </w:r>
    </w:p>
    <w:p>
      <w:pPr>
        <w:snapToGrid w:val="0"/>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未尽事宜，双方协商解决。</w:t>
      </w:r>
    </w:p>
    <w:p>
      <w:pPr>
        <w:snapToGrid w:val="0"/>
        <w:spacing w:line="360" w:lineRule="auto"/>
        <w:ind w:firstLine="480" w:firstLineChars="200"/>
        <w:outlineLvl w:val="0"/>
        <w:rPr>
          <w:rFonts w:hint="eastAsia" w:ascii="宋体" w:hAnsi="宋体"/>
          <w:color w:val="000000" w:themeColor="text1"/>
          <w:sz w:val="24"/>
          <w:highlight w:val="none"/>
          <w14:textFill>
            <w14:solidFill>
              <w14:schemeClr w14:val="tx1"/>
            </w14:solidFill>
          </w14:textFill>
        </w:rPr>
      </w:pPr>
    </w:p>
    <w:p>
      <w:pPr>
        <w:snapToGrid w:val="0"/>
        <w:spacing w:line="360" w:lineRule="auto"/>
        <w:ind w:firstLine="480" w:firstLineChars="200"/>
        <w:outlineLvl w:val="0"/>
        <w:rPr>
          <w:rFonts w:hint="eastAsia" w:ascii="宋体" w:hAnsi="宋体"/>
          <w:color w:val="000000" w:themeColor="text1"/>
          <w:sz w:val="24"/>
          <w:highlight w:val="none"/>
          <w14:textFill>
            <w14:solidFill>
              <w14:schemeClr w14:val="tx1"/>
            </w14:solidFill>
          </w14:textFill>
        </w:rPr>
      </w:pPr>
      <w:bookmarkStart w:id="1941" w:name="_Toc32076"/>
      <w:bookmarkStart w:id="1942" w:name="_Toc12396"/>
      <w:bookmarkStart w:id="1943" w:name="_Toc100504384"/>
      <w:bookmarkStart w:id="1944" w:name="_Toc3844"/>
      <w:r>
        <w:rPr>
          <w:rFonts w:hint="eastAsia" w:ascii="宋体" w:hAnsi="宋体"/>
          <w:color w:val="000000" w:themeColor="text1"/>
          <w:sz w:val="24"/>
          <w:highlight w:val="none"/>
          <w14:textFill>
            <w14:solidFill>
              <w14:schemeClr w14:val="tx1"/>
            </w14:solidFill>
          </w14:textFill>
        </w:rPr>
        <w:t>（本页下无正文内容）</w:t>
      </w:r>
      <w:bookmarkEnd w:id="1941"/>
      <w:bookmarkEnd w:id="1942"/>
      <w:bookmarkEnd w:id="1943"/>
      <w:bookmarkEnd w:id="1944"/>
    </w:p>
    <w:p>
      <w:pPr>
        <w:spacing w:line="360" w:lineRule="auto"/>
        <w:ind w:firstLine="361" w:firstLineChars="150"/>
        <w:rPr>
          <w:rFonts w:hint="eastAsia" w:ascii="宋体" w:hAnsi="宋体" w:cs="Arial"/>
          <w:b/>
          <w:color w:val="000000" w:themeColor="text1"/>
          <w:kern w:val="0"/>
          <w:sz w:val="24"/>
          <w:highlight w:val="none"/>
          <w14:textFill>
            <w14:solidFill>
              <w14:schemeClr w14:val="tx1"/>
            </w14:solidFill>
          </w14:textFill>
        </w:rPr>
      </w:pPr>
      <w:r>
        <w:rPr>
          <w:rFonts w:ascii="宋体" w:hAnsi="宋体" w:cs="Arial"/>
          <w:b/>
          <w:color w:val="000000" w:themeColor="text1"/>
          <w:kern w:val="0"/>
          <w:sz w:val="24"/>
          <w:highlight w:val="none"/>
          <w14:textFill>
            <w14:solidFill>
              <w14:schemeClr w14:val="tx1"/>
            </w14:solidFill>
          </w14:textFill>
        </w:rPr>
        <w:br w:type="page"/>
      </w:r>
    </w:p>
    <w:p>
      <w:pPr>
        <w:spacing w:line="360" w:lineRule="auto"/>
        <w:ind w:firstLine="361" w:firstLineChars="150"/>
        <w:rPr>
          <w:rFonts w:hint="eastAsia" w:ascii="宋体" w:hAnsi="宋体" w:cs="Arial"/>
          <w:b/>
          <w:color w:val="000000" w:themeColor="text1"/>
          <w:kern w:val="0"/>
          <w:sz w:val="24"/>
          <w:highlight w:val="none"/>
          <w14:textFill>
            <w14:solidFill>
              <w14:schemeClr w14:val="tx1"/>
            </w14:solidFill>
          </w14:textFill>
        </w:rPr>
      </w:pPr>
      <w:r>
        <w:rPr>
          <w:rFonts w:hint="eastAsia" w:ascii="宋体" w:hAnsi="宋体" w:cs="Arial"/>
          <w:b/>
          <w:color w:val="000000" w:themeColor="text1"/>
          <w:kern w:val="0"/>
          <w:sz w:val="24"/>
          <w:highlight w:val="none"/>
          <w14:textFill>
            <w14:solidFill>
              <w14:schemeClr w14:val="tx1"/>
            </w14:solidFill>
          </w14:textFill>
        </w:rPr>
        <w:t>（</w:t>
      </w:r>
      <w:r>
        <w:rPr>
          <w:rFonts w:ascii="宋体" w:hAnsi="宋体" w:cs="Arial"/>
          <w:b/>
          <w:color w:val="000000" w:themeColor="text1"/>
          <w:kern w:val="0"/>
          <w:sz w:val="24"/>
          <w:highlight w:val="none"/>
          <w14:textFill>
            <w14:solidFill>
              <w14:schemeClr w14:val="tx1"/>
            </w14:solidFill>
          </w14:textFill>
        </w:rPr>
        <w:t>本页为签署页</w:t>
      </w:r>
      <w:r>
        <w:rPr>
          <w:rFonts w:hint="eastAsia" w:ascii="宋体" w:hAnsi="宋体" w:cs="Arial"/>
          <w:b/>
          <w:color w:val="000000" w:themeColor="text1"/>
          <w:kern w:val="0"/>
          <w:sz w:val="24"/>
          <w:highlight w:val="none"/>
          <w14:textFill>
            <w14:solidFill>
              <w14:schemeClr w14:val="tx1"/>
            </w14:solidFill>
          </w14:textFill>
        </w:rPr>
        <w:t>，无正文内容）</w:t>
      </w:r>
    </w:p>
    <w:p>
      <w:pPr>
        <w:spacing w:line="360" w:lineRule="auto"/>
        <w:ind w:firstLine="361" w:firstLineChars="150"/>
        <w:rPr>
          <w:rFonts w:hint="eastAsia" w:ascii="宋体" w:hAnsi="宋体" w:cs="Arial"/>
          <w:b/>
          <w:color w:val="000000" w:themeColor="text1"/>
          <w:kern w:val="0"/>
          <w:sz w:val="24"/>
          <w:highlight w:val="none"/>
          <w14:textFill>
            <w14:solidFill>
              <w14:schemeClr w14:val="tx1"/>
            </w14:solidFill>
          </w14:textFill>
        </w:rPr>
      </w:pPr>
    </w:p>
    <w:p>
      <w:pPr>
        <w:spacing w:line="360" w:lineRule="auto"/>
        <w:ind w:firstLine="361" w:firstLineChars="150"/>
        <w:rPr>
          <w:rFonts w:hint="eastAsia" w:ascii="宋体" w:hAnsi="宋体" w:cs="Arial"/>
          <w:b/>
          <w:color w:val="000000" w:themeColor="text1"/>
          <w:kern w:val="0"/>
          <w:sz w:val="24"/>
          <w:highlight w:val="none"/>
          <w14:textFill>
            <w14:solidFill>
              <w14:schemeClr w14:val="tx1"/>
            </w14:solidFill>
          </w14:textFill>
        </w:rPr>
      </w:pPr>
      <w:r>
        <w:rPr>
          <w:rFonts w:hint="eastAsia" w:ascii="宋体" w:hAnsi="宋体" w:cs="Arial"/>
          <w:b/>
          <w:color w:val="000000" w:themeColor="text1"/>
          <w:kern w:val="0"/>
          <w:sz w:val="24"/>
          <w:highlight w:val="none"/>
          <w14:textFill>
            <w14:solidFill>
              <w14:schemeClr w14:val="tx1"/>
            </w14:solidFill>
          </w14:textFill>
        </w:rPr>
        <w:t>发包人(甲 方)： （盖公章）</w:t>
      </w: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 xml:space="preserve">法定代表人：             </w:t>
      </w:r>
    </w:p>
    <w:p>
      <w:pPr>
        <w:spacing w:line="360" w:lineRule="auto"/>
        <w:ind w:firstLine="360" w:firstLineChars="150"/>
        <w:rPr>
          <w:rFonts w:hint="eastAsia" w:hAnsi="宋体"/>
          <w:color w:val="000000" w:themeColor="text1"/>
          <w:sz w:val="24"/>
          <w:highlight w:val="none"/>
          <w14:textFill>
            <w14:solidFill>
              <w14:schemeClr w14:val="tx1"/>
            </w14:solidFill>
          </w14:textFill>
        </w:rPr>
      </w:pP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或授权</w:t>
      </w:r>
      <w:r>
        <w:rPr>
          <w:rFonts w:hAnsi="宋体"/>
          <w:color w:val="000000" w:themeColor="text1"/>
          <w:sz w:val="24"/>
          <w:highlight w:val="none"/>
          <w14:textFill>
            <w14:solidFill>
              <w14:schemeClr w14:val="tx1"/>
            </w14:solidFill>
          </w14:textFill>
        </w:rPr>
        <w:t>委托代理人：</w:t>
      </w: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日期：      年   月   日</w:t>
      </w: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p>
    <w:p>
      <w:pPr>
        <w:spacing w:line="360" w:lineRule="auto"/>
        <w:ind w:firstLine="361" w:firstLineChars="150"/>
        <w:rPr>
          <w:rFonts w:hint="eastAsia" w:ascii="宋体" w:hAnsi="宋体" w:cs="Arial"/>
          <w:b/>
          <w:color w:val="000000" w:themeColor="text1"/>
          <w:kern w:val="0"/>
          <w:sz w:val="24"/>
          <w:highlight w:val="none"/>
          <w14:textFill>
            <w14:solidFill>
              <w14:schemeClr w14:val="tx1"/>
            </w14:solidFill>
          </w14:textFill>
        </w:rPr>
      </w:pPr>
      <w:r>
        <w:rPr>
          <w:rFonts w:hint="eastAsia" w:ascii="宋体" w:hAnsi="宋体" w:cs="Arial"/>
          <w:b/>
          <w:color w:val="000000" w:themeColor="text1"/>
          <w:kern w:val="0"/>
          <w:sz w:val="24"/>
          <w:highlight w:val="none"/>
          <w14:textFill>
            <w14:solidFill>
              <w14:schemeClr w14:val="tx1"/>
            </w14:solidFill>
          </w14:textFill>
        </w:rPr>
        <w:t>承包人(乙 方)：（盖公章）</w:t>
      </w: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 xml:space="preserve">法定代表人： </w:t>
      </w:r>
    </w:p>
    <w:p>
      <w:pPr>
        <w:spacing w:line="360" w:lineRule="auto"/>
        <w:ind w:firstLine="360" w:firstLineChars="150"/>
        <w:rPr>
          <w:rFonts w:hint="eastAsia" w:ascii="宋体" w:hAnsi="宋体" w:cs="Arial"/>
          <w:color w:val="000000" w:themeColor="text1"/>
          <w:kern w:val="0"/>
          <w:sz w:val="24"/>
          <w:highlight w:val="none"/>
          <w14:textFill>
            <w14:solidFill>
              <w14:schemeClr w14:val="tx1"/>
            </w14:solidFill>
          </w14:textFill>
        </w:rPr>
      </w:pPr>
      <w:r>
        <w:rPr>
          <w:rFonts w:hint="eastAsia" w:ascii="宋体" w:hAnsi="宋体" w:cs="Arial"/>
          <w:color w:val="000000" w:themeColor="text1"/>
          <w:kern w:val="0"/>
          <w:sz w:val="24"/>
          <w:highlight w:val="none"/>
          <w14:textFill>
            <w14:solidFill>
              <w14:schemeClr w14:val="tx1"/>
            </w14:solidFill>
          </w14:textFill>
        </w:rPr>
        <w:t xml:space="preserve">            </w:t>
      </w:r>
    </w:p>
    <w:p>
      <w:pPr>
        <w:spacing w:line="360" w:lineRule="auto"/>
        <w:rPr>
          <w:rFonts w:hint="eastAsia"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或</w:t>
      </w:r>
      <w:r>
        <w:rPr>
          <w:rFonts w:hint="eastAsia" w:hAnsi="宋体"/>
          <w:color w:val="000000" w:themeColor="text1"/>
          <w:sz w:val="24"/>
          <w:highlight w:val="none"/>
          <w14:textFill>
            <w14:solidFill>
              <w14:schemeClr w14:val="tx1"/>
            </w14:solidFill>
          </w14:textFill>
        </w:rPr>
        <w:t>授权委托代理人：</w:t>
      </w:r>
    </w:p>
    <w:p>
      <w:pPr>
        <w:spacing w:line="360" w:lineRule="auto"/>
        <w:ind w:firstLine="480" w:firstLineChars="200"/>
        <w:rPr>
          <w:rFonts w:hint="eastAsia"/>
          <w:color w:val="000000" w:themeColor="text1"/>
          <w:sz w:val="24"/>
          <w:highlight w:val="none"/>
          <w14:textFill>
            <w14:solidFill>
              <w14:schemeClr w14:val="tx1"/>
            </w14:solidFill>
          </w14:textFill>
        </w:rPr>
      </w:pPr>
    </w:p>
    <w:p>
      <w:pPr>
        <w:spacing w:before="120" w:beforeLines="50" w:line="580" w:lineRule="exact"/>
        <w:outlineLvl w:val="1"/>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   </w:t>
      </w:r>
      <w:bookmarkStart w:id="1945" w:name="_Toc26832"/>
      <w:bookmarkStart w:id="1946" w:name="_Toc100504385"/>
      <w:bookmarkStart w:id="1947" w:name="_Toc4932"/>
      <w:bookmarkStart w:id="1948" w:name="_Toc31594"/>
      <w:r>
        <w:rPr>
          <w:rFonts w:hint="eastAsia"/>
          <w:color w:val="000000" w:themeColor="text1"/>
          <w:sz w:val="24"/>
          <w:highlight w:val="none"/>
          <w14:textFill>
            <w14:solidFill>
              <w14:schemeClr w14:val="tx1"/>
            </w14:solidFill>
          </w14:textFill>
        </w:rPr>
        <w:t>日期：      年   月   日</w:t>
      </w:r>
      <w:r>
        <w:rPr>
          <w:color w:val="000000" w:themeColor="text1"/>
          <w:sz w:val="24"/>
          <w:highlight w:val="none"/>
          <w14:textFill>
            <w14:solidFill>
              <w14:schemeClr w14:val="tx1"/>
            </w14:solidFill>
          </w14:textFill>
        </w:rPr>
        <w:br w:type="page"/>
      </w:r>
      <w:bookmarkStart w:id="1949" w:name="_Toc354042318"/>
      <w:r>
        <w:rPr>
          <w:rFonts w:hint="eastAsia" w:hAnsi="宋体"/>
          <w:b/>
          <w:color w:val="000000" w:themeColor="text1"/>
          <w:sz w:val="24"/>
          <w:highlight w:val="none"/>
          <w14:textFill>
            <w14:solidFill>
              <w14:schemeClr w14:val="tx1"/>
            </w14:solidFill>
          </w14:textFill>
        </w:rPr>
        <w:t>附件八：《番禺区财政性投资建设项目工程变更管理规定》</w:t>
      </w:r>
      <w:bookmarkEnd w:id="1945"/>
      <w:bookmarkEnd w:id="1946"/>
      <w:bookmarkEnd w:id="1947"/>
      <w:bookmarkEnd w:id="1948"/>
      <w:bookmarkEnd w:id="1949"/>
    </w:p>
    <w:p>
      <w:pPr>
        <w:spacing w:line="360" w:lineRule="auto"/>
        <w:jc w:val="left"/>
        <w:rPr>
          <w:rFonts w:hint="eastAsia"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drawing>
          <wp:inline distT="0" distB="0" distL="114300" distR="114300">
            <wp:extent cx="5124450" cy="7074535"/>
            <wp:effectExtent l="0" t="0" r="0" b="12065"/>
            <wp:docPr id="28" name="图片 126" descr="附件：番禺区住房和城乡建设局等七部门关于印发《番禺区财政性投资建设项目工程变更管理规定》的通知_页面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6" descr="附件：番禺区住房和城乡建设局等七部门关于印发《番禺区财政性投资建设项目工程变更管理规定》的通知_页面_01 - 副本"/>
                    <pic:cNvPicPr>
                      <a:picLocks noChangeAspect="1"/>
                    </pic:cNvPicPr>
                  </pic:nvPicPr>
                  <pic:blipFill>
                    <a:blip r:embed="rId17"/>
                    <a:srcRect l="10907" t="15640" r="6013" b="3256"/>
                    <a:stretch>
                      <a:fillRect/>
                    </a:stretch>
                  </pic:blipFill>
                  <pic:spPr>
                    <a:xfrm>
                      <a:off x="0" y="0"/>
                      <a:ext cx="5124450" cy="707453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124450" cy="7074535"/>
            <wp:effectExtent l="0" t="0" r="0" b="12065"/>
            <wp:docPr id="29" name="图片 210" descr="附件：番禺区住房和城乡建设局等七部门关于印发《番禺区财政性投资建设项目工程变更管理规定》的通知_页面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0" descr="附件：番禺区住房和城乡建设局等七部门关于印发《番禺区财政性投资建设项目工程变更管理规定》的通知_页面_01 - 副本"/>
                    <pic:cNvPicPr>
                      <a:picLocks noChangeAspect="1"/>
                    </pic:cNvPicPr>
                  </pic:nvPicPr>
                  <pic:blipFill>
                    <a:blip r:embed="rId17"/>
                    <a:srcRect l="10907" t="15640" r="6013" b="3256"/>
                    <a:stretch>
                      <a:fillRect/>
                    </a:stretch>
                  </pic:blipFill>
                  <pic:spPr>
                    <a:xfrm>
                      <a:off x="0" y="0"/>
                      <a:ext cx="5124450" cy="707453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307330" cy="7493635"/>
            <wp:effectExtent l="0" t="0" r="7620" b="12065"/>
            <wp:docPr id="30" name="图片 127" descr="附件：番禺区住房和城乡建设局等七部门关于印发《番禺区财政性投资建设项目工程变更管理规定》的通知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7" descr="附件：番禺区住房和城乡建设局等七部门关于印发《番禺区财政性投资建设项目工程变更管理规定》的通知_页面_02"/>
                    <pic:cNvPicPr>
                      <a:picLocks noChangeAspect="1"/>
                    </pic:cNvPicPr>
                  </pic:nvPicPr>
                  <pic:blipFill>
                    <a:blip r:embed="rId18"/>
                    <a:srcRect l="11595" t="8643" r="37" b="3128"/>
                    <a:stretch>
                      <a:fillRect/>
                    </a:stretch>
                  </pic:blipFill>
                  <pic:spPr>
                    <a:xfrm>
                      <a:off x="0" y="0"/>
                      <a:ext cx="5307330" cy="749363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955665" cy="7905115"/>
            <wp:effectExtent l="0" t="0" r="6985" b="635"/>
            <wp:docPr id="31" name="图片 128" descr="附件：番禺区住房和城乡建设局等七部门关于印发《番禺区财政性投资建设项目工程变更管理规定》的通知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8" descr="附件：番禺区住房和城乡建设局等七部门关于印发《番禺区财政性投资建设项目工程变更管理规定》的通知_页面_03"/>
                    <pic:cNvPicPr>
                      <a:picLocks noChangeAspect="1"/>
                    </pic:cNvPicPr>
                  </pic:nvPicPr>
                  <pic:blipFill>
                    <a:blip r:embed="rId19"/>
                    <a:srcRect l="8400" t="13492" r="6845" b="6963"/>
                    <a:stretch>
                      <a:fillRect/>
                    </a:stretch>
                  </pic:blipFill>
                  <pic:spPr>
                    <a:xfrm>
                      <a:off x="0" y="0"/>
                      <a:ext cx="5955665" cy="790511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156325" cy="8211820"/>
            <wp:effectExtent l="0" t="0" r="15875" b="17780"/>
            <wp:docPr id="32" name="图片 129" descr="附件：番禺区住房和城乡建设局等七部门关于印发《番禺区财政性投资建设项目工程变更管理规定》的通知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9" descr="附件：番禺区住房和城乡建设局等七部门关于印发《番禺区财政性投资建设项目工程变更管理规定》的通知_页面_04"/>
                    <pic:cNvPicPr>
                      <a:picLocks noChangeAspect="1"/>
                    </pic:cNvPicPr>
                  </pic:nvPicPr>
                  <pic:blipFill>
                    <a:blip r:embed="rId20"/>
                    <a:srcRect l="12848" t="12546" r="2820" b="7909"/>
                    <a:stretch>
                      <a:fillRect/>
                    </a:stretch>
                  </pic:blipFill>
                  <pic:spPr>
                    <a:xfrm>
                      <a:off x="0" y="0"/>
                      <a:ext cx="6156325" cy="821182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888355" cy="8195310"/>
            <wp:effectExtent l="0" t="0" r="17145" b="15240"/>
            <wp:docPr id="33" name="图片 130" descr="附件：番禺区住房和城乡建设局等七部门关于印发《番禺区财政性投资建设项目工程变更管理规定》的通知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0" descr="附件：番禺区住房和城乡建设局等七部门关于印发《番禺区财政性投资建设项目工程变更管理规定》的通知_页面_05"/>
                    <pic:cNvPicPr>
                      <a:picLocks noChangeAspect="1"/>
                    </pic:cNvPicPr>
                  </pic:nvPicPr>
                  <pic:blipFill>
                    <a:blip r:embed="rId21"/>
                    <a:srcRect l="9654" t="12120" r="8244" b="7083"/>
                    <a:stretch>
                      <a:fillRect/>
                    </a:stretch>
                  </pic:blipFill>
                  <pic:spPr>
                    <a:xfrm>
                      <a:off x="0" y="0"/>
                      <a:ext cx="5888355" cy="819531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641340" cy="8031480"/>
            <wp:effectExtent l="0" t="0" r="16510" b="7620"/>
            <wp:docPr id="34" name="图片 131" descr="附件：番禺区住房和城乡建设局等七部门关于印发《番禺区财政性投资建设项目工程变更管理规定》的通知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1" descr="附件：番禺区住房和城乡建设局等七部门关于印发《番禺区财政性投资建设项目工程变更管理规定》的通知_页面_06"/>
                    <pic:cNvPicPr>
                      <a:picLocks noChangeAspect="1"/>
                    </pic:cNvPicPr>
                  </pic:nvPicPr>
                  <pic:blipFill>
                    <a:blip r:embed="rId22"/>
                    <a:srcRect l="11317" t="13399" r="7967" b="5344"/>
                    <a:stretch>
                      <a:fillRect/>
                    </a:stretch>
                  </pic:blipFill>
                  <pic:spPr>
                    <a:xfrm>
                      <a:off x="0" y="0"/>
                      <a:ext cx="5641340" cy="803148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942965" cy="8312785"/>
            <wp:effectExtent l="0" t="0" r="635" b="12065"/>
            <wp:docPr id="35" name="图片 132" descr="附件：番禺区住房和城乡建设局等七部门关于印发《番禺区财政性投资建设项目工程变更管理规定》的通知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2" descr="附件：番禺区住房和城乡建设局等七部门关于印发《番禺区财政性投资建设项目工程变更管理规定》的通知_页面_07"/>
                    <pic:cNvPicPr>
                      <a:picLocks noChangeAspect="1"/>
                    </pic:cNvPicPr>
                  </pic:nvPicPr>
                  <pic:blipFill>
                    <a:blip r:embed="rId23"/>
                    <a:srcRect l="10907" t="12708" r="6702" b="5804"/>
                    <a:stretch>
                      <a:fillRect/>
                    </a:stretch>
                  </pic:blipFill>
                  <pic:spPr>
                    <a:xfrm>
                      <a:off x="0" y="0"/>
                      <a:ext cx="5942965" cy="831278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549265" cy="7818755"/>
            <wp:effectExtent l="0" t="0" r="13335" b="10795"/>
            <wp:docPr id="36" name="图片 133" descr="附件：番禺区住房和城乡建设局等七部门关于印发《番禺区财政性投资建设项目工程变更管理规定》的通知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3" descr="附件：番禺区住房和城乡建设局等七部门关于印发《番禺区财政性投资建设项目工程变更管理规定》的通知_页面_08"/>
                    <pic:cNvPicPr>
                      <a:picLocks noChangeAspect="1"/>
                    </pic:cNvPicPr>
                  </pic:nvPicPr>
                  <pic:blipFill>
                    <a:blip r:embed="rId24"/>
                    <a:srcRect l="10907" t="12648" r="8232" b="6784"/>
                    <a:stretch>
                      <a:fillRect/>
                    </a:stretch>
                  </pic:blipFill>
                  <pic:spPr>
                    <a:xfrm>
                      <a:off x="0" y="0"/>
                      <a:ext cx="5549265" cy="781875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666105" cy="8248015"/>
            <wp:effectExtent l="0" t="0" r="10795" b="635"/>
            <wp:docPr id="37" name="图片 134" descr="附件：番禺区住房和城乡建设局等七部门关于印发《番禺区财政性投资建设项目工程变更管理规定》的通知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4" descr="附件：番禺区住房和城乡建设局等七部门关于印发《番禺区财政性投资建设项目工程变更管理规定》的通知_页面_09"/>
                    <pic:cNvPicPr>
                      <a:picLocks noChangeAspect="1"/>
                    </pic:cNvPicPr>
                  </pic:nvPicPr>
                  <pic:blipFill>
                    <a:blip r:embed="rId25"/>
                    <a:srcRect l="9932" t="11566" r="9630" b="5634"/>
                    <a:stretch>
                      <a:fillRect/>
                    </a:stretch>
                  </pic:blipFill>
                  <pic:spPr>
                    <a:xfrm>
                      <a:off x="0" y="0"/>
                      <a:ext cx="5666105" cy="824801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359525" cy="8422640"/>
            <wp:effectExtent l="0" t="0" r="3175" b="16510"/>
            <wp:docPr id="38" name="图片 135" descr="附件：番禺区住房和城乡建设局等七部门关于印发《番禺区财政性投资建设项目工程变更管理规定》的通知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5" descr="附件：番禺区住房和城乡建设局等七部门关于印发《番禺区财政性投资建设项目工程变更管理规定》的通知_页面_10"/>
                    <pic:cNvPicPr>
                      <a:picLocks noChangeAspect="1"/>
                    </pic:cNvPicPr>
                  </pic:nvPicPr>
                  <pic:blipFill>
                    <a:blip r:embed="rId26"/>
                    <a:srcRect l="11462" t="12187" r="3098" b="7799"/>
                    <a:stretch>
                      <a:fillRect/>
                    </a:stretch>
                  </pic:blipFill>
                  <pic:spPr>
                    <a:xfrm>
                      <a:off x="0" y="0"/>
                      <a:ext cx="6359525" cy="842264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206490" cy="8093710"/>
            <wp:effectExtent l="0" t="0" r="3810" b="2540"/>
            <wp:docPr id="39" name="图片 136" descr="附件：番禺区住房和城乡建设局等七部门关于印发《番禺区财政性投资建设项目工程变更管理规定》的通知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6" descr="附件：番禺区住房和城乡建设局等七部门关于印发《番禺区财政性投资建设项目工程变更管理规定》的通知_页面_11"/>
                    <pic:cNvPicPr>
                      <a:picLocks noChangeAspect="1"/>
                    </pic:cNvPicPr>
                  </pic:nvPicPr>
                  <pic:blipFill>
                    <a:blip r:embed="rId27"/>
                    <a:srcRect l="7979" t="12546" r="5460" b="7637"/>
                    <a:stretch>
                      <a:fillRect/>
                    </a:stretch>
                  </pic:blipFill>
                  <pic:spPr>
                    <a:xfrm>
                      <a:off x="0" y="0"/>
                      <a:ext cx="6206490" cy="809371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110605" cy="8415655"/>
            <wp:effectExtent l="0" t="0" r="4445" b="4445"/>
            <wp:docPr id="40" name="图片 137" descr="附件：番禺区住房和城乡建设局等七部门关于印发《番禺区财政性投资建设项目工程变更管理规定》的通知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7" descr="附件：番禺区住房和城乡建设局等七部门关于印发《番禺区财政性投资建设项目工程变更管理规定》的通知_页面_12"/>
                    <pic:cNvPicPr>
                      <a:picLocks noChangeAspect="1"/>
                    </pic:cNvPicPr>
                  </pic:nvPicPr>
                  <pic:blipFill>
                    <a:blip r:embed="rId28"/>
                    <a:srcRect l="9787" t="12648" r="7545" b="6844"/>
                    <a:stretch>
                      <a:fillRect/>
                    </a:stretch>
                  </pic:blipFill>
                  <pic:spPr>
                    <a:xfrm>
                      <a:off x="0" y="0"/>
                      <a:ext cx="6110605" cy="841565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057265" cy="8421370"/>
            <wp:effectExtent l="0" t="0" r="635" b="17780"/>
            <wp:docPr id="41" name="图片 138" descr="附件：番禺区住房和城乡建设局等七部门关于印发《番禺区财政性投资建设项目工程变更管理规定》的通知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8" descr="附件：番禺区住房和城乡建设局等七部门关于印发《番禺区财政性投资建设项目工程变更管理规定》的通知_页面_13"/>
                    <pic:cNvPicPr>
                      <a:picLocks noChangeAspect="1"/>
                    </pic:cNvPicPr>
                  </pic:nvPicPr>
                  <pic:blipFill>
                    <a:blip r:embed="rId29"/>
                    <a:srcRect l="11317" t="12810"/>
                    <a:stretch>
                      <a:fillRect/>
                    </a:stretch>
                  </pic:blipFill>
                  <pic:spPr>
                    <a:xfrm>
                      <a:off x="0" y="0"/>
                      <a:ext cx="6057265" cy="842137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353810" cy="8982075"/>
            <wp:effectExtent l="0" t="0" r="8890" b="9525"/>
            <wp:docPr id="42" name="图片 139" descr="附件：番禺区住房和城乡建设局等七部门关于印发《番禺区财政性投资建设项目工程变更管理规定》的通知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9" descr="附件：番禺区住房和城乡建设局等七部门关于印发《番禺区财政性投资建设项目工程变更管理规定》的通知_页面_14"/>
                    <pic:cNvPicPr>
                      <a:picLocks noChangeAspect="1"/>
                    </pic:cNvPicPr>
                  </pic:nvPicPr>
                  <pic:blipFill>
                    <a:blip r:embed="rId30"/>
                    <a:srcRect l="12848" t="12878"/>
                    <a:stretch>
                      <a:fillRect/>
                    </a:stretch>
                  </pic:blipFill>
                  <pic:spPr>
                    <a:xfrm>
                      <a:off x="0" y="0"/>
                      <a:ext cx="6353810" cy="898207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362700" cy="8727440"/>
            <wp:effectExtent l="0" t="0" r="0" b="16510"/>
            <wp:docPr id="43" name="图片 140" descr="附件：番禺区住房和城乡建设局等七部门关于印发《番禺区财政性投资建设项目工程变更管理规定》的通知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0" descr="附件：番禺区住房和城乡建设局等七部门关于印发《番禺区财政性投资建设项目工程变更管理规定》的通知_页面_15"/>
                    <pic:cNvPicPr>
                      <a:picLocks noChangeAspect="1"/>
                    </pic:cNvPicPr>
                  </pic:nvPicPr>
                  <pic:blipFill>
                    <a:blip r:embed="rId31"/>
                    <a:srcRect l="9232" t="11966"/>
                    <a:stretch>
                      <a:fillRect/>
                    </a:stretch>
                  </pic:blipFill>
                  <pic:spPr>
                    <a:xfrm>
                      <a:off x="0" y="0"/>
                      <a:ext cx="6362700" cy="872744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233160" cy="8566785"/>
            <wp:effectExtent l="0" t="0" r="15240" b="5715"/>
            <wp:docPr id="44" name="图片 141" descr="附件：番禺区住房和城乡建设局等七部门关于印发《番禺区财政性投资建设项目工程变更管理规定》的通知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1" descr="附件：番禺区住房和城乡建设局等七部门关于印发《番禺区财政性投资建设项目工程变更管理规定》的通知_页面_16"/>
                    <pic:cNvPicPr>
                      <a:picLocks noChangeAspect="1"/>
                    </pic:cNvPicPr>
                  </pic:nvPicPr>
                  <pic:blipFill>
                    <a:blip r:embed="rId32"/>
                    <a:srcRect l="10631" t="13142"/>
                    <a:stretch>
                      <a:fillRect/>
                    </a:stretch>
                  </pic:blipFill>
                  <pic:spPr>
                    <a:xfrm>
                      <a:off x="0" y="0"/>
                      <a:ext cx="6233160" cy="856678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336665" cy="8849995"/>
            <wp:effectExtent l="0" t="0" r="6985" b="8255"/>
            <wp:docPr id="45" name="图片 142" descr="附件：番禺区住房和城乡建设局等七部门关于印发《番禺区财政性投资建设项目工程变更管理规定》的通知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2" descr="附件：番禺区住房和城乡建设局等七部门关于印发《番禺区财政性投资建设项目工程变更管理规定》的通知_页面_17"/>
                    <pic:cNvPicPr>
                      <a:picLocks noChangeAspect="1"/>
                    </pic:cNvPicPr>
                  </pic:nvPicPr>
                  <pic:blipFill>
                    <a:blip r:embed="rId33"/>
                    <a:srcRect l="11185" t="12289"/>
                    <a:stretch>
                      <a:fillRect/>
                    </a:stretch>
                  </pic:blipFill>
                  <pic:spPr>
                    <a:xfrm>
                      <a:off x="0" y="0"/>
                      <a:ext cx="6336665" cy="884999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250305" cy="8505190"/>
            <wp:effectExtent l="0" t="0" r="17145" b="10160"/>
            <wp:docPr id="46" name="图片 143" descr="附件：番禺区住房和城乡建设局等七部门关于印发《番禺区财政性投资建设项目工程变更管理规定》的通知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3" descr="附件：番禺区住房和城乡建设局等七部门关于印发《番禺区财政性投资建设项目工程变更管理规定》的通知_页面_18"/>
                    <pic:cNvPicPr>
                      <a:picLocks noChangeAspect="1"/>
                    </pic:cNvPicPr>
                  </pic:nvPicPr>
                  <pic:blipFill>
                    <a:blip r:embed="rId34"/>
                    <a:srcRect l="8545" t="12001"/>
                    <a:stretch>
                      <a:fillRect/>
                    </a:stretch>
                  </pic:blipFill>
                  <pic:spPr>
                    <a:xfrm>
                      <a:off x="0" y="0"/>
                      <a:ext cx="6250305" cy="850519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306185" cy="8427085"/>
            <wp:effectExtent l="0" t="0" r="18415" b="12065"/>
            <wp:docPr id="47" name="图片 144" descr="附件：番禺区住房和城乡建设局等七部门关于印发《番禺区财政性投资建设项目工程变更管理规定》的通知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4" descr="附件：番禺区住房和城乡建设局等七部门关于印发《番禺区财政性投资建设项目工程变更管理规定》的通知_页面_19"/>
                    <pic:cNvPicPr>
                      <a:picLocks noChangeAspect="1"/>
                    </pic:cNvPicPr>
                  </pic:nvPicPr>
                  <pic:blipFill>
                    <a:blip r:embed="rId35"/>
                    <a:srcRect l="7568" t="12657"/>
                    <a:stretch>
                      <a:fillRect/>
                    </a:stretch>
                  </pic:blipFill>
                  <pic:spPr>
                    <a:xfrm>
                      <a:off x="0" y="0"/>
                      <a:ext cx="6306185" cy="842708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443345" cy="8675370"/>
            <wp:effectExtent l="0" t="0" r="14605" b="11430"/>
            <wp:docPr id="48" name="图片 145" descr="附件：番禺区住房和城乡建设局等七部门关于印发《番禺区财政性投资建设项目工程变更管理规定》的通知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5" descr="附件：番禺区住房和城乡建设局等七部门关于印发《番禺区财政性投资建设项目工程变更管理规定》的通知_页面_20"/>
                    <pic:cNvPicPr>
                      <a:picLocks noChangeAspect="1"/>
                    </pic:cNvPicPr>
                  </pic:nvPicPr>
                  <pic:blipFill>
                    <a:blip r:embed="rId36"/>
                    <a:srcRect l="7846" t="12265"/>
                    <a:stretch>
                      <a:fillRect/>
                    </a:stretch>
                  </pic:blipFill>
                  <pic:spPr>
                    <a:xfrm>
                      <a:off x="0" y="0"/>
                      <a:ext cx="6443345" cy="867537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296660" cy="8458835"/>
            <wp:effectExtent l="0" t="0" r="8890" b="18415"/>
            <wp:docPr id="49" name="图片 146" descr="附件：番禺区住房和城乡建设局等七部门关于印发《番禺区财政性投资建设项目工程变更管理规定》的通知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6" descr="附件：番禺区住房和城乡建设局等七部门关于印发《番禺区财政性投资建设项目工程变更管理规定》的通知_页面_21"/>
                    <pic:cNvPicPr>
                      <a:picLocks noChangeAspect="1"/>
                    </pic:cNvPicPr>
                  </pic:nvPicPr>
                  <pic:blipFill>
                    <a:blip r:embed="rId37"/>
                    <a:srcRect l="7701" t="12325"/>
                    <a:stretch>
                      <a:fillRect/>
                    </a:stretch>
                  </pic:blipFill>
                  <pic:spPr>
                    <a:xfrm>
                      <a:off x="0" y="0"/>
                      <a:ext cx="6296660" cy="845883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043295" cy="8265795"/>
            <wp:effectExtent l="0" t="0" r="14605" b="1905"/>
            <wp:docPr id="50" name="图片 147" descr="附件：番禺区住房和城乡建设局等七部门关于印发《番禺区财政性投资建设项目工程变更管理规定》的通知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7" descr="附件：番禺区住房和城乡建设局等七部门关于印发《番禺区财政性投资建设项目工程变更管理规定》的通知_页面_22"/>
                    <pic:cNvPicPr>
                      <a:picLocks noChangeAspect="1"/>
                    </pic:cNvPicPr>
                  </pic:nvPicPr>
                  <pic:blipFill>
                    <a:blip r:embed="rId38"/>
                    <a:srcRect l="8678" t="11676"/>
                    <a:stretch>
                      <a:fillRect/>
                    </a:stretch>
                  </pic:blipFill>
                  <pic:spPr>
                    <a:xfrm>
                      <a:off x="0" y="0"/>
                      <a:ext cx="6043295" cy="826579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6133465" cy="8387080"/>
            <wp:effectExtent l="0" t="0" r="635" b="13970"/>
            <wp:docPr id="51" name="图片 148" descr="附件：番禺区住房和城乡建设局等七部门关于印发《番禺区财政性投资建设项目工程变更管理规定》的通知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8" descr="附件：番禺区住房和城乡建设局等七部门关于印发《番禺区财政性投资建设项目工程变更管理规定》的通知_页面_23"/>
                    <pic:cNvPicPr>
                      <a:picLocks noChangeAspect="1"/>
                    </pic:cNvPicPr>
                  </pic:nvPicPr>
                  <pic:blipFill>
                    <a:blip r:embed="rId39"/>
                    <a:srcRect l="7979" t="11020"/>
                    <a:stretch>
                      <a:fillRect/>
                    </a:stretch>
                  </pic:blipFill>
                  <pic:spPr>
                    <a:xfrm>
                      <a:off x="0" y="0"/>
                      <a:ext cx="6133465" cy="838708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930900" cy="7974965"/>
            <wp:effectExtent l="0" t="0" r="12700" b="6985"/>
            <wp:docPr id="52" name="图片 149" descr="附件：番禺区住房和城乡建设局等七部门关于印发《番禺区财政性投资建设项目工程变更管理规定》的通知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9" descr="附件：番禺区住房和城乡建设局等七部门关于印发《番禺区财政性投资建设项目工程变更管理规定》的通知_页面_24"/>
                    <pic:cNvPicPr>
                      <a:picLocks noChangeAspect="1"/>
                    </pic:cNvPicPr>
                  </pic:nvPicPr>
                  <pic:blipFill>
                    <a:blip r:embed="rId40"/>
                    <a:srcRect l="6870" t="11446"/>
                    <a:stretch>
                      <a:fillRect/>
                    </a:stretch>
                  </pic:blipFill>
                  <pic:spPr>
                    <a:xfrm>
                      <a:off x="0" y="0"/>
                      <a:ext cx="5930900" cy="7974965"/>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901690" cy="8117840"/>
            <wp:effectExtent l="0" t="0" r="3810" b="16510"/>
            <wp:docPr id="53" name="图片 150" descr="附件：番禺区住房和城乡建设局等七部门关于印发《番禺区财政性投资建设项目工程变更管理规定》的通知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0" descr="附件：番禺区住房和城乡建设局等七部门关于印发《番禺区财政性投资建设项目工程变更管理规定》的通知_页面_25"/>
                    <pic:cNvPicPr>
                      <a:picLocks noChangeAspect="1"/>
                    </pic:cNvPicPr>
                  </pic:nvPicPr>
                  <pic:blipFill>
                    <a:blip r:embed="rId41"/>
                    <a:srcRect l="10208" t="12665"/>
                    <a:stretch>
                      <a:fillRect/>
                    </a:stretch>
                  </pic:blipFill>
                  <pic:spPr>
                    <a:xfrm>
                      <a:off x="0" y="0"/>
                      <a:ext cx="5901690" cy="8117840"/>
                    </a:xfrm>
                    <a:prstGeom prst="rect">
                      <a:avLst/>
                    </a:prstGeom>
                    <a:noFill/>
                    <a:ln>
                      <a:noFill/>
                    </a:ln>
                  </pic:spPr>
                </pic:pic>
              </a:graphicData>
            </a:graphic>
          </wp:inline>
        </w:drawing>
      </w:r>
      <w:r>
        <w:rPr>
          <w:rFonts w:hAnsi="宋体"/>
          <w:b/>
          <w:color w:val="000000" w:themeColor="text1"/>
          <w:sz w:val="24"/>
          <w:highlight w:val="none"/>
          <w14:textFill>
            <w14:solidFill>
              <w14:schemeClr w14:val="tx1"/>
            </w14:solidFill>
          </w14:textFill>
        </w:rPr>
        <w:drawing>
          <wp:inline distT="0" distB="0" distL="114300" distR="114300">
            <wp:extent cx="5814695" cy="8601710"/>
            <wp:effectExtent l="0" t="0" r="14605" b="8890"/>
            <wp:docPr id="54" name="图片 151" descr="附件：番禺区住房和城乡建设局等七部门关于印发《番禺区财政性投资建设项目工程变更管理规定》的通知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1" descr="附件：番禺区住房和城乡建设局等七部门关于印发《番禺区财政性投资建设项目工程变更管理规定》的通知_页面_26"/>
                    <pic:cNvPicPr>
                      <a:picLocks noChangeAspect="1"/>
                    </pic:cNvPicPr>
                  </pic:nvPicPr>
                  <pic:blipFill>
                    <a:blip r:embed="rId42"/>
                    <a:srcRect l="13402" t="9418"/>
                    <a:stretch>
                      <a:fillRect/>
                    </a:stretch>
                  </pic:blipFill>
                  <pic:spPr>
                    <a:xfrm>
                      <a:off x="0" y="0"/>
                      <a:ext cx="5814695" cy="8601710"/>
                    </a:xfrm>
                    <a:prstGeom prst="rect">
                      <a:avLst/>
                    </a:prstGeom>
                    <a:noFill/>
                    <a:ln>
                      <a:noFill/>
                    </a:ln>
                  </pic:spPr>
                </pic:pic>
              </a:graphicData>
            </a:graphic>
          </wp:inline>
        </w:drawing>
      </w:r>
    </w:p>
    <w:p>
      <w:pPr>
        <w:spacing w:before="120" w:beforeLines="50" w:line="580" w:lineRule="exact"/>
        <w:outlineLvl w:val="1"/>
        <w:rPr>
          <w:rFonts w:hint="eastAsia" w:hAnsi="宋体"/>
          <w:b/>
          <w:color w:val="000000" w:themeColor="text1"/>
          <w:sz w:val="24"/>
          <w:highlight w:val="none"/>
          <w14:textFill>
            <w14:solidFill>
              <w14:schemeClr w14:val="tx1"/>
            </w14:solidFill>
          </w14:textFill>
        </w:rPr>
      </w:pPr>
      <w:bookmarkStart w:id="1950" w:name="_Toc20261"/>
      <w:bookmarkStart w:id="1951" w:name="_Toc100504386"/>
      <w:bookmarkStart w:id="1952" w:name="_Toc3882"/>
      <w:bookmarkStart w:id="1953" w:name="_Toc3344"/>
      <w:r>
        <w:rPr>
          <w:rFonts w:hAnsi="宋体"/>
          <w:b/>
          <w:color w:val="000000" w:themeColor="text1"/>
          <w:sz w:val="24"/>
          <w:highlight w:val="none"/>
          <w14:textFill>
            <w14:solidFill>
              <w14:schemeClr w14:val="tx1"/>
            </w14:solidFill>
          </w14:textFill>
        </w:rPr>
        <w:t xml:space="preserve">              </w:t>
      </w:r>
      <w:r>
        <w:rPr>
          <w:rFonts w:hAnsi="宋体"/>
          <w:b/>
          <w:color w:val="000000" w:themeColor="text1"/>
          <w:sz w:val="24"/>
          <w:highlight w:val="none"/>
          <w14:textFill>
            <w14:solidFill>
              <w14:schemeClr w14:val="tx1"/>
            </w14:solidFill>
          </w14:textFill>
        </w:rPr>
        <w:br w:type="page"/>
      </w:r>
      <w:r>
        <w:rPr>
          <w:rFonts w:hint="eastAsia" w:hAnsi="宋体"/>
          <w:b/>
          <w:color w:val="000000" w:themeColor="text1"/>
          <w:sz w:val="24"/>
          <w:highlight w:val="none"/>
          <w14:textFill>
            <w14:solidFill>
              <w14:schemeClr w14:val="tx1"/>
            </w14:solidFill>
          </w14:textFill>
        </w:rPr>
        <w:t>附件九：财政投资评审结算送审资料列表</w:t>
      </w:r>
      <w:bookmarkEnd w:id="1950"/>
      <w:bookmarkEnd w:id="1951"/>
      <w:bookmarkEnd w:id="1952"/>
      <w:bookmarkEnd w:id="1953"/>
    </w:p>
    <w:p>
      <w:pPr>
        <w:spacing w:before="120" w:beforeLines="50" w:line="580" w:lineRule="exact"/>
        <w:outlineLvl w:val="1"/>
        <w:rPr>
          <w:rFonts w:hint="eastAsia" w:ascii="宋体" w:hAnsi="宋体"/>
          <w:b/>
          <w:bCs/>
          <w:color w:val="000000" w:themeColor="text1"/>
          <w:sz w:val="36"/>
          <w:szCs w:val="36"/>
          <w:highlight w:val="none"/>
          <w14:textFill>
            <w14:solidFill>
              <w14:schemeClr w14:val="tx1"/>
            </w14:solidFill>
          </w14:textFill>
        </w:rPr>
      </w:pPr>
    </w:p>
    <w:p>
      <w:pPr>
        <w:spacing w:line="360" w:lineRule="auto"/>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财政投资评审结算送审资料列表</w:t>
      </w:r>
    </w:p>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建设单位（盖章）：                         送件时间：    年    月   日</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送审资料</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份数</w:t>
            </w: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1、承诺书</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2、概、预算审核意见书</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3、招标文件</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4、投标文件、中标通知书</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5、施工合同（EPC合同）</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6、技术交底、图纸会审记录</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7、工程施工许可证</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8、竣工验收报告</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9、竣工图及施工图</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10、设计变更</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11、现场签证</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12、经批准的施工组织设计</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13、隐蔽工程验收记录</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14、工程结算书（含电子版）</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15、工程量计算书（含钢筋抽料表）、（含电子版）</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16、材料设备单价呈批审核单</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24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17、其他与结算有关的资料</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c>
          <w:tcPr>
            <w:tcW w:w="24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olor w:val="000000" w:themeColor="text1"/>
                <w:sz w:val="24"/>
                <w:highlight w:val="none"/>
                <w14:textFill>
                  <w14:solidFill>
                    <w14:schemeClr w14:val="tx1"/>
                  </w14:solidFill>
                </w14:textFill>
              </w:rPr>
            </w:pPr>
          </w:p>
        </w:tc>
      </w:tr>
    </w:tbl>
    <w:p>
      <w:pPr>
        <w:adjustRightInd w:val="0"/>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注：1、此表一式两份与委托书一并送财政局。</w:t>
      </w:r>
    </w:p>
    <w:p>
      <w:pPr>
        <w:adjustRightInd w:val="0"/>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2、送审资料装订成册每册为一份，未装订的图纸、纸张等每一单张为一份。</w:t>
      </w:r>
    </w:p>
    <w:p>
      <w:pPr>
        <w:adjustRightInd w:val="0"/>
        <w:snapToGrid w:val="0"/>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建设单位联系人：               结算书编制单位联系人：</w:t>
      </w:r>
    </w:p>
    <w:p>
      <w:pPr>
        <w:adjustRightInd w:val="0"/>
        <w:snapToGrid w:val="0"/>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                     联系电话：</w:t>
      </w:r>
    </w:p>
    <w:p>
      <w:pPr>
        <w:adjustRightInd w:val="0"/>
        <w:snapToGrid w:val="0"/>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tbl>
      <w:tblPr>
        <w:tblStyle w:val="38"/>
        <w:tblW w:w="8662" w:type="dxa"/>
        <w:tblInd w:w="93" w:type="dxa"/>
        <w:tblLayout w:type="autofit"/>
        <w:tblCellMar>
          <w:top w:w="0" w:type="dxa"/>
          <w:left w:w="108" w:type="dxa"/>
          <w:bottom w:w="0" w:type="dxa"/>
          <w:right w:w="108" w:type="dxa"/>
        </w:tblCellMar>
      </w:tblPr>
      <w:tblGrid>
        <w:gridCol w:w="4410"/>
        <w:gridCol w:w="406"/>
        <w:gridCol w:w="222"/>
        <w:gridCol w:w="3624"/>
      </w:tblGrid>
      <w:tr>
        <w:tblPrEx>
          <w:tblCellMar>
            <w:top w:w="0" w:type="dxa"/>
            <w:left w:w="108" w:type="dxa"/>
            <w:bottom w:w="0" w:type="dxa"/>
            <w:right w:w="108" w:type="dxa"/>
          </w:tblCellMar>
        </w:tblPrEx>
        <w:trPr>
          <w:trHeight w:val="540" w:hRule="atLeast"/>
        </w:trPr>
        <w:tc>
          <w:tcPr>
            <w:tcW w:w="8662" w:type="dxa"/>
            <w:gridSpan w:val="4"/>
            <w:tcBorders>
              <w:top w:val="nil"/>
              <w:left w:val="nil"/>
              <w:bottom w:val="nil"/>
              <w:right w:val="nil"/>
            </w:tcBorders>
            <w:noWrap/>
            <w:vAlign w:val="bottom"/>
          </w:tcPr>
          <w:p>
            <w:pPr>
              <w:widowControl/>
              <w:jc w:val="center"/>
              <w:rPr>
                <w:rFonts w:ascii="仿宋_GB2312" w:hAnsi="宋体" w:eastAsia="仿宋_GB2312" w:cs="宋体"/>
                <w:b/>
                <w:bCs/>
                <w:color w:val="000000" w:themeColor="text1"/>
                <w:kern w:val="0"/>
                <w:sz w:val="36"/>
                <w:szCs w:val="36"/>
                <w:highlight w:val="none"/>
                <w14:textFill>
                  <w14:solidFill>
                    <w14:schemeClr w14:val="tx1"/>
                  </w14:solidFill>
                </w14:textFill>
              </w:rPr>
            </w:pPr>
            <w:r>
              <w:rPr>
                <w:rFonts w:hint="eastAsia" w:ascii="仿宋_GB2312" w:hAnsi="宋体" w:eastAsia="仿宋_GB2312" w:cs="宋体"/>
                <w:b/>
                <w:bCs/>
                <w:color w:val="000000" w:themeColor="text1"/>
                <w:kern w:val="0"/>
                <w:sz w:val="36"/>
                <w:szCs w:val="36"/>
                <w:highlight w:val="none"/>
                <w14:textFill>
                  <w14:solidFill>
                    <w14:schemeClr w14:val="tx1"/>
                  </w14:solidFill>
                </w14:textFill>
              </w:rPr>
              <w:t>送审（结算）金额汇总表</w:t>
            </w:r>
          </w:p>
        </w:tc>
      </w:tr>
      <w:tr>
        <w:tblPrEx>
          <w:tblCellMar>
            <w:top w:w="0" w:type="dxa"/>
            <w:left w:w="108" w:type="dxa"/>
            <w:bottom w:w="0" w:type="dxa"/>
            <w:right w:w="108" w:type="dxa"/>
          </w:tblCellMar>
        </w:tblPrEx>
        <w:trPr>
          <w:trHeight w:val="405" w:hRule="atLeast"/>
        </w:trPr>
        <w:tc>
          <w:tcPr>
            <w:tcW w:w="4410" w:type="dxa"/>
            <w:tcBorders>
              <w:top w:val="nil"/>
              <w:left w:val="nil"/>
              <w:bottom w:val="nil"/>
              <w:right w:val="nil"/>
            </w:tcBorders>
            <w:noWrap/>
            <w:vAlign w:val="bottom"/>
          </w:tcPr>
          <w:p>
            <w:pPr>
              <w:widowControl/>
              <w:jc w:val="center"/>
              <w:rPr>
                <w:rFonts w:ascii="仿宋_GB2312" w:hAnsi="宋体" w:eastAsia="仿宋_GB2312" w:cs="宋体"/>
                <w:color w:val="000000" w:themeColor="text1"/>
                <w:kern w:val="0"/>
                <w:sz w:val="32"/>
                <w:szCs w:val="32"/>
                <w:highlight w:val="none"/>
                <w14:textFill>
                  <w14:solidFill>
                    <w14:schemeClr w14:val="tx1"/>
                  </w14:solidFill>
                </w14:textFill>
              </w:rPr>
            </w:pPr>
          </w:p>
        </w:tc>
        <w:tc>
          <w:tcPr>
            <w:tcW w:w="406" w:type="dxa"/>
            <w:tcBorders>
              <w:top w:val="nil"/>
              <w:left w:val="nil"/>
              <w:bottom w:val="nil"/>
              <w:right w:val="nil"/>
            </w:tcBorders>
            <w:noWrap/>
            <w:vAlign w:val="bottom"/>
          </w:tcPr>
          <w:p>
            <w:pPr>
              <w:widowControl/>
              <w:jc w:val="center"/>
              <w:rPr>
                <w:rFonts w:ascii="仿宋_GB2312" w:hAnsi="宋体" w:eastAsia="仿宋_GB2312" w:cs="宋体"/>
                <w:color w:val="000000" w:themeColor="text1"/>
                <w:kern w:val="0"/>
                <w:sz w:val="32"/>
                <w:szCs w:val="32"/>
                <w:highlight w:val="none"/>
                <w14:textFill>
                  <w14:solidFill>
                    <w14:schemeClr w14:val="tx1"/>
                  </w14:solidFill>
                </w14:textFill>
              </w:rPr>
            </w:pPr>
          </w:p>
        </w:tc>
        <w:tc>
          <w:tcPr>
            <w:tcW w:w="222" w:type="dxa"/>
            <w:tcBorders>
              <w:top w:val="nil"/>
              <w:left w:val="nil"/>
              <w:bottom w:val="nil"/>
              <w:right w:val="nil"/>
            </w:tcBorders>
            <w:noWrap/>
            <w:vAlign w:val="bottom"/>
          </w:tcPr>
          <w:p>
            <w:pPr>
              <w:widowControl/>
              <w:jc w:val="center"/>
              <w:rPr>
                <w:rFonts w:ascii="仿宋_GB2312" w:hAnsi="宋体" w:eastAsia="仿宋_GB2312" w:cs="宋体"/>
                <w:color w:val="000000" w:themeColor="text1"/>
                <w:kern w:val="0"/>
                <w:sz w:val="32"/>
                <w:szCs w:val="32"/>
                <w:highlight w:val="none"/>
                <w14:textFill>
                  <w14:solidFill>
                    <w14:schemeClr w14:val="tx1"/>
                  </w14:solidFill>
                </w14:textFill>
              </w:rPr>
            </w:pPr>
          </w:p>
        </w:tc>
        <w:tc>
          <w:tcPr>
            <w:tcW w:w="3624" w:type="dxa"/>
            <w:tcBorders>
              <w:top w:val="nil"/>
              <w:left w:val="nil"/>
              <w:bottom w:val="nil"/>
              <w:right w:val="nil"/>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 xml:space="preserve">       金额：元</w:t>
            </w: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工程名称</w:t>
            </w: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送审金额</w:t>
            </w: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其中：合同价</w:t>
            </w: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合同内增（减）部分</w:t>
            </w: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合同外增（减）部分</w:t>
            </w: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4410" w:type="dxa"/>
            <w:tcBorders>
              <w:top w:val="single" w:color="000000" w:sz="4" w:space="0"/>
              <w:left w:val="single" w:color="000000" w:sz="4" w:space="0"/>
              <w:bottom w:val="single" w:color="000000" w:sz="4" w:space="0"/>
              <w:right w:val="single" w:color="000000" w:sz="4" w:space="0"/>
            </w:tcBorders>
            <w:noWrap/>
            <w:vAlign w:val="bottom"/>
          </w:tcPr>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编制单位（盖章）：</w:t>
            </w: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 xml:space="preserve">        同意送审金额</w:t>
            </w: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center"/>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 xml:space="preserve">                  年  月  日</w:t>
            </w:r>
          </w:p>
          <w:p>
            <w:pPr>
              <w:widowControl/>
              <w:jc w:val="left"/>
              <w:rPr>
                <w:rFonts w:ascii="仿宋_GB2312" w:hAnsi="宋体" w:eastAsia="仿宋_GB2312" w:cs="宋体"/>
                <w:color w:val="000000" w:themeColor="text1"/>
                <w:kern w:val="0"/>
                <w:sz w:val="28"/>
                <w:szCs w:val="28"/>
                <w:highlight w:val="none"/>
                <w14:textFill>
                  <w14:solidFill>
                    <w14:schemeClr w14:val="tx1"/>
                  </w14:solidFill>
                </w14:textFill>
              </w:rPr>
            </w:pPr>
          </w:p>
        </w:tc>
        <w:tc>
          <w:tcPr>
            <w:tcW w:w="4252" w:type="dxa"/>
            <w:gridSpan w:val="3"/>
            <w:tcBorders>
              <w:top w:val="single" w:color="000000" w:sz="4" w:space="0"/>
              <w:left w:val="single" w:color="000000" w:sz="4" w:space="0"/>
              <w:bottom w:val="single" w:color="000000" w:sz="4" w:space="0"/>
              <w:right w:val="single" w:color="000000" w:sz="4" w:space="0"/>
            </w:tcBorders>
            <w:noWrap/>
            <w:vAlign w:val="bottom"/>
          </w:tcPr>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建设单位（盖章）：</w:t>
            </w: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 xml:space="preserve">        同意送审金额</w:t>
            </w: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left"/>
              <w:rPr>
                <w:rFonts w:hint="eastAsia" w:ascii="仿宋_GB2312" w:hAnsi="宋体" w:eastAsia="仿宋_GB2312" w:cs="宋体"/>
                <w:color w:val="000000" w:themeColor="text1"/>
                <w:kern w:val="0"/>
                <w:sz w:val="28"/>
                <w:szCs w:val="28"/>
                <w:highlight w:val="none"/>
                <w14:textFill>
                  <w14:solidFill>
                    <w14:schemeClr w14:val="tx1"/>
                  </w14:solidFill>
                </w14:textFill>
              </w:rPr>
            </w:pPr>
          </w:p>
          <w:p>
            <w:pPr>
              <w:widowControl/>
              <w:jc w:val="center"/>
              <w:rPr>
                <w:rFonts w:hint="eastAsia" w:ascii="仿宋_GB2312" w:hAnsi="宋体" w:eastAsia="仿宋_GB2312" w:cs="宋体"/>
                <w:color w:val="000000" w:themeColor="text1"/>
                <w:kern w:val="0"/>
                <w:sz w:val="28"/>
                <w:szCs w:val="28"/>
                <w:highlight w:val="none"/>
                <w14:textFill>
                  <w14:solidFill>
                    <w14:schemeClr w14:val="tx1"/>
                  </w14:solidFill>
                </w14:textFill>
              </w:rPr>
            </w:pPr>
            <w:r>
              <w:rPr>
                <w:rFonts w:hint="eastAsia" w:ascii="仿宋_GB2312" w:hAnsi="宋体" w:eastAsia="仿宋_GB2312" w:cs="宋体"/>
                <w:color w:val="000000" w:themeColor="text1"/>
                <w:kern w:val="0"/>
                <w:sz w:val="28"/>
                <w:szCs w:val="28"/>
                <w:highlight w:val="none"/>
                <w14:textFill>
                  <w14:solidFill>
                    <w14:schemeClr w14:val="tx1"/>
                  </w14:solidFill>
                </w14:textFill>
              </w:rPr>
              <w:t xml:space="preserve">                  年  月  日</w:t>
            </w:r>
          </w:p>
          <w:p>
            <w:pPr>
              <w:widowControl/>
              <w:jc w:val="center"/>
              <w:rPr>
                <w:rFonts w:ascii="仿宋_GB2312" w:hAnsi="宋体" w:eastAsia="仿宋_GB2312" w:cs="宋体"/>
                <w:color w:val="000000" w:themeColor="text1"/>
                <w:kern w:val="0"/>
                <w:sz w:val="28"/>
                <w:szCs w:val="28"/>
                <w:highlight w:val="none"/>
                <w14:textFill>
                  <w14:solidFill>
                    <w14:schemeClr w14:val="tx1"/>
                  </w14:solidFill>
                </w14:textFill>
              </w:rPr>
            </w:pPr>
          </w:p>
        </w:tc>
      </w:tr>
    </w:tbl>
    <w:p>
      <w:pPr>
        <w:spacing w:before="120" w:beforeLines="50" w:line="580" w:lineRule="exact"/>
        <w:outlineLvl w:val="1"/>
        <w:rPr>
          <w:rFonts w:hint="eastAsia" w:hAnsi="宋体"/>
          <w:b/>
          <w:color w:val="000000" w:themeColor="text1"/>
          <w:sz w:val="28"/>
          <w:szCs w:val="28"/>
          <w:highlight w:val="none"/>
          <w14:textFill>
            <w14:solidFill>
              <w14:schemeClr w14:val="tx1"/>
            </w14:solidFill>
          </w14:textFill>
        </w:rPr>
      </w:pPr>
      <w:bookmarkStart w:id="1954" w:name="_Toc91843530"/>
      <w:bookmarkStart w:id="1955" w:name="_Toc84"/>
      <w:bookmarkStart w:id="1956" w:name="_Toc100504387"/>
      <w:bookmarkStart w:id="1957" w:name="_Toc29822"/>
      <w:bookmarkStart w:id="1958" w:name="_Toc30089"/>
      <w:r>
        <w:rPr>
          <w:rFonts w:hint="eastAsia" w:ascii="宋体" w:hAnsi="宋体"/>
          <w:color w:val="000000" w:themeColor="text1"/>
          <w:sz w:val="28"/>
          <w:szCs w:val="28"/>
          <w:highlight w:val="none"/>
          <w14:textFill>
            <w14:solidFill>
              <w14:schemeClr w14:val="tx1"/>
            </w14:solidFill>
          </w14:textFill>
        </w:rPr>
        <w:t>本表一式两份。</w:t>
      </w:r>
      <w:bookmarkEnd w:id="1954"/>
      <w:r>
        <w:rPr>
          <w:rFonts w:ascii="宋体" w:hAnsi="宋体"/>
          <w:color w:val="000000" w:themeColor="text1"/>
          <w:sz w:val="28"/>
          <w:szCs w:val="28"/>
          <w:highlight w:val="none"/>
          <w14:textFill>
            <w14:solidFill>
              <w14:schemeClr w14:val="tx1"/>
            </w14:solidFill>
          </w14:textFill>
        </w:rPr>
        <w:br w:type="page"/>
      </w:r>
      <w:r>
        <w:rPr>
          <w:rFonts w:hint="eastAsia" w:hAnsi="宋体"/>
          <w:b/>
          <w:color w:val="000000" w:themeColor="text1"/>
          <w:sz w:val="28"/>
          <w:szCs w:val="28"/>
          <w:highlight w:val="none"/>
          <w14:textFill>
            <w14:solidFill>
              <w14:schemeClr w14:val="tx1"/>
            </w14:solidFill>
          </w14:textFill>
        </w:rPr>
        <w:t>附件十：工程结算送审资料要求</w:t>
      </w:r>
      <w:bookmarkEnd w:id="1955"/>
      <w:bookmarkEnd w:id="1956"/>
      <w:bookmarkEnd w:id="1957"/>
      <w:bookmarkEnd w:id="1958"/>
    </w:p>
    <w:p>
      <w:pPr>
        <w:adjustRightInd w:val="0"/>
        <w:snapToGrid w:val="0"/>
        <w:spacing w:line="360" w:lineRule="auto"/>
        <w:ind w:firstLine="562" w:firstLineChars="20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工程结算送审资料要求</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1、工程预算评审报告：经财政委托的评审机构出具的报告；</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2、招标文件：含招标书、设计图纸（须经招标代理机构和建设单位签章确认的招标时发出的设计施工图）</w:t>
      </w:r>
      <w:r>
        <w:rPr>
          <w:rFonts w:hint="eastAsia" w:ascii="宋体" w:hAnsi="宋体"/>
          <w:b/>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合同条款、工程要求的技术规范、投标须知、招标答疑会议纪要、工程量清单、工程预算等文件及附件，并整理成册；</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3、投标文件、中标通知书：含技术标、经济标、投标承诺等文件及招标中心签发的中标通知书；</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4、施工合同：含建设单位与施工单位的工程承发包合同、经建设单位确认的施工单位与第三方签订的分包合同、合同附件等；</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5、图纸会审记录：按图纸会审的时间先后顺序整理成册，会审记录须有参加会审单位人员签字；</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6、工程施工许可证：按现行规定要求办理开工手续，提交的施工许可证具有相关部门和单位的签章；</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7、竣工验收报告：按现行规定要求办理竣工验收手续，提交的竣工报告书具有相关部门和单位的签章，并加具明确意见；</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8、竣工图：提交规范整理的竣工图纸，并有建设单位、施工单位、监理单位签章及项目负责人、项目总监签字；</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9、设计变更：按时间先后顺序和专业整理成册，有设计人员签名及设计单位签章，并有建设单位认可和监理单位确认的签章；</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10、现场签证：按时间先后顺序整理成册，统一编号，应有工程数量、计算过程、施工简图，并有监理单位、建设单位相关人员签字和单位签章，重大项目现场签证，须有设计单位认可签章；</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11、经批准的施工组织设计：经监理单位同意的施工组织设计方案；</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12、隐蔽工程验收记录：提供有效及签章完善的隐蔽工程验收记录；</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13、工程结算书（含结算汇总表）：由具有编制资质的单位按施工合同规定编制工程结算书，同时把合同金额和增加工程部分填列结算汇总表，以上均应有建设单位、施工单位及编制单位签章确认，并附拷贝盘；</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14、工程量计算书（含钢筋抽料表）：应有工程量汇总表和详细工程量计算式组成，并附拷贝盘；</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15、材料和工程设备单价呈批审核单：应含主要材料和工程设备名称、规格、型号、生产厂家、单价、发票购买合同等有效凭证。应有建设单位、监理单位、施工单位相关人员签字及单位签章认可；</w:t>
      </w:r>
    </w:p>
    <w:p>
      <w:pPr>
        <w:adjustRightInd w:val="0"/>
        <w:snapToGrid w:val="0"/>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16、其他与结算有关的资料：凡上述未提及到的，在结算评审中尚需提供的其他资料。</w:t>
      </w:r>
    </w:p>
    <w:p>
      <w:pPr>
        <w:spacing w:line="360" w:lineRule="auto"/>
        <w:rPr>
          <w:rFonts w:hint="eastAsia" w:ascii="宋体" w:hAnsi="宋体"/>
          <w:color w:val="000000" w:themeColor="text1"/>
          <w:sz w:val="24"/>
          <w:highlight w:val="none"/>
          <w14:textFill>
            <w14:solidFill>
              <w14:schemeClr w14:val="tx1"/>
            </w14:solidFill>
          </w14:textFill>
        </w:rPr>
      </w:pPr>
    </w:p>
    <w:p>
      <w:pPr>
        <w:spacing w:before="120" w:beforeLines="50" w:line="580" w:lineRule="exact"/>
        <w:ind w:firstLine="120" w:firstLineChars="50"/>
        <w:outlineLvl w:val="1"/>
        <w:rPr>
          <w:rFonts w:hint="eastAsia" w:ascii="宋体" w:hAnsi="宋体"/>
          <w:color w:val="000000" w:themeColor="text1"/>
          <w:sz w:val="24"/>
          <w:highlight w:val="none"/>
          <w14:textFill>
            <w14:solidFill>
              <w14:schemeClr w14:val="tx1"/>
            </w14:solidFill>
          </w14:textFill>
        </w:rPr>
      </w:pPr>
      <w:bookmarkStart w:id="1959" w:name="_Toc16964"/>
      <w:bookmarkStart w:id="1960" w:name="_Toc24461"/>
      <w:bookmarkStart w:id="1961" w:name="_Toc9870"/>
      <w:bookmarkStart w:id="1962" w:name="_Toc100504388"/>
      <w:r>
        <w:rPr>
          <w:rFonts w:hint="eastAsia" w:ascii="宋体" w:hAnsi="宋体"/>
          <w:color w:val="000000" w:themeColor="text1"/>
          <w:sz w:val="24"/>
          <w:highlight w:val="none"/>
          <w14:textFill>
            <w14:solidFill>
              <w14:schemeClr w14:val="tx1"/>
            </w14:solidFill>
          </w14:textFill>
        </w:rPr>
        <w:t xml:space="preserve">（本页下无正文） </w:t>
      </w:r>
      <w:r>
        <w:rPr>
          <w:rFonts w:ascii="宋体" w:hAnsi="宋体"/>
          <w:color w:val="000000" w:themeColor="text1"/>
          <w:sz w:val="24"/>
          <w:highlight w:val="none"/>
          <w14:textFill>
            <w14:solidFill>
              <w14:schemeClr w14:val="tx1"/>
            </w14:solidFill>
          </w14:textFill>
        </w:rPr>
        <w:br w:type="page"/>
      </w:r>
      <w:r>
        <w:rPr>
          <w:rFonts w:hint="eastAsia" w:hAnsi="宋体"/>
          <w:b/>
          <w:color w:val="000000" w:themeColor="text1"/>
          <w:sz w:val="24"/>
          <w:highlight w:val="none"/>
          <w14:textFill>
            <w14:solidFill>
              <w14:schemeClr w14:val="tx1"/>
            </w14:solidFill>
          </w14:textFill>
        </w:rPr>
        <w:t>附件十一：</w:t>
      </w:r>
      <w:r>
        <w:rPr>
          <w:rFonts w:hint="eastAsia" w:ascii="宋体" w:hAnsi="宋体"/>
          <w:b/>
          <w:color w:val="000000" w:themeColor="text1"/>
          <w:sz w:val="24"/>
          <w:highlight w:val="none"/>
          <w14:textFill>
            <w14:solidFill>
              <w14:schemeClr w14:val="tx1"/>
            </w14:solidFill>
          </w14:textFill>
        </w:rPr>
        <w:t>广州市建委关于加强市政重点工程文明施工管理的通知</w:t>
      </w:r>
      <w:bookmarkEnd w:id="1959"/>
      <w:bookmarkEnd w:id="1960"/>
      <w:bookmarkEnd w:id="1961"/>
      <w:bookmarkEnd w:id="1962"/>
    </w:p>
    <w:p>
      <w:pPr>
        <w:spacing w:line="360" w:lineRule="auto"/>
        <w:rPr>
          <w:rFonts w:hint="eastAsia" w:ascii="宋体" w:hAnsi="宋体"/>
          <w:color w:val="000000" w:themeColor="text1"/>
          <w:sz w:val="24"/>
          <w:highlight w:val="none"/>
          <w14:textFill>
            <w14:solidFill>
              <w14:schemeClr w14:val="tx1"/>
            </w14:solidFill>
          </w14:textFill>
        </w:rPr>
      </w:pPr>
    </w:p>
    <w:p>
      <w:pPr>
        <w:widowControl/>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广州市建委关于加强市政重点工程文明施工管理的通知</w:t>
      </w:r>
    </w:p>
    <w:p>
      <w:pPr>
        <w:widowControl/>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穗建筑[2006]411号</w:t>
      </w:r>
    </w:p>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市城管综合执法支队、市建设工程安全监督站、市市政工程安全质量监督站，各区（县级市）建设局，各市政重点工程建设业主、施工、监理单位：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为建设一个适宜城市居民居住、生活的良好环境，树立市政重点工程文明施工的良好形象，现将进一步加强市政重点工程文明施工的有关要求通知如下：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一、施工单位负有实施文明施工的主要责任；建设单位负有对施工单位文明施工进行监督管理的责任，应根据合同条款加强管理，严格要求施工单位实施文明施工，不得要求施工单位降低标准；监理单位应督促和指导施工单位做好文明施工各项措施的落实；城市管理综合执法部门、工程安全监督部门应根据职责，加大监督惩处力度。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施工单位应设专人负责文明施工设施的维护管理，发现围蔽设施损坏、安全警示标志、标牌残缺、损毁或路面破损、排水堵塞等，要及时更换或维修。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二、施工现场应按照我委《关于工程建设公告事项的通知》（穗建筑〔2005〕626号）设置施工标牌。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三、文明施工的围蔽必须是全新或经翻修后达到全新效果的设施，具体围蔽标准如下：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（一）施工期限超过半年的，施工现场采用砖砌围墙围蔽，围墙统一采用砖砌18 墙，高度2 米以上并压顶。围墙形式力求美观，与周围环境协调。砌筑围墙时必须砌筑基础底脚和墙柱，基础底脚埋地深度不小于50 厘米，（在砼或沥青路上有坚实基础的除外。）墙柱与墙柱之间距离不大于3 米，墙柱与墙体连接必须牢固、安全、可靠，外墙面要批荡抹光作刷白处理。并将工程项目名称、建设单位、施工单位及监理单位清晰标注在围墙上。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（二）在车行道上作业，施工期限在半年以下的，施工现场采用弧形彩色压型钢板讲行围蔽，围蔽部分应呈矩形，平衡于道路中线设置。弧形彩色压型钢板的高度为2 米，架设弧形彩色压型钢板时必须设置支座和支柱，支柱间的间距不大于3 米，支座、支往、弧形彩色压型钢板的连接必须牢固、安全、可靠。围蔽设施的颜色必须整齐划一，并将工程项目名称、建设单位、施工单位及监理单位清晰标注在围蔽板上。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（三）在人行道上作业，施工期限在半年以下，15 天以上的，施工现场采用弧形彩色压型钢板进行围蔽。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（四）在人行道上作业，施工期限在15 天以下的，施工现场采用标准钢护栏连续密扣围蔽。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四、大型的市政工程或挖掘、占用道路面积较大、时间超过30 日及在城市主干道车行道施工等，对交通影响较大的，建设单位和施工单位应制定详尽的、有可操作性的交通组织疏导方案及应急预案，所需费用由建设单位负责。根据交通组织疏导方案，需建设临时施工疏解道路的，其建设标准不得低于市政道路建设标准，确保将工程施工对交通的影响减至最少。在交通繁忙期间，施工单位应设有专人协助公安交通管理部门维护交通秩序。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五、建设单位在施工组织方案确定之前，应当会同设计单位、施工单位和排水、通讯、供电等有关地下管线单位，对施工可能造成周围建（构）筑物、地下管线损坏、堵塞的现场进行勘查，并制订相应的防范措施，确保施工和地下管线设施安全。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六、为确保道路交通安全，在施工现场的起止点以及对车辆、行人通行安全有影响的位置，必须设置危险警示灯具。在车行道上施工作业，必须在来车方向提前设置施工标志牌、交通导向牌和危险警示闪灯等，提示和引导车辆有序、安全通行。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七、施工现场的材料和机械设备，不得堆放在围蔽设施外。确需要占用堆放的，应采用标准钢护栏连续密扣围蔽，堆放的高度不得高于1.6 米。临占道路的施工现场内原则不得设置宿舍、厨房、厕所等设施，以减少临占道路面积。确需设置的，经工程所在地区（县级市）建设行政主管部门批准，可按照我委《关于加强施工用临时设施建造管理的通知》（穗建筑[2005]784号）规定建设临时房屋设施。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八、施工所产生的施工污水必须经过有效沉淀预处理后并达到城市污水排放标准，方可排放。不得直接向路面排放。施工产生的余泥应在24 小时内清运完毕。在城市主干道及人流稠密、交通繁忙等特殊路段，余泥应立即清运。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九、地下管线挖掘工程应分段挖掘施工，分段竣工验收，分段修复道路。每一施工段长度原则不得超过300 米，特殊原因经批准，可适当延长。 </w:t>
      </w:r>
      <w:r>
        <w:rPr>
          <w:rFonts w:hint="eastAsia" w:ascii="宋体" w:hAnsi="宋体"/>
          <w:color w:val="000000" w:themeColor="text1"/>
          <w:sz w:val="24"/>
          <w:highlight w:val="none"/>
          <w14:textFill>
            <w14:solidFill>
              <w14:schemeClr w14:val="tx1"/>
            </w14:solidFill>
          </w14:textFill>
        </w:rPr>
        <w:br w:type="textWrapping"/>
      </w:r>
      <w:r>
        <w:rPr>
          <w:rFonts w:hint="eastAsia" w:ascii="宋体" w:hAnsi="宋体"/>
          <w:color w:val="000000" w:themeColor="text1"/>
          <w:sz w:val="24"/>
          <w:highlight w:val="none"/>
          <w14:textFill>
            <w14:solidFill>
              <w14:schemeClr w14:val="tx1"/>
            </w14:solidFill>
          </w14:textFill>
        </w:rPr>
        <w:t xml:space="preserve">    十、需要占用或挖掘道路的，建设单位必须向市政、公安交通管理部门申请，办理城市道路临时占用、城市道路挖掘的审批手续，经批准后，方可占用或挖掘城市道路。施工时须在施工现场的显著位置，悬挂市政管理部门核发的《城市道路临时占用许可证》 或《挖掘道路许可证》。</w:t>
      </w:r>
    </w:p>
    <w:p>
      <w:pPr>
        <w:spacing w:line="360" w:lineRule="auto"/>
        <w:rPr>
          <w:rFonts w:hint="eastAsia" w:ascii="宋体" w:hAnsi="宋体"/>
          <w:color w:val="000000" w:themeColor="text1"/>
          <w:sz w:val="24"/>
          <w:highlight w:val="none"/>
          <w14:textFill>
            <w14:solidFill>
              <w14:schemeClr w14:val="tx1"/>
            </w14:solidFill>
          </w14:textFill>
        </w:rPr>
      </w:pPr>
    </w:p>
    <w:p>
      <w:pPr>
        <w:spacing w:before="120" w:beforeLines="50" w:line="580" w:lineRule="exact"/>
        <w:ind w:firstLine="120" w:firstLineChars="50"/>
        <w:outlineLvl w:val="1"/>
        <w:rPr>
          <w:rFonts w:hint="eastAsia" w:ascii="宋体" w:hAnsi="宋体"/>
          <w:color w:val="000000" w:themeColor="text1"/>
          <w:sz w:val="24"/>
          <w:highlight w:val="none"/>
          <w14:textFill>
            <w14:solidFill>
              <w14:schemeClr w14:val="tx1"/>
            </w14:solidFill>
          </w14:textFill>
        </w:rPr>
      </w:pPr>
      <w:bookmarkStart w:id="1963" w:name="_Toc26790"/>
      <w:bookmarkStart w:id="1964" w:name="_Toc100504389"/>
      <w:bookmarkStart w:id="1965" w:name="_Toc1061"/>
      <w:bookmarkStart w:id="1966" w:name="_Toc12327"/>
      <w:r>
        <w:rPr>
          <w:rFonts w:hint="eastAsia" w:ascii="宋体" w:hAnsi="宋体"/>
          <w:color w:val="000000" w:themeColor="text1"/>
          <w:sz w:val="24"/>
          <w:highlight w:val="none"/>
          <w14:textFill>
            <w14:solidFill>
              <w14:schemeClr w14:val="tx1"/>
            </w14:solidFill>
          </w14:textFill>
        </w:rPr>
        <w:t xml:space="preserve">（本页下无正文） </w:t>
      </w:r>
      <w:r>
        <w:rPr>
          <w:rFonts w:hint="eastAsia" w:ascii="宋体" w:hAnsi="宋体"/>
          <w:color w:val="000000" w:themeColor="text1"/>
          <w:sz w:val="24"/>
          <w:highlight w:val="none"/>
          <w14:textFill>
            <w14:solidFill>
              <w14:schemeClr w14:val="tx1"/>
            </w14:solidFill>
          </w14:textFill>
        </w:rPr>
        <w:br w:type="page"/>
      </w:r>
      <w:r>
        <w:rPr>
          <w:rFonts w:hint="eastAsia" w:hAnsi="宋体"/>
          <w:b/>
          <w:color w:val="000000" w:themeColor="text1"/>
          <w:sz w:val="24"/>
          <w:highlight w:val="none"/>
          <w14:textFill>
            <w14:solidFill>
              <w14:schemeClr w14:val="tx1"/>
            </w14:solidFill>
          </w14:textFill>
        </w:rPr>
        <w:t>附件十二：</w:t>
      </w:r>
      <w:r>
        <w:rPr>
          <w:rFonts w:hint="eastAsia" w:ascii="宋体" w:hAnsi="宋体"/>
          <w:b/>
          <w:color w:val="000000" w:themeColor="text1"/>
          <w:sz w:val="24"/>
          <w:highlight w:val="none"/>
          <w14:textFill>
            <w14:solidFill>
              <w14:schemeClr w14:val="tx1"/>
            </w14:solidFill>
          </w14:textFill>
        </w:rPr>
        <w:t>关于加强市政重点工程文明施工管理的通知</w:t>
      </w:r>
      <w:bookmarkEnd w:id="1963"/>
      <w:bookmarkEnd w:id="1964"/>
      <w:bookmarkEnd w:id="1965"/>
      <w:bookmarkEnd w:id="1966"/>
    </w:p>
    <w:p>
      <w:pPr>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转发广州市建设委员会《关于加强市政重点工程文明施工管理的通知》的通知</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番建发[2006]41号</w:t>
      </w:r>
    </w:p>
    <w:p>
      <w:pPr>
        <w:pStyle w:val="22"/>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各有关单位：</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为建设适宜城市居民居住和生活的良好环境，树立市政重点工程文明施工的良好形象，确立建设、监理、施工单位在落实文明施工中的责任以及文明施工在实施过程中的相关规定。现将广州市建设委员会《关于加强市重点文明施工管理的通知》（穗建筑[2006]411号）转发给你们，并结合我区实际情况，提出以下要求，请一并贯彻执行：</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全面落实文明施工责任制。施工单位负有实施文明施工的主要责任；建设单位负有对施工单位文明施工进行监督管理的责任；监理单位应督促和指导施工单位做好文明施工各项措施的落实；工程安全监督部门应根据职责，加大监督惩处力度。</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施工期间要确保交通安全。为确保安全，施工区域与非施工区域必须按要求设置砖砌围墙、弧形彩色压型钢板等围蔽；施工中出现沟、井、槽、坑时应设置防护装置和警示标志及夜间警示灯；在恶劣天气或交通繁忙期间，应设专人值班，协助公安交通管理部门维护交通秩序，确保行人及车辆安全。</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施工现场要注意做好环境保护工作。施工现场内外均不得堆放沙石、灰土类施工物料，工程弃土应当及时清运；禁止使用鼓风机吹扫路基浮土或其它能造成严重粉尘污染的施工。疏通工地内外排水设施，确保工地内及周边排水通畅；施工所产生的施工污水必须经过有效沉淀或预处理，并达到城市污水排放标准后，方可排放。</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四、地下管线挖掘工程要分段施工，分段竣工验收，分段修复道路。每一施工段长度一般不得超过300米。</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施工时必须要在醒目位置处设置文明施工公示标牌，并清楚注明上监督举报电话。如为占用或挖掘城市道路，则必须悬挂市政管理部门核发的占用道路审批表或《番禺区市政园林管理局城市道路挖掘许可证》。</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特此通知</w:t>
      </w:r>
    </w:p>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附件：《关于加强市政重点工程文明施工管理的通知》</w:t>
      </w:r>
    </w:p>
    <w:p>
      <w:pPr>
        <w:spacing w:line="360" w:lineRule="auto"/>
        <w:jc w:val="right"/>
        <w:rPr>
          <w:rFonts w:hint="eastAsia" w:ascii="宋体" w:hAnsi="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二○○六年八月十七日</w:t>
      </w:r>
    </w:p>
    <w:p>
      <w:pPr>
        <w:spacing w:before="120" w:beforeLines="50" w:line="580" w:lineRule="exact"/>
        <w:ind w:firstLine="120" w:firstLineChars="50"/>
        <w:outlineLvl w:val="1"/>
        <w:rPr>
          <w:rFonts w:hint="eastAsia" w:ascii="宋体" w:hAnsi="宋体"/>
          <w:color w:val="000000" w:themeColor="text1"/>
          <w:sz w:val="24"/>
          <w:highlight w:val="none"/>
          <w14:textFill>
            <w14:solidFill>
              <w14:schemeClr w14:val="tx1"/>
            </w14:solidFill>
          </w14:textFill>
        </w:rPr>
      </w:pPr>
      <w:bookmarkStart w:id="1967" w:name="RANGE!A1:G14"/>
      <w:bookmarkEnd w:id="1967"/>
      <w:bookmarkStart w:id="1968" w:name="_Toc238358243"/>
      <w:bookmarkStart w:id="1969" w:name="_Toc18337"/>
      <w:bookmarkStart w:id="1970" w:name="_Toc28376"/>
      <w:bookmarkStart w:id="1971" w:name="_Toc24116"/>
      <w:bookmarkStart w:id="1972" w:name="_Toc100504390"/>
      <w:r>
        <w:rPr>
          <w:rFonts w:hint="eastAsia" w:hAnsi="宋体"/>
          <w:b/>
          <w:color w:val="000000" w:themeColor="text1"/>
          <w:sz w:val="24"/>
          <w:highlight w:val="none"/>
          <w14:textFill>
            <w14:solidFill>
              <w14:schemeClr w14:val="tx1"/>
            </w14:solidFill>
          </w14:textFill>
        </w:rPr>
        <w:t>附件十三：</w:t>
      </w:r>
      <w:bookmarkEnd w:id="1968"/>
      <w:r>
        <w:rPr>
          <w:rFonts w:hint="eastAsia" w:hAnsi="宋体"/>
          <w:b/>
          <w:color w:val="000000" w:themeColor="text1"/>
          <w:sz w:val="24"/>
          <w:highlight w:val="none"/>
          <w14:textFill>
            <w14:solidFill>
              <w14:schemeClr w14:val="tx1"/>
            </w14:solidFill>
          </w14:textFill>
        </w:rPr>
        <w:t>中标通知书</w:t>
      </w:r>
      <w:bookmarkEnd w:id="1969"/>
      <w:bookmarkEnd w:id="1970"/>
      <w:bookmarkEnd w:id="1971"/>
      <w:bookmarkEnd w:id="1972"/>
    </w:p>
    <w:p>
      <w:pPr>
        <w:tabs>
          <w:tab w:val="left" w:pos="1080"/>
        </w:tabs>
        <w:adjustRightInd w:val="0"/>
        <w:snapToGrid w:val="0"/>
        <w:spacing w:line="360" w:lineRule="auto"/>
        <w:ind w:firstLine="480" w:firstLineChars="200"/>
        <w:jc w:val="center"/>
        <w:rPr>
          <w:rFonts w:hint="eastAsia" w:ascii="宋体" w:hAnsi="宋体"/>
          <w:color w:val="000000" w:themeColor="text1"/>
          <w:sz w:val="24"/>
          <w:highlight w:val="none"/>
          <w14:textFill>
            <w14:solidFill>
              <w14:schemeClr w14:val="tx1"/>
            </w14:solidFill>
          </w14:textFill>
        </w:rPr>
      </w:pPr>
    </w:p>
    <w:p>
      <w:pPr>
        <w:tabs>
          <w:tab w:val="left" w:pos="1080"/>
        </w:tabs>
        <w:adjustRightInd w:val="0"/>
        <w:snapToGrid w:val="0"/>
        <w:spacing w:line="360" w:lineRule="auto"/>
        <w:ind w:firstLine="482" w:firstLineChars="200"/>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中标通知书</w:t>
      </w:r>
    </w:p>
    <w:p>
      <w:pPr>
        <w:spacing w:before="120" w:beforeLines="50" w:line="580" w:lineRule="exact"/>
        <w:ind w:firstLine="105" w:firstLineChars="50"/>
        <w:outlineLvl w:val="1"/>
        <w:rPr>
          <w:rFonts w:hint="eastAsia" w:ascii="宋体" w:hAnsi="宋体"/>
          <w:color w:val="000000" w:themeColor="text1"/>
          <w:sz w:val="24"/>
          <w:highlight w:val="none"/>
          <w14:textFill>
            <w14:solidFill>
              <w14:schemeClr w14:val="tx1"/>
            </w14:solidFill>
          </w14:textFill>
        </w:rPr>
      </w:pPr>
      <w:r>
        <w:rPr>
          <w:color w:val="000000" w:themeColor="text1"/>
          <w:szCs w:val="21"/>
          <w:highlight w:val="none"/>
          <w14:textFill>
            <w14:solidFill>
              <w14:schemeClr w14:val="tx1"/>
            </w14:solidFill>
          </w14:textFill>
        </w:rPr>
        <w:br w:type="page"/>
      </w:r>
      <w:bookmarkStart w:id="1973" w:name="_Toc28521"/>
      <w:bookmarkStart w:id="1974" w:name="_Toc100504391"/>
      <w:bookmarkStart w:id="1975" w:name="_Toc7637"/>
      <w:bookmarkStart w:id="1976" w:name="_Toc15357"/>
      <w:r>
        <w:rPr>
          <w:rFonts w:hint="eastAsia" w:hAnsi="宋体"/>
          <w:b/>
          <w:color w:val="000000" w:themeColor="text1"/>
          <w:sz w:val="24"/>
          <w:highlight w:val="none"/>
          <w14:textFill>
            <w14:solidFill>
              <w14:schemeClr w14:val="tx1"/>
            </w14:solidFill>
          </w14:textFill>
        </w:rPr>
        <w:t>附件十四：施工管理及处罚条例</w:t>
      </w:r>
      <w:bookmarkEnd w:id="1973"/>
      <w:bookmarkEnd w:id="1974"/>
      <w:bookmarkEnd w:id="1975"/>
      <w:bookmarkEnd w:id="1976"/>
    </w:p>
    <w:p>
      <w:pPr>
        <w:spacing w:line="360" w:lineRule="auto"/>
        <w:jc w:val="center"/>
        <w:rPr>
          <w:rFonts w:hint="eastAsia" w:ascii="宋体" w:hAnsi="宋体" w:cs="宋体"/>
          <w:b/>
          <w:color w:val="000000" w:themeColor="text1"/>
          <w:sz w:val="32"/>
          <w:szCs w:val="32"/>
          <w:highlight w:val="none"/>
          <w14:textFill>
            <w14:solidFill>
              <w14:schemeClr w14:val="tx1"/>
            </w14:solidFill>
          </w14:textFill>
        </w:rPr>
      </w:pPr>
      <w:bookmarkStart w:id="1977" w:name="_Toc377540812"/>
    </w:p>
    <w:p>
      <w:pPr>
        <w:spacing w:line="360" w:lineRule="auto"/>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施工管理及处罚条例</w:t>
      </w:r>
      <w:bookmarkEnd w:id="1977"/>
    </w:p>
    <w:p>
      <w:pPr>
        <w:adjustRightInd w:val="0"/>
        <w:snapToGrid w:val="0"/>
        <w:spacing w:line="360" w:lineRule="auto"/>
        <w:ind w:right="11" w:firstLine="463" w:firstLineChars="192"/>
        <w:rPr>
          <w:rFonts w:hint="eastAsia" w:ascii="宋体" w:hAnsi="宋体"/>
          <w:b/>
          <w:snapToGrid w:val="0"/>
          <w:color w:val="000000" w:themeColor="text1"/>
          <w:kern w:val="0"/>
          <w:sz w:val="24"/>
          <w:highlight w:val="none"/>
          <w14:textFill>
            <w14:solidFill>
              <w14:schemeClr w14:val="tx1"/>
            </w14:solidFill>
          </w14:textFill>
        </w:rPr>
      </w:pPr>
      <w:r>
        <w:rPr>
          <w:rFonts w:hint="eastAsia" w:ascii="宋体" w:hAnsi="宋体"/>
          <w:b/>
          <w:snapToGrid w:val="0"/>
          <w:color w:val="000000" w:themeColor="text1"/>
          <w:kern w:val="0"/>
          <w:sz w:val="24"/>
          <w:highlight w:val="none"/>
          <w14:textFill>
            <w14:solidFill>
              <w14:schemeClr w14:val="tx1"/>
            </w14:solidFill>
          </w14:textFill>
        </w:rPr>
        <w:t>注：如本条例涉及承包人权利义务的，请承包人仔细阅读。本合同签订后，将视为承包人同意接受本条例约束。</w:t>
      </w:r>
    </w:p>
    <w:p>
      <w:pPr>
        <w:adjustRightInd w:val="0"/>
        <w:snapToGrid w:val="0"/>
        <w:spacing w:line="360" w:lineRule="auto"/>
        <w:ind w:right="11" w:firstLine="463" w:firstLineChars="192"/>
        <w:rPr>
          <w:rFonts w:hint="eastAsia" w:ascii="宋体" w:hAnsi="宋体"/>
          <w:b/>
          <w:snapToGrid w:val="0"/>
          <w:color w:val="000000" w:themeColor="text1"/>
          <w:kern w:val="0"/>
          <w:sz w:val="24"/>
          <w:highlight w:val="none"/>
          <w14:textFill>
            <w14:solidFill>
              <w14:schemeClr w14:val="tx1"/>
            </w14:solidFill>
          </w14:textFill>
        </w:rPr>
      </w:pP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一、工程组织管理方面的违约责任</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1）承包人违反发包人通过监理单位下达指令，不服从发包人及监理单位的管理，对发包人、监理单位的指令和书面通知公开或变相拒不执行的，视为承包人违约，发包人视情节严重程度有权要求其承担1或2次违约责任，并由承包人承担由此造成的一切经济损失。同时向发包人缴纳违约金，每次罚款壹万元。情节特别严重的（指已给予2次违约处罚或书面警告3次以上的），向发包人缴纳违约金，每次罚款五万元。</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2）承包人不按投标及合同有关约定投入现场组织管理人员、施工作业人员、施工机械设备，或者擅自变更资源投入计划或者擅自对已投入的资源进行调整的，承包人必须按照总监理工程师或者发包人的指令限期改正；承包人拒不限期改正的，发包人有权要求其承担1次违约责任，承包人同时向发包人缴纳违约金，每次罚款壹万元。情节特别严重的（指已给予2次违约处罚或书面警告3次以上的），向发包人缴纳违约金，每次罚款五万元。因缺勤而被扣除现场组织实施管理费的人员不再给予违约处罚。</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（3）项目负责人及现场管理人员（五大员）要求：</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承包人必须派出投标文件中列出的项目负责人及现场管理人员负责本工程施工的管理工作，承包人有特殊情况需更换项目负责人或相关管理人员，须征得发包人同意并按有关规定报有关管理部门备案。</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项目负责人和现场管理人员每月驻工地时间不得少于25天。在施工过程中，发包人和监理单位将对项目负责人和技术负责人、施工员、质量员、安全员实施考勤登记制度，项目负责人、技术负责人、施工员、质量员、安全员因事离开施工现场两天（含两天）以上的，必须书面向监理工程师报告。未经发包人书面同意，项目负责人、技术负责人、施工员、质量员、安全员每月驻工地时间少于25天的，发包人将按照每人每天5000元的标准向承包人收取违约金。</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项目负责人和安全员必须每日填写安全施工日志备查；施工单位必须提交项目施工总结；竣工验收时，同施工日记一并提交存档。</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4）对于监理人或发包人通知承包人参加的会议（包括但不限于进场会、现场问题处理会议、工程验收会议、结算问题处理会议、质保期工作的相关会议等），被通知人员（包括但不限于承包人法定代表人、经监理人或发包人批准同意的承包人法定代表人授权人、项目负责人、技术负责人等）未经监理人或发包人书面同意不得缺席；由发包人组织的工程会议或监理组织的每周例会，项目负责人和技术负责人必须出席（经发包人批准除外）。每次会议每缺席一人次承包人需向发包人支付5000元/人次的违约金。</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（5）承包人不按合同约定或发包人要求提交竣工结算资料的，每逾期一天，承包人需向发包人支付1000元/天的违约金。</w:t>
      </w:r>
    </w:p>
    <w:p>
      <w:pPr>
        <w:adjustRightInd w:val="0"/>
        <w:snapToGrid w:val="0"/>
        <w:spacing w:line="360" w:lineRule="auto"/>
        <w:ind w:right="11" w:firstLine="460" w:firstLineChars="192"/>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6）若项目负责人或现场管理机构主要部门负责人的实际工作能力和工作表现达不到招标文件明确要求，或工作态度差，不适应现场工作需要，发包人有权向承包人提出撤换。承包人可以提出整改意见；如发包人不予接受，则承包人必须在7天内无条件撤换，所调换来人员的资质、资历、学历、职称、业绩、实际工作能力不低于原投标书中所承诺人员的综合素质；若承包人逾期不撤换，则每逾期一天按5000元计付违约金，发包人做好记录，在工程款中扣除。</w:t>
      </w:r>
    </w:p>
    <w:p>
      <w:pPr>
        <w:adjustRightInd w:val="0"/>
        <w:snapToGrid w:val="0"/>
        <w:spacing w:line="360" w:lineRule="auto"/>
        <w:ind w:right="11" w:firstLine="463" w:firstLineChars="192"/>
        <w:rPr>
          <w:rFonts w:hint="eastAsia" w:ascii="宋体" w:hAnsi="宋体"/>
          <w:b/>
          <w:bCs/>
          <w:snapToGrid w:val="0"/>
          <w:color w:val="000000" w:themeColor="text1"/>
          <w:kern w:val="0"/>
          <w:sz w:val="24"/>
          <w:szCs w:val="28"/>
          <w:highlight w:val="none"/>
          <w14:textFill>
            <w14:solidFill>
              <w14:schemeClr w14:val="tx1"/>
            </w14:solidFill>
          </w14:textFill>
        </w:rPr>
      </w:pP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二、工程进度及工期延误方面的违约责任</w:t>
      </w:r>
    </w:p>
    <w:p>
      <w:pPr>
        <w:adjustRightInd w:val="0"/>
        <w:snapToGrid w:val="0"/>
        <w:spacing w:line="360" w:lineRule="auto"/>
        <w:ind w:right="11" w:firstLine="46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合同约定因承包人原因导致工程进度滞后于进度计划应承担的违约责任：发包人或监理单位确认施工组织设计（施工方案）后，发包人按照承包人每月十五号提供的施工进度计划报表检查工程进度，因承包人原因导致工程进度滞后于进度计划达到10%时，承包人应尽力及时调整工程施工安排赶回工期；滞后进度计划达20%时，发包人将对承包人扣罚10%的工程进度款。上述权利发包人可以重复行使，行使次数达到3次或滞后进度计划达30%时，发包人有权终止合同，责令承包人退场，同时，承包人须赔偿发包人的一切损失。</w:t>
      </w:r>
    </w:p>
    <w:p>
      <w:pPr>
        <w:adjustRightInd w:val="0"/>
        <w:snapToGrid w:val="0"/>
        <w:spacing w:line="360" w:lineRule="auto"/>
        <w:ind w:firstLine="48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（2）承包人未按约定开工的，每迟延开工1天，应向发包人支付1万元的违约金；迟延开工超过30天的，发包人有权单方面解除合同</w:t>
      </w:r>
      <w:r>
        <w:rPr>
          <w:rFonts w:hint="eastAsia" w:ascii="宋体" w:hAnsi="宋体"/>
          <w:bCs/>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（3）承包人单方面停工的，每停工1天，应向发包人支付1万元的违约金；连续停工超过5天或累计停工超过10天的，发包人有权单方面解除合同</w:t>
      </w:r>
      <w:r>
        <w:rPr>
          <w:rFonts w:hint="eastAsia" w:ascii="宋体" w:hAnsi="宋体"/>
          <w:bCs/>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4）承包人延期交付施工组织设计的，延期3天以内的（含3天），发包人给予书面警告；延期4～7天的，承包人应承担1次违约责任；延期8～10天的，承包人应承担2次违约责任；延期11天以上的（含11天），发包人有权单方面解除合同</w:t>
      </w:r>
      <w:r>
        <w:rPr>
          <w:rFonts w:hint="eastAsia" w:ascii="宋体" w:hAnsi="宋体"/>
          <w:bCs/>
          <w:snapToGrid w:val="0"/>
          <w:color w:val="000000" w:themeColor="text1"/>
          <w:kern w:val="0"/>
          <w:sz w:val="24"/>
          <w:highlight w:val="none"/>
          <w14:textFill>
            <w14:solidFill>
              <w14:schemeClr w14:val="tx1"/>
            </w14:solidFill>
          </w14:textFill>
        </w:rPr>
        <w:t>。</w:t>
      </w:r>
    </w:p>
    <w:p>
      <w:pPr>
        <w:tabs>
          <w:tab w:val="left" w:pos="1846"/>
        </w:tabs>
        <w:adjustRightInd w:val="0"/>
        <w:snapToGrid w:val="0"/>
        <w:spacing w:line="360" w:lineRule="auto"/>
        <w:ind w:firstLine="480" w:firstLineChars="200"/>
        <w:rPr>
          <w:rFonts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5）由于承包人的责任造成本工程关键节点工期延误的，每延误1天，应向发包人支付0.5万元的违约金；延误超过5天的，承包人除了支付违约金外，发包人有权停止支付当月的工程进度款；延误10天以上的，承包人除了支付违约金外，承包人应在2天内制定出具体可行的自行赶工措施，报总监理工程师和发包人批准。如发包人认为承包人的赶工计划不可行，则发包人有权解除合同</w:t>
      </w:r>
      <w:r>
        <w:rPr>
          <w:rFonts w:hint="eastAsia" w:ascii="宋体" w:hAnsi="宋体"/>
          <w:bCs/>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（6）如承包人违反合同约定工期竣工的，每逾期1天，承包人必须向发包人支付0.5万元违约金，同时由</w:t>
      </w:r>
      <w:r>
        <w:rPr>
          <w:rFonts w:hint="eastAsia" w:ascii="宋体" w:hAnsi="宋体"/>
          <w:bCs/>
          <w:snapToGrid w:val="0"/>
          <w:color w:val="000000" w:themeColor="text1"/>
          <w:kern w:val="0"/>
          <w:sz w:val="24"/>
          <w:highlight w:val="none"/>
          <w14:textFill>
            <w14:solidFill>
              <w14:schemeClr w14:val="tx1"/>
            </w14:solidFill>
          </w14:textFill>
        </w:rPr>
        <w:t>发包人有权自主选择如下处理方式：</w:t>
      </w:r>
    </w:p>
    <w:p>
      <w:pPr>
        <w:adjustRightInd w:val="0"/>
        <w:snapToGrid w:val="0"/>
        <w:spacing w:line="360" w:lineRule="auto"/>
        <w:ind w:right="11"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（6.1）</w:t>
      </w:r>
      <w:r>
        <w:rPr>
          <w:rFonts w:hint="eastAsia" w:ascii="宋体" w:hAnsi="宋体"/>
          <w:bCs/>
          <w:snapToGrid w:val="0"/>
          <w:color w:val="000000" w:themeColor="text1"/>
          <w:kern w:val="0"/>
          <w:sz w:val="24"/>
          <w:highlight w:val="none"/>
          <w14:textFill>
            <w14:solidFill>
              <w14:schemeClr w14:val="tx1"/>
            </w14:solidFill>
          </w14:textFill>
        </w:rPr>
        <w:t>承包人按上述约定向发包人支付违约金并在发包人限定的时间内竣工；如承包人仍不能在发包人限定的时间内竣工，承包人除按上述约定支付违约金外（直至本工程全部竣工为止），还在工程结算时按本合同结算总价款下浮2%作为本合同的最终结算价款，同时承包人还应据实赔偿发包人的实际损失。</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（6.2）</w:t>
      </w:r>
      <w:r>
        <w:rPr>
          <w:rFonts w:hint="eastAsia" w:ascii="宋体" w:hAnsi="宋体"/>
          <w:bCs/>
          <w:snapToGrid w:val="0"/>
          <w:color w:val="000000" w:themeColor="text1"/>
          <w:kern w:val="0"/>
          <w:sz w:val="24"/>
          <w:highlight w:val="none"/>
          <w14:textFill>
            <w14:solidFill>
              <w14:schemeClr w14:val="tx1"/>
            </w14:solidFill>
          </w14:textFill>
        </w:rPr>
        <w:t>由发包人将未完工程量从本合同中分割，交由第三方完成，由此发生的费用全部从本签约合同价中支付，同时</w:t>
      </w:r>
      <w:r>
        <w:rPr>
          <w:rFonts w:hint="eastAsia" w:ascii="宋体" w:hAnsi="宋体"/>
          <w:snapToGrid w:val="0"/>
          <w:color w:val="000000" w:themeColor="text1"/>
          <w:kern w:val="0"/>
          <w:sz w:val="24"/>
          <w:highlight w:val="none"/>
          <w14:textFill>
            <w14:solidFill>
              <w14:schemeClr w14:val="tx1"/>
            </w14:solidFill>
          </w14:textFill>
        </w:rPr>
        <w:t>由承包人向发包人支付</w:t>
      </w:r>
      <w:r>
        <w:rPr>
          <w:rFonts w:hint="eastAsia" w:ascii="宋体" w:hAnsi="宋体"/>
          <w:bCs/>
          <w:snapToGrid w:val="0"/>
          <w:color w:val="000000" w:themeColor="text1"/>
          <w:kern w:val="0"/>
          <w:sz w:val="24"/>
          <w:highlight w:val="none"/>
          <w14:textFill>
            <w14:solidFill>
              <w14:schemeClr w14:val="tx1"/>
            </w14:solidFill>
          </w14:textFill>
        </w:rPr>
        <w:t>未完工程量</w:t>
      </w:r>
      <w:r>
        <w:rPr>
          <w:rFonts w:hint="eastAsia" w:ascii="宋体" w:hAnsi="宋体"/>
          <w:snapToGrid w:val="0"/>
          <w:color w:val="000000" w:themeColor="text1"/>
          <w:kern w:val="0"/>
          <w:sz w:val="24"/>
          <w:highlight w:val="none"/>
          <w14:textFill>
            <w14:solidFill>
              <w14:schemeClr w14:val="tx1"/>
            </w14:solidFill>
          </w14:textFill>
        </w:rPr>
        <w:t>价款20%的违约金并赔偿发包人的实际损失</w:t>
      </w:r>
      <w:r>
        <w:rPr>
          <w:rFonts w:hint="eastAsia" w:ascii="宋体" w:hAnsi="宋体"/>
          <w:bCs/>
          <w:snapToGrid w:val="0"/>
          <w:color w:val="000000" w:themeColor="text1"/>
          <w:kern w:val="0"/>
          <w:sz w:val="24"/>
          <w:highlight w:val="none"/>
          <w14:textFill>
            <w14:solidFill>
              <w14:schemeClr w14:val="tx1"/>
            </w14:solidFill>
          </w14:textFill>
        </w:rPr>
        <w:t>。</w:t>
      </w: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三、工程质量方面的违约责任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承包人承担1次违约责任；总计发现3次以上（不含本数）或连续发现2次以上（不含本数）质量控制点不合格的，承包人承担2次违约责任；承包人采取整改措施后效果仍不明显的，发包人有权部分解除合同，将该分项工程另行发包，且不免除承包人应承担的违约赔偿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2）工程竣工验收不符合国家强制性标准及规范要求或者未能实现一次验收合格的，承包人除应向发包人支付本工程签约合同价的20%作为违约金并无偿采取补救措施及赔偿发包人的实际损失外，还应承担由此引起的一切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按所在工程签约合同价的5%向发包人支付违约金。</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（4）由于承包人的原因发生工程质量事故的，承包人应全额赔偿发包人的损失并承担相关法律责任。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5）自竣工验收后满2年，但未通过发包人及公路主管部门对保修项目验收，修复路面及相邻版块仍存在破裂、下沉等情况的，对车辆通行存在安全隐患的，承包人必须在规定期限内返工，直至达到公路部门验收合格为止。若承包人在规定期限仍不作保修处理，发包人有权委托第三方进场实施，相关费用按定额不下浮计算在质量保证金中扣减。</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（6）不按图纸施工或未经分部验收进行下一工序施工的，承包人应承担违约责任，向发包人支付5万元／次的违约金。</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（7）经相关行政主管部门要求整改而不按照整改通知书要求落实整改的，承包人应承担违约责任，向发包人支付5万元／次的违约金。</w:t>
      </w: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四、安全生产及文明施工方面的违约责任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1）承包人在政府行政主管部门组织的安全生产检查中，被发现存在严重的安全隐患，被通报批评，或被新闻媒体曝光造成不良影响的，被通报或被曝光一次，承包人必须承担2次违约责任；造成严重社会影响或累计被通报或被曝光3次以上（含本数）的，发包人有权解除合同</w:t>
      </w:r>
      <w:r>
        <w:rPr>
          <w:rFonts w:hint="eastAsia" w:ascii="宋体" w:hAnsi="宋体"/>
          <w:bCs/>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2）承包人在发包人、总监理工程师进行的日常安全生产检查中，被发现存在安全隐患的，承包人应限期改正。若同样问题被发现2次或累计类似问题被发现3次的，承包人必须承担1次违约责任。此类问题的认定，以发包人、总监理工程师书面通知、指令、通报或会议纪要为准。</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（3）承包期间，发生生产安全事故的，承包人除按国家规定由主管部门处罚外，还必须依照下列约定向发包人承担违约责任：</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①发生特别重大事故，承包人按事故所造成损失金额的15%向发包人支付违约金，同时违约金的数额不得低于40万元；</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②发生重大事故，承包人按事故所造成损失金额的12%向发包人支付违约金，同时违约金的数额不得低于30万元；</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③发生较大事故，承包人按事故所造成损失金额的10%向发包人支付违约金，同时违约金数额不得低于20万元；</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④发生一般事故，承包人按事故所造成损失金额的8%向发包人支付违约金，同时违约金数额不得低于10万元。</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（4）由于承包人违章作业或安全措施不力等原因造成人员伤亡事故的责任和因此而发生的一切费用，由承包人自行承担。</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承包人发生安全责任事故造成人员死亡的，除上述规定外，承包人还应承担违约责任，每死亡1人，承包人应向发包人支付50万元违约金。</w:t>
      </w:r>
    </w:p>
    <w:p>
      <w:pPr>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（5）承包人被相关行政主管部门要求停工整改的，承包人应承担违约责任，每停工整改1次，承包人应向发包人支付5万元违约金。</w:t>
      </w:r>
    </w:p>
    <w:p>
      <w:pPr>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6）承包人须按发包人批准的施工组织设计进行施工现场布置、放置材料机械及其他设施，完成场地硬体化、排水管道化，及时将施工垃圾、余泥运出场外，达到省、市及区文明施工样板工地标准，保证施工场地清洁符合环境卫生管理的有关规定，若承包人施工场地要求达不到上述要求，发包人有权委托第三方单位进行清理，承包人应向发包人支付相当于实际发生费用2倍的违约金。</w:t>
      </w:r>
    </w:p>
    <w:p>
      <w:pPr>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（7）承包人在工程通过竣工验收后10天内，完成竣工清场。每逾期一天，承包人应向发包人支付1万元/天的违约金。</w:t>
      </w:r>
    </w:p>
    <w:p>
      <w:pPr>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上述违约金可直接从履约保证金（履约保函）或在工程进度款中予以扣除，所支付的违约金不足以弥补由此给发包人造成的损失的，承包人还须补偿发包人的其他损失。</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五、施工人员工资支付方面的违约责任</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由于承包人或其管理的分包单位（包括施工专业分包、供货分包及劳务分包单位等）拖欠施工人员工资致使发包人被投诉或起诉并被判令先行垫付施工人员工资的，承包人除承担1次违约责任外，还应向发包人支付发包人先行垫付的施工人员工资金额的120%作为补偿。</w:t>
      </w:r>
    </w:p>
    <w:p>
      <w:pPr>
        <w:adjustRightInd w:val="0"/>
        <w:snapToGrid w:val="0"/>
        <w:spacing w:line="360" w:lineRule="auto"/>
        <w:ind w:firstLine="480"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承包人在施工过程中因拖欠工人工资发生5人以上群体性事件的，承包人应承担违约责任，向发包人支付20万元／次的违约金。</w:t>
      </w:r>
    </w:p>
    <w:p>
      <w:pPr>
        <w:adjustRightInd w:val="0"/>
        <w:snapToGrid w:val="0"/>
        <w:spacing w:line="360" w:lineRule="auto"/>
        <w:ind w:right="11" w:firstLine="540" w:firstLineChars="192"/>
        <w:rPr>
          <w:rFonts w:hint="eastAsia" w:ascii="宋体" w:hAnsi="宋体"/>
          <w:b/>
          <w:snapToGrid w:val="0"/>
          <w:color w:val="000000" w:themeColor="text1"/>
          <w:kern w:val="0"/>
          <w:sz w:val="28"/>
          <w:szCs w:val="28"/>
          <w:highlight w:val="none"/>
          <w14:textFill>
            <w14:solidFill>
              <w14:schemeClr w14:val="tx1"/>
            </w14:solidFill>
          </w14:textFill>
        </w:rPr>
      </w:pPr>
      <w:r>
        <w:rPr>
          <w:rFonts w:hint="eastAsia" w:ascii="宋体" w:hAnsi="宋体"/>
          <w:b/>
          <w:snapToGrid w:val="0"/>
          <w:color w:val="000000" w:themeColor="text1"/>
          <w:kern w:val="0"/>
          <w:sz w:val="28"/>
          <w:szCs w:val="28"/>
          <w:highlight w:val="none"/>
          <w14:textFill>
            <w14:solidFill>
              <w14:schemeClr w14:val="tx1"/>
            </w14:solidFill>
          </w14:textFill>
        </w:rPr>
        <w:t>六、承包人承担违约责任的方式包括但不限于：</w:t>
      </w:r>
    </w:p>
    <w:p>
      <w:pPr>
        <w:tabs>
          <w:tab w:val="left" w:pos="1125"/>
        </w:tabs>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1）部分解除合同。当承包人违反本合同的约定符合部分解除合同的条件时，发包人有权向承包人发出书面部分解除合同的通知，该通知在送达承包人时即生效。发包人有权从本签约合同价中直接扣除被解除部分工程所需的全部费用，同时，</w:t>
      </w:r>
      <w:r>
        <w:rPr>
          <w:rFonts w:hint="eastAsia" w:ascii="宋体" w:hAnsi="宋体"/>
          <w:snapToGrid w:val="0"/>
          <w:color w:val="000000" w:themeColor="text1"/>
          <w:kern w:val="0"/>
          <w:sz w:val="24"/>
          <w:highlight w:val="none"/>
          <w14:textFill>
            <w14:solidFill>
              <w14:schemeClr w14:val="tx1"/>
            </w14:solidFill>
          </w14:textFill>
        </w:rPr>
        <w:t>承包人应在部分解除合同之日起七日内向发包人支付</w:t>
      </w:r>
      <w:r>
        <w:rPr>
          <w:rFonts w:hint="eastAsia" w:ascii="宋体" w:hAnsi="宋体"/>
          <w:bCs/>
          <w:snapToGrid w:val="0"/>
          <w:color w:val="000000" w:themeColor="text1"/>
          <w:kern w:val="0"/>
          <w:sz w:val="24"/>
          <w:highlight w:val="none"/>
          <w14:textFill>
            <w14:solidFill>
              <w14:schemeClr w14:val="tx1"/>
            </w14:solidFill>
          </w14:textFill>
        </w:rPr>
        <w:t>被解除部分工程</w:t>
      </w:r>
      <w:r>
        <w:rPr>
          <w:rFonts w:hint="eastAsia" w:ascii="宋体" w:hAnsi="宋体"/>
          <w:snapToGrid w:val="0"/>
          <w:color w:val="000000" w:themeColor="text1"/>
          <w:kern w:val="0"/>
          <w:sz w:val="24"/>
          <w:highlight w:val="none"/>
          <w14:textFill>
            <w14:solidFill>
              <w14:schemeClr w14:val="tx1"/>
            </w14:solidFill>
          </w14:textFill>
        </w:rPr>
        <w:t>签约合同价20%的违约金并赔偿发包人的实际损失</w:t>
      </w:r>
      <w:r>
        <w:rPr>
          <w:rFonts w:hint="eastAsia" w:ascii="宋体" w:hAnsi="宋体"/>
          <w:bCs/>
          <w:snapToGrid w:val="0"/>
          <w:color w:val="000000" w:themeColor="text1"/>
          <w:kern w:val="0"/>
          <w:sz w:val="24"/>
          <w:highlight w:val="none"/>
          <w14:textFill>
            <w14:solidFill>
              <w14:schemeClr w14:val="tx1"/>
            </w14:solidFill>
          </w14:textFill>
        </w:rPr>
        <w:t>。</w:t>
      </w:r>
    </w:p>
    <w:p>
      <w:pPr>
        <w:tabs>
          <w:tab w:val="left" w:pos="1125"/>
        </w:tabs>
        <w:adjustRightInd w:val="0"/>
        <w:snapToGrid w:val="0"/>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（2）解除合同。当承包人违反本合同的约定符合解除合同的条件时，发包人有权向承包人发出书面解除合同的通知，该通知在送达承包人时即生效，</w:t>
      </w:r>
      <w:r>
        <w:rPr>
          <w:rFonts w:hint="eastAsia" w:ascii="宋体" w:hAnsi="宋体"/>
          <w:snapToGrid w:val="0"/>
          <w:color w:val="000000" w:themeColor="text1"/>
          <w:kern w:val="0"/>
          <w:sz w:val="24"/>
          <w:highlight w:val="none"/>
          <w14:textFill>
            <w14:solidFill>
              <w14:schemeClr w14:val="tx1"/>
            </w14:solidFill>
          </w14:textFill>
        </w:rPr>
        <w:t>承包人应在解除合同之日起七日内向发包人支付本签约合同价20%的违约金并赔偿发包人的实际损失</w:t>
      </w:r>
      <w:r>
        <w:rPr>
          <w:rFonts w:hint="eastAsia" w:ascii="宋体" w:hAnsi="宋体"/>
          <w:bCs/>
          <w:snapToGrid w:val="0"/>
          <w:color w:val="000000" w:themeColor="text1"/>
          <w:kern w:val="0"/>
          <w:sz w:val="24"/>
          <w:highlight w:val="none"/>
          <w14:textFill>
            <w14:solidFill>
              <w14:schemeClr w14:val="tx1"/>
            </w14:solidFill>
          </w14:textFill>
        </w:rPr>
        <w:t>。</w:t>
      </w:r>
    </w:p>
    <w:p>
      <w:pPr>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r>
        <w:rPr>
          <w:rFonts w:hint="eastAsia" w:ascii="宋体" w:hAnsi="宋体"/>
          <w:bCs/>
          <w:snapToGrid w:val="0"/>
          <w:color w:val="000000" w:themeColor="text1"/>
          <w:kern w:val="0"/>
          <w:sz w:val="24"/>
          <w:highlight w:val="none"/>
          <w14:textFill>
            <w14:solidFill>
              <w14:schemeClr w14:val="tx1"/>
            </w14:solidFill>
          </w14:textFill>
        </w:rPr>
        <w:t>（3）对于发包人给予承包人2次以上（含本数）违约处罚或书面警告3次以上（含本数）的，发包人有权根据上述第（1）、（2）项的约定单方部分解除或全部解除合同，追究承包人的违约责任。</w:t>
      </w:r>
    </w:p>
    <w:p>
      <w:pPr>
        <w:spacing w:line="360" w:lineRule="auto"/>
        <w:ind w:firstLine="480" w:firstLineChars="200"/>
        <w:rPr>
          <w:rFonts w:hint="eastAsia" w:ascii="宋体" w:hAnsi="宋体"/>
          <w:bCs/>
          <w:snapToGrid w:val="0"/>
          <w:color w:val="000000" w:themeColor="text1"/>
          <w:kern w:val="0"/>
          <w:sz w:val="24"/>
          <w:highlight w:val="none"/>
          <w14:textFill>
            <w14:solidFill>
              <w14:schemeClr w14:val="tx1"/>
            </w14:solidFill>
          </w14:textFill>
        </w:rPr>
      </w:pPr>
    </w:p>
    <w:p>
      <w:pPr>
        <w:spacing w:line="360" w:lineRule="auto"/>
        <w:ind w:firstLine="562" w:firstLineChars="200"/>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七、其它</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（1）本条例与主合同不一致的或主合同未有约定的，以本条例为准。</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（2）本条例与《番禺区水务工程参建单位管理人员考核要求》（简称《人员考核要求》不一致或未有约定的，以《人员考核要求》的最新文件规定为准。</w:t>
      </w:r>
    </w:p>
    <w:p>
      <w:pPr>
        <w:spacing w:before="120" w:beforeLines="50" w:line="580" w:lineRule="exact"/>
        <w:outlineLvl w:val="1"/>
        <w:rPr>
          <w:rFonts w:hint="eastAsia" w:ascii="宋体" w:hAnsi="宋体"/>
          <w:color w:val="000000" w:themeColor="text1"/>
          <w:sz w:val="24"/>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bookmarkStart w:id="1978" w:name="_Toc23535"/>
      <w:bookmarkStart w:id="1979" w:name="_Toc100504392"/>
      <w:bookmarkStart w:id="1980" w:name="_Toc20852"/>
      <w:bookmarkStart w:id="1981" w:name="_Toc30395"/>
      <w:r>
        <w:rPr>
          <w:rFonts w:hint="eastAsia" w:hAnsi="宋体"/>
          <w:b/>
          <w:color w:val="000000" w:themeColor="text1"/>
          <w:sz w:val="24"/>
          <w:highlight w:val="none"/>
          <w14:textFill>
            <w14:solidFill>
              <w14:schemeClr w14:val="tx1"/>
            </w14:solidFill>
          </w14:textFill>
        </w:rPr>
        <w:t>附件十五：通信联系方式格式</w:t>
      </w:r>
      <w:bookmarkEnd w:id="1978"/>
      <w:bookmarkEnd w:id="1979"/>
      <w:bookmarkEnd w:id="1980"/>
      <w:bookmarkEnd w:id="1981"/>
    </w:p>
    <w:p>
      <w:pPr>
        <w:spacing w:line="360" w:lineRule="auto"/>
        <w:ind w:firstLine="420" w:firstLineChars="200"/>
        <w:rPr>
          <w:rFonts w:hint="eastAsia" w:ascii="宋体" w:hAnsi="宋体"/>
          <w:snapToGrid w:val="0"/>
          <w:color w:val="000000" w:themeColor="text1"/>
          <w:kern w:val="0"/>
          <w:highlight w:val="none"/>
          <w14:textFill>
            <w14:solidFill>
              <w14:schemeClr w14:val="tx1"/>
            </w14:solidFill>
          </w14:textFill>
        </w:rPr>
      </w:pPr>
    </w:p>
    <w:p>
      <w:pPr>
        <w:adjustRightInd w:val="0"/>
        <w:snapToGrid w:val="0"/>
        <w:spacing w:line="360" w:lineRule="auto"/>
        <w:jc w:val="center"/>
        <w:rPr>
          <w:rFonts w:hint="eastAsia" w:ascii="宋体" w:hAnsi="宋体"/>
          <w:b/>
          <w:snapToGrid w:val="0"/>
          <w:color w:val="000000" w:themeColor="text1"/>
          <w:kern w:val="0"/>
          <w:sz w:val="32"/>
          <w:szCs w:val="32"/>
          <w:highlight w:val="none"/>
          <w14:textFill>
            <w14:solidFill>
              <w14:schemeClr w14:val="tx1"/>
            </w14:solidFill>
          </w14:textFill>
        </w:rPr>
      </w:pPr>
      <w:r>
        <w:rPr>
          <w:rFonts w:hint="eastAsia" w:ascii="宋体" w:hAnsi="宋体"/>
          <w:b/>
          <w:snapToGrid w:val="0"/>
          <w:color w:val="000000" w:themeColor="text1"/>
          <w:kern w:val="0"/>
          <w:sz w:val="32"/>
          <w:szCs w:val="32"/>
          <w:highlight w:val="none"/>
          <w14:textFill>
            <w14:solidFill>
              <w14:schemeClr w14:val="tx1"/>
            </w14:solidFill>
          </w14:textFill>
        </w:rPr>
        <w:t>承包人法定代表人、项目经理、技术负责人、安全员和资料员的通信联系方式</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42"/>
        <w:gridCol w:w="1843"/>
        <w:gridCol w:w="203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pPr>
              <w:tabs>
                <w:tab w:val="left" w:pos="1080"/>
              </w:tabs>
              <w:adjustRightInd w:val="0"/>
              <w:snapToGrid w:val="0"/>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姓名</w:t>
            </w:r>
          </w:p>
        </w:tc>
        <w:tc>
          <w:tcPr>
            <w:tcW w:w="1843"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职务</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手机</w:t>
            </w: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843" w:type="dxa"/>
            <w:noWrap w:val="0"/>
            <w:vAlign w:val="top"/>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843" w:type="dxa"/>
            <w:noWrap w:val="0"/>
            <w:vAlign w:val="top"/>
          </w:tcPr>
          <w:p>
            <w:pPr>
              <w:tabs>
                <w:tab w:val="left" w:pos="1080"/>
              </w:tabs>
              <w:adjustRightInd w:val="0"/>
              <w:snapToGrid w:val="0"/>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项目经理</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843" w:type="dxa"/>
            <w:noWrap w:val="0"/>
            <w:vAlign w:val="top"/>
          </w:tcPr>
          <w:p>
            <w:pPr>
              <w:tabs>
                <w:tab w:val="left" w:pos="1080"/>
              </w:tabs>
              <w:adjustRightInd w:val="0"/>
              <w:snapToGrid w:val="0"/>
              <w:spacing w:line="360" w:lineRule="auto"/>
              <w:jc w:val="center"/>
              <w:rPr>
                <w:rFonts w:hint="eastAsia" w:ascii="宋体" w:hAnsi="宋体"/>
                <w:b/>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技术负责人</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843" w:type="dxa"/>
            <w:noWrap w:val="0"/>
            <w:vAlign w:val="top"/>
          </w:tcPr>
          <w:p>
            <w:pPr>
              <w:tabs>
                <w:tab w:val="left" w:pos="1080"/>
              </w:tabs>
              <w:adjustRightInd w:val="0"/>
              <w:snapToGrid w:val="0"/>
              <w:spacing w:line="360" w:lineRule="auto"/>
              <w:jc w:val="center"/>
              <w:rPr>
                <w:rFonts w:hint="eastAsia" w:ascii="宋体" w:hAnsi="宋体"/>
                <w:color w:val="000000" w:themeColor="text1"/>
                <w:kern w:val="2"/>
                <w:sz w:val="24"/>
                <w:szCs w:val="24"/>
                <w:highlight w:val="none"/>
                <w:lang w:val="en-US" w:eastAsia="zh-CN" w:bidi="ar-SA"/>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安全员</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tabs>
                <w:tab w:val="left" w:pos="1080"/>
              </w:tabs>
              <w:adjustRightInd w:val="0"/>
              <w:snapToGrid w:val="0"/>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p>
        </w:tc>
        <w:tc>
          <w:tcPr>
            <w:tcW w:w="1842"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843" w:type="dxa"/>
            <w:noWrap w:val="0"/>
            <w:vAlign w:val="top"/>
          </w:tcPr>
          <w:p>
            <w:pPr>
              <w:tabs>
                <w:tab w:val="left" w:pos="1080"/>
              </w:tabs>
              <w:adjustRightInd w:val="0"/>
              <w:snapToGrid w:val="0"/>
              <w:spacing w:line="360" w:lineRule="auto"/>
              <w:jc w:val="center"/>
              <w:rPr>
                <w:rFonts w:hint="eastAsia" w:ascii="宋体" w:hAnsi="宋体"/>
                <w:color w:val="000000" w:themeColor="text1"/>
                <w:kern w:val="2"/>
                <w:sz w:val="24"/>
                <w:szCs w:val="24"/>
                <w:highlight w:val="none"/>
                <w:lang w:val="en-US" w:eastAsia="zh-CN" w:bidi="ar-SA"/>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资料员</w:t>
            </w:r>
          </w:p>
        </w:tc>
        <w:tc>
          <w:tcPr>
            <w:tcW w:w="2030"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c>
          <w:tcPr>
            <w:tcW w:w="1705" w:type="dxa"/>
            <w:noWrap w:val="0"/>
            <w:vAlign w:val="top"/>
          </w:tcPr>
          <w:p>
            <w:pPr>
              <w:tabs>
                <w:tab w:val="left" w:pos="1080"/>
              </w:tabs>
              <w:adjustRightInd w:val="0"/>
              <w:snapToGrid w:val="0"/>
              <w:spacing w:line="360" w:lineRule="auto"/>
              <w:ind w:firstLine="542"/>
              <w:jc w:val="left"/>
              <w:rPr>
                <w:rFonts w:hint="eastAsia" w:ascii="宋体" w:hAnsi="宋体"/>
                <w:b/>
                <w:color w:val="000000" w:themeColor="text1"/>
                <w:sz w:val="24"/>
                <w:highlight w:val="none"/>
                <w14:textFill>
                  <w14:solidFill>
                    <w14:schemeClr w14:val="tx1"/>
                  </w14:solidFill>
                </w14:textFill>
              </w:rPr>
            </w:pPr>
          </w:p>
        </w:tc>
      </w:tr>
    </w:tbl>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tabs>
          <w:tab w:val="left" w:pos="1080"/>
        </w:tabs>
        <w:adjustRightInd w:val="0"/>
        <w:snapToGrid w:val="0"/>
        <w:spacing w:line="360" w:lineRule="auto"/>
        <w:jc w:val="left"/>
        <w:rPr>
          <w:rFonts w:hint="eastAsia" w:ascii="宋体" w:hAnsi="宋体"/>
          <w:b/>
          <w:color w:val="000000" w:themeColor="text1"/>
          <w:sz w:val="24"/>
          <w:highlight w:val="none"/>
          <w14:textFill>
            <w14:solidFill>
              <w14:schemeClr w14:val="tx1"/>
            </w14:solidFill>
          </w14:textFill>
        </w:rPr>
      </w:pPr>
    </w:p>
    <w:p>
      <w:pPr>
        <w:spacing w:before="120" w:beforeLines="50" w:line="580" w:lineRule="exact"/>
        <w:ind w:firstLine="120"/>
        <w:outlineLvl w:val="1"/>
        <w:rPr>
          <w:rFonts w:hint="eastAsia" w:ascii="宋体" w:hAnsi="宋体"/>
          <w:color w:val="000000" w:themeColor="text1"/>
          <w:sz w:val="24"/>
          <w:highlight w:val="none"/>
          <w14:textFill>
            <w14:solidFill>
              <w14:schemeClr w14:val="tx1"/>
            </w14:solidFill>
          </w14:textFill>
        </w:rPr>
      </w:pPr>
      <w:bookmarkStart w:id="1982" w:name="_Toc18656"/>
      <w:bookmarkStart w:id="1983" w:name="_Toc100504393"/>
      <w:bookmarkStart w:id="1984" w:name="_Toc1547"/>
      <w:bookmarkStart w:id="1985" w:name="_Toc14194"/>
      <w:r>
        <w:rPr>
          <w:rFonts w:hint="eastAsia" w:hAnsi="宋体"/>
          <w:b/>
          <w:color w:val="000000" w:themeColor="text1"/>
          <w:sz w:val="24"/>
          <w:highlight w:val="none"/>
          <w14:textFill>
            <w14:solidFill>
              <w14:schemeClr w14:val="tx1"/>
            </w14:solidFill>
          </w14:textFill>
        </w:rPr>
        <w:t>附件十六：工程技术标准</w:t>
      </w:r>
      <w:bookmarkEnd w:id="1982"/>
      <w:bookmarkEnd w:id="1983"/>
      <w:bookmarkEnd w:id="1984"/>
      <w:bookmarkEnd w:id="1985"/>
    </w:p>
    <w:p>
      <w:pPr>
        <w:jc w:val="center"/>
        <w:rPr>
          <w:rFonts w:hint="eastAsia"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工程技术标准</w:t>
      </w:r>
    </w:p>
    <w:p>
      <w:pPr>
        <w:jc w:val="center"/>
        <w:rPr>
          <w:rFonts w:hint="eastAsia" w:ascii="宋体" w:hAnsi="宋体"/>
          <w:b/>
          <w:bCs/>
          <w:color w:val="000000" w:themeColor="text1"/>
          <w:sz w:val="30"/>
          <w:szCs w:val="30"/>
          <w:highlight w:val="none"/>
          <w:u w:val="single"/>
          <w14:textFill>
            <w14:solidFill>
              <w14:schemeClr w14:val="tx1"/>
            </w14:solidFill>
          </w14:textFill>
        </w:rPr>
      </w:pPr>
    </w:p>
    <w:p>
      <w:pPr>
        <w:jc w:val="center"/>
        <w:rPr>
          <w:rFonts w:hint="eastAsia" w:ascii="宋体" w:hAnsi="宋体"/>
          <w:b/>
          <w:bCs/>
          <w:color w:val="000000" w:themeColor="text1"/>
          <w:sz w:val="30"/>
          <w:szCs w:val="30"/>
          <w:highlight w:val="none"/>
          <w:u w:val="singl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第一部分 材料管理标准</w:t>
      </w:r>
    </w:p>
    <w:p>
      <w:pPr>
        <w:jc w:val="center"/>
        <w:rPr>
          <w:rFonts w:hint="eastAsia" w:ascii="宋体" w:hAnsi="宋体"/>
          <w:b/>
          <w:bCs/>
          <w:color w:val="000000" w:themeColor="text1"/>
          <w:sz w:val="30"/>
          <w:szCs w:val="30"/>
          <w:highlight w:val="none"/>
          <w:u w:val="single"/>
          <w14:textFill>
            <w14:solidFill>
              <w14:schemeClr w14:val="tx1"/>
            </w14:solidFill>
          </w14:textFill>
        </w:rPr>
      </w:pP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本工程使用的工程材料，须有建材质检部门的产品合格证、生产许可证及出厂合格证的优等品。</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2.本工程使用商品混凝土及商品砂浆。</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工程使用的钢筋、水泥、排水管等重点工程材料，订货前，承包人应提供生产厂家的合格证书及试验报告，并由发包人到现场检验核实后方能订货，主要装饰材料须提供样板并经发包人及监理单位确认，符合工程要求，方可使用。如发生货不对板，发包人及监理单位有权拒用，并由承包人承担损失。</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管材到达工地现场后，由监理单位抽样（抽样率执行相关规定，且不得低于1%）到发包人委托的具有国家认证的检测机构进行检验，检验合格方可采用；电气设备、自控设备必须经调试合格，并符合使用要求，运行满2年后方作保修期满确认，否则整改至符合发包人要求为止。</w:t>
      </w: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第二部分 路面施工技术要求</w:t>
      </w:r>
    </w:p>
    <w:p>
      <w:pPr>
        <w:spacing w:line="360" w:lineRule="auto"/>
        <w:rPr>
          <w:rFonts w:hint="eastAsia" w:ascii="宋体" w:hAnsi="宋体"/>
          <w:color w:val="000000" w:themeColor="text1"/>
          <w:sz w:val="24"/>
          <w:highlight w:val="none"/>
          <w14:textFill>
            <w14:solidFill>
              <w14:schemeClr w14:val="tx1"/>
            </w14:solidFill>
          </w14:textFill>
        </w:rPr>
      </w:pPr>
    </w:p>
    <w:p>
      <w:pPr>
        <w:numPr>
          <w:ilvl w:val="0"/>
          <w:numId w:val="2"/>
        </w:num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手续办理：承包人在申请开挖、利用权属公路部门该段公路前，协助发包人到区行政审批中心或相关权属部门申请并办理相关手续。涉及开挖、利用部分墟镇和乡村所属产权的道路及道道路两侧构建物、农田、农用地和水道等，由承包人自行负责联系有关单位商定解决。</w:t>
      </w:r>
    </w:p>
    <w:p>
      <w:pPr>
        <w:numPr>
          <w:ilvl w:val="0"/>
          <w:numId w:val="2"/>
        </w:num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技术要求：开挖水泥混凝土路面时，应使用电锯等先进技术切割。减少用气锤击打方式开挖路面路基。</w:t>
      </w:r>
    </w:p>
    <w:p>
      <w:pPr>
        <w:numPr>
          <w:ilvl w:val="0"/>
          <w:numId w:val="2"/>
        </w:num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施工方案报批及安全责任：为确保施工期间的公路安全畅通 ，承包人应向发包人及路产所属部门申报施工方案，待批复后方可展开施工。承包人施工路段必须具备的主要安全措施包括但不限于如下：</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（1）在施工路段两端提前100米以上多层设置施工告示标志（夜间放光型），并在夜间悬挂红灯。</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（2）在施工围蔽范围外严禁占道施工和在行车道上堆放石块、木头、挖掘坑槽等障碍物。</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（3）分段施工时，应保证交通顺畅。在施工较长路段，应派专人指挥疏导交通。</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（4）应采取围蔽等交通施工措施，防止施工人员随意穿行公路和泥沙、污水污染行车路面。开挖及防护方案应确保未受影响公路的安全使用。</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（5）施工展开前，注意探明并保护好原有地下管线设施。如因施工管理不善引发各类安全事故，由承包人承担全部经济赔偿责任及相应的法律责任。</w:t>
      </w:r>
    </w:p>
    <w:p>
      <w:pPr>
        <w:numPr>
          <w:ilvl w:val="0"/>
          <w:numId w:val="2"/>
        </w:num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路产修复标准：</w:t>
      </w:r>
    </w:p>
    <w:p>
      <w:pPr>
        <w:spacing w:line="360" w:lineRule="auto"/>
        <w:ind w:left="360"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（1）开挖水泥混凝土、沥青路面的，按“开挖一条槽，修复一版块”的原则修复（含相邻受损板块的修复），损毁的公路树木、花草等，由承包人负责修复。</w:t>
      </w:r>
    </w:p>
    <w:p>
      <w:pPr>
        <w:spacing w:line="360" w:lineRule="auto"/>
        <w:ind w:left="360"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（2）开挖、利用路肩、边坡、水沟、建筑控制区的，原则由承包人按原标准修复，但工程质量应达到设计要求和公路标准，由路产权属部门验收签认。</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 路产修复验收规定：</w:t>
      </w: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必须对开挖路段、顶管路段的路基路面边坡以及因施工原因造成公路相邻板块下沉、开裂、崩塌和引发其他安全事故等病害的，路基路面负责按原公路技术标准修复，修复完成后及时告知发包人和路产部门进行初步验收，两年质保期满后经发包人、承包人、路产权属部门三方共同验收合格方可交付使用，否则按质保期内未符合质量验收标准处理，维修费用在保修金中扣减，承包人承担由此产生的经济赔偿和法律责任。</w:t>
      </w:r>
    </w:p>
    <w:p>
      <w:pPr>
        <w:rPr>
          <w:rFonts w:hint="eastAsia"/>
          <w:color w:val="000000" w:themeColor="text1"/>
          <w:highlight w:val="none"/>
          <w14:textFill>
            <w14:solidFill>
              <w14:schemeClr w14:val="tx1"/>
            </w14:solidFill>
          </w14:textFill>
        </w:rPr>
      </w:pPr>
    </w:p>
    <w:p>
      <w:pPr>
        <w:spacing w:line="360" w:lineRule="auto"/>
        <w:ind w:firstLine="602" w:firstLineChars="200"/>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第三部分 施工组织方案的设计要点</w:t>
      </w:r>
    </w:p>
    <w:p>
      <w:pPr>
        <w:jc w:val="center"/>
        <w:rPr>
          <w:rFonts w:hint="eastAsia" w:ascii="宋体" w:hAnsi="宋体"/>
          <w:b/>
          <w:bCs/>
          <w:color w:val="000000" w:themeColor="text1"/>
          <w:sz w:val="30"/>
          <w:szCs w:val="30"/>
          <w:highlight w:val="none"/>
          <w14:textFill>
            <w14:solidFill>
              <w14:schemeClr w14:val="tx1"/>
            </w14:solidFill>
          </w14:textFill>
        </w:rPr>
      </w:pPr>
    </w:p>
    <w:p>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第一节  编制要求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一、编制依据</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1、本工程招标文件的有关要求。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2、国家、广东省、广州市、番禺区有关施工验收规范、质量标准和操作规程等要求，包括但不限于：</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《井盖设施建设技术规范》              （DBJ440100/T160-2013）</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《给排水管道工程施工及验收规范》      （GB50268-2008)</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《给水排水构筑物工程施工及验收规范》  （GB50141-2008）</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《混凝土和钢筋混凝土排水管》           (GB/T11836-2009)</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《国家给排水标准图集》</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3、施工图纸及有关资料。</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二、具体要求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1、“重合同，守信誉”。按本工程规定的总工期，编制出完善的施工进度控制计划，在投标承诺了工期内完成工程任务。</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2、发挥技术优势，优化管理水平。安排经验丰富的优秀管理人员和高素质的工人参加本项目施工，采用先进的技术设备，优化施工管理，充分发挥施工单位在管理和技术方面的优势。</w:t>
      </w:r>
    </w:p>
    <w:p>
      <w:pPr>
        <w:spacing w:line="360" w:lineRule="auto"/>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第二节  施工要求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一、施工机构及现场管理要求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为把好工程质量、安全、进度关，确保工程质量等级达到合格，要求委派一名项目负责人，一名技术负责人，对工程的质量、安全、进度和成本，实行高效益、有计划的组织、协调和管理。建立健全的施工组织管理机构。</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二、施工要求</w:t>
      </w:r>
    </w:p>
    <w:p>
      <w:pPr>
        <w:widowControl/>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本工程施工要点如下：</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1、采用先进的施工技术；</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2、投入现代化的施工机械设备；</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3、合理的施工方案和先进的施工组织。</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4、施工过程要求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A、严格按照国家、省市、地方施工规范要求进行施工。</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B、根据工程进度计划，编制材料订购、质量检测、配方测试，确保材料质量和供应的计划。</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三、项目施工目标</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1、质量目标。确保工程质量一次验收合格。</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2、安全目标。杜绝重大安全事故的发生，控制工伤、轻伤事故在千分之一内。</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3、工期目标。详见投标须知前附表第8项。</w:t>
      </w:r>
    </w:p>
    <w:p>
      <w:pPr>
        <w:spacing w:line="360" w:lineRule="auto"/>
        <w:ind w:firstLine="42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第三节  主要施工方案与施工方法的要求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一、结构施工要求</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1、工程施工要求</w:t>
      </w:r>
    </w:p>
    <w:p>
      <w:pPr>
        <w:spacing w:line="360" w:lineRule="auto"/>
        <w:ind w:left="-13" w:leftChars="-6"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各分项工程在施工前，均应编制相应的施工技术措施，内容包括施工准备、操作工艺、质量标准、成品保护等。</w:t>
      </w:r>
    </w:p>
    <w:p>
      <w:pPr>
        <w:spacing w:line="360" w:lineRule="auto"/>
        <w:ind w:left="-13" w:leftChars="-6"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2、所有施工项目均应按照国家、省市、地方有关法律法规及规范要求制定施工技术方案后方可施工。</w:t>
      </w:r>
    </w:p>
    <w:p>
      <w:pPr>
        <w:jc w:val="center"/>
        <w:rPr>
          <w:rFonts w:hint="eastAsia" w:ascii="宋体" w:hAnsi="宋体"/>
          <w:b/>
          <w:bCs/>
          <w:color w:val="000000" w:themeColor="text1"/>
          <w:sz w:val="30"/>
          <w:szCs w:val="30"/>
          <w:highlight w:val="none"/>
          <w14:textFill>
            <w14:solidFill>
              <w14:schemeClr w14:val="tx1"/>
            </w14:solidFill>
          </w14:textFill>
        </w:rPr>
      </w:pPr>
    </w:p>
    <w:p>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第四节  主要技术组织要求</w:t>
      </w:r>
    </w:p>
    <w:p>
      <w:pPr>
        <w:spacing w:line="360" w:lineRule="auto"/>
        <w:ind w:left="-13" w:leftChars="-6"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一、工程施工中，要严格执行有关技术操作的各项规程，要注意落实下列各点中的技术措施。实行目标管理，明确总目标为合格。</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1、成立以总工程师为首的全面质量和管理小组。</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2、明确并认真落实技术岗位责任制和技术交底制度。</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3、落实图纸会审、定位放线、预检复核、材质验收、成品保护等有关规定。</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4、制定自检，互检（交接检）末检制度。</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5、对工程实行质量预控，施工程序及工艺标准施工。</w:t>
      </w:r>
    </w:p>
    <w:p>
      <w:pPr>
        <w:tabs>
          <w:tab w:val="left" w:pos="540"/>
        </w:tabs>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6、特殊工种必须持证上岗。</w:t>
      </w:r>
    </w:p>
    <w:p>
      <w:pPr>
        <w:pStyle w:val="61"/>
        <w:jc w:val="left"/>
        <w:rPr>
          <w:rFonts w:hint="eastAsia" w:ascii="宋体" w:hAnsi="宋体" w:eastAsia="宋体"/>
          <w:color w:val="000000" w:themeColor="text1"/>
          <w:kern w:val="2"/>
          <w:highlight w:val="none"/>
          <w14:textFill>
            <w14:solidFill>
              <w14:schemeClr w14:val="tx1"/>
            </w14:solidFill>
          </w14:textFill>
        </w:rPr>
      </w:pPr>
    </w:p>
    <w:p>
      <w:pPr>
        <w:spacing w:line="360" w:lineRule="auto"/>
        <w:ind w:firstLine="540"/>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第五节  质量、工期保证措施</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一、质量保证措施</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1、建立健全结构，施工从设备、材料、半成品、成品进场，施工安装直至交付验收的质量保证体系，并落实到人。</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2、严格贯彻“把关”和“积极预防”相结合的质量管理方法。</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3、本工程实行全面质量管理、文明施工，整个工程实行专业性管理，提前组织培训，统一思想，熟悉操作。</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4、按进度计划施工，严格技术管理，当进度与质量发生矛盾时，要服从质量，承包任务者首先要承包质量。</w:t>
      </w:r>
    </w:p>
    <w:p>
      <w:pPr>
        <w:spacing w:line="360" w:lineRule="auto"/>
        <w:ind w:firstLine="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5、加强质量监督检查，采取专业检查与自检相结合的检查方法，并以自检为主，坚持贯彻执行自检、互检、交接检的三检制度与挂牌制度，对工程质量要求一丝不苟。</w:t>
      </w:r>
    </w:p>
    <w:p>
      <w:pPr>
        <w:spacing w:line="360" w:lineRule="auto"/>
        <w:ind w:firstLine="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二、工期保证措施</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1、运用现代化管理方法指导生产、加强动态管理。充分利用已有资源组织材料、人力资源的合理配置。保障各阶段施工的连续性，消除窝工、停工现象。</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2、各工序严格按进度计划施工，项目经理有效协调人力资源，确保施工顺利；</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3、保证倒排工期，充分做好施工前的准备工作；</w:t>
      </w:r>
    </w:p>
    <w:p>
      <w:pPr>
        <w:pStyle w:val="15"/>
        <w:spacing w:after="0" w:line="360" w:lineRule="auto"/>
        <w:ind w:firstLine="540" w:firstLineChars="22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4、优化网络计划管理，综合考虑机械、设备、材料的相应关系，使各工种、各工序实施紧密的交叉搭接，对每道工序制定相应的调整措施。</w:t>
      </w:r>
    </w:p>
    <w:p>
      <w:pPr>
        <w:spacing w:line="360" w:lineRule="auto"/>
        <w:ind w:firstLine="460" w:firstLineChars="19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5、合理配置施工机械设施，提高使用效率，保证各项作业、各工种之间的高度协调，发挥最大的生产潜力，实现工期目标值。</w:t>
      </w:r>
    </w:p>
    <w:p>
      <w:pPr>
        <w:spacing w:line="360" w:lineRule="auto"/>
        <w:ind w:firstLine="540"/>
        <w:rPr>
          <w:rFonts w:hint="eastAsia" w:ascii="宋体" w:hAnsi="宋体"/>
          <w:b/>
          <w:bCs/>
          <w:color w:val="000000" w:themeColor="text1"/>
          <w:sz w:val="30"/>
          <w:szCs w:val="30"/>
          <w:highlight w:val="none"/>
          <w14:textFill>
            <w14:solidFill>
              <w14:schemeClr w14:val="tx1"/>
            </w14:solidFill>
          </w14:textFill>
        </w:rPr>
      </w:pPr>
    </w:p>
    <w:p>
      <w:pPr>
        <w:spacing w:line="360" w:lineRule="auto"/>
        <w:ind w:firstLine="540"/>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第六节  投入的主要机械设备及劳动力计划</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根据经建设单位及监理批准的施工进度计划及现场施工情况，投入相应数量的机械设备及劳动力，满足工程进度要求，确保按期完工。</w:t>
      </w:r>
    </w:p>
    <w:p>
      <w:pPr>
        <w:spacing w:line="360" w:lineRule="auto"/>
        <w:ind w:firstLine="540" w:firstLineChars="225"/>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1、在确保工程质量、安全生产的前提下，优化施工进度计划，动态管理，合理组织，严格控制关键线路节点，确保工期目标。</w:t>
      </w:r>
    </w:p>
    <w:p>
      <w:pPr>
        <w:spacing w:line="360" w:lineRule="auto"/>
        <w:ind w:firstLine="540" w:firstLineChars="225"/>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2、采用性能完好的机械设备并配齐数量，设现场专业机修班组，定期检查、调试。</w:t>
      </w:r>
    </w:p>
    <w:p>
      <w:pPr>
        <w:spacing w:line="360" w:lineRule="auto"/>
        <w:ind w:firstLine="540" w:firstLineChars="225"/>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3、现场职工及劳务认真挑选，竞争上岗，确保现场施工人员的岗位技能水平及劳动数量满足工期要求。</w:t>
      </w:r>
    </w:p>
    <w:p>
      <w:pPr>
        <w:spacing w:line="360" w:lineRule="auto"/>
        <w:ind w:firstLine="540" w:firstLineChars="225"/>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4、根据施工进度控制统筹计划及时合理编制工程施工进度每周计划，直至落实到小时工作安排。</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5、平面按划定的施工区段组织流水施工，将分为多个工作班组，分段流水协调施工。</w:t>
      </w:r>
    </w:p>
    <w:p>
      <w:pPr>
        <w:spacing w:line="360" w:lineRule="auto"/>
        <w:ind w:firstLine="540"/>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t>第七节  安全文明施工措施</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采取严格的施工管理措施，严格按照《广州市安全文明施工管理标准》、《建筑施工安全检查标准》等管理规定的要求，做好本工程安全文明施工工作。</w:t>
      </w:r>
    </w:p>
    <w:p>
      <w:pPr>
        <w:numPr>
          <w:ilvl w:val="0"/>
          <w:numId w:val="3"/>
        </w:numPr>
        <w:tabs>
          <w:tab w:val="left" w:pos="1080"/>
          <w:tab w:val="clear" w:pos="1260"/>
        </w:tabs>
        <w:spacing w:line="360" w:lineRule="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安全生产管理</w:t>
      </w:r>
    </w:p>
    <w:p>
      <w:pPr>
        <w:spacing w:line="360" w:lineRule="auto"/>
        <w:ind w:firstLine="386" w:firstLineChars="161"/>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安全生产目标：达到五无目标，即“无死亡事故，无重大伤人事故，无重大机械事故，无火灾，无中毒事故”。并将一般减微事故发生频率控制在3‰以下。</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安全方针：安全第一，预防为主</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安全和文明施工目标：</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力争达到安全生产，文明施工优良工地。</w:t>
      </w:r>
    </w:p>
    <w:p>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管理小组：项目经理必须对拆卸工程的安全生产负全面领导责任。项目经理部应设工程安全负责人，检查落实各项安全技术措施。施工安全分为施工管理、安全教育、机械设备、现场维护及日常生活5大部分，各部分设专人进行监督管理，负责将安全小组的决定落实并向各施工班组安全小组交底并监督。做到安全落实到人，专人专项，职权分明。</w:t>
      </w:r>
    </w:p>
    <w:p>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安全教育制度：实行安全教育制度，加强宣传教育，制订科学合理的施工方案，现场组织切合实际的作业程序，正确严格地执行和运用施工及安全规范。对进场的工人进行摸底测试，统一进行安全教育，增强质量、安全意识。各专业班组认真进行技术交底，认真学习和深刻体会施工技术规范和施工安全规范。经过培训交底达到合格的职工才允许上岗操作，为安全工作顺利圆满开展打下坚实的基础。在施工过程中，建立每周一次的安全教育，由项目经理或专职安全员主持。同时在每道施工工序进行前，由专职安全员做书面的安全技术交底，各班组长带领施工人员认真贯彻落实。</w:t>
      </w:r>
    </w:p>
    <w:p>
      <w:pPr>
        <w:spacing w:line="360" w:lineRule="auto"/>
        <w:ind w:firstLine="588" w:firstLineChars="245"/>
        <w:rPr>
          <w:rFonts w:hint="eastAsia"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二、文明施工管理</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为加强文明施工管理，在认真学习贯彻国家及地方文明施工管理条例基础上，组织成立文明施工管理小组，由项目经理任组长，从现场施工、垃圾运输到日常生活文明均设专人管理，切实加强施工现场文明施工，并制作文明施工标志牌，放在醒目的地方提醒工人注意，共同维护一个文明的施工条件。</w:t>
      </w:r>
    </w:p>
    <w:p>
      <w:pPr>
        <w:spacing w:line="360" w:lineRule="auto"/>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文明施工注意事项：</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1、清运渣土的车辆应在在施工封闭范围内停放；清运渣土的车辆应封闭或采用苫布覆盖，出入现场时应有专人指挥。清运渣土的作业时间应遵守有关规定，做到夜间不施工，减少对周围环境的噪音影响。</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2、对地下的各类管线，施工前在地面上设置明显标志，并标明管线用途，行进方向。对检查井、污水井也采取相应的保护措施。</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3、工程完工后，我方将及时将施工渣土清运出场，做到不积压。</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4、执行广东省、广州市有关加强施工现场文明施工管理的规定。</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落实防火安全责任制，建立义务消防组织，明确责任人，负责施工现场的日常防火安全管理工作。在保证充足的消防水源的基础上，在施工临设工人宿舍、现场办公室均配备足够的灭火器材,做到办公生活区每幢工棚挂设4kg干粉灭火器2—6只,在每幢办公或生活工棚外各设置2~3个消防沙箱；并对工人进行安全消防教育，学习正确使用安全器材的方法，加强安全防火意识。</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施工现场建立健全用火管理制度，对工人进行用火安全施工教育培训，提高工人用火安全意识。施工作业用火时，须履行用火审批手续，经施工安全负责人审查批准，领取用火证后，方可在指定时间、地点作业。作业时应配备专人监护，作业后必须确认无火源危险后方可离开作业地点。</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7、施工现场设置消防车道，并应保持畅通。施工现场道路保持两方向畅通，保证消防车辆能够及时进入事发现场进行救援工作。</w:t>
      </w:r>
    </w:p>
    <w:p>
      <w:pPr>
        <w:spacing w:line="360" w:lineRule="auto"/>
        <w:ind w:firstLine="54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8、对工人进行岗前教育，施工作业应当在批准的施工场地内进行，不得在施工场地范围外堆放物料、机具等。</w:t>
      </w:r>
    </w:p>
    <w:p>
      <w:pPr>
        <w:pStyle w:val="61"/>
        <w:ind w:firstLine="480" w:firstLineChars="2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9、施工现场的工棚和临时厕所等临时设施远离临街一侧，不得改变使用性质。施工现场设置临时环卫设施，有专人负责保洁和管理，做到场区内无暴露性生活垃圾；临时厕所有专人洗涮保洁，做好清掏、消杀工作，做到无蝇蛆孳生。</w:t>
      </w:r>
      <w:r>
        <w:rPr>
          <w:rFonts w:hint="eastAsia" w:ascii="宋体" w:hAnsi="宋体" w:eastAsia="宋体" w:cs="宋体"/>
          <w:color w:val="000000" w:themeColor="text1"/>
          <w:szCs w:val="24"/>
          <w:highlight w:val="none"/>
          <w14:textFill>
            <w14:solidFill>
              <w14:schemeClr w14:val="tx1"/>
            </w14:solidFill>
          </w14:textFill>
        </w:rPr>
        <w:br w:type="textWrapping"/>
      </w:r>
      <w:r>
        <w:rPr>
          <w:rFonts w:hint="eastAsia" w:ascii="宋体" w:hAnsi="宋体" w:eastAsia="宋体" w:cs="宋体"/>
          <w:color w:val="000000" w:themeColor="text1"/>
          <w:szCs w:val="24"/>
          <w:highlight w:val="none"/>
          <w14:textFill>
            <w14:solidFill>
              <w14:schemeClr w14:val="tx1"/>
            </w14:solidFill>
          </w14:textFill>
        </w:rPr>
        <w:t xml:space="preserve">     10、不得在施工现场焚烧油毡、橡胶、油漆、垃圾以及其他产生有毒、有害烟尘和恶臭气体的物质。</w:t>
      </w:r>
    </w:p>
    <w:p>
      <w:pPr>
        <w:pStyle w:val="61"/>
        <w:jc w:val="left"/>
        <w:rPr>
          <w:rFonts w:hint="eastAsia" w:ascii="宋体" w:hAnsi="宋体" w:eastAsia="宋体"/>
          <w:color w:val="000000" w:themeColor="text1"/>
          <w:kern w:val="2"/>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 : 除应执行本施工组织设计要点外,应参照国家等现行有关规定及工程建设标准作进一步完善。</w:t>
      </w:r>
    </w:p>
    <w:p>
      <w:pPr>
        <w:rPr>
          <w:color w:val="000000" w:themeColor="text1"/>
          <w:highlight w:val="none"/>
          <w14:textFill>
            <w14:solidFill>
              <w14:schemeClr w14:val="tx1"/>
            </w14:solidFill>
          </w14:textFill>
        </w:rPr>
      </w:pP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p>
    <w:p>
      <w:pPr>
        <w:spacing w:line="360" w:lineRule="auto"/>
        <w:ind w:left="359" w:leftChars="171" w:firstLine="480" w:firstLineChars="200"/>
        <w:rPr>
          <w:rFonts w:hint="eastAsia" w:ascii="宋体" w:hAnsi="宋体"/>
          <w:color w:val="000000" w:themeColor="text1"/>
          <w:sz w:val="24"/>
          <w:highlight w:val="none"/>
          <w14:textFill>
            <w14:solidFill>
              <w14:schemeClr w14:val="tx1"/>
            </w14:solidFill>
          </w14:textFill>
        </w:rPr>
      </w:pPr>
    </w:p>
    <w:p>
      <w:pPr>
        <w:spacing w:line="360" w:lineRule="auto"/>
        <w:rPr>
          <w:rFonts w:hint="eastAsia" w:ascii="宋体" w:hAnsi="宋体"/>
          <w:color w:val="000000" w:themeColor="text1"/>
          <w:sz w:val="24"/>
          <w:highlight w:val="none"/>
          <w14:textFill>
            <w14:solidFill>
              <w14:schemeClr w14:val="tx1"/>
            </w14:solidFill>
          </w14:textFill>
        </w:rPr>
      </w:pPr>
    </w:p>
    <w:p>
      <w:pPr>
        <w:adjustRightInd w:val="0"/>
        <w:snapToGrid w:val="0"/>
        <w:spacing w:line="360" w:lineRule="auto"/>
        <w:outlineLvl w:val="1"/>
        <w:rPr>
          <w:rFonts w:hint="eastAsia" w:ascii="宋体" w:hAnsi="宋体"/>
          <w:bCs/>
          <w:snapToGrid w:val="0"/>
          <w:color w:val="000000" w:themeColor="text1"/>
          <w:kern w:val="0"/>
          <w:sz w:val="28"/>
          <w:szCs w:val="28"/>
          <w:highlight w:val="none"/>
          <w14:textFill>
            <w14:solidFill>
              <w14:schemeClr w14:val="tx1"/>
            </w14:solidFill>
          </w14:textFill>
        </w:rPr>
      </w:pPr>
      <w:bookmarkStart w:id="1986" w:name="_Toc396406315"/>
      <w:r>
        <w:rPr>
          <w:rFonts w:ascii="宋体" w:hAnsi="宋体"/>
          <w:b/>
          <w:color w:val="000000" w:themeColor="text1"/>
          <w:sz w:val="24"/>
          <w:highlight w:val="none"/>
          <w14:textFill>
            <w14:solidFill>
              <w14:schemeClr w14:val="tx1"/>
            </w14:solidFill>
          </w14:textFill>
        </w:rPr>
        <w:br w:type="page"/>
      </w:r>
      <w:bookmarkStart w:id="1987" w:name="_Toc17669"/>
      <w:bookmarkStart w:id="1988" w:name="_Toc20626"/>
      <w:bookmarkStart w:id="1989" w:name="_Toc7080"/>
      <w:bookmarkStart w:id="1990" w:name="_Toc100504394"/>
      <w:r>
        <w:rPr>
          <w:rFonts w:hint="eastAsia" w:ascii="宋体" w:hAnsi="宋体"/>
          <w:b/>
          <w:color w:val="000000" w:themeColor="text1"/>
          <w:sz w:val="24"/>
          <w:highlight w:val="none"/>
          <w14:textFill>
            <w14:solidFill>
              <w14:schemeClr w14:val="tx1"/>
            </w14:solidFill>
          </w14:textFill>
        </w:rPr>
        <w:t>附件十七</w:t>
      </w:r>
      <w:r>
        <w:rPr>
          <w:rFonts w:hint="eastAsia" w:ascii="宋体" w:hAnsi="宋体"/>
          <w:snapToGrid w:val="0"/>
          <w:color w:val="000000" w:themeColor="text1"/>
          <w:kern w:val="0"/>
          <w:sz w:val="24"/>
          <w:highlight w:val="none"/>
          <w14:textFill>
            <w14:solidFill>
              <w14:schemeClr w14:val="tx1"/>
            </w14:solidFill>
          </w14:textFill>
        </w:rPr>
        <w:t>：</w:t>
      </w:r>
      <w:r>
        <w:rPr>
          <w:rFonts w:hint="eastAsia" w:ascii="宋体" w:hAnsi="宋体"/>
          <w:b/>
          <w:snapToGrid w:val="0"/>
          <w:color w:val="000000" w:themeColor="text1"/>
          <w:kern w:val="0"/>
          <w:sz w:val="28"/>
          <w:szCs w:val="28"/>
          <w:highlight w:val="none"/>
          <w14:textFill>
            <w14:solidFill>
              <w14:schemeClr w14:val="tx1"/>
            </w14:solidFill>
          </w14:textFill>
        </w:rPr>
        <w:t>工程结算工作协议书</w:t>
      </w:r>
      <w:bookmarkEnd w:id="1986"/>
      <w:bookmarkEnd w:id="1987"/>
      <w:bookmarkEnd w:id="1988"/>
      <w:bookmarkEnd w:id="1989"/>
      <w:bookmarkEnd w:id="1990"/>
    </w:p>
    <w:p>
      <w:pPr>
        <w:adjustRightInd w:val="0"/>
        <w:snapToGrid w:val="0"/>
        <w:spacing w:line="360" w:lineRule="auto"/>
        <w:outlineLvl w:val="1"/>
        <w:rPr>
          <w:rFonts w:hint="eastAsia"/>
          <w:snapToGrid w:val="0"/>
          <w:color w:val="000000" w:themeColor="text1"/>
          <w:kern w:val="0"/>
          <w:sz w:val="24"/>
          <w:highlight w:val="none"/>
          <w14:textFill>
            <w14:solidFill>
              <w14:schemeClr w14:val="tx1"/>
            </w14:solidFill>
          </w14:textFill>
        </w:rPr>
      </w:pPr>
    </w:p>
    <w:p>
      <w:pPr>
        <w:adjustRightInd w:val="0"/>
        <w:snapToGrid w:val="0"/>
        <w:spacing w:line="360" w:lineRule="auto"/>
        <w:rPr>
          <w:rFonts w:hint="eastAsia" w:hAnsi="宋体" w:cs="宋体"/>
          <w:color w:val="000000" w:themeColor="text1"/>
          <w:sz w:val="28"/>
          <w:szCs w:val="28"/>
          <w:highlight w:val="none"/>
          <w:u w:val="single"/>
          <w14:textFill>
            <w14:solidFill>
              <w14:schemeClr w14:val="tx1"/>
            </w14:solidFill>
          </w14:textFill>
        </w:rPr>
      </w:pPr>
      <w:r>
        <w:rPr>
          <w:rFonts w:hint="eastAsia" w:ascii="宋体" w:hAnsi="宋体" w:cs="宋体-18030"/>
          <w:b/>
          <w:bCs/>
          <w:snapToGrid w:val="0"/>
          <w:color w:val="000000" w:themeColor="text1"/>
          <w:kern w:val="0"/>
          <w:sz w:val="24"/>
          <w:highlight w:val="none"/>
          <w14:textFill>
            <w14:solidFill>
              <w14:schemeClr w14:val="tx1"/>
            </w14:solidFill>
          </w14:textFill>
        </w:rPr>
        <w:t>发包人（甲方）：广州市番禺区水务工程建管中心（广州市番禺区水旱灾害防御中心）</w:t>
      </w:r>
    </w:p>
    <w:p>
      <w:pPr>
        <w:adjustRightInd w:val="0"/>
        <w:snapToGrid w:val="0"/>
        <w:spacing w:line="360" w:lineRule="auto"/>
        <w:rPr>
          <w:rFonts w:hint="eastAsia" w:ascii="宋体" w:hAnsi="宋体" w:cs="宋体-18030"/>
          <w:b/>
          <w:snapToGrid w:val="0"/>
          <w:color w:val="000000" w:themeColor="text1"/>
          <w:kern w:val="0"/>
          <w:sz w:val="24"/>
          <w:highlight w:val="none"/>
          <w:u w:val="single"/>
          <w14:textFill>
            <w14:solidFill>
              <w14:schemeClr w14:val="tx1"/>
            </w14:solidFill>
          </w14:textFill>
        </w:rPr>
      </w:pPr>
      <w:r>
        <w:rPr>
          <w:rFonts w:hint="eastAsia" w:ascii="宋体" w:hAnsi="宋体" w:cs="宋体-18030"/>
          <w:b/>
          <w:snapToGrid w:val="0"/>
          <w:color w:val="000000" w:themeColor="text1"/>
          <w:kern w:val="0"/>
          <w:sz w:val="24"/>
          <w:highlight w:val="none"/>
          <w14:textFill>
            <w14:solidFill>
              <w14:schemeClr w14:val="tx1"/>
            </w14:solidFill>
          </w14:textFill>
        </w:rPr>
        <w:t>承包人（乙方）：</w:t>
      </w:r>
      <w:r>
        <w:rPr>
          <w:rFonts w:hint="eastAsia" w:ascii="宋体" w:hAnsi="宋体" w:cs="宋体-18030"/>
          <w:b/>
          <w:bCs/>
          <w:snapToGrid w:val="0"/>
          <w:color w:val="000000" w:themeColor="text1"/>
          <w:kern w:val="0"/>
          <w:sz w:val="24"/>
          <w:highlight w:val="none"/>
          <w14:textFill>
            <w14:solidFill>
              <w14:schemeClr w14:val="tx1"/>
            </w14:solidFill>
          </w14:textFill>
        </w:rPr>
        <w:t>XXXXXXXXXXX</w:t>
      </w:r>
    </w:p>
    <w:p>
      <w:pPr>
        <w:pStyle w:val="20"/>
        <w:spacing w:line="360" w:lineRule="auto"/>
        <w:ind w:firstLine="597" w:firstLineChars="249"/>
        <w:rPr>
          <w:rFonts w:hint="eastAsia" w:hAnsi="宋体"/>
          <w:snapToGrid w:val="0"/>
          <w:color w:val="000000" w:themeColor="text1"/>
          <w:kern w:val="0"/>
          <w:sz w:val="24"/>
          <w:szCs w:val="24"/>
          <w:highlight w:val="none"/>
          <w14:textFill>
            <w14:solidFill>
              <w14:schemeClr w14:val="tx1"/>
            </w14:solidFill>
          </w14:textFill>
        </w:rPr>
      </w:pPr>
      <w:r>
        <w:rPr>
          <w:rFonts w:hint="eastAsia" w:hAnsi="宋体"/>
          <w:snapToGrid w:val="0"/>
          <w:color w:val="000000" w:themeColor="text1"/>
          <w:kern w:val="0"/>
          <w:sz w:val="24"/>
          <w:szCs w:val="24"/>
          <w:highlight w:val="none"/>
          <w14:textFill>
            <w14:solidFill>
              <w14:schemeClr w14:val="tx1"/>
            </w14:solidFill>
          </w14:textFill>
        </w:rPr>
        <w:t>完成建设项目的结算工作，是建设项目开展工程款结算、财务决算、资产移交、工程审计等工作的前提条件，是圆满完成建设任务的需要。为及时做好工程结算工作，甲方、乙方双方经协商一致，签订本工作协议书，以资双方共同遵照执行。</w:t>
      </w:r>
    </w:p>
    <w:p>
      <w:pPr>
        <w:adjustRightInd w:val="0"/>
        <w:snapToGrid w:val="0"/>
        <w:spacing w:line="360" w:lineRule="auto"/>
        <w:ind w:firstLine="463" w:firstLineChars="192"/>
        <w:rPr>
          <w:rFonts w:hint="eastAsia" w:ascii="宋体" w:hAnsi="宋体" w:cs="宋体-18030"/>
          <w:b/>
          <w:snapToGrid w:val="0"/>
          <w:color w:val="000000" w:themeColor="text1"/>
          <w:kern w:val="0"/>
          <w:sz w:val="24"/>
          <w:highlight w:val="none"/>
          <w14:textFill>
            <w14:solidFill>
              <w14:schemeClr w14:val="tx1"/>
            </w14:solidFill>
          </w14:textFill>
        </w:rPr>
      </w:pPr>
      <w:r>
        <w:rPr>
          <w:rFonts w:hint="eastAsia" w:ascii="宋体" w:hAnsi="宋体" w:cs="宋体-18030"/>
          <w:b/>
          <w:snapToGrid w:val="0"/>
          <w:color w:val="000000" w:themeColor="text1"/>
          <w:kern w:val="0"/>
          <w:sz w:val="24"/>
          <w:highlight w:val="none"/>
          <w14:textFill>
            <w14:solidFill>
              <w14:schemeClr w14:val="tx1"/>
            </w14:solidFill>
          </w14:textFill>
        </w:rPr>
        <w:t>1、工程结算报告的提交及审定</w:t>
      </w:r>
    </w:p>
    <w:p>
      <w:pPr>
        <w:pStyle w:val="20"/>
        <w:adjustRightInd w:val="0"/>
        <w:snapToGrid w:val="0"/>
        <w:spacing w:line="360" w:lineRule="auto"/>
        <w:ind w:firstLine="360" w:firstLineChars="150"/>
        <w:rPr>
          <w:rFonts w:hint="eastAsia" w:hAnsi="宋体"/>
          <w:bCs/>
          <w:snapToGrid w:val="0"/>
          <w:color w:val="000000" w:themeColor="text1"/>
          <w:kern w:val="0"/>
          <w:sz w:val="24"/>
          <w:highlight w:val="none"/>
          <w14:textFill>
            <w14:solidFill>
              <w14:schemeClr w14:val="tx1"/>
            </w14:solidFill>
          </w14:textFill>
        </w:rPr>
      </w:pPr>
      <w:r>
        <w:rPr>
          <w:rFonts w:hint="eastAsia" w:hAnsi="宋体"/>
          <w:snapToGrid w:val="0"/>
          <w:color w:val="000000" w:themeColor="text1"/>
          <w:kern w:val="0"/>
          <w:sz w:val="24"/>
          <w:szCs w:val="24"/>
          <w:highlight w:val="none"/>
          <w14:textFill>
            <w14:solidFill>
              <w14:schemeClr w14:val="tx1"/>
            </w14:solidFill>
          </w14:textFill>
        </w:rPr>
        <w:t>（1）乙方应按甲方的要求和本项目结算工作的需要派出不少于</w:t>
      </w:r>
      <w:r>
        <w:rPr>
          <w:rFonts w:hint="eastAsia" w:hAnsi="宋体"/>
          <w:snapToGrid w:val="0"/>
          <w:color w:val="000000" w:themeColor="text1"/>
          <w:kern w:val="0"/>
          <w:sz w:val="24"/>
          <w:szCs w:val="24"/>
          <w:highlight w:val="none"/>
          <w:u w:val="single"/>
          <w14:textFill>
            <w14:solidFill>
              <w14:schemeClr w14:val="tx1"/>
            </w14:solidFill>
          </w14:textFill>
        </w:rPr>
        <w:t xml:space="preserve"> 1  </w:t>
      </w:r>
      <w:r>
        <w:rPr>
          <w:rFonts w:hint="eastAsia" w:hAnsi="宋体"/>
          <w:snapToGrid w:val="0"/>
          <w:color w:val="000000" w:themeColor="text1"/>
          <w:kern w:val="0"/>
          <w:sz w:val="24"/>
          <w:szCs w:val="24"/>
          <w:highlight w:val="none"/>
          <w14:textFill>
            <w14:solidFill>
              <w14:schemeClr w14:val="tx1"/>
            </w14:solidFill>
          </w14:textFill>
        </w:rPr>
        <w:t>名工程结算人员，在施工全过程中必须保证在工地现场办公，专门从事竣工档案编制、工程结算工作；工程结算人员</w:t>
      </w:r>
      <w:r>
        <w:rPr>
          <w:rFonts w:hint="eastAsia" w:hAnsi="宋体"/>
          <w:bCs/>
          <w:snapToGrid w:val="0"/>
          <w:color w:val="000000" w:themeColor="text1"/>
          <w:kern w:val="0"/>
          <w:sz w:val="24"/>
          <w:highlight w:val="none"/>
          <w14:textFill>
            <w14:solidFill>
              <w14:schemeClr w14:val="tx1"/>
            </w14:solidFill>
          </w14:textFill>
        </w:rPr>
        <w:t>每月驻工地时间少于20天的，发包人将按照每人每天5000元的标准向承包人收取违约金。</w:t>
      </w:r>
    </w:p>
    <w:p>
      <w:pPr>
        <w:pStyle w:val="20"/>
        <w:adjustRightInd w:val="0"/>
        <w:snapToGrid w:val="0"/>
        <w:spacing w:line="360" w:lineRule="auto"/>
        <w:ind w:firstLine="360" w:firstLineChars="150"/>
        <w:rPr>
          <w:rFonts w:hint="eastAsia" w:hAnsi="宋体"/>
          <w:bCs/>
          <w:snapToGrid w:val="0"/>
          <w:color w:val="000000" w:themeColor="text1"/>
          <w:kern w:val="0"/>
          <w:sz w:val="24"/>
          <w:highlight w:val="none"/>
          <w14:textFill>
            <w14:solidFill>
              <w14:schemeClr w14:val="tx1"/>
            </w14:solidFill>
          </w14:textFill>
        </w:rPr>
      </w:pPr>
      <w:r>
        <w:rPr>
          <w:rFonts w:hint="eastAsia" w:hAnsi="宋体" w:cs="宋体-18030"/>
          <w:snapToGrid w:val="0"/>
          <w:color w:val="000000" w:themeColor="text1"/>
          <w:kern w:val="0"/>
          <w:sz w:val="24"/>
          <w:szCs w:val="24"/>
          <w:highlight w:val="none"/>
          <w14:textFill>
            <w14:solidFill>
              <w14:schemeClr w14:val="tx1"/>
            </w14:solidFill>
          </w14:textFill>
        </w:rPr>
        <w:t>（2）</w:t>
      </w:r>
      <w:r>
        <w:rPr>
          <w:rFonts w:hint="eastAsia" w:hAnsi="宋体"/>
          <w:snapToGrid w:val="0"/>
          <w:color w:val="000000" w:themeColor="text1"/>
          <w:kern w:val="0"/>
          <w:sz w:val="24"/>
          <w:szCs w:val="24"/>
          <w:highlight w:val="none"/>
          <w14:textFill>
            <w14:solidFill>
              <w14:schemeClr w14:val="tx1"/>
            </w14:solidFill>
          </w14:textFill>
        </w:rPr>
        <w:t>乙方</w:t>
      </w:r>
      <w:r>
        <w:rPr>
          <w:rFonts w:hint="eastAsia" w:hAnsi="宋体" w:cs="宋体-18030"/>
          <w:snapToGrid w:val="0"/>
          <w:color w:val="000000" w:themeColor="text1"/>
          <w:kern w:val="0"/>
          <w:sz w:val="24"/>
          <w:szCs w:val="24"/>
          <w:highlight w:val="none"/>
          <w14:textFill>
            <w14:solidFill>
              <w14:schemeClr w14:val="tx1"/>
            </w14:solidFill>
          </w14:textFill>
        </w:rPr>
        <w:t>应按</w:t>
      </w:r>
      <w:r>
        <w:rPr>
          <w:rFonts w:hint="eastAsia" w:hAnsi="宋体"/>
          <w:snapToGrid w:val="0"/>
          <w:color w:val="000000" w:themeColor="text1"/>
          <w:kern w:val="0"/>
          <w:sz w:val="24"/>
          <w:szCs w:val="24"/>
          <w:highlight w:val="none"/>
          <w14:textFill>
            <w14:solidFill>
              <w14:schemeClr w14:val="tx1"/>
            </w14:solidFill>
          </w14:textFill>
        </w:rPr>
        <w:t>甲方</w:t>
      </w:r>
      <w:r>
        <w:rPr>
          <w:rFonts w:hint="eastAsia" w:hAnsi="宋体" w:cs="宋体-18030"/>
          <w:snapToGrid w:val="0"/>
          <w:color w:val="000000" w:themeColor="text1"/>
          <w:kern w:val="0"/>
          <w:sz w:val="24"/>
          <w:szCs w:val="24"/>
          <w:highlight w:val="none"/>
          <w14:textFill>
            <w14:solidFill>
              <w14:schemeClr w14:val="tx1"/>
            </w14:solidFill>
          </w14:textFill>
        </w:rPr>
        <w:t>要求派出足够的、有能力的造价人员负责结算工作。若派出的造价人员不足或不能胜任结算工作，</w:t>
      </w:r>
      <w:r>
        <w:rPr>
          <w:rFonts w:hint="eastAsia" w:hAnsi="宋体"/>
          <w:snapToGrid w:val="0"/>
          <w:color w:val="000000" w:themeColor="text1"/>
          <w:kern w:val="0"/>
          <w:sz w:val="24"/>
          <w:szCs w:val="24"/>
          <w:highlight w:val="none"/>
          <w14:textFill>
            <w14:solidFill>
              <w14:schemeClr w14:val="tx1"/>
            </w14:solidFill>
          </w14:textFill>
        </w:rPr>
        <w:t>乙方</w:t>
      </w:r>
      <w:r>
        <w:rPr>
          <w:rFonts w:hint="eastAsia" w:hAnsi="宋体" w:cs="宋体-18030"/>
          <w:snapToGrid w:val="0"/>
          <w:color w:val="000000" w:themeColor="text1"/>
          <w:kern w:val="0"/>
          <w:sz w:val="24"/>
          <w:szCs w:val="24"/>
          <w:highlight w:val="none"/>
          <w14:textFill>
            <w14:solidFill>
              <w14:schemeClr w14:val="tx1"/>
            </w14:solidFill>
          </w14:textFill>
        </w:rPr>
        <w:t>应按</w:t>
      </w:r>
      <w:r>
        <w:rPr>
          <w:rFonts w:hint="eastAsia" w:hAnsi="宋体"/>
          <w:snapToGrid w:val="0"/>
          <w:color w:val="000000" w:themeColor="text1"/>
          <w:kern w:val="0"/>
          <w:sz w:val="24"/>
          <w:szCs w:val="24"/>
          <w:highlight w:val="none"/>
          <w14:textFill>
            <w14:solidFill>
              <w14:schemeClr w14:val="tx1"/>
            </w14:solidFill>
          </w14:textFill>
        </w:rPr>
        <w:t>甲方</w:t>
      </w:r>
      <w:r>
        <w:rPr>
          <w:rFonts w:hint="eastAsia" w:hAnsi="宋体" w:cs="宋体-18030"/>
          <w:snapToGrid w:val="0"/>
          <w:color w:val="000000" w:themeColor="text1"/>
          <w:kern w:val="0"/>
          <w:sz w:val="24"/>
          <w:szCs w:val="24"/>
          <w:highlight w:val="none"/>
          <w14:textFill>
            <w14:solidFill>
              <w14:schemeClr w14:val="tx1"/>
            </w14:solidFill>
          </w14:textFill>
        </w:rPr>
        <w:t>的要求及时更换，直至满足</w:t>
      </w:r>
      <w:r>
        <w:rPr>
          <w:rFonts w:hint="eastAsia" w:hAnsi="宋体"/>
          <w:snapToGrid w:val="0"/>
          <w:color w:val="000000" w:themeColor="text1"/>
          <w:kern w:val="0"/>
          <w:sz w:val="24"/>
          <w:szCs w:val="24"/>
          <w:highlight w:val="none"/>
          <w14:textFill>
            <w14:solidFill>
              <w14:schemeClr w14:val="tx1"/>
            </w14:solidFill>
          </w14:textFill>
        </w:rPr>
        <w:t>甲方</w:t>
      </w:r>
      <w:r>
        <w:rPr>
          <w:rFonts w:hint="eastAsia" w:hAnsi="宋体" w:cs="宋体-18030"/>
          <w:snapToGrid w:val="0"/>
          <w:color w:val="000000" w:themeColor="text1"/>
          <w:kern w:val="0"/>
          <w:sz w:val="24"/>
          <w:szCs w:val="24"/>
          <w:highlight w:val="none"/>
          <w14:textFill>
            <w14:solidFill>
              <w14:schemeClr w14:val="tx1"/>
            </w14:solidFill>
          </w14:textFill>
        </w:rPr>
        <w:t>要求为止。</w:t>
      </w:r>
    </w:p>
    <w:p>
      <w:pPr>
        <w:pStyle w:val="20"/>
        <w:adjustRightInd w:val="0"/>
        <w:snapToGrid w:val="0"/>
        <w:spacing w:line="360" w:lineRule="auto"/>
        <w:ind w:firstLine="360" w:firstLineChars="150"/>
        <w:rPr>
          <w:rFonts w:hint="eastAsia" w:hAnsi="宋体"/>
          <w:snapToGrid w:val="0"/>
          <w:color w:val="000000" w:themeColor="text1"/>
          <w:kern w:val="0"/>
          <w:sz w:val="24"/>
          <w:szCs w:val="24"/>
          <w:highlight w:val="none"/>
          <w14:textFill>
            <w14:solidFill>
              <w14:schemeClr w14:val="tx1"/>
            </w14:solidFill>
          </w14:textFill>
        </w:rPr>
      </w:pPr>
      <w:r>
        <w:rPr>
          <w:rFonts w:hint="eastAsia" w:hAnsi="宋体" w:cs="宋体-18030"/>
          <w:snapToGrid w:val="0"/>
          <w:color w:val="000000" w:themeColor="text1"/>
          <w:kern w:val="0"/>
          <w:sz w:val="24"/>
          <w:szCs w:val="24"/>
          <w:highlight w:val="none"/>
          <w14:textFill>
            <w14:solidFill>
              <w14:schemeClr w14:val="tx1"/>
            </w14:solidFill>
          </w14:textFill>
        </w:rPr>
        <w:t>（3）</w:t>
      </w:r>
      <w:r>
        <w:rPr>
          <w:rFonts w:hint="eastAsia" w:hAnsi="宋体"/>
          <w:snapToGrid w:val="0"/>
          <w:color w:val="000000" w:themeColor="text1"/>
          <w:kern w:val="0"/>
          <w:sz w:val="24"/>
          <w:szCs w:val="24"/>
          <w:highlight w:val="none"/>
          <w14:textFill>
            <w14:solidFill>
              <w14:schemeClr w14:val="tx1"/>
            </w14:solidFill>
          </w14:textFill>
        </w:rPr>
        <w:t>乙方应按甲方的要求编制</w:t>
      </w:r>
      <w:r>
        <w:rPr>
          <w:rFonts w:hint="eastAsia" w:hAnsi="宋体" w:cs="宋体-18030"/>
          <w:snapToGrid w:val="0"/>
          <w:color w:val="000000" w:themeColor="text1"/>
          <w:kern w:val="0"/>
          <w:sz w:val="24"/>
          <w:szCs w:val="24"/>
          <w:highlight w:val="none"/>
          <w14:textFill>
            <w14:solidFill>
              <w14:schemeClr w14:val="tx1"/>
            </w14:solidFill>
          </w14:textFill>
        </w:rPr>
        <w:t>工程结算基础资料，</w:t>
      </w:r>
      <w:r>
        <w:rPr>
          <w:rFonts w:hint="eastAsia" w:hAnsi="宋体"/>
          <w:snapToGrid w:val="0"/>
          <w:color w:val="000000" w:themeColor="text1"/>
          <w:kern w:val="0"/>
          <w:sz w:val="24"/>
          <w:szCs w:val="24"/>
          <w:highlight w:val="none"/>
          <w14:textFill>
            <w14:solidFill>
              <w14:schemeClr w14:val="tx1"/>
            </w14:solidFill>
          </w14:textFill>
        </w:rPr>
        <w:t>执行甲方下发的结算编制指引及与结算有关的文件规定，并在竣工验收合格后二个月内向甲方提交符合甲方要求的全部竣工结算资料。</w:t>
      </w:r>
    </w:p>
    <w:p>
      <w:pPr>
        <w:pStyle w:val="20"/>
        <w:adjustRightInd w:val="0"/>
        <w:snapToGrid w:val="0"/>
        <w:spacing w:line="360" w:lineRule="auto"/>
        <w:ind w:firstLine="360" w:firstLineChars="150"/>
        <w:rPr>
          <w:rFonts w:hint="eastAsia" w:hAnsi="宋体"/>
          <w:snapToGrid w:val="0"/>
          <w:color w:val="000000" w:themeColor="text1"/>
          <w:kern w:val="0"/>
          <w:sz w:val="24"/>
          <w:szCs w:val="24"/>
          <w:highlight w:val="none"/>
          <w14:textFill>
            <w14:solidFill>
              <w14:schemeClr w14:val="tx1"/>
            </w14:solidFill>
          </w14:textFill>
        </w:rPr>
      </w:pPr>
      <w:r>
        <w:rPr>
          <w:rFonts w:hint="eastAsia" w:hAnsi="宋体"/>
          <w:snapToGrid w:val="0"/>
          <w:color w:val="000000" w:themeColor="text1"/>
          <w:kern w:val="0"/>
          <w:sz w:val="24"/>
          <w:szCs w:val="24"/>
          <w:highlight w:val="none"/>
          <w14:textFill>
            <w14:solidFill>
              <w14:schemeClr w14:val="tx1"/>
            </w14:solidFill>
          </w14:textFill>
        </w:rPr>
        <w:t>（4）本项目合同正常结算工作以截止竣工验收合格后二个月内上报的工程结算资料为基础进行，乙方应积极配合甲方，完成上报结算书的审定工作。</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（5）甲方在收到乙方提交的手续齐备的工程结算资料后经初步审核确认后报送区财政局审批。</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（6）</w:t>
      </w:r>
      <w:r>
        <w:rPr>
          <w:rFonts w:hint="eastAsia" w:hAnsi="宋体"/>
          <w:snapToGrid w:val="0"/>
          <w:color w:val="000000" w:themeColor="text1"/>
          <w:kern w:val="0"/>
          <w:sz w:val="24"/>
          <w:highlight w:val="none"/>
          <w14:textFill>
            <w14:solidFill>
              <w14:schemeClr w14:val="tx1"/>
            </w14:solidFill>
          </w14:textFill>
        </w:rPr>
        <w:t>乙方</w:t>
      </w:r>
      <w:r>
        <w:rPr>
          <w:rFonts w:hint="eastAsia" w:ascii="宋体" w:hAnsi="宋体" w:cs="宋体-18030"/>
          <w:snapToGrid w:val="0"/>
          <w:color w:val="000000" w:themeColor="text1"/>
          <w:kern w:val="0"/>
          <w:sz w:val="24"/>
          <w:highlight w:val="none"/>
          <w14:textFill>
            <w14:solidFill>
              <w14:schemeClr w14:val="tx1"/>
            </w14:solidFill>
          </w14:textFill>
        </w:rPr>
        <w:t>应在</w:t>
      </w:r>
      <w:r>
        <w:rPr>
          <w:rFonts w:hint="eastAsia" w:hAnsi="宋体"/>
          <w:snapToGrid w:val="0"/>
          <w:color w:val="000000" w:themeColor="text1"/>
          <w:kern w:val="0"/>
          <w:sz w:val="24"/>
          <w:highlight w:val="none"/>
          <w14:textFill>
            <w14:solidFill>
              <w14:schemeClr w14:val="tx1"/>
            </w14:solidFill>
          </w14:textFill>
        </w:rPr>
        <w:t>甲方</w:t>
      </w:r>
      <w:r>
        <w:rPr>
          <w:rFonts w:hint="eastAsia" w:ascii="宋体" w:hAnsi="宋体"/>
          <w:snapToGrid w:val="0"/>
          <w:color w:val="000000" w:themeColor="text1"/>
          <w:kern w:val="0"/>
          <w:sz w:val="24"/>
          <w:highlight w:val="none"/>
          <w14:textFill>
            <w14:solidFill>
              <w14:schemeClr w14:val="tx1"/>
            </w14:solidFill>
          </w14:textFill>
        </w:rPr>
        <w:t>规定时间内提交送审结算书和结算资料，提交的结算资料应完整并且符合本合同的附件九及附件十。</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（7）</w:t>
      </w:r>
      <w:r>
        <w:rPr>
          <w:rFonts w:hint="eastAsia" w:ascii="宋体" w:hAnsi="宋体"/>
          <w:snapToGrid w:val="0"/>
          <w:color w:val="000000" w:themeColor="text1"/>
          <w:kern w:val="0"/>
          <w:sz w:val="24"/>
          <w:highlight w:val="none"/>
          <w14:textFill>
            <w14:solidFill>
              <w14:schemeClr w14:val="tx1"/>
            </w14:solidFill>
          </w14:textFill>
        </w:rPr>
        <w:t>在结算审核过程中，若发现乙方送审的结算资料不完整或不符合要求，乙方应按甲方或结算终审部门的要求在规定时间内补充完善。</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（8）本项目结算资料甲方接收的最后截止日期为</w:t>
      </w:r>
      <w:r>
        <w:rPr>
          <w:rFonts w:hint="eastAsia" w:hAnsi="宋体"/>
          <w:snapToGrid w:val="0"/>
          <w:color w:val="000000" w:themeColor="text1"/>
          <w:kern w:val="0"/>
          <w:sz w:val="24"/>
          <w:highlight w:val="none"/>
          <w14:textFill>
            <w14:solidFill>
              <w14:schemeClr w14:val="tx1"/>
            </w14:solidFill>
          </w14:textFill>
        </w:rPr>
        <w:t>竣工验收合格满二个月的最后一天</w:t>
      </w:r>
      <w:r>
        <w:rPr>
          <w:rFonts w:hint="eastAsia" w:ascii="宋体" w:hAnsi="宋体" w:cs="宋体-18030"/>
          <w:snapToGrid w:val="0"/>
          <w:color w:val="000000" w:themeColor="text1"/>
          <w:kern w:val="0"/>
          <w:sz w:val="24"/>
          <w:highlight w:val="none"/>
          <w14:textFill>
            <w14:solidFill>
              <w14:schemeClr w14:val="tx1"/>
            </w14:solidFill>
          </w14:textFill>
        </w:rPr>
        <w:t>。逾期乙方仍未报送的本项目结算资料，视为已全部报出，甲方不再受理任何本项目结算资料。</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（9）</w:t>
      </w:r>
      <w:r>
        <w:rPr>
          <w:rFonts w:hint="eastAsia" w:hAnsi="宋体"/>
          <w:snapToGrid w:val="0"/>
          <w:color w:val="000000" w:themeColor="text1"/>
          <w:kern w:val="0"/>
          <w:sz w:val="24"/>
          <w:highlight w:val="none"/>
          <w14:textFill>
            <w14:solidFill>
              <w14:schemeClr w14:val="tx1"/>
            </w14:solidFill>
          </w14:textFill>
        </w:rPr>
        <w:t>乙方</w:t>
      </w:r>
      <w:r>
        <w:rPr>
          <w:rFonts w:hint="eastAsia" w:ascii="宋体" w:hAnsi="宋体" w:cs="宋体-18030"/>
          <w:snapToGrid w:val="0"/>
          <w:color w:val="000000" w:themeColor="text1"/>
          <w:kern w:val="0"/>
          <w:sz w:val="24"/>
          <w:highlight w:val="none"/>
          <w14:textFill>
            <w14:solidFill>
              <w14:schemeClr w14:val="tx1"/>
            </w14:solidFill>
          </w14:textFill>
        </w:rPr>
        <w:t>应配合</w:t>
      </w:r>
      <w:r>
        <w:rPr>
          <w:rFonts w:hint="eastAsia" w:hAnsi="宋体"/>
          <w:snapToGrid w:val="0"/>
          <w:color w:val="000000" w:themeColor="text1"/>
          <w:kern w:val="0"/>
          <w:sz w:val="24"/>
          <w:highlight w:val="none"/>
          <w14:textFill>
            <w14:solidFill>
              <w14:schemeClr w14:val="tx1"/>
            </w14:solidFill>
          </w14:textFill>
        </w:rPr>
        <w:t>甲方</w:t>
      </w:r>
      <w:r>
        <w:rPr>
          <w:rFonts w:hint="eastAsia" w:ascii="宋体" w:hAnsi="宋体"/>
          <w:snapToGrid w:val="0"/>
          <w:color w:val="000000" w:themeColor="text1"/>
          <w:kern w:val="0"/>
          <w:sz w:val="24"/>
          <w:highlight w:val="none"/>
          <w14:textFill>
            <w14:solidFill>
              <w14:schemeClr w14:val="tx1"/>
            </w14:solidFill>
          </w14:textFill>
        </w:rPr>
        <w:t>的结算工作，包括按要求按时参加会议、按要求派人参加结算对数、对数人员应在对数备忘录上签字确认等。</w:t>
      </w:r>
    </w:p>
    <w:p>
      <w:pPr>
        <w:adjustRightInd w:val="0"/>
        <w:snapToGrid w:val="0"/>
        <w:spacing w:line="360" w:lineRule="auto"/>
        <w:ind w:firstLine="360" w:firstLineChars="150"/>
        <w:rPr>
          <w:rFonts w:hint="eastAsia" w:ascii="宋体-PUA"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10）乙方应按甲方的要求及时派出足够的工程结算管理人员与甲方派出的工程结算管理人员一起组成工程结算管理小组，并由乙方负责其总承包管理范围内工程结算的牵头工作，督促其总承包管理范围内的各专业单位按甲方的要求及时报送工程结算资料并予以落实，否则，应按承担违约责任。如乙方不按甲方的要求及时派出足够的工程结算管理人员，甲方有权另行聘请有关工程结算管理人员，有关费</w:t>
      </w:r>
      <w:r>
        <w:rPr>
          <w:rFonts w:hint="eastAsia" w:ascii="宋体-PUA" w:hAnsi="宋体" w:cs="宋体-18030"/>
          <w:snapToGrid w:val="0"/>
          <w:color w:val="000000" w:themeColor="text1"/>
          <w:kern w:val="0"/>
          <w:sz w:val="24"/>
          <w:highlight w:val="none"/>
          <w14:textFill>
            <w14:solidFill>
              <w14:schemeClr w14:val="tx1"/>
            </w14:solidFill>
          </w14:textFill>
        </w:rPr>
        <w:t>用在原合同的</w:t>
      </w:r>
      <w:r>
        <w:rPr>
          <w:rFonts w:hint="eastAsia" w:ascii="宋体-PUA" w:hAnsi="宋体" w:cs="宋体"/>
          <w:snapToGrid w:val="0"/>
          <w:color w:val="000000" w:themeColor="text1"/>
          <w:kern w:val="0"/>
          <w:sz w:val="24"/>
          <w:highlight w:val="none"/>
          <w14:textFill>
            <w14:solidFill>
              <w14:schemeClr w14:val="tx1"/>
            </w14:solidFill>
          </w14:textFill>
        </w:rPr>
        <w:t>工程进度款或履约保证金或履约保函中</w:t>
      </w:r>
      <w:r>
        <w:rPr>
          <w:rFonts w:hint="eastAsia" w:ascii="宋体-PUA" w:hAnsi="宋体" w:cs="宋体-18030"/>
          <w:snapToGrid w:val="0"/>
          <w:color w:val="000000" w:themeColor="text1"/>
          <w:kern w:val="0"/>
          <w:sz w:val="24"/>
          <w:highlight w:val="none"/>
          <w14:textFill>
            <w14:solidFill>
              <w14:schemeClr w14:val="tx1"/>
            </w14:solidFill>
          </w14:textFill>
        </w:rPr>
        <w:t>支付，乙方不得有异议。</w:t>
      </w:r>
    </w:p>
    <w:p>
      <w:pPr>
        <w:adjustRightInd w:val="0"/>
        <w:snapToGrid w:val="0"/>
        <w:spacing w:line="360" w:lineRule="auto"/>
        <w:ind w:right="11" w:firstLine="360" w:firstLineChars="150"/>
        <w:outlineLvl w:val="3"/>
        <w:rPr>
          <w:rFonts w:hint="eastAsia" w:ascii="宋体" w:hAnsi="宋体"/>
          <w:color w:val="000000" w:themeColor="text1"/>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（11）</w:t>
      </w:r>
      <w:r>
        <w:rPr>
          <w:rFonts w:hint="eastAsia" w:ascii="宋体" w:hAnsi="宋体"/>
          <w:color w:val="000000" w:themeColor="text1"/>
          <w:sz w:val="24"/>
          <w:highlight w:val="none"/>
          <w14:textFill>
            <w14:solidFill>
              <w14:schemeClr w14:val="tx1"/>
            </w14:solidFill>
          </w14:textFill>
        </w:rPr>
        <w:t>乙方未在规定时间内递交竣工结算报告，经甲方催促后仍未递交或未明确答复的，甲方有权组织监理单位根据已有资料单方面编制竣工结算文件并送审，乙方应对相关结果予以认可。</w:t>
      </w:r>
    </w:p>
    <w:p>
      <w:pPr>
        <w:adjustRightInd w:val="0"/>
        <w:snapToGrid w:val="0"/>
        <w:spacing w:line="360" w:lineRule="auto"/>
        <w:ind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（12）</w:t>
      </w:r>
      <w:r>
        <w:rPr>
          <w:rFonts w:hint="eastAsia" w:ascii="宋体" w:hAnsi="宋体"/>
          <w:color w:val="000000" w:themeColor="text1"/>
          <w:sz w:val="24"/>
          <w:highlight w:val="none"/>
          <w14:textFill>
            <w14:solidFill>
              <w14:schemeClr w14:val="tx1"/>
            </w14:solidFill>
          </w14:textFill>
        </w:rPr>
        <w:t>如乙方无正当理由、逾期未完成结算财政评审送审的，甲方有权报建设行政主管部门按照诚信评价体系的相关规定处理。</w:t>
      </w:r>
    </w:p>
    <w:p>
      <w:pPr>
        <w:adjustRightInd w:val="0"/>
        <w:snapToGrid w:val="0"/>
        <w:spacing w:line="360" w:lineRule="auto"/>
        <w:ind w:firstLine="482" w:firstLineChars="200"/>
        <w:rPr>
          <w:rFonts w:hint="eastAsia" w:ascii="宋体" w:hAnsi="宋体" w:cs="宋体-18030"/>
          <w:b/>
          <w:snapToGrid w:val="0"/>
          <w:color w:val="000000" w:themeColor="text1"/>
          <w:kern w:val="0"/>
          <w:sz w:val="24"/>
          <w:highlight w:val="none"/>
          <w14:textFill>
            <w14:solidFill>
              <w14:schemeClr w14:val="tx1"/>
            </w14:solidFill>
          </w14:textFill>
        </w:rPr>
      </w:pPr>
      <w:r>
        <w:rPr>
          <w:rFonts w:hint="eastAsia" w:ascii="宋体" w:hAnsi="宋体" w:cs="宋体-18030"/>
          <w:b/>
          <w:snapToGrid w:val="0"/>
          <w:color w:val="000000" w:themeColor="text1"/>
          <w:kern w:val="0"/>
          <w:sz w:val="24"/>
          <w:highlight w:val="none"/>
          <w14:textFill>
            <w14:solidFill>
              <w14:schemeClr w14:val="tx1"/>
            </w14:solidFill>
          </w14:textFill>
        </w:rPr>
        <w:t>2、工程结算中争议问题的处理</w:t>
      </w:r>
    </w:p>
    <w:p>
      <w:pPr>
        <w:adjustRightInd w:val="0"/>
        <w:snapToGrid w:val="0"/>
        <w:spacing w:line="360" w:lineRule="auto"/>
        <w:ind w:right="11" w:firstLine="460" w:firstLineChars="192"/>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 xml:space="preserve">对于工程结算中有争议的问题，依据合同的相关约定，本着“依法依规，实事求是和风险共担”的原则，按如下约定处理： </w:t>
      </w:r>
    </w:p>
    <w:p>
      <w:pPr>
        <w:adjustRightInd w:val="0"/>
        <w:snapToGrid w:val="0"/>
        <w:spacing w:line="360" w:lineRule="auto"/>
        <w:ind w:right="11" w:firstLine="360" w:firstLineChars="150"/>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snapToGrid w:val="0"/>
          <w:color w:val="000000" w:themeColor="text1"/>
          <w:kern w:val="0"/>
          <w:sz w:val="24"/>
          <w:highlight w:val="none"/>
          <w14:textFill>
            <w14:solidFill>
              <w14:schemeClr w14:val="tx1"/>
            </w14:solidFill>
          </w14:textFill>
        </w:rPr>
        <w:t>（1）乙方上报的工程结算资料经甲方审核后如发生争议，若协商后确无法达成一致的，由甲方委托的监理公司或造价咨询公司将双方对结算异议的事项编写成书面报告，与结算资料一并送审，由区财政局审核决定，最终结算以财政局审定为准。</w:t>
      </w:r>
    </w:p>
    <w:p>
      <w:pPr>
        <w:pStyle w:val="59"/>
        <w:ind w:firstLine="372" w:firstLineChars="150"/>
        <w:rPr>
          <w:rFonts w:hint="eastAsia" w:ascii="宋体" w:hAnsi="宋体" w:cs="宋体-18030"/>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（2）乙方在工程实施过程中将发生的工程变更费用、工程签证费用、相关索赔费用报甲方审核后，如双方发生争议且未能达成一致意见，则由甲方待工程竣工结算时将相关情况报</w:t>
      </w:r>
      <w:r>
        <w:rPr>
          <w:rFonts w:hint="eastAsia" w:ascii="宋体" w:hAnsi="宋体" w:cs="宋体-18030"/>
          <w:color w:val="000000" w:themeColor="text1"/>
          <w:highlight w:val="none"/>
          <w14:textFill>
            <w14:solidFill>
              <w14:schemeClr w14:val="tx1"/>
            </w14:solidFill>
          </w14:textFill>
        </w:rPr>
        <w:t>区财政局</w:t>
      </w:r>
      <w:r>
        <w:rPr>
          <w:rFonts w:hint="eastAsia"/>
          <w:color w:val="000000" w:themeColor="text1"/>
          <w:highlight w:val="none"/>
          <w14:textFill>
            <w14:solidFill>
              <w14:schemeClr w14:val="tx1"/>
            </w14:solidFill>
          </w14:textFill>
        </w:rPr>
        <w:t>审定。乙方不得因此而影响工程进度，否则，将按合同规定承担相应的违约责任。</w:t>
      </w:r>
    </w:p>
    <w:p>
      <w:pPr>
        <w:adjustRightInd w:val="0"/>
        <w:snapToGrid w:val="0"/>
        <w:spacing w:line="360" w:lineRule="auto"/>
        <w:ind w:firstLine="463" w:firstLineChars="192"/>
        <w:rPr>
          <w:rFonts w:hint="eastAsia" w:ascii="宋体" w:hAnsi="宋体" w:cs="宋体-18030"/>
          <w:snapToGrid w:val="0"/>
          <w:color w:val="000000" w:themeColor="text1"/>
          <w:kern w:val="0"/>
          <w:sz w:val="24"/>
          <w:highlight w:val="none"/>
          <w14:textFill>
            <w14:solidFill>
              <w14:schemeClr w14:val="tx1"/>
            </w14:solidFill>
          </w14:textFill>
        </w:rPr>
      </w:pPr>
      <w:r>
        <w:rPr>
          <w:rFonts w:hint="eastAsia" w:ascii="宋体" w:hAnsi="宋体" w:cs="宋体-18030"/>
          <w:b/>
          <w:snapToGrid w:val="0"/>
          <w:color w:val="000000" w:themeColor="text1"/>
          <w:kern w:val="0"/>
          <w:sz w:val="24"/>
          <w:highlight w:val="none"/>
          <w14:textFill>
            <w14:solidFill>
              <w14:schemeClr w14:val="tx1"/>
            </w14:solidFill>
          </w14:textFill>
        </w:rPr>
        <w:t>3、</w:t>
      </w:r>
      <w:r>
        <w:rPr>
          <w:rFonts w:hint="eastAsia" w:ascii="宋体" w:hAnsi="宋体" w:cs="宋体-18030"/>
          <w:snapToGrid w:val="0"/>
          <w:color w:val="000000" w:themeColor="text1"/>
          <w:kern w:val="0"/>
          <w:sz w:val="24"/>
          <w:highlight w:val="none"/>
          <w14:textFill>
            <w14:solidFill>
              <w14:schemeClr w14:val="tx1"/>
            </w14:solidFill>
          </w14:textFill>
        </w:rPr>
        <w:t>本工作协议书作为原合同的组成部分，与原合同具有同等法律效力。本工作协议书的约定与原合同相冲突的，以本工作协议书的约定为准。</w:t>
      </w:r>
    </w:p>
    <w:p>
      <w:pPr>
        <w:adjustRightInd w:val="0"/>
        <w:snapToGrid w:val="0"/>
        <w:spacing w:line="360" w:lineRule="auto"/>
        <w:ind w:firstLine="482" w:firstLineChars="2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cs="宋体-18030"/>
          <w:b/>
          <w:snapToGrid w:val="0"/>
          <w:color w:val="000000" w:themeColor="text1"/>
          <w:kern w:val="0"/>
          <w:sz w:val="24"/>
          <w:highlight w:val="none"/>
          <w14:textFill>
            <w14:solidFill>
              <w14:schemeClr w14:val="tx1"/>
            </w14:solidFill>
          </w14:textFill>
        </w:rPr>
        <w:t>4、</w:t>
      </w:r>
      <w:r>
        <w:rPr>
          <w:rFonts w:hint="eastAsia" w:ascii="宋体" w:hAnsi="宋体"/>
          <w:snapToGrid w:val="0"/>
          <w:color w:val="000000" w:themeColor="text1"/>
          <w:kern w:val="0"/>
          <w:sz w:val="24"/>
          <w:highlight w:val="none"/>
          <w14:textFill>
            <w14:solidFill>
              <w14:schemeClr w14:val="tx1"/>
            </w14:solidFill>
          </w14:textFill>
        </w:rPr>
        <w:t>本工作协议书于双方签字盖章后生效，至双方履行完本工作协议书中的义务与责任时终止。</w:t>
      </w:r>
    </w:p>
    <w:p>
      <w:pPr>
        <w:adjustRightInd w:val="0"/>
        <w:snapToGrid w:val="0"/>
        <w:spacing w:line="360" w:lineRule="auto"/>
        <w:ind w:right="11"/>
        <w:rPr>
          <w:rFonts w:hint="eastAsia" w:ascii="宋体" w:hAnsi="宋体" w:cs="宋体-18030"/>
          <w:b/>
          <w:snapToGrid w:val="0"/>
          <w:color w:val="000000" w:themeColor="text1"/>
          <w:kern w:val="0"/>
          <w:sz w:val="24"/>
          <w:highlight w:val="none"/>
          <w14:textFill>
            <w14:solidFill>
              <w14:schemeClr w14:val="tx1"/>
            </w14:solidFill>
          </w14:textFill>
        </w:rPr>
      </w:pPr>
    </w:p>
    <w:p>
      <w:pPr>
        <w:adjustRightInd w:val="0"/>
        <w:snapToGrid w:val="0"/>
        <w:spacing w:line="360" w:lineRule="auto"/>
        <w:ind w:right="11"/>
        <w:rPr>
          <w:rFonts w:hint="eastAsia" w:ascii="楷体_GB2312" w:hAnsi="宋体" w:eastAsia="楷体_GB2312"/>
          <w:snapToGrid w:val="0"/>
          <w:color w:val="000000" w:themeColor="text1"/>
          <w:kern w:val="0"/>
          <w:sz w:val="24"/>
          <w:highlight w:val="none"/>
          <w14:textFill>
            <w14:solidFill>
              <w14:schemeClr w14:val="tx1"/>
            </w14:solidFill>
          </w14:textFill>
        </w:rPr>
      </w:pPr>
    </w:p>
    <w:p>
      <w:pPr>
        <w:adjustRightInd w:val="0"/>
        <w:snapToGrid w:val="0"/>
        <w:spacing w:line="360" w:lineRule="auto"/>
        <w:ind w:right="11"/>
        <w:rPr>
          <w:rFonts w:hint="eastAsia" w:ascii="楷体_GB2312" w:hAnsi="宋体" w:eastAsia="楷体_GB2312"/>
          <w:snapToGrid w:val="0"/>
          <w:color w:val="000000" w:themeColor="text1"/>
          <w:kern w:val="0"/>
          <w:sz w:val="24"/>
          <w:highlight w:val="none"/>
          <w14:textFill>
            <w14:solidFill>
              <w14:schemeClr w14:val="tx1"/>
            </w14:solidFill>
          </w14:textFill>
        </w:rPr>
      </w:pPr>
      <w:r>
        <w:rPr>
          <w:rFonts w:hint="eastAsia" w:ascii="楷体_GB2312" w:hAnsi="宋体" w:eastAsia="楷体_GB2312"/>
          <w:snapToGrid w:val="0"/>
          <w:color w:val="000000" w:themeColor="text1"/>
          <w:kern w:val="0"/>
          <w:sz w:val="24"/>
          <w:highlight w:val="none"/>
          <w14:textFill>
            <w14:solidFill>
              <w14:schemeClr w14:val="tx1"/>
            </w14:solidFill>
          </w14:textFill>
        </w:rPr>
        <w:t>（本页为签署页，无正文内容）</w:t>
      </w:r>
    </w:p>
    <w:p>
      <w:pPr>
        <w:adjustRightInd w:val="0"/>
        <w:snapToGrid w:val="0"/>
        <w:spacing w:line="360" w:lineRule="auto"/>
        <w:ind w:right="11"/>
        <w:rPr>
          <w:rFonts w:hint="eastAsia" w:ascii="楷体_GB2312" w:hAnsi="宋体" w:eastAsia="楷体_GB2312"/>
          <w:snapToGrid w:val="0"/>
          <w:color w:val="000000" w:themeColor="text1"/>
          <w:kern w:val="0"/>
          <w:sz w:val="24"/>
          <w:highlight w:val="none"/>
          <w14:textFill>
            <w14:solidFill>
              <w14:schemeClr w14:val="tx1"/>
            </w14:solidFill>
          </w14:textFill>
        </w:rPr>
      </w:pPr>
    </w:p>
    <w:p>
      <w:pPr>
        <w:adjustRightInd w:val="0"/>
        <w:snapToGrid w:val="0"/>
        <w:spacing w:line="360" w:lineRule="auto"/>
        <w:ind w:right="11"/>
        <w:rPr>
          <w:rFonts w:hint="eastAsia" w:ascii="宋体" w:hAnsi="宋体" w:cs="宋体-18030"/>
          <w:b/>
          <w:bCs/>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spacing w:val="-20"/>
          <w:kern w:val="0"/>
          <w:sz w:val="24"/>
          <w:highlight w:val="none"/>
          <w14:textFill>
            <w14:solidFill>
              <w14:schemeClr w14:val="tx1"/>
            </w14:solidFill>
          </w14:textFill>
        </w:rPr>
        <w:t>甲方：</w:t>
      </w:r>
      <w:r>
        <w:rPr>
          <w:rFonts w:hint="eastAsia" w:ascii="宋体" w:hAnsi="宋体" w:cs="宋体-18030"/>
          <w:b/>
          <w:bCs/>
          <w:snapToGrid w:val="0"/>
          <w:color w:val="000000" w:themeColor="text1"/>
          <w:kern w:val="0"/>
          <w:sz w:val="24"/>
          <w:highlight w:val="none"/>
          <w14:textFill>
            <w14:solidFill>
              <w14:schemeClr w14:val="tx1"/>
            </w14:solidFill>
          </w14:textFill>
        </w:rPr>
        <w:t>广州市番禺区水务工程建管中心</w:t>
      </w:r>
    </w:p>
    <w:p>
      <w:pPr>
        <w:adjustRightInd w:val="0"/>
        <w:snapToGrid w:val="0"/>
        <w:spacing w:line="360" w:lineRule="auto"/>
        <w:ind w:right="11"/>
        <w:rPr>
          <w:rFonts w:hint="eastAsia" w:ascii="宋体" w:hAnsi="宋体"/>
          <w:snapToGrid w:val="0"/>
          <w:color w:val="000000" w:themeColor="text1"/>
          <w:spacing w:val="-20"/>
          <w:kern w:val="0"/>
          <w:sz w:val="24"/>
          <w:highlight w:val="none"/>
          <w:u w:val="single"/>
          <w14:textFill>
            <w14:solidFill>
              <w14:schemeClr w14:val="tx1"/>
            </w14:solidFill>
          </w14:textFill>
        </w:rPr>
      </w:pPr>
      <w:r>
        <w:rPr>
          <w:rFonts w:hint="eastAsia" w:ascii="宋体" w:hAnsi="宋体" w:cs="宋体-18030"/>
          <w:b/>
          <w:bCs/>
          <w:snapToGrid w:val="0"/>
          <w:color w:val="000000" w:themeColor="text1"/>
          <w:kern w:val="0"/>
          <w:sz w:val="24"/>
          <w:highlight w:val="none"/>
          <w14:textFill>
            <w14:solidFill>
              <w14:schemeClr w14:val="tx1"/>
            </w14:solidFill>
          </w14:textFill>
        </w:rPr>
        <w:t>（广州市番禺区水旱灾害防御中心）</w:t>
      </w:r>
      <w:r>
        <w:rPr>
          <w:rFonts w:hint="eastAsia" w:ascii="宋体" w:hAnsi="宋体"/>
          <w:snapToGrid w:val="0"/>
          <w:color w:val="000000" w:themeColor="text1"/>
          <w:spacing w:val="-20"/>
          <w:kern w:val="0"/>
          <w:sz w:val="24"/>
          <w:highlight w:val="none"/>
          <w14:textFill>
            <w14:solidFill>
              <w14:schemeClr w14:val="tx1"/>
            </w14:solidFill>
          </w14:textFill>
        </w:rPr>
        <w:t xml:space="preserve">            乙方：</w:t>
      </w:r>
    </w:p>
    <w:p>
      <w:pPr>
        <w:adjustRightInd w:val="0"/>
        <w:snapToGrid w:val="0"/>
        <w:spacing w:line="360" w:lineRule="auto"/>
        <w:ind w:right="11" w:firstLine="720" w:firstLineChars="300"/>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（盖公章）                         （盖公章）</w:t>
      </w:r>
    </w:p>
    <w:p>
      <w:pPr>
        <w:adjustRightInd w:val="0"/>
        <w:snapToGrid w:val="0"/>
        <w:spacing w:line="360" w:lineRule="auto"/>
        <w:ind w:right="11"/>
        <w:rPr>
          <w:rFonts w:hint="eastAsia" w:ascii="宋体" w:hAnsi="宋体"/>
          <w:snapToGrid w:val="0"/>
          <w:color w:val="000000" w:themeColor="text1"/>
          <w:kern w:val="0"/>
          <w:sz w:val="24"/>
          <w:highlight w:val="none"/>
          <w14:textFill>
            <w14:solidFill>
              <w14:schemeClr w14:val="tx1"/>
            </w14:solidFill>
          </w14:textFill>
        </w:rPr>
      </w:pPr>
    </w:p>
    <w:p>
      <w:pPr>
        <w:adjustRightInd w:val="0"/>
        <w:snapToGrid w:val="0"/>
        <w:spacing w:line="360" w:lineRule="auto"/>
        <w:ind w:right="11"/>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法定代表人：                           法定代表人：</w:t>
      </w:r>
    </w:p>
    <w:p>
      <w:pPr>
        <w:tabs>
          <w:tab w:val="left" w:pos="5460"/>
        </w:tabs>
        <w:adjustRightInd w:val="0"/>
        <w:snapToGrid w:val="0"/>
        <w:spacing w:line="360" w:lineRule="auto"/>
        <w:ind w:left="-2" w:leftChars="-1" w:right="11"/>
        <w:rPr>
          <w:rFonts w:hint="eastAsia" w:ascii="宋体" w:hAnsi="宋体"/>
          <w:snapToGrid w:val="0"/>
          <w:color w:val="000000" w:themeColor="text1"/>
          <w:kern w:val="0"/>
          <w:sz w:val="24"/>
          <w:highlight w:val="none"/>
          <w14:textFill>
            <w14:solidFill>
              <w14:schemeClr w14:val="tx1"/>
            </w14:solidFill>
          </w14:textFill>
        </w:rPr>
      </w:pPr>
    </w:p>
    <w:p>
      <w:pPr>
        <w:tabs>
          <w:tab w:val="left" w:pos="5460"/>
        </w:tabs>
        <w:adjustRightInd w:val="0"/>
        <w:snapToGrid w:val="0"/>
        <w:spacing w:line="360" w:lineRule="auto"/>
        <w:ind w:left="-2" w:leftChars="-1" w:right="11"/>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或委托代理人：                         或委托代理人：</w:t>
      </w:r>
    </w:p>
    <w:p>
      <w:pPr>
        <w:adjustRightInd w:val="0"/>
        <w:snapToGrid w:val="0"/>
        <w:spacing w:line="360" w:lineRule="auto"/>
        <w:ind w:right="11"/>
        <w:rPr>
          <w:rFonts w:hint="eastAsia" w:ascii="宋体" w:hAnsi="宋体"/>
          <w:snapToGrid w:val="0"/>
          <w:color w:val="000000" w:themeColor="text1"/>
          <w:kern w:val="0"/>
          <w:sz w:val="24"/>
          <w:highlight w:val="none"/>
          <w14:textFill>
            <w14:solidFill>
              <w14:schemeClr w14:val="tx1"/>
            </w14:solidFill>
          </w14:textFill>
        </w:rPr>
      </w:pPr>
    </w:p>
    <w:p>
      <w:pPr>
        <w:adjustRightInd w:val="0"/>
        <w:snapToGrid w:val="0"/>
        <w:spacing w:line="360" w:lineRule="auto"/>
        <w:ind w:right="11" w:firstLine="720" w:firstLineChars="300"/>
        <w:jc w:val="left"/>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年   月   日                        年   月   日</w:t>
      </w:r>
    </w:p>
    <w:p>
      <w:pPr>
        <w:adjustRightInd w:val="0"/>
        <w:snapToGrid w:val="0"/>
        <w:spacing w:line="360" w:lineRule="auto"/>
        <w:ind w:right="11"/>
        <w:rPr>
          <w:rFonts w:hint="eastAsia" w:ascii="宋体" w:hAnsi="宋体"/>
          <w:b/>
          <w:bCs/>
          <w:snapToGrid w:val="0"/>
          <w:color w:val="000000" w:themeColor="text1"/>
          <w:kern w:val="0"/>
          <w:sz w:val="24"/>
          <w:highlight w:val="none"/>
          <w14:textFill>
            <w14:solidFill>
              <w14:schemeClr w14:val="tx1"/>
            </w14:solidFill>
          </w14:textFill>
        </w:rPr>
      </w:pPr>
    </w:p>
    <w:p>
      <w:pPr>
        <w:adjustRightInd w:val="0"/>
        <w:snapToGrid w:val="0"/>
        <w:spacing w:line="360" w:lineRule="auto"/>
        <w:ind w:right="11"/>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 xml:space="preserve">      </w:t>
      </w:r>
    </w:p>
    <w:p>
      <w:pPr>
        <w:tabs>
          <w:tab w:val="left" w:pos="5460"/>
        </w:tabs>
        <w:adjustRightInd w:val="0"/>
        <w:snapToGrid w:val="0"/>
        <w:spacing w:line="360" w:lineRule="auto"/>
        <w:ind w:left="-2" w:leftChars="-1" w:right="11"/>
        <w:rPr>
          <w:rFonts w:hint="eastAsia" w:ascii="宋体" w:hAnsi="宋体"/>
          <w:snapToGrid w:val="0"/>
          <w:color w:val="000000" w:themeColor="text1"/>
          <w:kern w:val="0"/>
          <w:sz w:val="24"/>
          <w:highlight w:val="none"/>
          <w14:textFill>
            <w14:solidFill>
              <w14:schemeClr w14:val="tx1"/>
            </w14:solidFill>
          </w14:textFill>
        </w:rPr>
      </w:pPr>
    </w:p>
    <w:p>
      <w:pPr>
        <w:adjustRightInd w:val="0"/>
        <w:snapToGrid w:val="0"/>
        <w:spacing w:line="360" w:lineRule="auto"/>
        <w:ind w:right="11"/>
        <w:jc w:val="left"/>
        <w:rPr>
          <w:rFonts w:hint="eastAsia" w:ascii="宋体" w:hAnsi="宋体"/>
          <w:snapToGrid w:val="0"/>
          <w:color w:val="000000" w:themeColor="text1"/>
          <w:kern w:val="0"/>
          <w:sz w:val="24"/>
          <w:highlight w:val="none"/>
          <w14:textFill>
            <w14:solidFill>
              <w14:schemeClr w14:val="tx1"/>
            </w14:solidFill>
          </w14:textFill>
        </w:rPr>
      </w:pPr>
      <w:r>
        <w:rPr>
          <w:rFonts w:hint="eastAsia" w:ascii="宋体" w:hAnsi="宋体"/>
          <w:snapToGrid w:val="0"/>
          <w:color w:val="000000" w:themeColor="text1"/>
          <w:kern w:val="0"/>
          <w:sz w:val="24"/>
          <w:highlight w:val="none"/>
          <w14:textFill>
            <w14:solidFill>
              <w14:schemeClr w14:val="tx1"/>
            </w14:solidFill>
          </w14:textFill>
        </w:rPr>
        <w:t xml:space="preserve">           </w:t>
      </w:r>
    </w:p>
    <w:p>
      <w:pPr>
        <w:adjustRightInd w:val="0"/>
        <w:snapToGrid w:val="0"/>
        <w:spacing w:line="360" w:lineRule="auto"/>
        <w:ind w:firstLine="482"/>
        <w:outlineLvl w:val="1"/>
        <w:rPr>
          <w:rFonts w:hint="eastAsia" w:ascii="宋体" w:hAnsi="宋体"/>
          <w:color w:val="000000" w:themeColor="text1"/>
          <w:sz w:val="28"/>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bookmarkStart w:id="1991" w:name="_Toc396406316"/>
      <w:bookmarkStart w:id="1992" w:name="_Toc23500"/>
      <w:bookmarkStart w:id="1993" w:name="_Toc8761"/>
      <w:bookmarkStart w:id="1994" w:name="_Toc32459"/>
      <w:bookmarkStart w:id="1995" w:name="_Toc100504395"/>
      <w:r>
        <w:rPr>
          <w:rFonts w:hint="eastAsia" w:ascii="宋体" w:hAnsi="宋体"/>
          <w:b/>
          <w:color w:val="000000" w:themeColor="text1"/>
          <w:sz w:val="24"/>
          <w:highlight w:val="none"/>
          <w14:textFill>
            <w14:solidFill>
              <w14:schemeClr w14:val="tx1"/>
            </w14:solidFill>
          </w14:textFill>
        </w:rPr>
        <w:t>附件十八：</w:t>
      </w:r>
      <w:r>
        <w:rPr>
          <w:rFonts w:hint="eastAsia" w:ascii="宋体" w:hAnsi="宋体"/>
          <w:color w:val="000000" w:themeColor="text1"/>
          <w:sz w:val="28"/>
          <w:highlight w:val="none"/>
          <w14:textFill>
            <w14:solidFill>
              <w14:schemeClr w14:val="tx1"/>
            </w14:solidFill>
          </w14:textFill>
        </w:rPr>
        <w:t>本工程的主要管理和技术人员情况表</w:t>
      </w:r>
      <w:bookmarkEnd w:id="1991"/>
      <w:bookmarkEnd w:id="1992"/>
      <w:bookmarkEnd w:id="1993"/>
      <w:bookmarkEnd w:id="1994"/>
      <w:bookmarkEnd w:id="1995"/>
    </w:p>
    <w:p>
      <w:pPr>
        <w:pStyle w:val="63"/>
        <w:adjustRightInd w:val="0"/>
        <w:snapToGrid w:val="0"/>
        <w:spacing w:before="0" w:after="0" w:line="360" w:lineRule="auto"/>
        <w:ind w:firstLine="198"/>
        <w:jc w:val="center"/>
        <w:rPr>
          <w:rFonts w:hint="eastAsia" w:ascii="宋体" w:hAnsi="宋体" w:eastAsia="宋体"/>
          <w:color w:val="000000" w:themeColor="text1"/>
          <w:sz w:val="28"/>
          <w:highlight w:val="none"/>
          <w14:textFill>
            <w14:solidFill>
              <w14:schemeClr w14:val="tx1"/>
            </w14:solidFill>
          </w14:textFill>
        </w:rPr>
      </w:pPr>
      <w:r>
        <w:rPr>
          <w:rFonts w:hint="eastAsia" w:ascii="宋体" w:hAnsi="宋体" w:eastAsia="宋体"/>
          <w:color w:val="000000" w:themeColor="text1"/>
          <w:sz w:val="30"/>
          <w:highlight w:val="none"/>
          <w14:textFill>
            <w14:solidFill>
              <w14:schemeClr w14:val="tx1"/>
            </w14:solidFill>
          </w14:textFill>
        </w:rPr>
        <w:t>投入本工程的主要管理和技术人员情况表</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145"/>
        <w:gridCol w:w="1284"/>
        <w:gridCol w:w="773"/>
        <w:gridCol w:w="2015"/>
        <w:gridCol w:w="1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6" w:type="dxa"/>
            <w:noWrap w:val="0"/>
            <w:vAlign w:val="center"/>
          </w:tcPr>
          <w:p>
            <w:pPr>
              <w:pStyle w:val="63"/>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序号</w:t>
            </w:r>
          </w:p>
        </w:tc>
        <w:tc>
          <w:tcPr>
            <w:tcW w:w="2145" w:type="dxa"/>
            <w:noWrap w:val="0"/>
            <w:vAlign w:val="center"/>
          </w:tcPr>
          <w:p>
            <w:pPr>
              <w:pStyle w:val="63"/>
              <w:adjustRightInd w:val="0"/>
              <w:snapToGrid w:val="0"/>
              <w:spacing w:before="0" w:after="0"/>
              <w:ind w:left="-69" w:right="-97"/>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拟任职务</w:t>
            </w:r>
          </w:p>
        </w:tc>
        <w:tc>
          <w:tcPr>
            <w:tcW w:w="1284" w:type="dxa"/>
            <w:noWrap w:val="0"/>
            <w:vAlign w:val="center"/>
          </w:tcPr>
          <w:p>
            <w:pPr>
              <w:pStyle w:val="63"/>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数量</w:t>
            </w:r>
          </w:p>
        </w:tc>
        <w:tc>
          <w:tcPr>
            <w:tcW w:w="773" w:type="dxa"/>
            <w:noWrap w:val="0"/>
            <w:vAlign w:val="center"/>
          </w:tcPr>
          <w:p>
            <w:pPr>
              <w:pStyle w:val="63"/>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姓名</w:t>
            </w: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职称</w:t>
            </w:r>
          </w:p>
        </w:tc>
        <w:tc>
          <w:tcPr>
            <w:tcW w:w="1260" w:type="dxa"/>
            <w:noWrap w:val="0"/>
            <w:vAlign w:val="center"/>
          </w:tcPr>
          <w:p>
            <w:pPr>
              <w:pStyle w:val="63"/>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r>
              <w:rPr>
                <w:rFonts w:hint="eastAsia" w:ascii="宋体" w:hAnsi="宋体" w:eastAsia="宋体"/>
                <w:color w:val="000000" w:themeColor="text1"/>
                <w:highlight w:val="none"/>
                <w14:textFill>
                  <w14:solidFill>
                    <w14:schemeClr w14:val="tx1"/>
                  </w14:solidFill>
                </w14:textFill>
              </w:rPr>
              <w:t>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项目负责人</w:t>
            </w:r>
          </w:p>
          <w:p>
            <w:pPr>
              <w:spacing w:before="0" w:line="24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（兼施工负责人）</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0" w:line="24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设计负责人</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0" w:line="240" w:lineRule="auto"/>
              <w:ind w:left="0" w:leftChars="0" w:firstLine="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施工</w:t>
            </w:r>
            <w:r>
              <w:rPr>
                <w:rFonts w:hint="eastAsia" w:ascii="宋体" w:hAnsi="宋体" w:eastAsia="宋体" w:cs="宋体"/>
                <w:color w:val="000000" w:themeColor="text1"/>
                <w:sz w:val="24"/>
                <w:szCs w:val="24"/>
                <w:highlight w:val="none"/>
                <w:u w:val="none"/>
                <w14:textFill>
                  <w14:solidFill>
                    <w14:schemeClr w14:val="tx1"/>
                  </w14:solidFill>
                </w14:textFill>
              </w:rPr>
              <w:t>技术负责人</w:t>
            </w:r>
          </w:p>
        </w:tc>
        <w:tc>
          <w:tcPr>
            <w:tcW w:w="1284" w:type="dxa"/>
            <w:noWrap w:val="0"/>
            <w:vAlign w:val="center"/>
          </w:tcPr>
          <w:p>
            <w:pPr>
              <w:pStyle w:val="63"/>
              <w:adjustRightInd w:val="0"/>
              <w:snapToGrid w:val="0"/>
              <w:spacing w:before="0" w:after="0"/>
              <w:ind w:firstLine="198"/>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120" w:line="400" w:lineRule="exact"/>
              <w:ind w:left="720" w:leftChars="0" w:hanging="720" w:firstLine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专职安全员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rPr>
                <w:rFonts w:hint="eastAsia" w:ascii="宋体" w:hAnsi="宋体"/>
                <w:color w:val="000000" w:themeColor="text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120" w:line="400" w:lineRule="exact"/>
              <w:ind w:left="720" w:leftChars="0" w:hanging="720" w:firstLine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造价员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rPr>
                <w:rFonts w:hint="eastAsia" w:ascii="宋体" w:hAnsi="宋体"/>
                <w:color w:val="000000" w:themeColor="text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120" w:line="400" w:lineRule="exact"/>
              <w:ind w:left="720" w:leftChars="0" w:hanging="720" w:firstLine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资料员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rPr>
                <w:rFonts w:hint="eastAsia" w:ascii="宋体" w:hAnsi="宋体"/>
                <w:color w:val="000000" w:themeColor="text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120" w:line="400" w:lineRule="exact"/>
              <w:ind w:left="720" w:leftChars="0" w:hanging="720" w:firstLine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施工员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widowControl/>
              <w:spacing w:before="0" w:line="240" w:lineRule="auto"/>
              <w:ind w:left="0" w:leftChars="0" w:firstLine="0" w:firstLineChars="0"/>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质量</w:t>
            </w:r>
            <w:r>
              <w:rPr>
                <w:rFonts w:hint="eastAsia" w:ascii="宋体" w:hAnsi="宋体" w:eastAsia="宋体" w:cs="宋体"/>
                <w:color w:val="000000" w:themeColor="text1"/>
                <w:kern w:val="0"/>
                <w:sz w:val="24"/>
                <w:szCs w:val="24"/>
                <w:highlight w:val="none"/>
                <w:lang w:bidi="ar"/>
                <w14:textFill>
                  <w14:solidFill>
                    <w14:schemeClr w14:val="tx1"/>
                  </w14:solidFill>
                </w14:textFill>
              </w:rPr>
              <w:t>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widowControl/>
              <w:spacing w:before="0" w:line="240" w:lineRule="auto"/>
              <w:ind w:left="0" w:leftChars="0" w:firstLine="0" w:firstLineChars="0"/>
              <w:jc w:val="center"/>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材料员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spacing w:before="120"/>
              <w:ind w:left="720" w:leftChars="0" w:hanging="720" w:firstLineChars="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6" w:type="dxa"/>
            <w:noWrap w:val="0"/>
            <w:vAlign w:val="center"/>
          </w:tcPr>
          <w:p>
            <w:pPr>
              <w:pStyle w:val="63"/>
              <w:numPr>
                <w:ilvl w:val="0"/>
                <w:numId w:val="4"/>
              </w:numPr>
              <w:adjustRightInd w:val="0"/>
              <w:snapToGrid w:val="0"/>
              <w:spacing w:before="0" w:after="0"/>
              <w:jc w:val="center"/>
              <w:rPr>
                <w:rFonts w:hint="eastAsia" w:ascii="宋体" w:hAnsi="宋体" w:eastAsia="宋体"/>
                <w:color w:val="000000" w:themeColor="text1"/>
                <w:highlight w:val="none"/>
                <w14:textFill>
                  <w14:solidFill>
                    <w14:schemeClr w14:val="tx1"/>
                  </w14:solidFill>
                </w14:textFill>
              </w:rPr>
            </w:pPr>
          </w:p>
        </w:tc>
        <w:tc>
          <w:tcPr>
            <w:tcW w:w="2145" w:type="dxa"/>
            <w:noWrap w:val="0"/>
            <w:vAlign w:val="center"/>
          </w:tcPr>
          <w:p>
            <w:pPr>
              <w:pStyle w:val="63"/>
              <w:adjustRightInd w:val="0"/>
              <w:snapToGrid w:val="0"/>
              <w:spacing w:before="0" w:after="0"/>
              <w:ind w:firstLine="198" w:firstLineChars="0"/>
              <w:jc w:val="cente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投标人认为需投入的其他人员</w:t>
            </w:r>
          </w:p>
        </w:tc>
        <w:tc>
          <w:tcPr>
            <w:tcW w:w="1284"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773"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c>
          <w:tcPr>
            <w:tcW w:w="2015" w:type="dxa"/>
            <w:noWrap w:val="0"/>
            <w:vAlign w:val="center"/>
          </w:tcPr>
          <w:p>
            <w:pPr>
              <w:pStyle w:val="63"/>
              <w:adjustRightInd w:val="0"/>
              <w:snapToGrid w:val="0"/>
              <w:spacing w:before="0" w:after="0"/>
              <w:ind w:firstLine="198"/>
              <w:jc w:val="center"/>
              <w:rPr>
                <w:rFonts w:hint="eastAsia" w:ascii="宋体" w:hAnsi="宋体" w:eastAsia="宋体"/>
                <w:color w:val="000000" w:themeColor="text1"/>
                <w:sz w:val="21"/>
                <w:szCs w:val="21"/>
                <w:highlight w:val="none"/>
                <w14:textFill>
                  <w14:solidFill>
                    <w14:schemeClr w14:val="tx1"/>
                  </w14:solidFill>
                </w14:textFill>
              </w:rPr>
            </w:pPr>
          </w:p>
        </w:tc>
        <w:tc>
          <w:tcPr>
            <w:tcW w:w="1260" w:type="dxa"/>
            <w:noWrap w:val="0"/>
            <w:vAlign w:val="center"/>
          </w:tcPr>
          <w:p>
            <w:pPr>
              <w:pStyle w:val="63"/>
              <w:adjustRightInd w:val="0"/>
              <w:snapToGrid w:val="0"/>
              <w:spacing w:before="0" w:after="0"/>
              <w:ind w:firstLine="198"/>
              <w:jc w:val="center"/>
              <w:rPr>
                <w:rFonts w:hint="eastAsia" w:ascii="宋体" w:hAnsi="宋体" w:eastAsia="宋体"/>
                <w:color w:val="000000" w:themeColor="text1"/>
                <w:highlight w:val="none"/>
                <w14:textFill>
                  <w14:solidFill>
                    <w14:schemeClr w14:val="tx1"/>
                  </w14:solidFill>
                </w14:textFill>
              </w:rPr>
            </w:pPr>
          </w:p>
        </w:tc>
      </w:tr>
    </w:tbl>
    <w:p>
      <w:pPr>
        <w:pStyle w:val="32"/>
        <w:spacing w:line="240" w:lineRule="auto"/>
        <w:ind w:firstLine="0"/>
        <w:jc w:val="both"/>
        <w:rPr>
          <w:rFonts w:hint="eastAsia"/>
          <w:color w:val="000000" w:themeColor="text1"/>
          <w:highlight w:val="none"/>
          <w14:textFill>
            <w14:solidFill>
              <w14:schemeClr w14:val="tx1"/>
            </w14:solidFill>
          </w14:textFill>
        </w:rPr>
      </w:pPr>
    </w:p>
    <w:p>
      <w:pPr>
        <w:pStyle w:val="20"/>
        <w:adjustRightInd w:val="0"/>
        <w:snapToGrid w:val="0"/>
        <w:spacing w:line="360" w:lineRule="auto"/>
        <w:rPr>
          <w:rFonts w:hint="eastAsia" w:hAnsi="宋体"/>
          <w:color w:val="000000" w:themeColor="text1"/>
          <w:highlight w:val="none"/>
          <w14:textFill>
            <w14:solidFill>
              <w14:schemeClr w14:val="tx1"/>
            </w14:solidFill>
          </w14:textFill>
        </w:rPr>
      </w:pPr>
    </w:p>
    <w:p>
      <w:pPr>
        <w:adjustRightInd w:val="0"/>
        <w:snapToGrid w:val="0"/>
        <w:spacing w:line="360" w:lineRule="auto"/>
        <w:ind w:firstLine="482"/>
        <w:outlineLvl w:val="1"/>
        <w:rPr>
          <w:rFonts w:hint="eastAsia" w:ascii="宋体" w:hAnsi="宋体"/>
          <w:b/>
          <w:color w:val="000000" w:themeColor="text1"/>
          <w:sz w:val="24"/>
          <w:highlight w:val="none"/>
          <w14:textFill>
            <w14:solidFill>
              <w14:schemeClr w14:val="tx1"/>
            </w14:solidFill>
          </w14:textFill>
        </w:rPr>
      </w:pPr>
    </w:p>
    <w:p>
      <w:pPr>
        <w:adjustRightInd w:val="0"/>
        <w:snapToGrid w:val="0"/>
        <w:spacing w:line="360" w:lineRule="auto"/>
        <w:outlineLvl w:val="1"/>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bookmarkStart w:id="1996" w:name="_Toc15641"/>
      <w:bookmarkStart w:id="1997" w:name="_Toc28318"/>
      <w:bookmarkStart w:id="1998" w:name="_Toc396406317"/>
      <w:bookmarkStart w:id="1999" w:name="_Toc100504396"/>
      <w:bookmarkStart w:id="2000" w:name="_Toc1675"/>
      <w:r>
        <w:rPr>
          <w:rFonts w:hint="eastAsia" w:ascii="宋体" w:hAnsi="宋体"/>
          <w:b/>
          <w:color w:val="000000" w:themeColor="text1"/>
          <w:sz w:val="24"/>
          <w:highlight w:val="none"/>
          <w14:textFill>
            <w14:solidFill>
              <w14:schemeClr w14:val="tx1"/>
            </w14:solidFill>
          </w14:textFill>
        </w:rPr>
        <w:t>附件十九：遵守《施工总承包单位安全总责承诺书》的承诺书</w:t>
      </w:r>
      <w:bookmarkEnd w:id="1996"/>
      <w:bookmarkEnd w:id="1997"/>
      <w:bookmarkEnd w:id="1998"/>
      <w:bookmarkEnd w:id="1999"/>
      <w:bookmarkEnd w:id="2000"/>
    </w:p>
    <w:p>
      <w:pPr>
        <w:jc w:val="center"/>
        <w:outlineLvl w:val="1"/>
        <w:rPr>
          <w:rFonts w:hint="eastAsia" w:ascii="宋体" w:hAnsi="宋体"/>
          <w:b/>
          <w:color w:val="000000" w:themeColor="text1"/>
          <w:sz w:val="32"/>
          <w:szCs w:val="32"/>
          <w:highlight w:val="none"/>
          <w14:textFill>
            <w14:solidFill>
              <w14:schemeClr w14:val="tx1"/>
            </w14:solidFill>
          </w14:textFill>
        </w:rPr>
      </w:pPr>
    </w:p>
    <w:p>
      <w:pPr>
        <w:pStyle w:val="59"/>
        <w:ind w:firstLine="0" w:firstLineChars="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致：广州市番禺区水务工程建管中心（广州市番禺区水旱灾害防御中心）：</w:t>
      </w:r>
    </w:p>
    <w:p>
      <w:pPr>
        <w:pStyle w:val="59"/>
        <w:ind w:firstLine="496"/>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我司已理解发包人对本招标项目安全施工和余泥渣土运输与排放管理工作的要求，根据广州市建设委员会的《建设工地余泥渣土运输与排放源头管理工作实施意见》，我司郑重作出以下承诺：</w:t>
      </w:r>
    </w:p>
    <w:p>
      <w:pPr>
        <w:pStyle w:val="59"/>
        <w:ind w:firstLine="496"/>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1、工地余泥渣土运输与排放管理员由专职安全员兼任；</w:t>
      </w:r>
    </w:p>
    <w:p>
      <w:pPr>
        <w:pStyle w:val="59"/>
        <w:ind w:firstLine="496"/>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严格遵守《施工总承包单位安全总责承诺书》的以下内容：严格遵守建设工程余泥渣土运输与排放管理制度，执行“一不准进、三不准出”规定。选择合法的余泥渣土运输单位及排放点。承诺如违反建设工程余泥渣土运输与排放管理制度，将自愿接受：通报批评，记录不良行为，列入黑名单，并暂停企业投标报名一年，对项目负责人暂停投标报名二年。多次违规的，暂停投标报名二至三年，并提请资质审批部门降低或吊销企业资质、项目经理的建造师从业资格和专职安全员安全培训考核证书。</w:t>
      </w:r>
    </w:p>
    <w:p>
      <w:pPr>
        <w:pStyle w:val="59"/>
        <w:ind w:firstLine="0" w:firstLineChars="0"/>
        <w:rPr>
          <w:rFonts w:hint="eastAsia" w:ascii="宋体" w:hAnsi="宋体"/>
          <w:color w:val="000000" w:themeColor="text1"/>
          <w:highlight w:val="none"/>
          <w14:textFill>
            <w14:solidFill>
              <w14:schemeClr w14:val="tx1"/>
            </w14:solidFill>
          </w14:textFill>
        </w:rPr>
      </w:pPr>
    </w:p>
    <w:p>
      <w:pPr>
        <w:pStyle w:val="59"/>
        <w:ind w:firstLine="0" w:firstLineChars="0"/>
        <w:rPr>
          <w:rFonts w:hint="eastAsia" w:ascii="宋体" w:hAnsi="宋体"/>
          <w:color w:val="000000" w:themeColor="text1"/>
          <w:highlight w:val="none"/>
          <w14:textFill>
            <w14:solidFill>
              <w14:schemeClr w14:val="tx1"/>
            </w14:solidFill>
          </w14:textFill>
        </w:rPr>
      </w:pPr>
    </w:p>
    <w:p>
      <w:pPr>
        <w:pStyle w:val="59"/>
        <w:ind w:firstLine="0" w:firstLineChars="0"/>
        <w:rPr>
          <w:rFonts w:hint="eastAsia" w:ascii="宋体" w:hAnsi="宋体"/>
          <w:color w:val="000000" w:themeColor="text1"/>
          <w:highlight w:val="none"/>
          <w14:textFill>
            <w14:solidFill>
              <w14:schemeClr w14:val="tx1"/>
            </w14:solidFill>
          </w14:textFill>
        </w:rPr>
      </w:pPr>
    </w:p>
    <w:p>
      <w:pPr>
        <w:pStyle w:val="59"/>
        <w:ind w:firstLine="3295" w:firstLineChars="1329"/>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承包人：　　（盖公章）</w:t>
      </w:r>
    </w:p>
    <w:p>
      <w:pPr>
        <w:pStyle w:val="59"/>
        <w:ind w:firstLine="3295" w:firstLineChars="1329"/>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法定代表人或授权代理人（签字或盖章）：</w:t>
      </w:r>
    </w:p>
    <w:p>
      <w:pPr>
        <w:pStyle w:val="59"/>
        <w:ind w:firstLine="3295" w:firstLineChars="1329"/>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日期：</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59"/>
        <w:ind w:firstLine="0" w:firstLineChars="0"/>
        <w:rPr>
          <w:rFonts w:hint="eastAsia" w:ascii="宋体" w:hAnsi="宋体"/>
          <w:color w:val="000000" w:themeColor="text1"/>
          <w:highlight w:val="none"/>
          <w14:textFill>
            <w14:solidFill>
              <w14:schemeClr w14:val="tx1"/>
            </w14:solidFill>
          </w14:textFill>
        </w:rPr>
      </w:pPr>
    </w:p>
    <w:p>
      <w:pPr>
        <w:jc w:val="left"/>
        <w:rPr>
          <w:rFonts w:hint="eastAsia"/>
          <w:color w:val="000000" w:themeColor="text1"/>
          <w:sz w:val="24"/>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ind w:left="359" w:leftChars="171" w:firstLine="420" w:firstLineChars="200"/>
        <w:rPr>
          <w:rFonts w:hint="eastAsia" w:ascii="宋体" w:hAnsi="宋体"/>
          <w:color w:val="000000" w:themeColor="text1"/>
          <w:szCs w:val="21"/>
          <w:highlight w:val="none"/>
          <w14:textFill>
            <w14:solidFill>
              <w14:schemeClr w14:val="tx1"/>
            </w14:solidFill>
          </w14:textFill>
        </w:rPr>
      </w:pPr>
    </w:p>
    <w:p>
      <w:pPr>
        <w:spacing w:line="360" w:lineRule="auto"/>
        <w:outlineLvl w:val="1"/>
        <w:rPr>
          <w:rFonts w:hint="eastAsia" w:ascii="宋体" w:hAnsi="宋体"/>
          <w:b/>
          <w:color w:val="000000" w:themeColor="text1"/>
          <w:sz w:val="30"/>
          <w:highlight w:val="none"/>
          <w14:textFill>
            <w14:solidFill>
              <w14:schemeClr w14:val="tx1"/>
            </w14:solidFill>
          </w14:textFill>
        </w:rPr>
      </w:pPr>
      <w:bookmarkStart w:id="2001" w:name="_Toc396406318"/>
      <w:bookmarkStart w:id="2002" w:name="_Toc15381"/>
      <w:bookmarkStart w:id="2003" w:name="_Toc4723"/>
      <w:bookmarkStart w:id="2004" w:name="_Toc17539"/>
      <w:bookmarkStart w:id="2005" w:name="_Toc100504397"/>
      <w:r>
        <w:rPr>
          <w:rFonts w:hint="eastAsia" w:ascii="宋体" w:hAnsi="宋体"/>
          <w:b/>
          <w:color w:val="000000" w:themeColor="text1"/>
          <w:sz w:val="24"/>
          <w:highlight w:val="none"/>
          <w14:textFill>
            <w14:solidFill>
              <w14:schemeClr w14:val="tx1"/>
            </w14:solidFill>
          </w14:textFill>
        </w:rPr>
        <w:t>附件二十：承包人承揽工程项目一览表</w:t>
      </w:r>
      <w:bookmarkEnd w:id="2001"/>
      <w:r>
        <w:rPr>
          <w:rFonts w:hint="eastAsia" w:ascii="宋体" w:hAnsi="宋体"/>
          <w:b/>
          <w:color w:val="000000" w:themeColor="text1"/>
          <w:sz w:val="24"/>
          <w:highlight w:val="none"/>
          <w14:textFill>
            <w14:solidFill>
              <w14:schemeClr w14:val="tx1"/>
            </w14:solidFill>
          </w14:textFill>
        </w:rPr>
        <w:t>（本工程不需要本表）</w:t>
      </w:r>
      <w:bookmarkEnd w:id="2002"/>
      <w:bookmarkEnd w:id="2003"/>
      <w:bookmarkEnd w:id="2004"/>
      <w:bookmarkEnd w:id="2005"/>
    </w:p>
    <w:p>
      <w:pPr>
        <w:spacing w:line="360" w:lineRule="auto"/>
        <w:rPr>
          <w:rFonts w:hint="eastAsia" w:ascii="宋体" w:hAnsi="宋体"/>
          <w:color w:val="000000" w:themeColor="text1"/>
          <w:sz w:val="24"/>
          <w:highlight w:val="none"/>
          <w14:textFill>
            <w14:solidFill>
              <w14:schemeClr w14:val="tx1"/>
            </w14:solidFill>
          </w14:textFill>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911"/>
        <w:gridCol w:w="911"/>
        <w:gridCol w:w="911"/>
        <w:gridCol w:w="911"/>
        <w:gridCol w:w="910"/>
        <w:gridCol w:w="911"/>
        <w:gridCol w:w="911"/>
        <w:gridCol w:w="911"/>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910"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单位工程名称</w:t>
            </w:r>
          </w:p>
        </w:tc>
        <w:tc>
          <w:tcPr>
            <w:tcW w:w="911" w:type="dxa"/>
            <w:noWrap w:val="0"/>
            <w:vAlign w:val="center"/>
          </w:tcPr>
          <w:p>
            <w:pPr>
              <w:pStyle w:val="22"/>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建设规模</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建筑</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面积</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结构</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层数</w:t>
            </w:r>
          </w:p>
        </w:tc>
        <w:tc>
          <w:tcPr>
            <w:tcW w:w="910"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跨度</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（米）</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设备安装内容</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工程</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造价</w:t>
            </w:r>
          </w:p>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（元）</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开工工期</w:t>
            </w:r>
          </w:p>
        </w:tc>
        <w:tc>
          <w:tcPr>
            <w:tcW w:w="911" w:type="dxa"/>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0"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c>
          <w:tcPr>
            <w:tcW w:w="911" w:type="dxa"/>
            <w:noWrap w:val="0"/>
            <w:vAlign w:val="top"/>
          </w:tcPr>
          <w:p>
            <w:pPr>
              <w:spacing w:line="360" w:lineRule="auto"/>
              <w:rPr>
                <w:rFonts w:hint="eastAsia" w:ascii="宋体" w:hAnsi="宋体"/>
                <w:color w:val="000000" w:themeColor="text1"/>
                <w:sz w:val="24"/>
                <w:highlight w:val="none"/>
                <w14:textFill>
                  <w14:solidFill>
                    <w14:schemeClr w14:val="tx1"/>
                  </w14:solidFill>
                </w14:textFill>
              </w:rPr>
            </w:pPr>
          </w:p>
        </w:tc>
      </w:tr>
    </w:tbl>
    <w:p>
      <w:pPr>
        <w:spacing w:line="360" w:lineRule="auto"/>
        <w:rPr>
          <w:color w:val="000000" w:themeColor="text1"/>
          <w:szCs w:val="21"/>
          <w:highlight w:val="none"/>
          <w14:textFill>
            <w14:solidFill>
              <w14:schemeClr w14:val="tx1"/>
            </w14:solidFill>
          </w14:textFill>
        </w:rPr>
      </w:pPr>
    </w:p>
    <w:p>
      <w:pPr>
        <w:pStyle w:val="4"/>
        <w:jc w:val="left"/>
        <w:rPr>
          <w:rFonts w:hint="eastAsia" w:ascii="宋体" w:hAnsi="宋体" w:eastAsia="宋体"/>
          <w:bCs w:val="0"/>
          <w:color w:val="000000" w:themeColor="text1"/>
          <w:kern w:val="0"/>
          <w:sz w:val="24"/>
          <w:szCs w:val="24"/>
          <w:highlight w:val="none"/>
          <w14:textFill>
            <w14:solidFill>
              <w14:schemeClr w14:val="tx1"/>
            </w14:solidFill>
          </w14:textFill>
        </w:rPr>
      </w:pPr>
      <w:r>
        <w:rPr>
          <w:color w:val="000000" w:themeColor="text1"/>
          <w:szCs w:val="21"/>
          <w:highlight w:val="none"/>
          <w14:textFill>
            <w14:solidFill>
              <w14:schemeClr w14:val="tx1"/>
            </w14:solidFill>
          </w14:textFill>
        </w:rPr>
        <w:br w:type="page"/>
      </w:r>
      <w:bookmarkStart w:id="2006" w:name="_Toc28064"/>
      <w:bookmarkStart w:id="2007" w:name="_Toc743"/>
      <w:bookmarkStart w:id="2008" w:name="_Toc24599"/>
      <w:bookmarkStart w:id="2009" w:name="_Toc528168224"/>
      <w:bookmarkStart w:id="2010" w:name="_Toc100504398"/>
      <w:r>
        <w:rPr>
          <w:rFonts w:ascii="宋体" w:hAnsi="宋体" w:eastAsia="宋体"/>
          <w:bCs w:val="0"/>
          <w:color w:val="000000" w:themeColor="text1"/>
          <w:kern w:val="0"/>
          <w:sz w:val="24"/>
          <w:szCs w:val="24"/>
          <w:highlight w:val="none"/>
          <w14:textFill>
            <w14:solidFill>
              <w14:schemeClr w14:val="tx1"/>
            </w14:solidFill>
          </w14:textFill>
        </w:rPr>
        <w:t>附件二十一</w:t>
      </w:r>
      <w:r>
        <w:rPr>
          <w:rFonts w:hint="eastAsia" w:ascii="宋体" w:hAnsi="宋体" w:eastAsia="宋体"/>
          <w:bCs w:val="0"/>
          <w:color w:val="000000" w:themeColor="text1"/>
          <w:kern w:val="0"/>
          <w:sz w:val="24"/>
          <w:szCs w:val="24"/>
          <w:highlight w:val="none"/>
          <w14:textFill>
            <w14:solidFill>
              <w14:schemeClr w14:val="tx1"/>
            </w14:solidFill>
          </w14:textFill>
        </w:rPr>
        <w:t>： 广州市住房和城乡建设委员会关于印发建设工程扬尘防治“6个100%” 管理标准细化措施的通知</w:t>
      </w:r>
      <w:bookmarkEnd w:id="2006"/>
      <w:bookmarkEnd w:id="2007"/>
      <w:bookmarkEnd w:id="2008"/>
      <w:bookmarkEnd w:id="2009"/>
      <w:bookmarkEnd w:id="2010"/>
    </w:p>
    <w:p>
      <w:pPr>
        <w:widowControl/>
        <w:spacing w:line="420" w:lineRule="atLeast"/>
        <w:jc w:val="center"/>
        <w:rPr>
          <w:rFonts w:hint="eastAsia" w:ascii="微软雅黑" w:hAnsi="微软雅黑" w:cs="宋体"/>
          <w:color w:val="000000" w:themeColor="text1"/>
          <w:kern w:val="0"/>
          <w:szCs w:val="21"/>
          <w:highlight w:val="none"/>
          <w14:textFill>
            <w14:solidFill>
              <w14:schemeClr w14:val="tx1"/>
            </w14:solidFill>
          </w14:textFill>
        </w:rPr>
      </w:pPr>
    </w:p>
    <w:p>
      <w:pPr>
        <w:widowControl/>
        <w:jc w:val="left"/>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drawing>
          <wp:inline distT="0" distB="0" distL="114300" distR="114300">
            <wp:extent cx="5351780" cy="2228215"/>
            <wp:effectExtent l="0" t="0" r="1270" b="635"/>
            <wp:docPr id="56" name="图片 7" descr="C:\Users\Administrator\AppData\Roaming\Tencent\Users\34113520\QQ\WinTemp\RichOle\FI$OYKJP7)P~AT@KEZP2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descr="C:\Users\Administrator\AppData\Roaming\Tencent\Users\34113520\QQ\WinTemp\RichOle\FI$OYKJP7)P~AT@KEZP2D_6.png"/>
                    <pic:cNvPicPr>
                      <a:picLocks noChangeAspect="1"/>
                    </pic:cNvPicPr>
                  </pic:nvPicPr>
                  <pic:blipFill>
                    <a:blip r:embed="rId43"/>
                    <a:stretch>
                      <a:fillRect/>
                    </a:stretch>
                  </pic:blipFill>
                  <pic:spPr>
                    <a:xfrm>
                      <a:off x="0" y="0"/>
                      <a:ext cx="5351780" cy="2228215"/>
                    </a:xfrm>
                    <a:prstGeom prst="rect">
                      <a:avLst/>
                    </a:prstGeom>
                    <a:noFill/>
                    <a:ln>
                      <a:noFill/>
                    </a:ln>
                  </pic:spPr>
                </pic:pic>
              </a:graphicData>
            </a:graphic>
          </wp:inline>
        </w:drawing>
      </w:r>
    </w:p>
    <w:p>
      <w:pPr>
        <w:widowControl/>
        <w:spacing w:line="420" w:lineRule="atLeast"/>
        <w:jc w:val="center"/>
        <w:rPr>
          <w:rFonts w:hint="eastAsia" w:ascii="微软雅黑" w:hAnsi="微软雅黑" w:cs="宋体"/>
          <w:color w:val="000000" w:themeColor="text1"/>
          <w:kern w:val="0"/>
          <w:szCs w:val="21"/>
          <w:highlight w:val="none"/>
          <w14:textFill>
            <w14:solidFill>
              <w14:schemeClr w14:val="tx1"/>
            </w14:solidFill>
          </w14:textFill>
        </w:rPr>
      </w:pPr>
    </w:p>
    <w:p>
      <w:pPr>
        <w:widowControl/>
        <w:spacing w:line="580" w:lineRule="atLeast"/>
        <w:jc w:val="center"/>
        <w:outlineLvl w:val="1"/>
        <w:rPr>
          <w:rFonts w:hint="eastAsia" w:ascii="宋体" w:hAnsi="宋体" w:cs="宋体"/>
          <w:color w:val="000000" w:themeColor="text1"/>
          <w:kern w:val="0"/>
          <w:sz w:val="44"/>
          <w:szCs w:val="44"/>
          <w:highlight w:val="none"/>
          <w14:textFill>
            <w14:solidFill>
              <w14:schemeClr w14:val="tx1"/>
            </w14:solidFill>
          </w14:textFill>
        </w:rPr>
      </w:pPr>
      <w:r>
        <w:rPr>
          <w:rFonts w:hint="eastAsia" w:ascii="宋体" w:hAnsi="宋体" w:cs="宋体"/>
          <w:color w:val="000000" w:themeColor="text1"/>
          <w:kern w:val="0"/>
          <w:sz w:val="44"/>
          <w:szCs w:val="44"/>
          <w:highlight w:val="none"/>
          <w14:textFill>
            <w14:solidFill>
              <w14:schemeClr w14:val="tx1"/>
            </w14:solidFill>
          </w14:textFill>
        </w:rPr>
        <w:t xml:space="preserve">   </w:t>
      </w:r>
      <w:bookmarkStart w:id="2011" w:name="_Toc91229906"/>
      <w:bookmarkStart w:id="2012" w:name="_Toc528168225"/>
      <w:bookmarkStart w:id="2013" w:name="_Toc91843543"/>
      <w:bookmarkStart w:id="2014" w:name="_Toc8646"/>
      <w:bookmarkStart w:id="2015" w:name="_Toc2874"/>
      <w:bookmarkStart w:id="2016" w:name="_Toc91843128"/>
      <w:bookmarkStart w:id="2017" w:name="_Toc24874"/>
      <w:bookmarkStart w:id="2018" w:name="_Toc530482980"/>
      <w:bookmarkStart w:id="2019" w:name="_Toc100504399"/>
      <w:r>
        <w:rPr>
          <w:rFonts w:hint="eastAsia" w:ascii="宋体" w:hAnsi="宋体" w:cs="宋体"/>
          <w:color w:val="000000" w:themeColor="text1"/>
          <w:kern w:val="0"/>
          <w:sz w:val="44"/>
          <w:szCs w:val="44"/>
          <w:highlight w:val="none"/>
          <w14:textFill>
            <w14:solidFill>
              <w14:schemeClr w14:val="tx1"/>
            </w14:solidFill>
          </w14:textFill>
        </w:rPr>
        <w:t>广州市住房和城乡建设委员会关于印发建设工程扬尘防治“6个100%”管理</w:t>
      </w:r>
      <w:bookmarkEnd w:id="2011"/>
      <w:bookmarkEnd w:id="2012"/>
      <w:bookmarkEnd w:id="2013"/>
      <w:bookmarkEnd w:id="2014"/>
      <w:bookmarkEnd w:id="2015"/>
      <w:bookmarkEnd w:id="2016"/>
      <w:bookmarkEnd w:id="2017"/>
      <w:bookmarkEnd w:id="2018"/>
      <w:bookmarkEnd w:id="2019"/>
    </w:p>
    <w:p>
      <w:pPr>
        <w:widowControl/>
        <w:spacing w:line="580" w:lineRule="atLeast"/>
        <w:jc w:val="center"/>
        <w:outlineLvl w:val="1"/>
        <w:rPr>
          <w:rFonts w:hint="eastAsia" w:ascii="宋体" w:hAnsi="宋体" w:cs="宋体"/>
          <w:color w:val="000000" w:themeColor="text1"/>
          <w:kern w:val="0"/>
          <w:sz w:val="44"/>
          <w:szCs w:val="44"/>
          <w:highlight w:val="none"/>
          <w14:textFill>
            <w14:solidFill>
              <w14:schemeClr w14:val="tx1"/>
            </w14:solidFill>
          </w14:textFill>
        </w:rPr>
      </w:pPr>
      <w:bookmarkStart w:id="2020" w:name="_Toc528168226"/>
      <w:bookmarkStart w:id="2021" w:name="_Toc12827"/>
      <w:bookmarkStart w:id="2022" w:name="_Toc91843129"/>
      <w:bookmarkStart w:id="2023" w:name="_Toc530482981"/>
      <w:bookmarkStart w:id="2024" w:name="_Toc23704"/>
      <w:bookmarkStart w:id="2025" w:name="_Toc100504400"/>
      <w:bookmarkStart w:id="2026" w:name="_Toc91229907"/>
      <w:bookmarkStart w:id="2027" w:name="_Toc91843544"/>
      <w:bookmarkStart w:id="2028" w:name="_Toc25045"/>
      <w:r>
        <w:rPr>
          <w:rFonts w:hint="eastAsia" w:ascii="宋体" w:hAnsi="宋体" w:cs="宋体"/>
          <w:color w:val="000000" w:themeColor="text1"/>
          <w:kern w:val="0"/>
          <w:sz w:val="44"/>
          <w:szCs w:val="44"/>
          <w:highlight w:val="none"/>
          <w14:textFill>
            <w14:solidFill>
              <w14:schemeClr w14:val="tx1"/>
            </w14:solidFill>
          </w14:textFill>
        </w:rPr>
        <w:t>标准细化措施的通知</w:t>
      </w:r>
      <w:bookmarkEnd w:id="2020"/>
      <w:bookmarkEnd w:id="2021"/>
      <w:bookmarkEnd w:id="2022"/>
      <w:bookmarkEnd w:id="2023"/>
      <w:bookmarkEnd w:id="2024"/>
      <w:bookmarkEnd w:id="2025"/>
      <w:bookmarkEnd w:id="2026"/>
      <w:bookmarkEnd w:id="2027"/>
      <w:bookmarkEnd w:id="2028"/>
    </w:p>
    <w:p>
      <w:pPr>
        <w:widowControl/>
        <w:spacing w:line="580" w:lineRule="atLeast"/>
        <w:jc w:val="center"/>
        <w:outlineLvl w:val="1"/>
        <w:rPr>
          <w:rFonts w:ascii="微软雅黑" w:hAnsi="微软雅黑" w:cs="宋体"/>
          <w:color w:val="000000" w:themeColor="text1"/>
          <w:kern w:val="0"/>
          <w:sz w:val="36"/>
          <w:szCs w:val="36"/>
          <w:highlight w:val="none"/>
          <w14:textFill>
            <w14:solidFill>
              <w14:schemeClr w14:val="tx1"/>
            </w14:solidFill>
          </w14:textFill>
        </w:rPr>
      </w:pPr>
    </w:p>
    <w:p>
      <w:pPr>
        <w:widowControl/>
        <w:spacing w:after="375" w:line="420" w:lineRule="atLeast"/>
        <w:jc w:val="left"/>
        <w:rPr>
          <w:rFonts w:hint="eastAsia" w:ascii="仿宋_GB2312" w:hAnsi="微软雅黑" w:eastAsia="仿宋_GB2312" w:cs="宋体"/>
          <w:color w:val="000000" w:themeColor="text1"/>
          <w:kern w:val="0"/>
          <w:sz w:val="32"/>
          <w:szCs w:val="32"/>
          <w:highlight w:val="none"/>
          <w14:textFill>
            <w14:solidFill>
              <w14:schemeClr w14:val="tx1"/>
            </w14:solidFill>
          </w14:textFill>
        </w:rPr>
      </w:pPr>
      <w:r>
        <w:rPr>
          <w:rFonts w:hint="eastAsia" w:ascii="仿宋_GB2312" w:hAnsi="微软雅黑" w:eastAsia="仿宋_GB2312" w:cs="宋体"/>
          <w:color w:val="000000" w:themeColor="text1"/>
          <w:kern w:val="0"/>
          <w:sz w:val="32"/>
          <w:szCs w:val="32"/>
          <w:highlight w:val="none"/>
          <w14:textFill>
            <w14:solidFill>
              <w14:schemeClr w14:val="tx1"/>
            </w14:solidFill>
          </w14:textFill>
        </w:rPr>
        <w:t>各区住建局、广州空港委国土规划和建设局，各有关单位：</w:t>
      </w:r>
    </w:p>
    <w:p>
      <w:pPr>
        <w:widowControl/>
        <w:spacing w:before="104" w:after="104" w:line="418" w:lineRule="atLeast"/>
        <w:ind w:firstLine="418"/>
        <w:rPr>
          <w:rFonts w:hint="eastAsia" w:ascii="仿宋_GB2312" w:hAnsi="微软雅黑" w:eastAsia="仿宋_GB2312" w:cs="宋体"/>
          <w:color w:val="000000" w:themeColor="text1"/>
          <w:kern w:val="0"/>
          <w:sz w:val="32"/>
          <w:szCs w:val="32"/>
          <w:highlight w:val="none"/>
          <w14:textFill>
            <w14:solidFill>
              <w14:schemeClr w14:val="tx1"/>
            </w14:solidFill>
          </w14:textFill>
        </w:rPr>
      </w:pPr>
      <w:r>
        <w:rPr>
          <w:rFonts w:hint="eastAsia" w:ascii="仿宋_GB2312" w:hAnsi="微软雅黑" w:eastAsia="仿宋_GB2312" w:cs="宋体"/>
          <w:color w:val="000000" w:themeColor="text1"/>
          <w:kern w:val="0"/>
          <w:sz w:val="32"/>
          <w:szCs w:val="32"/>
          <w:highlight w:val="none"/>
          <w14:textFill>
            <w14:solidFill>
              <w14:schemeClr w14:val="tx1"/>
            </w14:solidFill>
          </w14:textFill>
        </w:rPr>
        <w:t>为加强我市建筑工地文明施工管理，控制施工扬尘，推进生态文明建设，坚决打赢蓝天保卫战，我委制定了《广州市建设工程扬尘防治“6个100％”管理标准细化措施》。现印发给你们，请认真贯彻执行。执行中遇到的问题，请径向市住房城乡建设委反映。</w:t>
      </w:r>
    </w:p>
    <w:p>
      <w:pPr>
        <w:widowControl/>
        <w:spacing w:before="104" w:after="104" w:line="418" w:lineRule="atLeast"/>
        <w:ind w:firstLine="418"/>
        <w:rPr>
          <w:rFonts w:hint="eastAsia" w:ascii="仿宋_GB2312" w:hAnsi="微软雅黑" w:eastAsia="仿宋_GB2312" w:cs="宋体"/>
          <w:color w:val="000000" w:themeColor="text1"/>
          <w:kern w:val="0"/>
          <w:sz w:val="32"/>
          <w:szCs w:val="32"/>
          <w:highlight w:val="none"/>
          <w14:textFill>
            <w14:solidFill>
              <w14:schemeClr w14:val="tx1"/>
            </w14:solidFill>
          </w14:textFill>
        </w:rPr>
      </w:pPr>
      <w:r>
        <w:rPr>
          <w:rFonts w:hint="eastAsia" w:ascii="仿宋_GB2312" w:hAnsi="微软雅黑" w:eastAsia="仿宋_GB2312" w:cs="宋体"/>
          <w:color w:val="000000" w:themeColor="text1"/>
          <w:kern w:val="0"/>
          <w:sz w:val="32"/>
          <w:szCs w:val="32"/>
          <w:highlight w:val="none"/>
          <w14:textFill>
            <w14:solidFill>
              <w14:schemeClr w14:val="tx1"/>
            </w14:solidFill>
          </w14:textFill>
        </w:rPr>
        <w:t>特此通知。</w:t>
      </w:r>
    </w:p>
    <w:p>
      <w:pPr>
        <w:widowControl/>
        <w:spacing w:before="104" w:after="104" w:line="418" w:lineRule="atLeast"/>
        <w:ind w:firstLine="418"/>
        <w:jc w:val="right"/>
        <w:rPr>
          <w:rFonts w:hint="eastAsia" w:ascii="仿宋_GB2312" w:hAnsi="微软雅黑" w:eastAsia="仿宋_GB2312" w:cs="宋体"/>
          <w:color w:val="000000" w:themeColor="text1"/>
          <w:kern w:val="0"/>
          <w:sz w:val="32"/>
          <w:szCs w:val="32"/>
          <w:highlight w:val="none"/>
          <w14:textFill>
            <w14:solidFill>
              <w14:schemeClr w14:val="tx1"/>
            </w14:solidFill>
          </w14:textFill>
        </w:rPr>
      </w:pPr>
      <w:r>
        <w:rPr>
          <w:rFonts w:hint="eastAsia" w:ascii="仿宋_GB2312" w:hAnsi="微软雅黑" w:eastAsia="仿宋_GB2312" w:cs="宋体"/>
          <w:color w:val="000000" w:themeColor="text1"/>
          <w:kern w:val="0"/>
          <w:sz w:val="32"/>
          <w:szCs w:val="32"/>
          <w:highlight w:val="none"/>
          <w14:textFill>
            <w14:solidFill>
              <w14:schemeClr w14:val="tx1"/>
            </w14:solidFill>
          </w14:textFill>
        </w:rPr>
        <w:t>广州市住房和城乡建设委员会</w:t>
      </w:r>
    </w:p>
    <w:p>
      <w:pPr>
        <w:widowControl/>
        <w:spacing w:before="104" w:after="104" w:line="418" w:lineRule="atLeast"/>
        <w:ind w:firstLine="418"/>
        <w:jc w:val="right"/>
        <w:rPr>
          <w:rFonts w:hint="eastAsia" w:ascii="仿宋_GB2312" w:hAnsi="微软雅黑" w:eastAsia="仿宋_GB2312" w:cs="宋体"/>
          <w:color w:val="000000" w:themeColor="text1"/>
          <w:kern w:val="0"/>
          <w:sz w:val="32"/>
          <w:szCs w:val="32"/>
          <w:highlight w:val="none"/>
          <w14:textFill>
            <w14:solidFill>
              <w14:schemeClr w14:val="tx1"/>
            </w14:solidFill>
          </w14:textFill>
        </w:rPr>
      </w:pPr>
      <w:r>
        <w:rPr>
          <w:rFonts w:hint="eastAsia" w:ascii="仿宋_GB2312" w:hAnsi="微软雅黑" w:eastAsia="仿宋_GB2312" w:cs="宋体"/>
          <w:color w:val="000000" w:themeColor="text1"/>
          <w:kern w:val="0"/>
          <w:sz w:val="32"/>
          <w:szCs w:val="32"/>
          <w:highlight w:val="none"/>
          <w14:textFill>
            <w14:solidFill>
              <w14:schemeClr w14:val="tx1"/>
            </w14:solidFill>
          </w14:textFill>
        </w:rPr>
        <w:t>2018年8月13日</w:t>
      </w:r>
    </w:p>
    <w:p>
      <w:pPr>
        <w:widowControl/>
        <w:spacing w:before="104" w:after="104" w:line="418" w:lineRule="atLeast"/>
        <w:ind w:firstLine="418"/>
        <w:jc w:val="right"/>
        <w:rPr>
          <w:rFonts w:hint="eastAsia" w:ascii="微软雅黑" w:hAnsi="微软雅黑" w:cs="宋体"/>
          <w:color w:val="000000" w:themeColor="text1"/>
          <w:kern w:val="0"/>
          <w:sz w:val="28"/>
          <w:szCs w:val="28"/>
          <w:highlight w:val="none"/>
          <w14:textFill>
            <w14:solidFill>
              <w14:schemeClr w14:val="tx1"/>
            </w14:solidFill>
          </w14:textFill>
        </w:rPr>
      </w:pPr>
    </w:p>
    <w:p>
      <w:pPr>
        <w:widowControl/>
        <w:spacing w:before="104" w:after="104" w:line="418" w:lineRule="atLeast"/>
        <w:ind w:firstLine="418"/>
        <w:jc w:val="right"/>
        <w:rPr>
          <w:rFonts w:ascii="微软雅黑" w:hAnsi="微软雅黑" w:cs="宋体"/>
          <w:color w:val="000000" w:themeColor="text1"/>
          <w:kern w:val="0"/>
          <w:sz w:val="28"/>
          <w:szCs w:val="28"/>
          <w:highlight w:val="none"/>
          <w14:textFill>
            <w14:solidFill>
              <w14:schemeClr w14:val="tx1"/>
            </w14:solidFill>
          </w14:textFill>
        </w:rPr>
      </w:pPr>
    </w:p>
    <w:p>
      <w:pPr>
        <w:widowControl/>
        <w:jc w:val="center"/>
        <w:rPr>
          <w:rFonts w:hint="eastAsia" w:ascii="方正小标宋_GBK" w:hAnsi="宋体" w:eastAsia="方正小标宋_GBK"/>
          <w:color w:val="000000" w:themeColor="text1"/>
          <w:kern w:val="0"/>
          <w:sz w:val="44"/>
          <w:szCs w:val="44"/>
          <w:highlight w:val="none"/>
          <w14:textFill>
            <w14:solidFill>
              <w14:schemeClr w14:val="tx1"/>
            </w14:solidFill>
          </w14:textFill>
        </w:rPr>
      </w:pPr>
      <w:r>
        <w:rPr>
          <w:rFonts w:hint="eastAsia" w:ascii="方正小标宋_GBK" w:hAnsi="宋体" w:eastAsia="方正小标宋_GBK"/>
          <w:color w:val="000000" w:themeColor="text1"/>
          <w:kern w:val="0"/>
          <w:sz w:val="44"/>
          <w:szCs w:val="44"/>
          <w:highlight w:val="none"/>
          <w14:textFill>
            <w14:solidFill>
              <w14:schemeClr w14:val="tx1"/>
            </w14:solidFill>
          </w14:textFill>
        </w:rPr>
        <w:t>广州市建设工程扬尘防治“6个100%”</w:t>
      </w:r>
    </w:p>
    <w:p>
      <w:pPr>
        <w:widowControl/>
        <w:jc w:val="center"/>
        <w:rPr>
          <w:rFonts w:hint="eastAsia" w:ascii="方正小标宋_GBK" w:hAnsi="宋体" w:eastAsia="方正小标宋_GBK"/>
          <w:color w:val="000000" w:themeColor="text1"/>
          <w:kern w:val="0"/>
          <w:sz w:val="44"/>
          <w:szCs w:val="44"/>
          <w:highlight w:val="none"/>
          <w14:textFill>
            <w14:solidFill>
              <w14:schemeClr w14:val="tx1"/>
            </w14:solidFill>
          </w14:textFill>
        </w:rPr>
      </w:pPr>
      <w:r>
        <w:rPr>
          <w:rFonts w:hint="eastAsia" w:ascii="方正小标宋_GBK" w:hAnsi="宋体" w:eastAsia="方正小标宋_GBK"/>
          <w:color w:val="000000" w:themeColor="text1"/>
          <w:kern w:val="0"/>
          <w:sz w:val="44"/>
          <w:szCs w:val="44"/>
          <w:highlight w:val="none"/>
          <w14:textFill>
            <w14:solidFill>
              <w14:schemeClr w14:val="tx1"/>
            </w14:solidFill>
          </w14:textFill>
        </w:rPr>
        <w:t>管理标准细化措施</w:t>
      </w:r>
    </w:p>
    <w:p>
      <w:pPr>
        <w:widowControl/>
        <w:jc w:val="center"/>
        <w:rPr>
          <w:rFonts w:ascii="宋体"/>
          <w:b/>
          <w:color w:val="000000" w:themeColor="text1"/>
          <w:kern w:val="0"/>
          <w:sz w:val="44"/>
          <w:szCs w:val="44"/>
          <w:highlight w:val="none"/>
          <w14:textFill>
            <w14:solidFill>
              <w14:schemeClr w14:val="tx1"/>
            </w14:solidFill>
          </w14:textFill>
        </w:rPr>
      </w:pPr>
    </w:p>
    <w:p>
      <w:pPr>
        <w:widowControl/>
        <w:spacing w:line="360" w:lineRule="auto"/>
        <w:ind w:firstLine="640" w:firstLineChars="200"/>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一、施工现场100%围蔽</w:t>
      </w:r>
    </w:p>
    <w:p>
      <w:pPr>
        <w:widowControl/>
        <w:spacing w:line="360" w:lineRule="auto"/>
        <w:ind w:firstLine="630" w:firstLineChars="196"/>
        <w:rPr>
          <w:rFonts w:hint="eastAsia" w:ascii="楷体_GB2312" w:eastAsia="楷体_GB2312"/>
          <w:b/>
          <w:color w:val="000000" w:themeColor="text1"/>
          <w:kern w:val="0"/>
          <w:sz w:val="32"/>
          <w:szCs w:val="32"/>
          <w:highlight w:val="none"/>
          <w14:textFill>
            <w14:solidFill>
              <w14:schemeClr w14:val="tx1"/>
            </w14:solidFill>
          </w14:textFill>
        </w:rPr>
      </w:pPr>
      <w:r>
        <w:rPr>
          <w:rFonts w:hint="eastAsia" w:ascii="楷体_GB2312" w:eastAsia="楷体_GB2312"/>
          <w:b/>
          <w:color w:val="000000" w:themeColor="text1"/>
          <w:kern w:val="0"/>
          <w:sz w:val="32"/>
          <w:szCs w:val="32"/>
          <w:highlight w:val="none"/>
          <w14:textFill>
            <w14:solidFill>
              <w14:schemeClr w14:val="tx1"/>
            </w14:solidFill>
          </w14:textFill>
        </w:rPr>
        <w:t>（一）</w:t>
      </w:r>
      <w:r>
        <w:rPr>
          <w:rFonts w:hint="eastAsia" w:ascii="楷体_GB2312" w:hAnsi="宋体" w:eastAsia="楷体_GB2312"/>
          <w:b/>
          <w:color w:val="000000" w:themeColor="text1"/>
          <w:kern w:val="0"/>
          <w:sz w:val="32"/>
          <w:szCs w:val="32"/>
          <w:highlight w:val="none"/>
          <w14:textFill>
            <w14:solidFill>
              <w14:schemeClr w14:val="tx1"/>
            </w14:solidFill>
          </w14:textFill>
        </w:rPr>
        <w:t>围蔽总要求</w:t>
      </w:r>
    </w:p>
    <w:p>
      <w:pPr>
        <w:widowControl/>
        <w:spacing w:line="360" w:lineRule="auto"/>
        <w:ind w:firstLine="648" w:firstLineChars="200"/>
        <w:rPr>
          <w:rFonts w:hint="eastAsia" w:eastAsia="仿宋_GB2312"/>
          <w:color w:val="000000" w:themeColor="text1"/>
          <w:kern w:val="0"/>
          <w:sz w:val="32"/>
          <w:szCs w:val="32"/>
          <w:highlight w:val="none"/>
          <w14:textFill>
            <w14:solidFill>
              <w14:schemeClr w14:val="tx1"/>
            </w14:solidFill>
          </w14:textFill>
        </w:rPr>
      </w:pPr>
      <w:r>
        <w:rPr>
          <w:rFonts w:hint="eastAsia" w:eastAsia="仿宋_GB2312"/>
          <w:color w:val="000000" w:themeColor="text1"/>
          <w:spacing w:val="2"/>
          <w:kern w:val="0"/>
          <w:sz w:val="32"/>
          <w:szCs w:val="32"/>
          <w:highlight w:val="none"/>
          <w14:textFill>
            <w14:solidFill>
              <w14:schemeClr w14:val="tx1"/>
            </w14:solidFill>
          </w14:textFill>
        </w:rPr>
        <w:t>1.工地开工前，施工现场必须沿四周连续设置封闭围墙（围挡），</w:t>
      </w:r>
      <w:r>
        <w:rPr>
          <w:rFonts w:hint="eastAsia" w:ascii="仿宋_GB2312" w:eastAsia="仿宋_GB2312"/>
          <w:color w:val="000000" w:themeColor="text1"/>
          <w:kern w:val="0"/>
          <w:sz w:val="32"/>
          <w:szCs w:val="32"/>
          <w:highlight w:val="none"/>
          <w14:textFill>
            <w14:solidFill>
              <w14:schemeClr w14:val="tx1"/>
            </w14:solidFill>
          </w14:textFill>
        </w:rPr>
        <w:t>宜选用彩钢板、砌体等硬质材料搭设，并应保证施工作业人员和周边行人的安全。</w:t>
      </w:r>
      <w:r>
        <w:rPr>
          <w:rFonts w:ascii="仿宋_GB2312" w:hAnsi="宋体" w:eastAsia="仿宋_GB2312"/>
          <w:color w:val="000000" w:themeColor="text1"/>
          <w:kern w:val="0"/>
          <w:sz w:val="32"/>
          <w:szCs w:val="32"/>
          <w:highlight w:val="none"/>
          <w14:textFill>
            <w14:solidFill>
              <w14:schemeClr w14:val="tx1"/>
            </w14:solidFill>
          </w14:textFill>
        </w:rPr>
        <w:t>施工现场围墙</w:t>
      </w:r>
      <w:r>
        <w:rPr>
          <w:rFonts w:hint="eastAsia" w:ascii="仿宋_GB2312" w:hAnsi="宋体" w:eastAsia="仿宋_GB2312"/>
          <w:color w:val="000000" w:themeColor="text1"/>
          <w:kern w:val="0"/>
          <w:sz w:val="32"/>
          <w:szCs w:val="32"/>
          <w:highlight w:val="none"/>
          <w14:textFill>
            <w14:solidFill>
              <w14:schemeClr w14:val="tx1"/>
            </w14:solidFill>
          </w14:textFill>
        </w:rPr>
        <w:t>建议</w:t>
      </w:r>
      <w:r>
        <w:rPr>
          <w:rFonts w:ascii="仿宋_GB2312" w:hAnsi="宋体" w:eastAsia="仿宋_GB2312"/>
          <w:color w:val="000000" w:themeColor="text1"/>
          <w:kern w:val="0"/>
          <w:sz w:val="32"/>
          <w:szCs w:val="32"/>
          <w:highlight w:val="none"/>
          <w14:textFill>
            <w14:solidFill>
              <w14:schemeClr w14:val="tx1"/>
            </w14:solidFill>
          </w14:textFill>
        </w:rPr>
        <w:t>采用连续封闭的轻钢结构预制装配式活动围挡，减少建筑垃圾，保护</w:t>
      </w:r>
      <w:r>
        <w:rPr>
          <w:rFonts w:hint="eastAsia" w:ascii="仿宋_GB2312" w:hAnsi="宋体" w:eastAsia="仿宋_GB2312"/>
          <w:color w:val="000000" w:themeColor="text1"/>
          <w:kern w:val="0"/>
          <w:sz w:val="32"/>
          <w:szCs w:val="32"/>
          <w:highlight w:val="none"/>
          <w14:textFill>
            <w14:solidFill>
              <w14:schemeClr w14:val="tx1"/>
            </w14:solidFill>
          </w14:textFill>
        </w:rPr>
        <w:t>环境</w:t>
      </w:r>
      <w:r>
        <w:rPr>
          <w:rFonts w:hint="eastAsia" w:ascii="仿宋_GB2312" w:eastAsia="仿宋_GB2312"/>
          <w:color w:val="000000" w:themeColor="text1"/>
          <w:kern w:val="0"/>
          <w:sz w:val="32"/>
          <w:szCs w:val="32"/>
          <w:highlight w:val="none"/>
          <w14:textFill>
            <w14:solidFill>
              <w14:schemeClr w14:val="tx1"/>
            </w14:solidFill>
          </w14:textFill>
        </w:rPr>
        <w:t>。</w:t>
      </w:r>
      <w:r>
        <w:rPr>
          <w:rFonts w:ascii="仿宋_GB2312" w:eastAsia="仿宋_GB2312"/>
          <w:color w:val="000000" w:themeColor="text1"/>
          <w:kern w:val="0"/>
          <w:sz w:val="32"/>
          <w:szCs w:val="32"/>
          <w:highlight w:val="none"/>
          <w14:textFill>
            <w14:solidFill>
              <w14:schemeClr w14:val="tx1"/>
            </w14:solidFill>
          </w14:textFill>
        </w:rPr>
        <w:t xml:space="preserve"> </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围蔽材料坚固、耐用，外形美观；围墙（工地正门出入口）标明工程名称及建设（代建）、施工、监理、勘探、设计单位和监督机构名称，并配设有关质量、安全、文明施工标语，施工标牌一般挂设在工地大门右侧旁的外墙1.8米高度上。</w:t>
      </w:r>
    </w:p>
    <w:p>
      <w:pPr>
        <w:widowControl/>
        <w:spacing w:line="360" w:lineRule="auto"/>
        <w:ind w:firstLine="640" w:firstLineChars="200"/>
        <w:rPr>
          <w:rFonts w:hint="eastAsia" w:ascii="仿宋_GB2312" w:eastAsia="仿宋_GB2312"/>
          <w:b/>
          <w:bCs/>
          <w:color w:val="000000" w:themeColor="text1"/>
          <w:kern w:val="0"/>
          <w:sz w:val="32"/>
          <w:szCs w:val="32"/>
          <w:highlight w:val="none"/>
          <w:shd w:val="clear" w:color="auto" w:fill="FFFFFF"/>
          <w14:textFill>
            <w14:solidFill>
              <w14:schemeClr w14:val="tx1"/>
            </w14:solidFill>
          </w14:textFill>
        </w:rPr>
      </w:pPr>
      <w:r>
        <w:rPr>
          <w:rFonts w:hint="eastAsia" w:ascii="仿宋_GB2312" w:eastAsia="仿宋_GB2312"/>
          <w:color w:val="000000" w:themeColor="text1"/>
          <w:kern w:val="0"/>
          <w:sz w:val="32"/>
          <w:szCs w:val="32"/>
          <w:highlight w:val="none"/>
          <w14:textFill>
            <w14:solidFill>
              <w14:schemeClr w14:val="tx1"/>
            </w14:solidFill>
          </w14:textFill>
        </w:rPr>
        <w:t>3.实行</w:t>
      </w:r>
      <w:r>
        <w:rPr>
          <w:rFonts w:ascii="仿宋_GB2312" w:eastAsia="仿宋_GB2312"/>
          <w:color w:val="000000" w:themeColor="text1"/>
          <w:kern w:val="0"/>
          <w:sz w:val="32"/>
          <w:szCs w:val="32"/>
          <w:highlight w:val="none"/>
          <w14:textFill>
            <w14:solidFill>
              <w14:schemeClr w14:val="tx1"/>
            </w14:solidFill>
          </w14:textFill>
        </w:rPr>
        <w:t>施工场地扬尘</w:t>
      </w:r>
      <w:r>
        <w:rPr>
          <w:rFonts w:hint="eastAsia" w:ascii="仿宋_GB2312" w:eastAsia="仿宋_GB2312"/>
          <w:color w:val="000000" w:themeColor="text1"/>
          <w:kern w:val="0"/>
          <w:sz w:val="32"/>
          <w:szCs w:val="32"/>
          <w:highlight w:val="none"/>
          <w14:textFill>
            <w14:solidFill>
              <w14:schemeClr w14:val="tx1"/>
            </w14:solidFill>
          </w14:textFill>
        </w:rPr>
        <w:t>污染防治</w:t>
      </w:r>
      <w:r>
        <w:rPr>
          <w:rFonts w:ascii="仿宋_GB2312" w:eastAsia="仿宋_GB2312"/>
          <w:color w:val="000000" w:themeColor="text1"/>
          <w:kern w:val="0"/>
          <w:sz w:val="32"/>
          <w:szCs w:val="32"/>
          <w:highlight w:val="none"/>
          <w14:textFill>
            <w14:solidFill>
              <w14:schemeClr w14:val="tx1"/>
            </w14:solidFill>
          </w14:textFill>
        </w:rPr>
        <w:t>信息公示制</w:t>
      </w:r>
      <w:r>
        <w:rPr>
          <w:rFonts w:hint="eastAsia" w:ascii="仿宋_GB2312" w:eastAsia="仿宋_GB2312"/>
          <w:color w:val="000000" w:themeColor="text1"/>
          <w:kern w:val="0"/>
          <w:sz w:val="32"/>
          <w:szCs w:val="32"/>
          <w:highlight w:val="none"/>
          <w14:textFill>
            <w14:solidFill>
              <w14:schemeClr w14:val="tx1"/>
            </w14:solidFill>
          </w14:textFill>
        </w:rPr>
        <w:t>。各施工单位要将</w:t>
      </w:r>
      <w:r>
        <w:rPr>
          <w:rFonts w:hint="eastAsia" w:eastAsia="仿宋_GB2312"/>
          <w:color w:val="000000" w:themeColor="text1"/>
          <w:spacing w:val="2"/>
          <w:kern w:val="0"/>
          <w:sz w:val="32"/>
          <w:szCs w:val="32"/>
          <w:highlight w:val="none"/>
          <w14:textFill>
            <w14:solidFill>
              <w14:schemeClr w14:val="tx1"/>
            </w14:solidFill>
          </w14:textFill>
        </w:rPr>
        <w:t>工程概况、扬尘污染防治措施、非道路移动机械清单、建设各方责任单位名称及项目负责人姓名、本企业以及工程所在地相关行业主管部门的投诉举报电话等信息</w:t>
      </w:r>
      <w:r>
        <w:rPr>
          <w:rFonts w:hint="eastAsia" w:ascii="仿宋_GB2312" w:eastAsia="仿宋_GB2312"/>
          <w:color w:val="000000" w:themeColor="text1"/>
          <w:kern w:val="0"/>
          <w:sz w:val="32"/>
          <w:szCs w:val="32"/>
          <w:highlight w:val="none"/>
          <w14:textFill>
            <w14:solidFill>
              <w14:schemeClr w14:val="tx1"/>
            </w14:solidFill>
          </w14:textFill>
        </w:rPr>
        <w:t>在工地</w:t>
      </w:r>
      <w:r>
        <w:rPr>
          <w:rFonts w:hint="eastAsia" w:eastAsia="仿宋_GB2312"/>
          <w:color w:val="000000" w:themeColor="text1"/>
          <w:spacing w:val="2"/>
          <w:kern w:val="0"/>
          <w:sz w:val="32"/>
          <w:szCs w:val="32"/>
          <w:highlight w:val="none"/>
          <w14:textFill>
            <w14:solidFill>
              <w14:schemeClr w14:val="tx1"/>
            </w14:solidFill>
          </w14:textFill>
        </w:rPr>
        <w:t>围墙上（工地出入口正门</w:t>
      </w:r>
      <w:r>
        <w:rPr>
          <w:rFonts w:hint="eastAsia" w:ascii="仿宋_GB2312" w:eastAsia="仿宋_GB2312"/>
          <w:color w:val="000000" w:themeColor="text1"/>
          <w:kern w:val="0"/>
          <w:sz w:val="32"/>
          <w:szCs w:val="32"/>
          <w:highlight w:val="none"/>
          <w14:textFill>
            <w14:solidFill>
              <w14:schemeClr w14:val="tx1"/>
            </w14:solidFill>
          </w14:textFill>
        </w:rPr>
        <w:t>围墙</w:t>
      </w:r>
      <w:r>
        <w:rPr>
          <w:rFonts w:hint="eastAsia" w:eastAsia="仿宋_GB2312"/>
          <w:color w:val="000000" w:themeColor="text1"/>
          <w:spacing w:val="2"/>
          <w:kern w:val="0"/>
          <w:sz w:val="32"/>
          <w:szCs w:val="32"/>
          <w:highlight w:val="none"/>
          <w14:textFill>
            <w14:solidFill>
              <w14:schemeClr w14:val="tx1"/>
            </w14:solidFill>
          </w14:textFill>
        </w:rPr>
        <w:t>）向社会公示</w:t>
      </w:r>
      <w:r>
        <w:rPr>
          <w:rFonts w:hint="eastAsia" w:ascii="仿宋_GB2312" w:eastAsia="仿宋_GB2312"/>
          <w:color w:val="000000" w:themeColor="text1"/>
          <w:kern w:val="0"/>
          <w:sz w:val="32"/>
          <w:szCs w:val="32"/>
          <w:highlight w:val="none"/>
          <w14:textFill>
            <w14:solidFill>
              <w14:schemeClr w14:val="tx1"/>
            </w14:solidFill>
          </w14:textFill>
        </w:rPr>
        <w:t>。</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4.工期在半年以上的建设工程必须采用连续、封闭的围墙，墙体采用砖砌18厘米厚砖墙砌筑，围蔽高度应不低于2.5米或者采用装配式材料围蔽；工期在半年以下15日以上的工程采用连续、封闭的围档，高度不低于2.5米，围板用角钢支撑，并通过C型钢柱与在地面固结，钢柱间距不大于3.3米；工期在15日以下的工程采用标准密扣式钢围栏(铁马)围蔽；市政人行道上施工要求采用通透式围蔽材料围蔽。</w:t>
      </w:r>
    </w:p>
    <w:p>
      <w:pPr>
        <w:widowControl/>
        <w:spacing w:line="360" w:lineRule="auto"/>
        <w:ind w:firstLine="643" w:firstLineChars="200"/>
        <w:rPr>
          <w:rFonts w:hint="eastAsia" w:ascii="楷体_GB2312" w:hAnsi="宋体" w:eastAsia="楷体_GB2312"/>
          <w:b/>
          <w:color w:val="000000" w:themeColor="text1"/>
          <w:kern w:val="0"/>
          <w:sz w:val="32"/>
          <w:szCs w:val="32"/>
          <w:highlight w:val="none"/>
          <w14:textFill>
            <w14:solidFill>
              <w14:schemeClr w14:val="tx1"/>
            </w14:solidFill>
          </w14:textFill>
        </w:rPr>
      </w:pPr>
      <w:r>
        <w:rPr>
          <w:rFonts w:hint="eastAsia" w:ascii="楷体_GB2312" w:hAnsi="宋体" w:eastAsia="楷体_GB2312"/>
          <w:b/>
          <w:color w:val="000000" w:themeColor="text1"/>
          <w:kern w:val="0"/>
          <w:sz w:val="32"/>
          <w:szCs w:val="32"/>
          <w:highlight w:val="none"/>
          <w14:textFill>
            <w14:solidFill>
              <w14:schemeClr w14:val="tx1"/>
            </w14:solidFill>
          </w14:textFill>
        </w:rPr>
        <w:t>（二）围蔽具体要求</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装配式材料围蔽要求：（1）围蔽材料坚固、耐用，外形美观；（2）采用标准板材+立柱的形式，钢柱间距不大于3.3米；（3）围蔽脚线统一采用砖砌20厘米高、18厘米厚砖墙，防止淤泥杂物泻出围板外；（4）立柱顶安装LED照明灯约6米/盏；（5）围墙上方设置喷淋系统。</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2.砌体式实体围墙设置要求：</w:t>
      </w:r>
      <w:r>
        <w:rPr>
          <w:rFonts w:hint="eastAsia" w:ascii="仿宋_GB2312" w:eastAsia="仿宋_GB2312"/>
          <w:color w:val="000000" w:themeColor="text1"/>
          <w:kern w:val="0"/>
          <w:sz w:val="32"/>
          <w:szCs w:val="32"/>
          <w:highlight w:val="none"/>
          <w14:textFill>
            <w14:solidFill>
              <w14:schemeClr w14:val="tx1"/>
            </w14:solidFill>
          </w14:textFill>
        </w:rPr>
        <w:t>（1）</w:t>
      </w:r>
      <w:r>
        <w:rPr>
          <w:rFonts w:hint="eastAsia" w:ascii="仿宋_GB2312" w:hAnsi="宋体" w:eastAsia="仿宋_GB2312"/>
          <w:color w:val="000000" w:themeColor="text1"/>
          <w:kern w:val="0"/>
          <w:sz w:val="32"/>
          <w:szCs w:val="32"/>
          <w:highlight w:val="none"/>
          <w14:textFill>
            <w14:solidFill>
              <w14:schemeClr w14:val="tx1"/>
            </w14:solidFill>
          </w14:textFill>
        </w:rPr>
        <w:t>砌筑墙脚和墙柱，墙脚高度不得低于50厘米，墙脚和墙柱外侧粘贴瓷砖，墙柱之间距离不超过3米，每隔6米在柱帽顶安装圆型节能灯具，电压应低于36V，并采取措施保证用电安全，外墙面批荡抹光和美化处理；（2）围墙厚度不得低于180毫米，围墙单边长度超过50米 时，间隔 20～30米 设置沉降缝，沿墙方向每 3～5米 设置壁柱；（3）围墙上方设置喷淋系统。</w:t>
      </w:r>
    </w:p>
    <w:p>
      <w:pPr>
        <w:widowControl/>
        <w:spacing w:line="360" w:lineRule="auto"/>
        <w:ind w:firstLine="640" w:firstLineChars="200"/>
        <w:rPr>
          <w:rFonts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3.安全标志</w:t>
      </w:r>
      <w:r>
        <w:rPr>
          <w:rFonts w:hint="eastAsia" w:ascii="仿宋_GB2312" w:eastAsia="仿宋_GB2312"/>
          <w:color w:val="000000" w:themeColor="text1"/>
          <w:kern w:val="0"/>
          <w:sz w:val="32"/>
          <w:szCs w:val="32"/>
          <w:highlight w:val="none"/>
          <w14:textFill>
            <w14:solidFill>
              <w14:schemeClr w14:val="tx1"/>
            </w14:solidFill>
          </w14:textFill>
        </w:rPr>
        <w:t>。（1）</w:t>
      </w:r>
      <w:r>
        <w:rPr>
          <w:rFonts w:hint="eastAsia" w:ascii="仿宋_GB2312" w:hAnsi="宋体" w:eastAsia="仿宋_GB2312"/>
          <w:color w:val="000000" w:themeColor="text1"/>
          <w:kern w:val="0"/>
          <w:sz w:val="32"/>
          <w:szCs w:val="32"/>
          <w:highlight w:val="none"/>
          <w14:textFill>
            <w14:solidFill>
              <w14:schemeClr w14:val="tx1"/>
            </w14:solidFill>
          </w14:textFill>
        </w:rPr>
        <w:t>应车流方向起始设置“道路施工减速慢行”“限速XX公里”标志牌，占道施工时还需设置车辆改道引导标志牌，占道施工要在施工围蔽区和前后按规范设置警告区、上游过渡区、上游缓冲区、施工区、下游缓冲区、下游过渡区，并在警告区设置“前方施工 车辆慢行”以及“限速XXX”等警告标志牌;</w:t>
      </w:r>
      <w:r>
        <w:rPr>
          <w:rFonts w:hint="eastAsia" w:ascii="仿宋_GB2312" w:eastAsia="仿宋_GB2312"/>
          <w:color w:val="000000" w:themeColor="text1"/>
          <w:kern w:val="0"/>
          <w:sz w:val="32"/>
          <w:szCs w:val="32"/>
          <w:highlight w:val="none"/>
          <w14:textFill>
            <w14:solidFill>
              <w14:schemeClr w14:val="tx1"/>
            </w14:solidFill>
          </w14:textFill>
        </w:rPr>
        <w:t>（2）</w:t>
      </w:r>
      <w:r>
        <w:rPr>
          <w:rFonts w:hint="eastAsia" w:ascii="仿宋_GB2312" w:hAnsi="宋体" w:eastAsia="仿宋_GB2312"/>
          <w:color w:val="000000" w:themeColor="text1"/>
          <w:kern w:val="0"/>
          <w:sz w:val="32"/>
          <w:szCs w:val="32"/>
          <w:highlight w:val="none"/>
          <w14:textFill>
            <w14:solidFill>
              <w14:schemeClr w14:val="tx1"/>
            </w14:solidFill>
          </w14:textFill>
        </w:rPr>
        <w:t>临近车道的围蔽墙、板应在墙面按上、中、下张贴反光贴，考虑市区要求外墙张贴广告牌，反光贴与广告牌可间隔交替设置;</w:t>
      </w:r>
      <w:r>
        <w:rPr>
          <w:rFonts w:hint="eastAsia" w:ascii="仿宋_GB2312" w:eastAsia="仿宋_GB2312"/>
          <w:color w:val="000000" w:themeColor="text1"/>
          <w:kern w:val="0"/>
          <w:sz w:val="32"/>
          <w:szCs w:val="32"/>
          <w:highlight w:val="none"/>
          <w14:textFill>
            <w14:solidFill>
              <w14:schemeClr w14:val="tx1"/>
            </w14:solidFill>
          </w14:textFill>
        </w:rPr>
        <w:t>（3）</w:t>
      </w:r>
      <w:r>
        <w:rPr>
          <w:rFonts w:hint="eastAsia" w:ascii="仿宋_GB2312" w:hAnsi="宋体" w:eastAsia="仿宋_GB2312"/>
          <w:color w:val="000000" w:themeColor="text1"/>
          <w:kern w:val="0"/>
          <w:sz w:val="32"/>
          <w:szCs w:val="32"/>
          <w:highlight w:val="none"/>
          <w14:textFill>
            <w14:solidFill>
              <w14:schemeClr w14:val="tx1"/>
            </w14:solidFill>
          </w14:textFill>
        </w:rPr>
        <w:t>围蔽墙、板顶按约10～15米左右的间距设置夜间施工警示灯;</w:t>
      </w:r>
      <w:r>
        <w:rPr>
          <w:rFonts w:hint="eastAsia" w:ascii="仿宋_GB2312" w:eastAsia="仿宋_GB2312"/>
          <w:color w:val="000000" w:themeColor="text1"/>
          <w:kern w:val="0"/>
          <w:sz w:val="32"/>
          <w:szCs w:val="32"/>
          <w:highlight w:val="none"/>
          <w14:textFill>
            <w14:solidFill>
              <w14:schemeClr w14:val="tx1"/>
            </w14:solidFill>
          </w14:textFill>
        </w:rPr>
        <w:t>（4）</w:t>
      </w:r>
      <w:r>
        <w:rPr>
          <w:rFonts w:hint="eastAsia" w:ascii="仿宋_GB2312" w:hAnsi="宋体" w:eastAsia="仿宋_GB2312"/>
          <w:color w:val="000000" w:themeColor="text1"/>
          <w:kern w:val="0"/>
          <w:sz w:val="32"/>
          <w:szCs w:val="32"/>
          <w:highlight w:val="none"/>
          <w14:textFill>
            <w14:solidFill>
              <w14:schemeClr w14:val="tx1"/>
            </w14:solidFill>
          </w14:textFill>
        </w:rPr>
        <w:t>占用道路施工的围蔽区，迎车面起始端设置黄闪灯、防撞墩;（5）临近机动车道的围蔽墙板、墙外侧按不大于1米的间距设置钢防撞柱。</w:t>
      </w:r>
    </w:p>
    <w:p>
      <w:pPr>
        <w:widowControl/>
        <w:spacing w:line="360" w:lineRule="auto"/>
        <w:rPr>
          <w:rFonts w:hint="eastAsia" w:ascii="仿宋_GB2312" w:eastAsia="仿宋_GB2312"/>
          <w:color w:val="000000" w:themeColor="text1"/>
          <w:kern w:val="0"/>
          <w:sz w:val="32"/>
          <w:szCs w:val="32"/>
          <w:highlight w:val="none"/>
          <w14:textFill>
            <w14:solidFill>
              <w14:schemeClr w14:val="tx1"/>
            </w14:solidFill>
          </w14:textFill>
        </w:rPr>
      </w:pPr>
      <w:r>
        <w:rPr>
          <w:color w:val="000000" w:themeColor="text1"/>
          <w:kern w:val="0"/>
          <w:szCs w:val="21"/>
          <w:highlight w:val="none"/>
          <w14:textFill>
            <w14:solidFill>
              <w14:schemeClr w14:val="tx1"/>
            </w14:solidFill>
          </w14:textFill>
        </w:rPr>
        <w:drawing>
          <wp:inline distT="0" distB="0" distL="114300" distR="114300">
            <wp:extent cx="4211320" cy="4211320"/>
            <wp:effectExtent l="0" t="0" r="17780" b="17780"/>
            <wp:docPr id="58" name="图片 8" descr="说明: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说明: 0008"/>
                    <pic:cNvPicPr>
                      <a:picLocks noChangeAspect="1"/>
                    </pic:cNvPicPr>
                  </pic:nvPicPr>
                  <pic:blipFill>
                    <a:blip r:embed="rId44"/>
                    <a:stretch>
                      <a:fillRect/>
                    </a:stretch>
                  </pic:blipFill>
                  <pic:spPr>
                    <a:xfrm>
                      <a:off x="0" y="0"/>
                      <a:ext cx="4211320" cy="4211320"/>
                    </a:xfrm>
                    <a:prstGeom prst="rect">
                      <a:avLst/>
                    </a:prstGeom>
                    <a:noFill/>
                    <a:ln>
                      <a:noFill/>
                    </a:ln>
                  </pic:spPr>
                </pic:pic>
              </a:graphicData>
            </a:graphic>
          </wp:inline>
        </w:drawing>
      </w:r>
    </w:p>
    <w:p>
      <w:pPr>
        <w:widowControl/>
        <w:spacing w:line="360" w:lineRule="auto"/>
        <w:ind w:firstLine="640" w:firstLineChars="200"/>
        <w:jc w:val="left"/>
        <w:rPr>
          <w:rFonts w:hint="eastAsia" w:ascii="仿宋_GB2312" w:hAnsi="黑体" w:eastAsia="仿宋_GB2312"/>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kern w:val="0"/>
          <w:sz w:val="32"/>
          <w:szCs w:val="32"/>
          <w:highlight w:val="none"/>
          <w14:textFill>
            <w14:solidFill>
              <w14:schemeClr w14:val="tx1"/>
            </w14:solidFill>
          </w14:textFill>
        </w:rPr>
        <w:t>4.</w:t>
      </w:r>
      <w:r>
        <w:rPr>
          <w:rFonts w:hint="eastAsia" w:ascii="仿宋_GB2312" w:hAnsi="宋体" w:eastAsia="仿宋_GB2312"/>
          <w:color w:val="000000" w:themeColor="text1"/>
          <w:kern w:val="0"/>
          <w:sz w:val="32"/>
          <w:szCs w:val="32"/>
          <w:highlight w:val="none"/>
          <w14:textFill>
            <w14:solidFill>
              <w14:schemeClr w14:val="tx1"/>
            </w14:solidFill>
          </w14:textFill>
        </w:rPr>
        <w:t>外墙装饰要求</w:t>
      </w:r>
      <w:r>
        <w:rPr>
          <w:rFonts w:hint="eastAsia" w:ascii="仿宋_GB2312" w:eastAsia="仿宋_GB2312"/>
          <w:color w:val="000000" w:themeColor="text1"/>
          <w:kern w:val="0"/>
          <w:sz w:val="32"/>
          <w:szCs w:val="32"/>
          <w:highlight w:val="none"/>
          <w14:textFill>
            <w14:solidFill>
              <w14:schemeClr w14:val="tx1"/>
            </w14:solidFill>
          </w14:textFill>
        </w:rPr>
        <w:t>。</w:t>
      </w:r>
      <w:r>
        <w:rPr>
          <w:rFonts w:hint="eastAsia" w:ascii="仿宋_GB2312" w:hAnsi="宋体" w:eastAsia="仿宋_GB2312"/>
          <w:color w:val="000000" w:themeColor="text1"/>
          <w:kern w:val="0"/>
          <w:sz w:val="32"/>
          <w:szCs w:val="32"/>
          <w:highlight w:val="none"/>
          <w14:textFill>
            <w14:solidFill>
              <w14:schemeClr w14:val="tx1"/>
            </w14:solidFill>
          </w14:textFill>
        </w:rPr>
        <w:t>按市委宣传部的统一要求执行（另行通知），张贴公益广告或者宣传标语等，可适当张贴公司宣传画报等。</w:t>
      </w:r>
      <w:r>
        <w:rPr>
          <w:rFonts w:hint="eastAsia" w:ascii="仿宋_GB2312" w:hAnsi="黑体" w:eastAsia="仿宋_GB2312"/>
          <w:color w:val="000000" w:themeColor="text1"/>
          <w:kern w:val="0"/>
          <w:sz w:val="32"/>
          <w:szCs w:val="32"/>
          <w:highlight w:val="none"/>
          <w14:textFill>
            <w14:solidFill>
              <w14:schemeClr w14:val="tx1"/>
            </w14:solidFill>
          </w14:textFill>
        </w:rPr>
        <w:t>公益广告面积比例不少于围挡总面积的30%。围挡公益广告</w:t>
      </w:r>
      <w:r>
        <w:rPr>
          <w:rFonts w:hint="eastAsia" w:ascii="仿宋_GB2312" w:eastAsia="仿宋_GB2312"/>
          <w:color w:val="000000" w:themeColor="text1"/>
          <w:kern w:val="0"/>
          <w:sz w:val="32"/>
          <w:szCs w:val="32"/>
          <w:highlight w:val="none"/>
          <w14:textFill>
            <w14:solidFill>
              <w14:schemeClr w14:val="tx1"/>
            </w14:solidFill>
          </w14:textFill>
        </w:rPr>
        <w:t>做到定期清洗、保养和维护，破损严重的及时更换。</w:t>
      </w:r>
    </w:p>
    <w:p>
      <w:pPr>
        <w:widowControl/>
        <w:spacing w:line="360" w:lineRule="auto"/>
        <w:ind w:firstLine="640" w:firstLineChars="200"/>
        <w:jc w:val="left"/>
        <w:rPr>
          <w:rFonts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5. 围蔽沿线路口处，按交警部门要求应在端头30米范围内设置通透式挡板 (参考下图</w:t>
      </w:r>
      <w:r>
        <w:rPr>
          <w:rFonts w:ascii="仿宋_GB2312" w:hAnsi="宋体" w:eastAsia="仿宋_GB2312"/>
          <w:color w:val="000000" w:themeColor="text1"/>
          <w:kern w:val="0"/>
          <w:sz w:val="32"/>
          <w:szCs w:val="32"/>
          <w:highlight w:val="none"/>
          <w14:textFill>
            <w14:solidFill>
              <w14:schemeClr w14:val="tx1"/>
            </w14:solidFill>
          </w14:textFill>
        </w:rPr>
        <w:t>)</w:t>
      </w:r>
      <w:r>
        <w:rPr>
          <w:rFonts w:hint="eastAsia" w:ascii="仿宋_GB2312" w:hAnsi="宋体" w:eastAsia="仿宋_GB2312"/>
          <w:color w:val="000000" w:themeColor="text1"/>
          <w:kern w:val="0"/>
          <w:sz w:val="32"/>
          <w:szCs w:val="32"/>
          <w:highlight w:val="none"/>
          <w14:textFill>
            <w14:solidFill>
              <w14:schemeClr w14:val="tx1"/>
            </w14:solidFill>
          </w14:textFill>
        </w:rPr>
        <w:t xml:space="preserve"> 。</w:t>
      </w:r>
    </w:p>
    <w:p>
      <w:pPr>
        <w:widowControl/>
        <w:spacing w:line="360" w:lineRule="auto"/>
        <w:ind w:firstLine="411" w:firstLineChars="196"/>
        <w:rPr>
          <w:rFonts w:ascii="仿宋_GB2312" w:hAnsi="宋体" w:eastAsia="仿宋_GB2312"/>
          <w:b/>
          <w:color w:val="000000" w:themeColor="text1"/>
          <w:kern w:val="0"/>
          <w:sz w:val="32"/>
          <w:szCs w:val="32"/>
          <w:highlight w:val="none"/>
          <w14:textFill>
            <w14:solidFill>
              <w14:schemeClr w14:val="tx1"/>
            </w14:solidFill>
          </w14:textFill>
        </w:rPr>
      </w:pPr>
      <w:r>
        <w:rPr>
          <w:color w:val="000000" w:themeColor="text1"/>
          <w:kern w:val="0"/>
          <w:szCs w:val="21"/>
          <w:highlight w:val="none"/>
          <w14:textFill>
            <w14:solidFill>
              <w14:schemeClr w14:val="tx1"/>
            </w14:solidFill>
          </w14:textFill>
        </w:rPr>
        <w:drawing>
          <wp:inline distT="0" distB="0" distL="114300" distR="114300">
            <wp:extent cx="3470275" cy="3620770"/>
            <wp:effectExtent l="0" t="0" r="15875" b="17780"/>
            <wp:docPr id="60" name="图片 9" descr="851059947836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85105994783603916"/>
                    <pic:cNvPicPr>
                      <a:picLocks noChangeAspect="1"/>
                    </pic:cNvPicPr>
                  </pic:nvPicPr>
                  <pic:blipFill>
                    <a:blip r:embed="rId45"/>
                    <a:stretch>
                      <a:fillRect/>
                    </a:stretch>
                  </pic:blipFill>
                  <pic:spPr>
                    <a:xfrm>
                      <a:off x="0" y="0"/>
                      <a:ext cx="3470275" cy="3620770"/>
                    </a:xfrm>
                    <a:prstGeom prst="rect">
                      <a:avLst/>
                    </a:prstGeom>
                    <a:noFill/>
                    <a:ln>
                      <a:noFill/>
                    </a:ln>
                  </pic:spPr>
                </pic:pic>
              </a:graphicData>
            </a:graphic>
          </wp:inline>
        </w:drawing>
      </w:r>
    </w:p>
    <w:p>
      <w:pPr>
        <w:widowControl/>
        <w:spacing w:line="360" w:lineRule="auto"/>
        <w:ind w:firstLine="630" w:firstLineChars="196"/>
        <w:rPr>
          <w:rFonts w:hint="eastAsia" w:ascii="楷体_GB2312" w:eastAsia="楷体_GB2312"/>
          <w:b/>
          <w:color w:val="000000" w:themeColor="text1"/>
          <w:kern w:val="0"/>
          <w:sz w:val="32"/>
          <w:szCs w:val="32"/>
          <w:highlight w:val="none"/>
          <w14:textFill>
            <w14:solidFill>
              <w14:schemeClr w14:val="tx1"/>
            </w14:solidFill>
          </w14:textFill>
        </w:rPr>
      </w:pPr>
      <w:r>
        <w:rPr>
          <w:rFonts w:hint="eastAsia" w:ascii="楷体_GB2312" w:hAnsi="宋体" w:eastAsia="楷体_GB2312"/>
          <w:b/>
          <w:color w:val="000000" w:themeColor="text1"/>
          <w:kern w:val="0"/>
          <w:sz w:val="32"/>
          <w:szCs w:val="32"/>
          <w:highlight w:val="none"/>
          <w14:textFill>
            <w14:solidFill>
              <w14:schemeClr w14:val="tx1"/>
            </w14:solidFill>
          </w14:textFill>
        </w:rPr>
        <w:t>（三）维护和更换</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1.围墙外立面有破损的要立即更换或者修复，围墙外的宣传画或者广告残旧的要进行翻新</w:t>
      </w:r>
      <w:r>
        <w:rPr>
          <w:rFonts w:hint="eastAsia" w:ascii="仿宋_GB2312" w:hAnsi="宋体" w:eastAsia="仿宋_GB2312"/>
          <w:color w:val="000000" w:themeColor="text1"/>
          <w:kern w:val="0"/>
          <w:sz w:val="30"/>
          <w:szCs w:val="30"/>
          <w:highlight w:val="none"/>
          <w14:textFill>
            <w14:solidFill>
              <w14:schemeClr w14:val="tx1"/>
            </w14:solidFill>
          </w14:textFill>
        </w:rPr>
        <w:t>，围板外立面及其广告宣传画等要定期维护、清洗和更换，保持围板立面的整洁清爽</w:t>
      </w:r>
      <w:r>
        <w:rPr>
          <w:rFonts w:hint="eastAsia" w:ascii="仿宋_GB2312" w:hAnsi="宋体" w:eastAsia="仿宋_GB2312"/>
          <w:color w:val="000000" w:themeColor="text1"/>
          <w:kern w:val="0"/>
          <w:sz w:val="32"/>
          <w:szCs w:val="32"/>
          <w:highlight w:val="none"/>
          <w14:textFill>
            <w14:solidFill>
              <w14:schemeClr w14:val="tx1"/>
            </w14:solidFill>
          </w14:textFill>
        </w:rPr>
        <w:t>。</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2.对铁马、水马、钢护栏等易挪动的围蔽材料应安排专人进行日常巡查、维护，随时进行整改；铁质围蔽材料应至少半年进行一次检修、涂防锈漆，塑料等易老化的材料应对老化破碎的部分进行及时更换。</w:t>
      </w:r>
    </w:p>
    <w:p>
      <w:pPr>
        <w:widowControl/>
        <w:spacing w:line="360" w:lineRule="auto"/>
        <w:ind w:firstLine="643" w:firstLineChars="200"/>
        <w:rPr>
          <w:rFonts w:hint="eastAsia" w:ascii="楷体_GB2312" w:hAnsi="宋体" w:eastAsia="楷体_GB2312"/>
          <w:b/>
          <w:color w:val="000000" w:themeColor="text1"/>
          <w:kern w:val="0"/>
          <w:sz w:val="32"/>
          <w:szCs w:val="32"/>
          <w:highlight w:val="none"/>
          <w14:textFill>
            <w14:solidFill>
              <w14:schemeClr w14:val="tx1"/>
            </w14:solidFill>
          </w14:textFill>
        </w:rPr>
      </w:pPr>
      <w:r>
        <w:rPr>
          <w:rFonts w:hint="eastAsia" w:ascii="楷体_GB2312" w:hAnsi="宋体" w:eastAsia="楷体_GB2312"/>
          <w:b/>
          <w:color w:val="000000" w:themeColor="text1"/>
          <w:kern w:val="0"/>
          <w:sz w:val="32"/>
          <w:szCs w:val="32"/>
          <w:highlight w:val="none"/>
          <w14:textFill>
            <w14:solidFill>
              <w14:schemeClr w14:val="tx1"/>
            </w14:solidFill>
          </w14:textFill>
        </w:rPr>
        <w:t>（四）基坑围蔽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1.基坑围蔽严格实行规范化、标准化管理。一般应使用定制护栏，不再使用钢管和绿色安全网按规范用钢管、绿色安全网围蔽。</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2.采用标准化定型钢护栏围蔽，高度不低于1.2米，护栏立柱间距不大于2米，护栏立柱与基础锚固并设立踢脚线（高度为20 厘米）</w:t>
      </w:r>
      <w:r>
        <w:rPr>
          <w:rFonts w:hint="eastAsia" w:ascii="仿宋_GB2312" w:eastAsia="仿宋_GB2312"/>
          <w:color w:val="000000" w:themeColor="text1"/>
          <w:kern w:val="0"/>
          <w:sz w:val="32"/>
          <w:szCs w:val="32"/>
          <w:highlight w:val="none"/>
          <w14:textFill>
            <w14:solidFill>
              <w14:schemeClr w14:val="tx1"/>
            </w14:solidFill>
          </w14:textFill>
        </w:rPr>
        <w:t>。</w:t>
      </w:r>
    </w:p>
    <w:p>
      <w:pPr>
        <w:widowControl/>
        <w:spacing w:line="360" w:lineRule="auto"/>
        <w:ind w:firstLine="640" w:firstLineChars="200"/>
        <w:rPr>
          <w:rFonts w:hint="eastAsia" w:ascii="仿宋_GB2312"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3.格栅护栏的格栅条间距不大于15厘米。</w:t>
      </w:r>
    </w:p>
    <w:p>
      <w:pPr>
        <w:widowControl/>
        <w:spacing w:line="360" w:lineRule="auto"/>
        <w:ind w:firstLine="640" w:firstLineChars="200"/>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二、工地路面100%硬化</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(一)施工现场大门内外通道、临时设施室内地面、材料堆放场、钢筋加工场、仓库地面等区域，应当浇厚度不小于20厘米，强度不低于C1</w:t>
      </w:r>
      <w:r>
        <w:rPr>
          <w:rFonts w:ascii="仿宋_GB2312" w:hAnsi="宋体" w:eastAsia="仿宋_GB2312"/>
          <w:color w:val="000000" w:themeColor="text1"/>
          <w:kern w:val="0"/>
          <w:sz w:val="32"/>
          <w:szCs w:val="32"/>
          <w:highlight w:val="none"/>
          <w14:textFill>
            <w14:solidFill>
              <w14:schemeClr w14:val="tx1"/>
            </w14:solidFill>
          </w14:textFill>
        </w:rPr>
        <w:t>5</w:t>
      </w:r>
      <w:r>
        <w:rPr>
          <w:rFonts w:hint="eastAsia" w:ascii="仿宋_GB2312" w:hAnsi="宋体" w:eastAsia="仿宋_GB2312"/>
          <w:color w:val="000000" w:themeColor="text1"/>
          <w:kern w:val="0"/>
          <w:sz w:val="32"/>
          <w:szCs w:val="32"/>
          <w:highlight w:val="none"/>
          <w14:textFill>
            <w14:solidFill>
              <w14:schemeClr w14:val="tx1"/>
            </w14:solidFill>
          </w14:textFill>
        </w:rPr>
        <w:t>的混凝土进行硬底化，机动车通道的宽度不小于3.5米。</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(二)工地内采用可重复使用的预制混凝土构件或钢板铺设技术，进行全面硬底化处理。</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(三)生活服务区范围内，严格按照建筑工地文明施工管理的相关规定，全面采取地面硬化措施，并加强洒水，降低扬尘。</w:t>
      </w:r>
    </w:p>
    <w:p>
      <w:pPr>
        <w:widowControl/>
        <w:spacing w:line="360" w:lineRule="auto"/>
        <w:ind w:firstLine="640" w:firstLineChars="200"/>
        <w:rPr>
          <w:rFonts w:hint="eastAsia"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(四)行车范围的施工作业面（含天然地基、路基、基坑面、边坡、施工作业便道等）。</w:t>
      </w:r>
      <w:r>
        <w:rPr>
          <w:rFonts w:hint="eastAsia" w:ascii="仿宋_GB2312" w:eastAsia="仿宋_GB2312"/>
          <w:color w:val="000000" w:themeColor="text1"/>
          <w:kern w:val="0"/>
          <w:sz w:val="32"/>
          <w:szCs w:val="32"/>
          <w:highlight w:val="none"/>
          <w14:textFill>
            <w14:solidFill>
              <w14:schemeClr w14:val="tx1"/>
            </w14:solidFill>
          </w14:textFill>
        </w:rPr>
        <w:t>施工工地在基坑开挖阶段，施工便道应当及时铺填碎石、钢板或其它材料，防止扬尘，施工到±0.00时，施工道路必须实现硬底化。</w:t>
      </w:r>
      <w:r>
        <w:rPr>
          <w:rFonts w:hint="eastAsia" w:ascii="仿宋_GB2312" w:hAnsi="宋体" w:eastAsia="仿宋_GB2312"/>
          <w:color w:val="000000" w:themeColor="text1"/>
          <w:kern w:val="0"/>
          <w:sz w:val="32"/>
          <w:szCs w:val="32"/>
          <w:highlight w:val="none"/>
          <w14:textFill>
            <w14:solidFill>
              <w14:schemeClr w14:val="tx1"/>
            </w14:solidFill>
          </w14:textFill>
        </w:rPr>
        <w:t>当施工现场具备条件实行水泥混凝土硬地化条件的，尽量采用地面硬化措施，当无法使用硬化措施时，应采用以下技术措施控制扬尘：</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1.施工作业持续时间在15日内的采取洒水防尘措施；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2.施工作业持续时间在15日至3个月的，采取使用表面喷洒沥青乳液或其它表面固化材料，并加强洒水的防尘措施；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施工作业持续时间在3个月以上的，采取沥青乳液改善土（集中搅拌混合料后现场摊铺碾压成型或现场喷洒沥青乳液后现场机械拌和碾压成型）防尘措施；其摊铺厚度、沥青乳液用量等根据施工作业时间、施工车辆的大小及数量等通过试验论证后确定。</w:t>
      </w:r>
    </w:p>
    <w:p>
      <w:pPr>
        <w:widowControl/>
        <w:spacing w:line="360" w:lineRule="auto"/>
        <w:ind w:firstLine="627" w:firstLineChars="196"/>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三、工地砂土、物料100%覆盖</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(一)工程渣土、建筑垃圾应当集中分类堆放，严密覆盖，宜在施工工地内设置封闭式垃圾站，严禁高空抛洒；非施工作业面的裸露土或临时存放的土堆闲置3个月内的，应该进行覆盖、压实、洒水等压尘措施。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(二)弃土、弃料以及其它建筑垃圾的临时覆盖可用编织布或者密布网。</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（三）建筑土方开挖后应当尽快回填，不能及时回填的应当采取覆盖或者固化等措施。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(四)对裸露的砂土可采用密布网进行覆盖或料斗封闭。</w:t>
      </w:r>
    </w:p>
    <w:p>
      <w:pPr>
        <w:widowControl/>
        <w:spacing w:line="360" w:lineRule="auto"/>
        <w:ind w:firstLine="627" w:firstLineChars="196"/>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四、施工作业100%洒水（拆除工程100%洒水降尘）</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(一)拆除工程必须采取喷水降尘措施，气象预报风速达到5级时，应当停止拆除工程施工。渣土要及时清运或者覆盖，在拆除施工完成之日起3日内清运完毕，并应遵守拆除工程管理的相关规定。</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(二)喷淋系统设置（主要在新建工程设置）</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1.设置部位：工地围墙上方；在</w:t>
      </w:r>
      <w:r>
        <w:rPr>
          <w:rFonts w:hint="eastAsia" w:ascii="仿宋_GB2312" w:hAnsi="宋体" w:eastAsia="仿宋_GB2312" w:cs="宋体"/>
          <w:color w:val="000000" w:themeColor="text1"/>
          <w:kern w:val="0"/>
          <w:sz w:val="32"/>
          <w:szCs w:val="32"/>
          <w:highlight w:val="none"/>
          <w14:textFill>
            <w14:solidFill>
              <w14:schemeClr w14:val="tx1"/>
            </w14:solidFill>
          </w14:textFill>
        </w:rPr>
        <w:t>基础施工及</w:t>
      </w:r>
      <w:r>
        <w:rPr>
          <w:rFonts w:hint="eastAsia" w:ascii="仿宋_GB2312" w:hAnsi="宋体" w:eastAsia="仿宋_GB2312"/>
          <w:color w:val="000000" w:themeColor="text1"/>
          <w:kern w:val="0"/>
          <w:sz w:val="32"/>
          <w:szCs w:val="32"/>
          <w:highlight w:val="none"/>
          <w14:textFill>
            <w14:solidFill>
              <w14:schemeClr w14:val="tx1"/>
            </w14:solidFill>
          </w14:textFill>
        </w:rPr>
        <w:t>土方阶段的基坑周边；涉及基坑开挖施工的，应在每道混凝土支撑上设置喷淋系统；</w:t>
      </w:r>
      <w:r>
        <w:rPr>
          <w:rFonts w:hint="eastAsia" w:ascii="仿宋_GB2312" w:hAnsi="宋体" w:eastAsia="仿宋_GB2312" w:cs="宋体"/>
          <w:color w:val="000000" w:themeColor="text1"/>
          <w:kern w:val="0"/>
          <w:sz w:val="32"/>
          <w:szCs w:val="32"/>
          <w:highlight w:val="none"/>
          <w14:textFill>
            <w14:solidFill>
              <w14:schemeClr w14:val="tx1"/>
            </w14:solidFill>
          </w14:textFill>
        </w:rPr>
        <w:t>房屋建筑</w:t>
      </w:r>
      <w:r>
        <w:rPr>
          <w:rFonts w:hint="eastAsia" w:ascii="仿宋_GB2312" w:hAnsi="宋体" w:eastAsia="仿宋_GB2312"/>
          <w:color w:val="000000" w:themeColor="text1"/>
          <w:kern w:val="0"/>
          <w:sz w:val="32"/>
          <w:szCs w:val="32"/>
          <w:highlight w:val="none"/>
          <w14:textFill>
            <w14:solidFill>
              <w14:schemeClr w14:val="tx1"/>
            </w14:solidFill>
          </w14:textFill>
        </w:rPr>
        <w:t>主体阶段的外排栅、爬升脚手架；塔吊等易产生扬尘的部位应设置喷淋系统；</w:t>
      </w:r>
      <w:r>
        <w:rPr>
          <w:rFonts w:hint="eastAsia" w:ascii="仿宋_GB2312" w:hAnsi="宋体" w:eastAsia="仿宋_GB2312" w:cs="宋体"/>
          <w:color w:val="000000" w:themeColor="text1"/>
          <w:kern w:val="0"/>
          <w:sz w:val="32"/>
          <w:szCs w:val="32"/>
          <w:highlight w:val="none"/>
          <w14:textFill>
            <w14:solidFill>
              <w14:schemeClr w14:val="tx1"/>
            </w14:solidFill>
          </w14:textFill>
        </w:rPr>
        <w:t>市政道路施工铣刨作业；拆除作业、爆破作业、预拌干混砂浆施工；房屋建筑和市政工程围挡；施工现场主要道路等部位或者施工作业阶段应当采取喷雾、喷淋或者洒水等扬尘污染防治措施。</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喷淋系统设置要求：有土方作业的基坑布设间距1.5米，喷头大小4厘米，布设范围围绕基坑一圈；有外排栅结构，喷淋系统以间距3米，喷头大小4厘米一圈设置，原则第一道设置在15-20米，然后每隔25米设置一道；工地围墙外围、</w:t>
      </w:r>
      <w:r>
        <w:rPr>
          <w:rFonts w:hint="eastAsia" w:ascii="仿宋_GB2312" w:hAnsi="宋体" w:eastAsia="仿宋_GB2312" w:cs="宋体"/>
          <w:color w:val="000000" w:themeColor="text1"/>
          <w:kern w:val="0"/>
          <w:sz w:val="32"/>
          <w:szCs w:val="32"/>
          <w:highlight w:val="none"/>
          <w14:textFill>
            <w14:solidFill>
              <w14:schemeClr w14:val="tx1"/>
            </w14:solidFill>
          </w14:textFill>
        </w:rPr>
        <w:t>施工现场主要道路</w:t>
      </w:r>
      <w:r>
        <w:rPr>
          <w:rFonts w:hint="eastAsia" w:ascii="仿宋_GB2312" w:hAnsi="宋体" w:eastAsia="仿宋_GB2312"/>
          <w:color w:val="000000" w:themeColor="text1"/>
          <w:kern w:val="0"/>
          <w:sz w:val="32"/>
          <w:szCs w:val="32"/>
          <w:highlight w:val="none"/>
          <w14:textFill>
            <w14:solidFill>
              <w14:schemeClr w14:val="tx1"/>
            </w14:solidFill>
          </w14:textFill>
        </w:rPr>
        <w:t>间距3米，喷头大小4厘米一圈设置；其它易产生扬尘的施工作业根据扬尘污染程度设置相应的喷雾设备或者洒水降尘。</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3.开启喷淋系统或者洒水降尘的时间安排。根据施工现场扬尘情况，每天安排洒水不少于4次，洒水沿施工道路进行，早上7:30-8:00，中午11:00-12:00，下午14:30-15:00  17:30-18:00各一次；扬尘较多、遇重污染天气时以及每年10月至次年2月应安排6次以上；开启喷淋系统按此时间进行，每次持续1小时以上，对于基坑开挖或者拆除工程等易产生扬尘的作业，必须全时开启喷淋系统和雾炮设备；场内道路车辆流量每30分钟高于4架次的路面，维持整段路面湿润。</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4.责任落实。每天洒水和开启喷淋系统、喷雾设备要安排专人负责，设立专门的登记本，责任人负责登记并签名。</w:t>
      </w:r>
      <w:r>
        <w:rPr>
          <w:rFonts w:hint="eastAsia" w:ascii="仿宋_GB2312" w:eastAsia="仿宋_GB2312"/>
          <w:color w:val="000000" w:themeColor="text1"/>
          <w:kern w:val="0"/>
          <w:sz w:val="32"/>
          <w:szCs w:val="32"/>
          <w:highlight w:val="none"/>
          <w14:textFill>
            <w14:solidFill>
              <w14:schemeClr w14:val="tx1"/>
            </w14:solidFill>
          </w14:textFill>
        </w:rPr>
        <w:t xml:space="preserve"> </w:t>
      </w:r>
    </w:p>
    <w:p>
      <w:pPr>
        <w:widowControl/>
        <w:spacing w:line="360" w:lineRule="auto"/>
        <w:ind w:firstLine="640" w:firstLineChars="200"/>
        <w:rPr>
          <w:rFonts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(三) 雾炮设备设置。土方阶段在基坑周边按照30-50米间隔加设雾炮设备1台</w:t>
      </w:r>
      <w:r>
        <w:rPr>
          <w:rFonts w:hint="eastAsia" w:ascii="仿宋_GB2312" w:eastAsia="仿宋_GB2312"/>
          <w:color w:val="000000" w:themeColor="text1"/>
          <w:kern w:val="0"/>
          <w:sz w:val="32"/>
          <w:szCs w:val="32"/>
          <w:highlight w:val="none"/>
          <w14:textFill>
            <w14:solidFill>
              <w14:schemeClr w14:val="tx1"/>
            </w14:solidFill>
          </w14:textFill>
        </w:rPr>
        <w:t>。</w:t>
      </w:r>
      <w:r>
        <w:rPr>
          <w:rFonts w:hint="eastAsia" w:ascii="仿宋_GB2312" w:hAnsi="宋体" w:eastAsia="仿宋_GB2312"/>
          <w:color w:val="000000" w:themeColor="text1"/>
          <w:kern w:val="0"/>
          <w:sz w:val="32"/>
          <w:szCs w:val="32"/>
          <w:highlight w:val="none"/>
          <w14:textFill>
            <w14:solidFill>
              <w14:schemeClr w14:val="tx1"/>
            </w14:solidFill>
          </w14:textFill>
        </w:rPr>
        <w:t>扬尘达标要求：土方作业阶段，达到作业区目测扬尘高度小于1.5米，</w:t>
      </w:r>
      <w:r>
        <w:rPr>
          <w:rFonts w:ascii="仿宋_GB2312" w:hAnsi="宋体" w:eastAsia="仿宋_GB2312"/>
          <w:color w:val="000000" w:themeColor="text1"/>
          <w:kern w:val="0"/>
          <w:sz w:val="32"/>
          <w:szCs w:val="32"/>
          <w:highlight w:val="none"/>
          <w14:textFill>
            <w14:solidFill>
              <w14:schemeClr w14:val="tx1"/>
            </w14:solidFill>
          </w14:textFill>
        </w:rPr>
        <w:t>不扩散到场区外</w:t>
      </w:r>
      <w:r>
        <w:rPr>
          <w:rFonts w:hint="eastAsia" w:ascii="仿宋_GB2312" w:hAnsi="宋体" w:eastAsia="仿宋_GB2312"/>
          <w:color w:val="000000" w:themeColor="text1"/>
          <w:kern w:val="0"/>
          <w:sz w:val="32"/>
          <w:szCs w:val="32"/>
          <w:highlight w:val="none"/>
          <w14:textFill>
            <w14:solidFill>
              <w14:schemeClr w14:val="tx1"/>
            </w14:solidFill>
          </w14:textFill>
        </w:rPr>
        <w:t>；结构施工、安装装饰装修阶段，作业区目测扬尘高度小于0.5米；施工现场非作业区达到目测无扬尘的要求。超过此标准的，则安排开启雾炮设备和喷淋系统。</w:t>
      </w:r>
      <w:r>
        <w:rPr>
          <w:rFonts w:hint="eastAsia" w:ascii="仿宋_GB2312" w:eastAsia="仿宋_GB2312"/>
          <w:color w:val="000000" w:themeColor="text1"/>
          <w:kern w:val="0"/>
          <w:sz w:val="32"/>
          <w:szCs w:val="32"/>
          <w:highlight w:val="none"/>
          <w14:textFill>
            <w14:solidFill>
              <w14:schemeClr w14:val="tx1"/>
            </w14:solidFill>
          </w14:textFill>
        </w:rPr>
        <w:t xml:space="preserve"> </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四）施工现场应安装空气质量监测设备，如PM2.5监测仪，有条件的可与主管部门监控系统联网，并上传监测数据至市扬尘监管平台（设在市环保局）。监测设备小时PM10浓度超过200微克/立方米或PM2.5浓度超过100微克/立方米时，应开启雾炮设备和喷淋系统。</w:t>
      </w:r>
    </w:p>
    <w:p>
      <w:pPr>
        <w:widowControl/>
        <w:spacing w:line="360" w:lineRule="auto"/>
        <w:ind w:firstLine="627" w:firstLineChars="196"/>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五、出工地车辆100%冲净车轮车身</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(一)工地出入口应当安排专人进行车辆清洗和登记，进出工地的运输车辆的轮胎和车身外表应当完全冲洗干净后，方可进出工地。</w:t>
      </w:r>
    </w:p>
    <w:p>
      <w:pPr>
        <w:widowControl/>
        <w:spacing w:line="360" w:lineRule="auto"/>
        <w:ind w:firstLine="640" w:firstLineChars="200"/>
        <w:rPr>
          <w:rFonts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1.车辆冲洗干净标准：进出工地的运输车辆的轮胎和车身外表应当完全除泥，确保车辆驶出工地时无尘土飞扬。</w:t>
      </w:r>
      <w:r>
        <w:rPr>
          <w:rFonts w:ascii="仿宋_GB2312" w:hAnsi="宋体" w:eastAsia="仿宋_GB2312"/>
          <w:color w:val="000000" w:themeColor="text1"/>
          <w:kern w:val="0"/>
          <w:sz w:val="32"/>
          <w:szCs w:val="32"/>
          <w:highlight w:val="none"/>
          <w14:textFill>
            <w14:solidFill>
              <w14:schemeClr w14:val="tx1"/>
            </w14:solidFill>
          </w14:textFill>
        </w:rPr>
        <w:t xml:space="preserve"> </w:t>
      </w:r>
    </w:p>
    <w:p>
      <w:pPr>
        <w:widowControl/>
        <w:spacing w:line="360" w:lineRule="auto"/>
        <w:ind w:firstLine="640" w:firstLineChars="200"/>
        <w:rPr>
          <w:rFonts w:hint="eastAsia" w:ascii="仿宋" w:hAnsi="仿宋" w:eastAsia="仿宋"/>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建立泥头车管理台帐，详细记录车辆证照信息、进出场信息、冲洗情况、密闭情况等。每次车辆清洗要登记进出工地车辆的车牌号码、驾驶员姓名、进出工地时间等信息，车辆冲洗完后驾驶员和冲洗人要签名，监理单位负责人不定时对车辆清洗情况进行检查。</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3.工地在余泥运输阶段，施工单位要安排配备专职建筑废弃物运输管理人员，负责检查余泥装载和“一不准进、三不准出” （“一不准进”是指无《广州市建筑垃圾准运证》的车辆坚决不准进入建筑工地；“三不准出”是指超载、无遮盖、未冲洗干净车轮和车身的车辆，坚决不准驶出工地）等相关制度的落实。</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4.运输建筑余泥的车辆必须采取措施完全封闭严密且平装，保证车辆清洁。土方装载高度不能超过运输车辆侧壁标准高度；车辆钢盖板必须与车底平行，无倾斜角度；车身及车轮无散落土方；车辆洗车后驶出施工现场大门时车身无泥水滴落。</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二)洗车槽设置要求。工地内车辆出入口内侧应当设置用混凝土浇筑的由宽30厘米、深40厘米沟槽围成宽3米、长5米的矩形洗车场设施；车辆冲洗设施按要求配套排水、泥浆沉淀设施；现场机具、设备、车辆冲洗用水必须设立循环用水装置，并安排专人管理。</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三)车辆冲洗设施的配备标准。应配备高压冲洗水枪或者安装自动洗车装置；不具备设置洗车设施的市政、管线工程，经所在工程的监管部门同意后，施工单位应采用移动式冲水设备冲洗工地车辆，并安排工人保洁。</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（四）建筑废弃物装载要求。</w:t>
      </w:r>
      <w:r>
        <w:rPr>
          <w:rFonts w:hint="eastAsia" w:eastAsia="仿宋_GB2312"/>
          <w:color w:val="000000" w:themeColor="text1"/>
          <w:kern w:val="0"/>
          <w:sz w:val="32"/>
          <w:szCs w:val="32"/>
          <w:highlight w:val="none"/>
          <w14:textFill>
            <w14:solidFill>
              <w14:schemeClr w14:val="tx1"/>
            </w14:solidFill>
          </w14:textFill>
        </w:rPr>
        <w:t>驶出工地的渣土和粉状物料运输车辆应该平装，不能高于车厢围栏且遮盖率达到</w:t>
      </w:r>
      <w:r>
        <w:rPr>
          <w:rFonts w:eastAsia="仿宋_GB2312"/>
          <w:color w:val="000000" w:themeColor="text1"/>
          <w:kern w:val="0"/>
          <w:sz w:val="32"/>
          <w:szCs w:val="32"/>
          <w:highlight w:val="none"/>
          <w14:textFill>
            <w14:solidFill>
              <w14:schemeClr w14:val="tx1"/>
            </w14:solidFill>
          </w14:textFill>
        </w:rPr>
        <w:t>100%</w:t>
      </w:r>
      <w:r>
        <w:rPr>
          <w:rFonts w:hint="eastAsia" w:eastAsia="仿宋_GB2312"/>
          <w:color w:val="000000" w:themeColor="text1"/>
          <w:kern w:val="0"/>
          <w:sz w:val="32"/>
          <w:szCs w:val="32"/>
          <w:highlight w:val="none"/>
          <w14:textFill>
            <w14:solidFill>
              <w14:schemeClr w14:val="tx1"/>
            </w14:solidFill>
          </w14:textFill>
        </w:rPr>
        <w:t>。</w:t>
      </w:r>
      <w:r>
        <w:rPr>
          <w:rFonts w:hint="eastAsia" w:ascii="仿宋_GB2312" w:hAnsi="仿宋" w:eastAsia="仿宋_GB2312"/>
          <w:color w:val="000000" w:themeColor="text1"/>
          <w:kern w:val="0"/>
          <w:sz w:val="32"/>
          <w:szCs w:val="32"/>
          <w:highlight w:val="none"/>
          <w14:textFill>
            <w14:solidFill>
              <w14:schemeClr w14:val="tx1"/>
            </w14:solidFill>
          </w14:textFill>
        </w:rPr>
        <w:t>施工现场泥头车或建筑材料（沙、石粉或余泥）运输车辆，车箱禁止用帆布或安全网覆盖，一律采用两旁带自动挡板的车箱，并做到全密封，防止建筑材料、垃圾和工程渣土飞扬、洒落、泄漏等。</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（五）全面安装视频监控设备。</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w:t>
      </w:r>
      <w:r>
        <w:rPr>
          <w:rFonts w:hint="eastAsia" w:eastAsia="仿宋_GB2312"/>
          <w:color w:val="000000" w:themeColor="text1"/>
          <w:kern w:val="0"/>
          <w:sz w:val="32"/>
          <w:szCs w:val="32"/>
          <w:highlight w:val="none"/>
          <w14:textFill>
            <w14:solidFill>
              <w14:schemeClr w14:val="tx1"/>
            </w14:solidFill>
          </w14:textFill>
        </w:rPr>
        <w:t>房屋工程</w:t>
      </w:r>
      <w:r>
        <w:rPr>
          <w:rFonts w:eastAsia="仿宋_GB2312"/>
          <w:color w:val="000000" w:themeColor="text1"/>
          <w:kern w:val="0"/>
          <w:sz w:val="32"/>
          <w:szCs w:val="32"/>
          <w:highlight w:val="none"/>
          <w14:textFill>
            <w14:solidFill>
              <w14:schemeClr w14:val="tx1"/>
            </w14:solidFill>
          </w14:textFill>
        </w:rPr>
        <w:t>开工时，</w:t>
      </w:r>
      <w:r>
        <w:rPr>
          <w:rFonts w:hint="eastAsia" w:ascii="仿宋_GB2312" w:hAnsi="宋体" w:eastAsia="仿宋_GB2312"/>
          <w:color w:val="000000" w:themeColor="text1"/>
          <w:kern w:val="0"/>
          <w:sz w:val="32"/>
          <w:szCs w:val="32"/>
          <w:highlight w:val="none"/>
          <w14:textFill>
            <w14:solidFill>
              <w14:schemeClr w14:val="tx1"/>
            </w14:solidFill>
          </w14:textFill>
        </w:rPr>
        <w:t>项目施工现场出入口须安装视频监控设备，并确保能清晰监控车辆出场冲洗情况及运输车辆车牌号码；项目土方作业期间，必须在土方作业区域周边安装视频监控设备，视频监控录像现场存储时间不少于30天。</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w:t>
      </w:r>
      <w:r>
        <w:rPr>
          <w:rFonts w:eastAsia="仿宋_GB2312"/>
          <w:color w:val="000000" w:themeColor="text1"/>
          <w:kern w:val="0"/>
          <w:sz w:val="32"/>
          <w:szCs w:val="32"/>
          <w:highlight w:val="none"/>
          <w14:textFill>
            <w14:solidFill>
              <w14:schemeClr w14:val="tx1"/>
            </w14:solidFill>
          </w14:textFill>
        </w:rPr>
        <w:t>城市建成区范围内，建筑面积在5000</w:t>
      </w:r>
      <w:r>
        <w:rPr>
          <w:rFonts w:hint="eastAsia" w:eastAsia="仿宋_GB2312"/>
          <w:color w:val="000000" w:themeColor="text1"/>
          <w:kern w:val="0"/>
          <w:sz w:val="32"/>
          <w:szCs w:val="32"/>
          <w:highlight w:val="none"/>
          <w14:textFill>
            <w14:solidFill>
              <w14:schemeClr w14:val="tx1"/>
            </w14:solidFill>
          </w14:textFill>
        </w:rPr>
        <w:t>0</w:t>
      </w:r>
      <w:r>
        <w:rPr>
          <w:rFonts w:eastAsia="仿宋_GB2312"/>
          <w:color w:val="000000" w:themeColor="text1"/>
          <w:kern w:val="0"/>
          <w:sz w:val="32"/>
          <w:szCs w:val="32"/>
          <w:highlight w:val="none"/>
          <w14:textFill>
            <w14:solidFill>
              <w14:schemeClr w14:val="tx1"/>
            </w14:solidFill>
          </w14:textFill>
        </w:rPr>
        <w:t>平方米的土地开挖、平整施工作业项目必须安装扬尘视频监控设备，</w:t>
      </w:r>
      <w:r>
        <w:rPr>
          <w:rFonts w:hint="eastAsia" w:eastAsia="仿宋_GB2312"/>
          <w:color w:val="000000" w:themeColor="text1"/>
          <w:kern w:val="0"/>
          <w:sz w:val="32"/>
          <w:szCs w:val="32"/>
          <w:highlight w:val="none"/>
          <w14:textFill>
            <w14:solidFill>
              <w14:schemeClr w14:val="tx1"/>
            </w14:solidFill>
          </w14:textFill>
        </w:rPr>
        <w:t>有条件的可与当地监督部门</w:t>
      </w:r>
      <w:r>
        <w:rPr>
          <w:rFonts w:eastAsia="仿宋_GB2312"/>
          <w:color w:val="000000" w:themeColor="text1"/>
          <w:kern w:val="0"/>
          <w:sz w:val="32"/>
          <w:szCs w:val="32"/>
          <w:highlight w:val="none"/>
          <w14:textFill>
            <w14:solidFill>
              <w14:schemeClr w14:val="tx1"/>
            </w14:solidFill>
          </w14:textFill>
        </w:rPr>
        <w:t>的视频监控中心进行联网，</w:t>
      </w:r>
      <w:r>
        <w:rPr>
          <w:rFonts w:hint="eastAsia" w:eastAsia="仿宋_GB2312"/>
          <w:color w:val="000000" w:themeColor="text1"/>
          <w:kern w:val="0"/>
          <w:sz w:val="32"/>
          <w:szCs w:val="32"/>
          <w:highlight w:val="none"/>
          <w14:textFill>
            <w14:solidFill>
              <w14:schemeClr w14:val="tx1"/>
            </w14:solidFill>
          </w14:textFill>
        </w:rPr>
        <w:t>实时监控工地施工扬尘管理和出场车</w:t>
      </w:r>
      <w:r>
        <w:rPr>
          <w:rFonts w:hint="eastAsia" w:ascii="仿宋_GB2312" w:eastAsia="仿宋_GB2312"/>
          <w:bCs/>
          <w:color w:val="000000" w:themeColor="text1"/>
          <w:kern w:val="0"/>
          <w:sz w:val="32"/>
          <w:szCs w:val="32"/>
          <w:highlight w:val="none"/>
          <w14:textFill>
            <w14:solidFill>
              <w14:schemeClr w14:val="tx1"/>
            </w14:solidFill>
          </w14:textFill>
        </w:rPr>
        <w:t>辆冲洗情况</w:t>
      </w:r>
      <w:r>
        <w:rPr>
          <w:rFonts w:eastAsia="仿宋_GB2312"/>
          <w:color w:val="000000" w:themeColor="text1"/>
          <w:kern w:val="0"/>
          <w:sz w:val="32"/>
          <w:szCs w:val="32"/>
          <w:highlight w:val="none"/>
          <w14:textFill>
            <w14:solidFill>
              <w14:schemeClr w14:val="tx1"/>
            </w14:solidFill>
          </w14:textFill>
        </w:rPr>
        <w:t>。</w:t>
      </w:r>
    </w:p>
    <w:p>
      <w:pPr>
        <w:spacing w:line="360" w:lineRule="auto"/>
        <w:ind w:firstLine="627" w:firstLineChars="196"/>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六、长期裸土100%覆盖或绿化</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(一)施工现场内裸露3个月以上的土地，应当采取绿化措施；裸露3个月以下的土地，应当采取覆盖、压实、洒水等压尘措施。</w:t>
      </w:r>
    </w:p>
    <w:p>
      <w:pPr>
        <w:widowControl/>
        <w:spacing w:line="360" w:lineRule="auto"/>
        <w:ind w:firstLine="640" w:firstLineChars="200"/>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二)需要堆放3个月以上的渣土、堆土等应覆盖遮阴网，喷水保湿、培育自然植被；或者种植成本不高、覆盖性强、生长较快的草本植物，实行临时绿化。短期内不能按规划实施的空间规划绿地，可采取生态喷播的办法试行临时绿化。施工工地裸露土地绿化率不少于95%。</w:t>
      </w:r>
    </w:p>
    <w:p>
      <w:pPr>
        <w:widowControl/>
        <w:spacing w:line="360" w:lineRule="auto"/>
        <w:ind w:firstLine="640" w:firstLineChars="200"/>
        <w:rPr>
          <w:rFonts w:hint="eastAsia" w:ascii="仿宋_GB2312"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三）对土堆的边缘应适当垒砌砖石加以围挡处理，土堆应全面覆盖遮阴网，经常喷水，防止扬尘。进行草种、花卉播种，应使植物种子与表层土壤结合密切，然后喷水保湿，勤于养护，直至植物正常生长达到覆盖目的。施工工地堆土场宜设置简易喷灌设施，适时喷水保湿。</w:t>
      </w:r>
    </w:p>
    <w:p>
      <w:pPr>
        <w:spacing w:line="360" w:lineRule="auto"/>
        <w:ind w:firstLine="627" w:firstLineChars="196"/>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七、建设、施工、监理企业在落实“6个100%”要求中所承担的职责</w:t>
      </w:r>
    </w:p>
    <w:p>
      <w:pPr>
        <w:widowControl/>
        <w:spacing w:line="360" w:lineRule="auto"/>
        <w:ind w:firstLine="630" w:firstLineChars="196"/>
        <w:rPr>
          <w:rFonts w:hint="eastAsia" w:ascii="楷体_GB2312" w:hAnsi="楷体" w:eastAsia="楷体_GB2312" w:cs="宋体"/>
          <w:b/>
          <w:color w:val="000000" w:themeColor="text1"/>
          <w:kern w:val="0"/>
          <w:sz w:val="32"/>
          <w:szCs w:val="32"/>
          <w:highlight w:val="none"/>
          <w14:textFill>
            <w14:solidFill>
              <w14:schemeClr w14:val="tx1"/>
            </w14:solidFill>
          </w14:textFill>
        </w:rPr>
      </w:pPr>
      <w:r>
        <w:rPr>
          <w:rFonts w:hint="eastAsia" w:ascii="楷体_GB2312" w:hAnsi="楷体" w:eastAsia="楷体_GB2312" w:cs="宋体"/>
          <w:b/>
          <w:color w:val="000000" w:themeColor="text1"/>
          <w:kern w:val="0"/>
          <w:sz w:val="32"/>
          <w:szCs w:val="32"/>
          <w:highlight w:val="none"/>
          <w14:textFill>
            <w14:solidFill>
              <w14:schemeClr w14:val="tx1"/>
            </w14:solidFill>
          </w14:textFill>
        </w:rPr>
        <w:t>（一）建设单位职责</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1.对施工扬尘污染防治负总责，应当将新开工工程的扬尘污染防治费用列入工程造价，在施工承包合同中明确施工单位扬尘污染防治责任，督促施工单位编制建设工程施工扬尘污染防治专项方案。</w:t>
      </w:r>
    </w:p>
    <w:p>
      <w:pPr>
        <w:widowControl/>
        <w:spacing w:line="360" w:lineRule="auto"/>
        <w:ind w:firstLine="627" w:firstLineChars="196"/>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2.应当办理工程渣土消纳处置手续。</w:t>
      </w:r>
    </w:p>
    <w:p>
      <w:pPr>
        <w:widowControl/>
        <w:spacing w:line="360" w:lineRule="auto"/>
        <w:ind w:firstLine="627" w:firstLineChars="196"/>
        <w:rPr>
          <w:rFonts w:hint="eastAsia" w:ascii="仿宋_GB2312"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3.闲置3个月以上的建设用地，应当对其裸露土体进行绿化、铺装或者遮盖；闲置3个月以下的，应当进行防尘覆盖。</w:t>
      </w:r>
    </w:p>
    <w:p>
      <w:pPr>
        <w:widowControl/>
        <w:spacing w:line="360" w:lineRule="auto"/>
        <w:ind w:firstLine="630" w:firstLineChars="196"/>
        <w:rPr>
          <w:rFonts w:hint="eastAsia" w:ascii="楷体_GB2312" w:hAnsi="楷体" w:eastAsia="楷体_GB2312" w:cs="宋体"/>
          <w:b/>
          <w:color w:val="000000" w:themeColor="text1"/>
          <w:kern w:val="0"/>
          <w:sz w:val="32"/>
          <w:szCs w:val="32"/>
          <w:highlight w:val="none"/>
          <w14:textFill>
            <w14:solidFill>
              <w14:schemeClr w14:val="tx1"/>
            </w14:solidFill>
          </w14:textFill>
        </w:rPr>
      </w:pPr>
      <w:r>
        <w:rPr>
          <w:rFonts w:hint="eastAsia" w:ascii="楷体_GB2312" w:hAnsi="楷体" w:eastAsia="楷体_GB2312" w:cs="宋体"/>
          <w:b/>
          <w:color w:val="000000" w:themeColor="text1"/>
          <w:kern w:val="0"/>
          <w:sz w:val="32"/>
          <w:szCs w:val="32"/>
          <w:highlight w:val="none"/>
          <w14:textFill>
            <w14:solidFill>
              <w14:schemeClr w14:val="tx1"/>
            </w14:solidFill>
          </w14:textFill>
        </w:rPr>
        <w:t>（二）施工单位职责</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1.具体承担建设工程施工扬尘污染防治工作，落实施工现场各项扬尘防治措施，建立扬尘污染防治检查制度。</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2．施工单位应当制定具体的施工扬尘污染防治实施方案和扬尘污染防治费用使用计划；在施工工地公示扬尘污染防治措施、负责人、扬尘监督管理主管部门的举报投诉电话等信息。</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3.应当与具备相应资格的运输企业，建筑物处置场所签订处置协议，及时清运建筑土方、工程渣土、建筑垃圾等散体物料。</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4.实行施工总承包管理的工程，施工总承包单位应当对分包单位的扬尘污染防治工作负总责，并与分包单位签订相关管理协议，督促分包单位落实扬尘污染防治措施。</w:t>
      </w:r>
    </w:p>
    <w:p>
      <w:pPr>
        <w:widowControl/>
        <w:spacing w:line="360" w:lineRule="auto"/>
        <w:ind w:firstLine="630" w:firstLineChars="196"/>
        <w:rPr>
          <w:rFonts w:hint="eastAsia" w:ascii="楷体_GB2312" w:hAnsi="楷体" w:eastAsia="楷体_GB2312" w:cs="宋体"/>
          <w:b/>
          <w:color w:val="000000" w:themeColor="text1"/>
          <w:kern w:val="0"/>
          <w:sz w:val="32"/>
          <w:szCs w:val="32"/>
          <w:highlight w:val="none"/>
          <w14:textFill>
            <w14:solidFill>
              <w14:schemeClr w14:val="tx1"/>
            </w14:solidFill>
          </w14:textFill>
        </w:rPr>
      </w:pPr>
      <w:r>
        <w:rPr>
          <w:rFonts w:hint="eastAsia" w:ascii="楷体_GB2312" w:hAnsi="楷体" w:eastAsia="楷体_GB2312" w:cs="宋体"/>
          <w:b/>
          <w:color w:val="000000" w:themeColor="text1"/>
          <w:kern w:val="0"/>
          <w:sz w:val="32"/>
          <w:szCs w:val="32"/>
          <w:highlight w:val="none"/>
          <w14:textFill>
            <w14:solidFill>
              <w14:schemeClr w14:val="tx1"/>
            </w14:solidFill>
          </w14:textFill>
        </w:rPr>
        <w:t>（三）监理单位职责</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1.应当将施工扬尘污染防治纳入监理范围，在监理规划中提出有针对性的监理措施，并加强对施工单位扬尘污染防治情况的检查，督促施工单位落实扬尘防治措施。</w:t>
      </w:r>
    </w:p>
    <w:p>
      <w:pPr>
        <w:widowControl/>
        <w:spacing w:line="360" w:lineRule="auto"/>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2.在实施监理过程中，发现施工单位未落实扬尘污染防治措施的行为，应当要求施工单位予以整改，情节严重的应当要求施工单位暂时停止施工，并及时报告建设单位。施工单位拒不整改或者不停止施工的，监理单位应当向工程所在地相关行业主管部门报告。</w:t>
      </w:r>
    </w:p>
    <w:p>
      <w:pPr>
        <w:widowControl/>
        <w:spacing w:line="360" w:lineRule="auto"/>
        <w:ind w:firstLine="640" w:firstLineChars="200"/>
        <w:jc w:val="left"/>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八、各级住建部门和各级监督机构的监管责任</w:t>
      </w:r>
    </w:p>
    <w:p>
      <w:pPr>
        <w:widowControl/>
        <w:spacing w:line="360" w:lineRule="auto"/>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（一）各级住房城乡建设部门和各级（质量）安全监督机构应当将建设工程施工扬尘污染防治列入日常监管范围。</w:t>
      </w:r>
      <w:r>
        <w:rPr>
          <w:rFonts w:hint="eastAsia" w:ascii="仿宋_GB2312" w:hAnsi="宋体" w:eastAsia="仿宋_GB2312" w:cs="宋体"/>
          <w:color w:val="000000" w:themeColor="text1"/>
          <w:kern w:val="0"/>
          <w:sz w:val="32"/>
          <w:szCs w:val="32"/>
          <w:highlight w:val="none"/>
          <w14:textFill>
            <w14:solidFill>
              <w14:schemeClr w14:val="tx1"/>
            </w14:solidFill>
          </w14:textFill>
        </w:rPr>
        <w:t>按照“谁发证，谁负责”和属地管理原则，建立建设项目清单化管理，明确监管责任单位和责任人。</w:t>
      </w:r>
    </w:p>
    <w:p>
      <w:pPr>
        <w:widowControl/>
        <w:spacing w:line="360" w:lineRule="auto"/>
        <w:ind w:firstLine="640" w:firstLineChars="200"/>
        <w:jc w:val="left"/>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（二）严格监管，精细化管理。</w:t>
      </w:r>
    </w:p>
    <w:p>
      <w:pPr>
        <w:widowControl/>
        <w:spacing w:line="360" w:lineRule="auto"/>
        <w:ind w:firstLine="640" w:firstLineChars="200"/>
        <w:jc w:val="left"/>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1.加强对新开工项目监管。对措施未完善、管理不到位的新开工项目一律不得开工；</w:t>
      </w:r>
      <w:r>
        <w:rPr>
          <w:rFonts w:ascii="仿宋_GB2312" w:hAnsi="宋体" w:eastAsia="仿宋_GB2312"/>
          <w:color w:val="000000" w:themeColor="text1"/>
          <w:kern w:val="0"/>
          <w:sz w:val="32"/>
          <w:szCs w:val="32"/>
          <w:highlight w:val="none"/>
          <w14:textFill>
            <w14:solidFill>
              <w14:schemeClr w14:val="tx1"/>
            </w14:solidFill>
          </w14:textFill>
        </w:rPr>
        <w:t>对未办理施工许可擅自开工建设的工程项目</w:t>
      </w:r>
      <w:r>
        <w:rPr>
          <w:rFonts w:hint="eastAsia" w:ascii="仿宋_GB2312" w:hAnsi="宋体" w:eastAsia="仿宋_GB2312"/>
          <w:color w:val="000000" w:themeColor="text1"/>
          <w:kern w:val="0"/>
          <w:sz w:val="32"/>
          <w:szCs w:val="32"/>
          <w:highlight w:val="none"/>
          <w14:textFill>
            <w14:solidFill>
              <w14:schemeClr w14:val="tx1"/>
            </w14:solidFill>
          </w14:textFill>
        </w:rPr>
        <w:t>加强</w:t>
      </w:r>
      <w:r>
        <w:rPr>
          <w:rFonts w:ascii="仿宋_GB2312" w:hAnsi="宋体" w:eastAsia="仿宋_GB2312"/>
          <w:color w:val="000000" w:themeColor="text1"/>
          <w:kern w:val="0"/>
          <w:sz w:val="32"/>
          <w:szCs w:val="32"/>
          <w:highlight w:val="none"/>
          <w14:textFill>
            <w14:solidFill>
              <w14:schemeClr w14:val="tx1"/>
            </w14:solidFill>
          </w14:textFill>
        </w:rPr>
        <w:t>稽查，</w:t>
      </w:r>
      <w:r>
        <w:rPr>
          <w:rFonts w:hint="eastAsia" w:ascii="仿宋_GB2312" w:hAnsi="宋体" w:eastAsia="仿宋_GB2312"/>
          <w:color w:val="000000" w:themeColor="text1"/>
          <w:kern w:val="0"/>
          <w:sz w:val="32"/>
          <w:szCs w:val="32"/>
          <w:highlight w:val="none"/>
          <w14:textFill>
            <w14:solidFill>
              <w14:schemeClr w14:val="tx1"/>
            </w14:solidFill>
          </w14:textFill>
        </w:rPr>
        <w:t>并抄告城管部门。</w:t>
      </w:r>
    </w:p>
    <w:p>
      <w:pPr>
        <w:widowControl/>
        <w:spacing w:line="360" w:lineRule="auto"/>
        <w:ind w:firstLine="640" w:firstLineChars="200"/>
        <w:jc w:val="left"/>
        <w:rPr>
          <w:rFonts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2.实施清单化管理。建立在建工程项目清单和重点监管项目清单，明确防治责任单位及其责任人、监管部门及其责任人，健全各项措施落实台帐，及时更新，清单化管理。</w:t>
      </w:r>
    </w:p>
    <w:p>
      <w:pPr>
        <w:widowControl/>
        <w:spacing w:line="360" w:lineRule="auto"/>
        <w:ind w:firstLine="640" w:firstLineChars="200"/>
        <w:jc w:val="left"/>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3.严格执法，督促各项措施落实。各级监管部门在开展文明施工常态化督查巡查时，要督促责任企业严格按照扬尘防治措施相关文件要求抓好落实。将有土方作业的房屋工程、市政工程、交通道路工程、</w:t>
      </w:r>
      <w:r>
        <w:rPr>
          <w:rFonts w:hint="eastAsia" w:ascii="仿宋_GB2312" w:eastAsia="仿宋_GB2312"/>
          <w:color w:val="000000" w:themeColor="text1"/>
          <w:kern w:val="0"/>
          <w:sz w:val="32"/>
          <w:szCs w:val="32"/>
          <w:highlight w:val="none"/>
          <w14:textFill>
            <w14:solidFill>
              <w14:schemeClr w14:val="tx1"/>
            </w14:solidFill>
          </w14:textFill>
        </w:rPr>
        <w:t>空气子站较近施工工地列入重点监管名单，实施重点监控，重点巡查，</w:t>
      </w:r>
      <w:r>
        <w:rPr>
          <w:rFonts w:hint="eastAsia" w:ascii="仿宋_GB2312" w:hAnsi="宋体" w:eastAsia="仿宋_GB2312"/>
          <w:color w:val="000000" w:themeColor="text1"/>
          <w:kern w:val="0"/>
          <w:sz w:val="32"/>
          <w:szCs w:val="32"/>
          <w:highlight w:val="none"/>
          <w14:textFill>
            <w14:solidFill>
              <w14:schemeClr w14:val="tx1"/>
            </w14:solidFill>
          </w14:textFill>
        </w:rPr>
        <w:t>对发现的扬尘污染落实不到位的工地应该建立台帐，督促整改，定期通报，采取信用处罚、行政处罚等手段督促工地落实“6个100%”的管理要求。</w:t>
      </w:r>
    </w:p>
    <w:p>
      <w:pPr>
        <w:widowControl/>
        <w:spacing w:line="360" w:lineRule="auto"/>
        <w:ind w:firstLine="640" w:firstLineChars="200"/>
        <w:jc w:val="left"/>
        <w:rPr>
          <w:rFonts w:hint="eastAsia" w:ascii="仿宋_GB2312" w:hAnsi="宋体" w:eastAsia="仿宋_GB2312"/>
          <w:color w:val="000000" w:themeColor="text1"/>
          <w:kern w:val="0"/>
          <w:sz w:val="32"/>
          <w:szCs w:val="32"/>
          <w:highlight w:val="none"/>
          <w14:textFill>
            <w14:solidFill>
              <w14:schemeClr w14:val="tx1"/>
            </w14:solidFill>
          </w14:textFill>
        </w:rPr>
      </w:pPr>
      <w:r>
        <w:rPr>
          <w:rFonts w:hint="eastAsia" w:ascii="仿宋_GB2312" w:hAnsi="宋体" w:eastAsia="仿宋_GB2312"/>
          <w:color w:val="000000" w:themeColor="text1"/>
          <w:kern w:val="0"/>
          <w:sz w:val="32"/>
          <w:szCs w:val="32"/>
          <w:highlight w:val="none"/>
          <w14:textFill>
            <w14:solidFill>
              <w14:schemeClr w14:val="tx1"/>
            </w14:solidFill>
          </w14:textFill>
        </w:rPr>
        <w:t>4.加大曝光力度。各级住建部门应当督促施工单位建立施工扬尘污染投诉举报和信息公开制度，完善重点督办和跟踪处理制度，对扬尘污染治理不力的责任单位、治理黑点及其跟踪处理情况及时通过新闻媒体或者部门网站向社会公布。</w:t>
      </w:r>
    </w:p>
    <w:p>
      <w:pPr>
        <w:widowControl/>
        <w:spacing w:line="360" w:lineRule="auto"/>
        <w:ind w:firstLine="640" w:firstLineChars="200"/>
        <w:jc w:val="left"/>
        <w:rPr>
          <w:rFonts w:hint="eastAsia" w:ascii="仿宋_GB2312"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bCs/>
          <w:color w:val="000000" w:themeColor="text1"/>
          <w:kern w:val="0"/>
          <w:sz w:val="32"/>
          <w:szCs w:val="32"/>
          <w:highlight w:val="none"/>
          <w14:textFill>
            <w14:solidFill>
              <w14:schemeClr w14:val="tx1"/>
            </w14:solidFill>
          </w14:textFill>
        </w:rPr>
        <w:t>（三）组织</w:t>
      </w:r>
      <w:r>
        <w:rPr>
          <w:rFonts w:hint="eastAsia" w:ascii="仿宋_GB2312" w:hAnsi="宋体" w:eastAsia="仿宋_GB2312"/>
          <w:color w:val="000000" w:themeColor="text1"/>
          <w:kern w:val="0"/>
          <w:sz w:val="32"/>
          <w:szCs w:val="32"/>
          <w:highlight w:val="none"/>
          <w14:textFill>
            <w14:solidFill>
              <w14:schemeClr w14:val="tx1"/>
            </w14:solidFill>
          </w14:textFill>
        </w:rPr>
        <w:t>相关行业协会在开展安全文明、绿色施工示范工程评审时，将建设工程施工扬尘污染防治情况纳入评审保证项条件。</w:t>
      </w:r>
    </w:p>
    <w:p>
      <w:pPr>
        <w:pStyle w:val="4"/>
        <w:jc w:val="left"/>
        <w:rPr>
          <w:rFonts w:hint="eastAsia" w:ascii="宋体" w:hAnsi="宋体" w:eastAsia="宋体"/>
          <w:bCs w:val="0"/>
          <w:color w:val="000000" w:themeColor="text1"/>
          <w:kern w:val="0"/>
          <w:sz w:val="28"/>
          <w:szCs w:val="28"/>
          <w:highlight w:val="none"/>
          <w14:textFill>
            <w14:solidFill>
              <w14:schemeClr w14:val="tx1"/>
            </w14:solidFill>
          </w14:textFill>
        </w:rPr>
      </w:pPr>
      <w:r>
        <w:rPr>
          <w:color w:val="000000" w:themeColor="text1"/>
          <w:szCs w:val="21"/>
          <w:highlight w:val="none"/>
          <w14:textFill>
            <w14:solidFill>
              <w14:schemeClr w14:val="tx1"/>
            </w14:solidFill>
          </w14:textFill>
        </w:rPr>
        <w:br w:type="page"/>
      </w:r>
      <w:bookmarkStart w:id="2029" w:name="_Toc100504401"/>
      <w:bookmarkStart w:id="2030" w:name="_Toc5130"/>
      <w:bookmarkStart w:id="2031" w:name="_Toc26473"/>
      <w:bookmarkStart w:id="2032" w:name="_Toc17288"/>
      <w:r>
        <w:rPr>
          <w:rFonts w:ascii="宋体" w:hAnsi="宋体" w:eastAsia="宋体"/>
          <w:bCs w:val="0"/>
          <w:color w:val="000000" w:themeColor="text1"/>
          <w:kern w:val="0"/>
          <w:sz w:val="28"/>
          <w:szCs w:val="28"/>
          <w:highlight w:val="none"/>
          <w14:textFill>
            <w14:solidFill>
              <w14:schemeClr w14:val="tx1"/>
            </w14:solidFill>
          </w14:textFill>
        </w:rPr>
        <w:t>附件二十二</w:t>
      </w:r>
      <w:bookmarkEnd w:id="2029"/>
      <w:bookmarkEnd w:id="2030"/>
      <w:bookmarkEnd w:id="2031"/>
      <w:bookmarkEnd w:id="2032"/>
    </w:p>
    <w:p>
      <w:pPr>
        <w:pStyle w:val="4"/>
        <w:jc w:val="center"/>
        <w:rPr>
          <w:rFonts w:hint="eastAsia" w:ascii="宋体" w:hAnsi="宋体" w:eastAsia="宋体"/>
          <w:bCs w:val="0"/>
          <w:color w:val="000000" w:themeColor="text1"/>
          <w:kern w:val="0"/>
          <w:highlight w:val="none"/>
          <w14:textFill>
            <w14:solidFill>
              <w14:schemeClr w14:val="tx1"/>
            </w14:solidFill>
          </w14:textFill>
        </w:rPr>
      </w:pPr>
      <w:bookmarkStart w:id="2033" w:name="_Toc20579"/>
      <w:bookmarkStart w:id="2034" w:name="_Toc25916"/>
      <w:bookmarkStart w:id="2035" w:name="_Toc10660"/>
      <w:bookmarkStart w:id="2036" w:name="_Toc100504402"/>
      <w:r>
        <w:rPr>
          <w:rFonts w:hint="eastAsia" w:ascii="宋体" w:hAnsi="宋体" w:eastAsia="宋体"/>
          <w:bCs w:val="0"/>
          <w:color w:val="000000" w:themeColor="text1"/>
          <w:kern w:val="0"/>
          <w:sz w:val="28"/>
          <w:szCs w:val="28"/>
          <w:highlight w:val="none"/>
          <w14:textFill>
            <w14:solidFill>
              <w14:schemeClr w14:val="tx1"/>
            </w14:solidFill>
          </w14:textFill>
        </w:rPr>
        <w:t>番禺区水务工程参建单位管理人员考核要求</w:t>
      </w:r>
      <w:bookmarkEnd w:id="2033"/>
      <w:bookmarkEnd w:id="2034"/>
      <w:bookmarkEnd w:id="2035"/>
    </w:p>
    <w:p>
      <w:pPr>
        <w:jc w:val="center"/>
        <w:rPr>
          <w:rFonts w:hint="eastAsia" w:ascii="宋体" w:hAnsi="宋体"/>
          <w:b/>
          <w:color w:val="000000" w:themeColor="text1"/>
          <w:sz w:val="24"/>
          <w:highlight w:val="none"/>
          <w14:textFill>
            <w14:solidFill>
              <w14:schemeClr w14:val="tx1"/>
            </w14:solidFill>
          </w14:textFill>
        </w:rPr>
      </w:pPr>
    </w:p>
    <w:p>
      <w:pPr>
        <w:spacing w:line="360" w:lineRule="auto"/>
        <w:ind w:firstLine="482" w:firstLineChars="200"/>
        <w:jc w:val="center"/>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第一章 总则</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第一条 为加强我区水务工程参建单位履约管理工作，提升其管理人员的服务质量，根据有关法律、法规和规章，特制定本要求。</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第二条 本要求适用于我区水务工程咨询、设计、监理、施工等单位。</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第三条 建设（代建）单位作为工程建设责任主体，具体考核工作由建设（代建）单位负责。</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第四条 建设（代建）单位每月25日对参建单位管理人员进行考核，并做好相关台账。</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第五条 建设（代建）单位在完成考核评价后，将其结果在2个工作日内以书面形式函告被评价单位。如被评价单位对评价结果有异议的，应当在收到书面通知3个工作日内向建设（代建）单位提出书面申诉，并提供必要的证明材料。逾期不提出申诉的，视为自动放弃申诉权利。</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第六条 建设（代建）单位每月完成考核评价工作后，在10个工作日内将考核资料电子版报局综合计划科备案。</w:t>
      </w:r>
    </w:p>
    <w:p>
      <w:pPr>
        <w:spacing w:line="360" w:lineRule="auto"/>
        <w:ind w:firstLine="640"/>
        <w:jc w:val="center"/>
        <w:rPr>
          <w:rFonts w:hint="eastAsia" w:ascii="宋体" w:hAnsi="宋体"/>
          <w:color w:val="000000" w:themeColor="text1"/>
          <w:sz w:val="24"/>
          <w:highlight w:val="none"/>
          <w14:textFill>
            <w14:solidFill>
              <w14:schemeClr w14:val="tx1"/>
            </w14:solidFill>
          </w14:textFill>
        </w:rPr>
      </w:pPr>
    </w:p>
    <w:p>
      <w:pPr>
        <w:spacing w:line="360" w:lineRule="auto"/>
        <w:ind w:firstLine="482" w:firstLineChars="200"/>
        <w:jc w:val="center"/>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第二章 考核细则</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第七条 考核原则。统一标准、客观公正、实事求是。</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第八条 考核对象。咨询、设计单位考核重点对象包括不限于项目负责人、设计代表；监理单位考核重点对象包括不限于总监理工程师、现场监理、监理员；施工单位包括不限于项目负责人、技术负责人、安全员、资料员等，以上人员须与投标文件管理人员一致。</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第九条 考核依据。被考核人的日常考勤、交通及设备配备记录、工作表现等台账。</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第十条 考核评分办法。考核评分满分为100分，考核内容主要包括人员出勤、专业技术能力、综合能力等，具体评分内容及赋分情况详见《番禺区水务工程参建单位管理人员考核评分表》（见附件1~5）。</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第十一条 考核评价办法。实行“红黄牌”制度，具体如下：</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（一）考核评分表低于60分的，认定为一次“黄牌事件”；考核评分表低于40分的，认定为一次“红牌”事件。</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（二）一年内累计三次“黄牌”事件认定为一次“红牌”事件。</w:t>
      </w:r>
    </w:p>
    <w:p>
      <w:pPr>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（三）“黄牌”和“红牌”事件在作出书面处罚决定一年内有效。</w:t>
      </w:r>
    </w:p>
    <w:p>
      <w:pPr>
        <w:spacing w:line="360" w:lineRule="auto"/>
        <w:ind w:firstLine="640"/>
        <w:rPr>
          <w:rFonts w:hint="eastAsia" w:ascii="宋体" w:hAnsi="宋体"/>
          <w:color w:val="000000" w:themeColor="text1"/>
          <w:sz w:val="24"/>
          <w:highlight w:val="none"/>
          <w14:textFill>
            <w14:solidFill>
              <w14:schemeClr w14:val="tx1"/>
            </w14:solidFill>
          </w14:textFill>
        </w:rPr>
      </w:pPr>
    </w:p>
    <w:p>
      <w:pPr>
        <w:spacing w:line="360" w:lineRule="auto"/>
        <w:ind w:firstLine="482" w:firstLineChars="200"/>
        <w:jc w:val="center"/>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第三章 奖惩措施</w:t>
      </w:r>
    </w:p>
    <w:p>
      <w:pPr>
        <w:autoSpaceDE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第十二条 考核评价出现一次“黄牌”事件的，建设（代建）单位对被考核单位主要负责人进行约谈警告；考核评价累计出现2次“黄牌”事件的，建设（代建）单位要求被考核单位更换不合格管理人员，更换人员的学历、职称及工作经验不得低于原管理人员。建设（代建）单位有权扣除每人次5000元~20000元作为违约金，被考核单位在办理请款手续时，必须提供考核评价结果作为当月请款必备资料，建设（代建）单位在当期进度款中予以扣除，被考核单位要对出现黄牌事件的相关人员进行处理，处理情况形成报告送建设（代建）单位备案。</w:t>
      </w:r>
    </w:p>
    <w:p>
      <w:pPr>
        <w:autoSpaceDE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第十三条 出现一次“红牌”事件的，建设（代建）要求被考核单位更换不合格管理人员，更换人员的学历、职称及工作经验不得低于原管理人员。由区水务局作出通报批评，建设（代建）单位有权扣除每人次20000元~40000元作为违约金，被考核单位在办理请款手续时，必须提供考核评价结果作为当月请款必备资料，建设（代建）单位在当期进度款中予以扣除，被考核单位要对出现黄牌事件的相关人员进行处理，处理情况形成报告送建设（代建）单位备案。</w:t>
      </w:r>
    </w:p>
    <w:p>
      <w:pPr>
        <w:autoSpaceDE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第十四条 出现两次“红牌”事件的，建设（代建）有权解除合同，被考核单位务必在2日内无条件退场，造成的一切损失由被考核单位承担。</w:t>
      </w:r>
    </w:p>
    <w:p>
      <w:pPr>
        <w:autoSpaceDE w:val="0"/>
        <w:spacing w:line="360" w:lineRule="auto"/>
        <w:ind w:firstLine="482" w:firstLineChars="200"/>
        <w:jc w:val="center"/>
        <w:rPr>
          <w:rFonts w:hint="eastAsia" w:ascii="宋体" w:hAnsi="宋体"/>
          <w:b/>
          <w:color w:val="000000" w:themeColor="text1"/>
          <w:sz w:val="24"/>
          <w:highlight w:val="none"/>
          <w14:textFill>
            <w14:solidFill>
              <w14:schemeClr w14:val="tx1"/>
            </w14:solidFill>
          </w14:textFill>
        </w:rPr>
      </w:pPr>
    </w:p>
    <w:p>
      <w:pPr>
        <w:autoSpaceDE w:val="0"/>
        <w:spacing w:line="360" w:lineRule="auto"/>
        <w:ind w:firstLine="482" w:firstLineChars="200"/>
        <w:jc w:val="center"/>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第四章 附则</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第十五条 本要求由区水务局负责解释。</w:t>
      </w: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p>
    <w:p>
      <w:pPr>
        <w:spacing w:line="360" w:lineRule="auto"/>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附件：番禺区水务工程参建单位管理人员考核评分表1~</w:t>
      </w:r>
      <w:r>
        <w:rPr>
          <w:rFonts w:hint="eastAsia" w:ascii="宋体" w:hAnsi="宋体"/>
          <w:color w:val="000000" w:themeColor="text1"/>
          <w:sz w:val="24"/>
          <w:highlight w:val="non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w:t>
      </w:r>
    </w:p>
    <w:p>
      <w:pPr>
        <w:ind w:firstLine="640"/>
        <w:rPr>
          <w:rFonts w:hint="eastAsia" w:ascii="仿宋" w:hAnsi="仿宋" w:eastAsia="仿宋"/>
          <w:color w:val="000000" w:themeColor="text1"/>
          <w:sz w:val="32"/>
          <w:szCs w:val="32"/>
          <w:highlight w:val="none"/>
          <w14:textFill>
            <w14:solidFill>
              <w14:schemeClr w14:val="tx1"/>
            </w14:solidFill>
          </w14:textFill>
        </w:rPr>
      </w:pPr>
    </w:p>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附表1 </w:t>
      </w:r>
    </w:p>
    <w:tbl>
      <w:tblPr>
        <w:tblStyle w:val="38"/>
        <w:tblW w:w="9371" w:type="dxa"/>
        <w:tblInd w:w="93" w:type="dxa"/>
        <w:tblLayout w:type="fixed"/>
        <w:tblCellMar>
          <w:top w:w="0" w:type="dxa"/>
          <w:left w:w="108" w:type="dxa"/>
          <w:bottom w:w="0" w:type="dxa"/>
          <w:right w:w="108" w:type="dxa"/>
        </w:tblCellMar>
      </w:tblPr>
      <w:tblGrid>
        <w:gridCol w:w="582"/>
        <w:gridCol w:w="1134"/>
        <w:gridCol w:w="2127"/>
        <w:gridCol w:w="708"/>
        <w:gridCol w:w="851"/>
        <w:gridCol w:w="709"/>
        <w:gridCol w:w="1275"/>
        <w:gridCol w:w="711"/>
        <w:gridCol w:w="1274"/>
      </w:tblGrid>
      <w:tr>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番禺区水务工程施工单位管理人员考核评分表(项目负责人）</w:t>
            </w:r>
          </w:p>
        </w:tc>
      </w:tr>
      <w:tr>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评分时间</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施工单位</w:t>
            </w:r>
          </w:p>
        </w:tc>
        <w:tc>
          <w:tcPr>
            <w:tcW w:w="4395"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项目负责人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事项</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备注说明</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5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工程项目部是否认真贯彻执行国家法律、法规、方针、政策和强制性标准</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6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项目管理实施规划和各项管理制度的完善和执行情况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对项目关键岗位人员和特种作业人员到岗履职的管理情况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项目施工组织设计、总体施工进度计划、专项施工方案等的制订和执行情况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9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现场质量管理、资料与工程进度是否同步等情况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2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专业技术水平</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组织、协调过程管理和解决项目施工过程中出现问题是否及时、合理。</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是否及时发现隐患，并及时合理落实整改措施</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4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安全生产、文明施工落实情况（包括但不限于农民工工资、疫情防控、防扬尘等）</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落实上级交办的事项是否及时、合理，及时了解工程总体情况，总结经验</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37" w:hRule="atLeast"/>
        </w:trPr>
        <w:tc>
          <w:tcPr>
            <w:tcW w:w="384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spacing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附表2 </w:t>
      </w:r>
    </w:p>
    <w:tbl>
      <w:tblPr>
        <w:tblStyle w:val="38"/>
        <w:tblW w:w="9371" w:type="dxa"/>
        <w:tblInd w:w="93" w:type="dxa"/>
        <w:tblLayout w:type="fixed"/>
        <w:tblCellMar>
          <w:top w:w="0" w:type="dxa"/>
          <w:left w:w="108" w:type="dxa"/>
          <w:bottom w:w="0" w:type="dxa"/>
          <w:right w:w="108" w:type="dxa"/>
        </w:tblCellMar>
      </w:tblPr>
      <w:tblGrid>
        <w:gridCol w:w="582"/>
        <w:gridCol w:w="1134"/>
        <w:gridCol w:w="2127"/>
        <w:gridCol w:w="708"/>
        <w:gridCol w:w="851"/>
        <w:gridCol w:w="853"/>
        <w:gridCol w:w="992"/>
        <w:gridCol w:w="850"/>
        <w:gridCol w:w="1274"/>
      </w:tblGrid>
      <w:tr>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番禺区水务工程施工单位管理人员考核评分表(技术负责人）</w:t>
            </w:r>
          </w:p>
        </w:tc>
      </w:tr>
      <w:tr>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技术负责人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考核事项</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备注说明</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5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是否按时制定施工项目的技术管理要求和技术管理工作计划</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7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技术交底工作情况和效果</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54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施工组织设计、重大危险源识别和控制方案、专项施工方案等的编制和组织实施情况。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39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处理工程验收提出的质量安全问题整改情况。技术资料的签证、收集、整理和归档情况。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1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专业技术水平</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熟悉施工图纸，是否组织并参加图纸会审和技术交底，并对结果进行确认</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67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复核、组织工程测量及其资料评定的情况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6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组织、协调施工过程管理和解决项目施工过程中出现问题是否及时、合理。</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（20分）</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对专业分包单位的技术和安全组织工作督促落实情况。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71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指导质量检验和试验的工作情况及效果</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48" w:hRule="atLeast"/>
        </w:trPr>
        <w:tc>
          <w:tcPr>
            <w:tcW w:w="3843"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spacing w:line="360" w:lineRule="auto"/>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附表3 </w:t>
      </w:r>
    </w:p>
    <w:tbl>
      <w:tblPr>
        <w:tblStyle w:val="38"/>
        <w:tblW w:w="9371" w:type="dxa"/>
        <w:tblInd w:w="93" w:type="dxa"/>
        <w:tblLayout w:type="fixed"/>
        <w:tblCellMar>
          <w:top w:w="0" w:type="dxa"/>
          <w:left w:w="108" w:type="dxa"/>
          <w:bottom w:w="0" w:type="dxa"/>
          <w:right w:w="108" w:type="dxa"/>
        </w:tblCellMar>
      </w:tblPr>
      <w:tblGrid>
        <w:gridCol w:w="582"/>
        <w:gridCol w:w="1134"/>
        <w:gridCol w:w="2410"/>
        <w:gridCol w:w="709"/>
        <w:gridCol w:w="709"/>
        <w:gridCol w:w="711"/>
        <w:gridCol w:w="992"/>
        <w:gridCol w:w="850"/>
        <w:gridCol w:w="1274"/>
      </w:tblGrid>
      <w:tr>
        <w:tblPrEx>
          <w:tblCellMar>
            <w:top w:w="0" w:type="dxa"/>
            <w:left w:w="108" w:type="dxa"/>
            <w:bottom w:w="0" w:type="dxa"/>
            <w:right w:w="108" w:type="dxa"/>
          </w:tblCellMar>
        </w:tblPrEx>
        <w:trPr>
          <w:trHeight w:val="522" w:hRule="atLeast"/>
          <w:tblHeader/>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番禺区水务工程施工单位管理人员考核评分表(安全员）</w:t>
            </w:r>
          </w:p>
        </w:tc>
      </w:tr>
      <w:tr>
        <w:tblPrEx>
          <w:tblCellMar>
            <w:top w:w="0" w:type="dxa"/>
            <w:left w:w="108" w:type="dxa"/>
            <w:bottom w:w="0" w:type="dxa"/>
            <w:right w:w="108" w:type="dxa"/>
          </w:tblCellMar>
        </w:tblPrEx>
        <w:trPr>
          <w:trHeight w:val="402"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23"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14" w:hRule="atLeast"/>
          <w:tblHeader/>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安全员</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blHead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考核事项</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备注说明</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97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工作态度与纪律（30分）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是否严格执行跟班制度，深入施工现场进行安全督察</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8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是否熟悉安全生产法律法规、操作规程、标准等安全知识</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55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是否对建设管理部门及其安监机构、现场监理部在各类检查中发现的安全生产问题认真组织整改落实</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5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工作任务完成情况（30分）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是否落实安全教育</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6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安全生产文明施工（疫情防控、现场管理“六个100%”、现场安全措施等）是否落实到位</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54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是否及时制止违章指挥、违章操作行为，是否及时发现、纠正、督促整改安全事故隐患，并报告项目负责人</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83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安全生产管理水平（20分）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是否熟悉施工项目重大危险源和安全专项施工方案，向项目部提出重大环节、重点部位的安全生产防范建议是否及时合理。</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83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是否查验特种作业人员持有证件上岗情况和人员、证件与单位相符情况，施工现场与专项施工方案相符情况。</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317"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综合能力（20分）</w:t>
            </w: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是否及时向项目负责人报告项目部安全生产情况，安全生产资料是否完整、规范。</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1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是否做好施工现场重大危险源的监控管理，是否按规范做好安全记录，建立隐患台账。</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412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spacing w:line="360" w:lineRule="auto"/>
        <w:rPr>
          <w:rFonts w:ascii="宋体" w:hAnsi="宋体"/>
          <w:color w:val="000000" w:themeColor="text1"/>
          <w:sz w:val="24"/>
          <w:highlight w:val="none"/>
          <w14:textFill>
            <w14:solidFill>
              <w14:schemeClr w14:val="tx1"/>
            </w14:solidFill>
          </w14:textFill>
        </w:rPr>
      </w:pPr>
    </w:p>
    <w:p>
      <w:pPr>
        <w:spacing w:line="360" w:lineRule="auto"/>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附表4 </w:t>
      </w:r>
    </w:p>
    <w:tbl>
      <w:tblPr>
        <w:tblStyle w:val="38"/>
        <w:tblW w:w="9371" w:type="dxa"/>
        <w:tblInd w:w="93" w:type="dxa"/>
        <w:tblLayout w:type="fixed"/>
        <w:tblCellMar>
          <w:top w:w="0" w:type="dxa"/>
          <w:left w:w="108" w:type="dxa"/>
          <w:bottom w:w="0" w:type="dxa"/>
          <w:right w:w="108" w:type="dxa"/>
        </w:tblCellMar>
      </w:tblPr>
      <w:tblGrid>
        <w:gridCol w:w="582"/>
        <w:gridCol w:w="1134"/>
        <w:gridCol w:w="2694"/>
        <w:gridCol w:w="708"/>
        <w:gridCol w:w="709"/>
        <w:gridCol w:w="709"/>
        <w:gridCol w:w="850"/>
        <w:gridCol w:w="711"/>
        <w:gridCol w:w="1274"/>
      </w:tblGrid>
      <w:tr>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 xml:space="preserve">番禺区水务工程施工单位管理人员考核评分表(资料员）   </w:t>
            </w:r>
          </w:p>
        </w:tc>
      </w:tr>
      <w:tr>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23"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施工单位</w:t>
            </w:r>
          </w:p>
        </w:tc>
        <w:tc>
          <w:tcPr>
            <w:tcW w:w="482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资料员</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考核事项</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备注说明</w:t>
            </w:r>
            <w:r>
              <w:rPr>
                <w:rFonts w:hint="eastAsia" w:ascii="宋体" w:hAnsi="宋体" w:cs="宋体"/>
                <w:color w:val="000000" w:themeColor="text1"/>
                <w:kern w:val="0"/>
                <w:szCs w:val="21"/>
                <w:highlight w:val="none"/>
                <w14:textFill>
                  <w14:solidFill>
                    <w14:schemeClr w14:val="tx1"/>
                  </w14:solidFill>
                </w14:textFill>
              </w:rPr>
              <w:br w:type="textWrapping"/>
            </w:r>
            <w:r>
              <w:rPr>
                <w:rFonts w:hint="eastAsia" w:ascii="宋体" w:hAnsi="宋体" w:cs="宋体"/>
                <w:color w:val="000000" w:themeColor="text1"/>
                <w:kern w:val="0"/>
                <w:szCs w:val="2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40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每月驻场工作情况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是否认真贯彻上级部门的各项规定，严格执行资料工作要求，加强资料的日常管理和保护工作</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6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廉政工作情况，资料台账是否出现虚报、瞒报、造假等情况</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8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（30分）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收集整理各单位收发文件，是否及时传阅上级部门通知。如收到设计变更通知后是否及时有效地传达变更通知</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4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是否有效及时整理工程资料，工程进度与资料是否同步</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是否根据施工图纸要求编制项目划分、检测计划。材料进场及时报验，抽检合格后再使用</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78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专业技术水平</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是否按设计及规范要求对本工程资料及时有效的编写与评定</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2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是否定期检查工程资料，发现问题是否及时整改，采取有效措施，保证资料准确，安全</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6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（20分）</w:t>
            </w: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上级领导开出的检查记录单是否及时回复</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27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是否根据检测计划对需要实体检测的项目及时通知检测单位做好检测。有龄期要求的是否及时送检。</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35" w:hRule="atLeast"/>
        </w:trPr>
        <w:tc>
          <w:tcPr>
            <w:tcW w:w="441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708"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spacing w:line="360" w:lineRule="auto"/>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附表5 </w:t>
      </w:r>
    </w:p>
    <w:tbl>
      <w:tblPr>
        <w:tblStyle w:val="38"/>
        <w:tblW w:w="9371" w:type="dxa"/>
        <w:tblInd w:w="93" w:type="dxa"/>
        <w:tblLayout w:type="fixed"/>
        <w:tblCellMar>
          <w:top w:w="0" w:type="dxa"/>
          <w:left w:w="108" w:type="dxa"/>
          <w:bottom w:w="0" w:type="dxa"/>
          <w:right w:w="108" w:type="dxa"/>
        </w:tblCellMar>
      </w:tblPr>
      <w:tblGrid>
        <w:gridCol w:w="582"/>
        <w:gridCol w:w="1134"/>
        <w:gridCol w:w="2120"/>
        <w:gridCol w:w="715"/>
        <w:gridCol w:w="851"/>
        <w:gridCol w:w="853"/>
        <w:gridCol w:w="992"/>
        <w:gridCol w:w="850"/>
        <w:gridCol w:w="1274"/>
      </w:tblGrid>
      <w:tr>
        <w:tblPrEx>
          <w:tblCellMar>
            <w:top w:w="0" w:type="dxa"/>
            <w:left w:w="108" w:type="dxa"/>
            <w:bottom w:w="0" w:type="dxa"/>
            <w:right w:w="108" w:type="dxa"/>
          </w:tblCellMar>
        </w:tblPrEx>
        <w:trPr>
          <w:trHeight w:val="522"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番禺区水务工程设计单位管理人员考核评分表(项目负责人）</w:t>
            </w:r>
          </w:p>
        </w:tc>
      </w:tr>
      <w:tr>
        <w:tblPrEx>
          <w:tblCellMar>
            <w:top w:w="0" w:type="dxa"/>
            <w:left w:w="108" w:type="dxa"/>
            <w:bottom w:w="0" w:type="dxa"/>
            <w:right w:w="108" w:type="dxa"/>
          </w:tblCellMar>
        </w:tblPrEx>
        <w:trPr>
          <w:trHeight w:val="402"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620"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414"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设计单位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项目负责人</w:t>
            </w:r>
          </w:p>
        </w:tc>
        <w:tc>
          <w:tcPr>
            <w:tcW w:w="212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考核事项</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备注说明</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54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工作态度与纪律（20分）</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会议出席情况</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7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是否无违法分包，或分包单位资质不符等行为。</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67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工作任务完成情况（40分）</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是否按合同约定提交设计成果。</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勘察设计文件是否编制合理，未发生变更设计行为。</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5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勘察设计文件是否编制合理，未发生调概行为。</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4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概预算按规定编制，评审过程积极配合并及时回馈存在问题</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63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专业技术能力</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（20分）</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勘察设计标准是否选用合适。</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086"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文件组成内容、深度是否符合设计文件编制规定。</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0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综合能力（20分）</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是否未违反初步设计批复意见或工程建设强制性标准。</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21"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是否未指定或变相指定设备生产商。</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383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71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br w:type="page"/>
      </w:r>
      <w:r>
        <w:rPr>
          <w:rFonts w:hint="eastAsia" w:ascii="宋体" w:hAnsi="宋体"/>
          <w:color w:val="000000" w:themeColor="text1"/>
          <w:sz w:val="24"/>
          <w:szCs w:val="24"/>
          <w:highlight w:val="none"/>
          <w14:textFill>
            <w14:solidFill>
              <w14:schemeClr w14:val="tx1"/>
            </w14:solidFill>
          </w14:textFill>
        </w:rPr>
        <w:t>附表</w:t>
      </w:r>
      <w:r>
        <w:rPr>
          <w:rFonts w:hint="eastAsia" w:ascii="宋体" w:hAnsi="宋体"/>
          <w:color w:val="000000" w:themeColor="text1"/>
          <w:sz w:val="24"/>
          <w:szCs w:val="24"/>
          <w:highlight w:val="none"/>
          <w:lang w:val="en-US" w:eastAsia="zh-CN"/>
          <w14:textFill>
            <w14:solidFill>
              <w14:schemeClr w14:val="tx1"/>
            </w14:solidFill>
          </w14:textFill>
        </w:rPr>
        <w:t>6</w:t>
      </w:r>
      <w:r>
        <w:rPr>
          <w:rFonts w:hint="eastAsia" w:ascii="宋体" w:hAnsi="宋体"/>
          <w:color w:val="000000" w:themeColor="text1"/>
          <w:sz w:val="24"/>
          <w:szCs w:val="24"/>
          <w:highlight w:val="none"/>
          <w14:textFill>
            <w14:solidFill>
              <w14:schemeClr w14:val="tx1"/>
            </w14:solidFill>
          </w14:textFill>
        </w:rPr>
        <w:t xml:space="preserve"> </w:t>
      </w:r>
    </w:p>
    <w:tbl>
      <w:tblPr>
        <w:tblStyle w:val="38"/>
        <w:tblW w:w="9371" w:type="dxa"/>
        <w:tblInd w:w="93" w:type="dxa"/>
        <w:tblLayout w:type="fixed"/>
        <w:tblCellMar>
          <w:top w:w="0" w:type="dxa"/>
          <w:left w:w="108" w:type="dxa"/>
          <w:bottom w:w="0" w:type="dxa"/>
          <w:right w:w="108" w:type="dxa"/>
        </w:tblCellMar>
      </w:tblPr>
      <w:tblGrid>
        <w:gridCol w:w="582"/>
        <w:gridCol w:w="1134"/>
        <w:gridCol w:w="2268"/>
        <w:gridCol w:w="851"/>
        <w:gridCol w:w="709"/>
        <w:gridCol w:w="711"/>
        <w:gridCol w:w="1131"/>
        <w:gridCol w:w="711"/>
        <w:gridCol w:w="1274"/>
      </w:tblGrid>
      <w:tr>
        <w:tblPrEx>
          <w:tblCellMar>
            <w:top w:w="0" w:type="dxa"/>
            <w:left w:w="108" w:type="dxa"/>
            <w:bottom w:w="0" w:type="dxa"/>
            <w:right w:w="108" w:type="dxa"/>
          </w:tblCellMar>
        </w:tblPrEx>
        <w:trPr>
          <w:trHeight w:val="647" w:hRule="atLeast"/>
        </w:trPr>
        <w:tc>
          <w:tcPr>
            <w:tcW w:w="9371" w:type="dxa"/>
            <w:gridSpan w:val="9"/>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 xml:space="preserve">番禺区水务工程设计单位管理人员考核评分表(设计代表）    </w:t>
            </w:r>
          </w:p>
        </w:tc>
      </w:tr>
      <w:tr>
        <w:tblPrEx>
          <w:tblCellMar>
            <w:top w:w="0" w:type="dxa"/>
            <w:left w:w="108" w:type="dxa"/>
            <w:bottom w:w="0" w:type="dxa"/>
            <w:right w:w="108" w:type="dxa"/>
          </w:tblCellMar>
        </w:tblPrEx>
        <w:trPr>
          <w:trHeight w:val="558"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评分时间</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78"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建设单位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评分人</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45" w:hRule="atLeast"/>
        </w:trPr>
        <w:tc>
          <w:tcPr>
            <w:tcW w:w="171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设计单位</w:t>
            </w:r>
          </w:p>
        </w:tc>
        <w:tc>
          <w:tcPr>
            <w:tcW w:w="453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设计代表</w:t>
            </w:r>
          </w:p>
        </w:tc>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考核事项</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考核具体内容</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配分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优秀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(9-10分)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良好</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(7-8分)</w:t>
            </w: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一般</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(5-6分)</w:t>
            </w: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较差</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(0-4分)</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备注说明</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（较差要写清楚原因）</w:t>
            </w:r>
          </w:p>
        </w:tc>
      </w:tr>
      <w:tr>
        <w:tblPrEx>
          <w:tblCellMar>
            <w:top w:w="0" w:type="dxa"/>
            <w:left w:w="108" w:type="dxa"/>
            <w:bottom w:w="0" w:type="dxa"/>
            <w:right w:w="108" w:type="dxa"/>
          </w:tblCellMar>
        </w:tblPrEx>
        <w:trPr>
          <w:trHeight w:val="884"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工作态度与纪律（20分）</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设计现场负责人驻场情况</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83"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处理现场问题是否及时，不影响施工。</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工作任务完成情况（40分）</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施工图纸会审后及时回复意见</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6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是否及时进行技术交底、现场交控制点。</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429"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是否及时参与地基验槽、地基与基础分部工程验收或主体结构分部工程验收工作。</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1108"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涉及变更的是否及时提供变更图纸和变更预算清单</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4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11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专业技术能力</w:t>
            </w:r>
          </w:p>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（20分）</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人员专业是否符合规定。</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11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对相关标准，技术文件是否非常熟悉。</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1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1134" w:type="dxa"/>
            <w:vMerge w:val="restart"/>
            <w:tcBorders>
              <w:top w:val="single" w:color="000000" w:sz="4" w:space="0"/>
              <w:left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综合能力（20分）</w:t>
            </w: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是否能督促施工单位按图施工。</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812" w:hRule="atLeast"/>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w:t>
            </w:r>
          </w:p>
        </w:tc>
        <w:tc>
          <w:tcPr>
            <w:tcW w:w="1134" w:type="dxa"/>
            <w:vMerge w:val="continue"/>
            <w:tcBorders>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是否及时向有关部门反映施工过程中遇到的重大问题。</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3984"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8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100</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1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p>
        </w:tc>
      </w:tr>
    </w:tbl>
    <w:p>
      <w:pPr>
        <w:pStyle w:val="6"/>
        <w:ind w:left="0" w:firstLine="0"/>
        <w:rPr>
          <w:rFonts w:hint="eastAsia"/>
          <w:color w:val="000000" w:themeColor="text1"/>
          <w:highlight w:val="none"/>
          <w14:textFill>
            <w14:solidFill>
              <w14:schemeClr w14:val="tx1"/>
            </w14:solidFill>
          </w14:textFill>
        </w:rPr>
      </w:pPr>
    </w:p>
    <w:p>
      <w:pPr>
        <w:pStyle w:val="4"/>
        <w:jc w:val="left"/>
        <w:rPr>
          <w:rFonts w:hint="eastAsia" w:ascii="宋体" w:hAnsi="宋体"/>
          <w:b w:val="0"/>
          <w:color w:val="000000" w:themeColor="text1"/>
          <w:sz w:val="30"/>
          <w:highlight w:val="none"/>
          <w:lang w:eastAsia="zh-CN"/>
          <w14:textFill>
            <w14:solidFill>
              <w14:schemeClr w14:val="tx1"/>
            </w14:solidFill>
          </w14:textFill>
        </w:rPr>
      </w:pPr>
      <w:bookmarkStart w:id="2037" w:name="_Toc26212"/>
      <w:bookmarkStart w:id="2038" w:name="_Toc9887"/>
      <w:bookmarkStart w:id="2039" w:name="_Toc18831"/>
      <w:r>
        <w:rPr>
          <w:rFonts w:hint="eastAsia" w:ascii="宋体" w:hAnsi="宋体"/>
          <w:b w:val="0"/>
          <w:color w:val="000000" w:themeColor="text1"/>
          <w:highlight w:val="none"/>
          <w14:textFill>
            <w14:solidFill>
              <w14:schemeClr w14:val="tx1"/>
            </w14:solidFill>
          </w14:textFill>
        </w:rPr>
        <w:t>附件二十</w:t>
      </w:r>
      <w:r>
        <w:rPr>
          <w:rFonts w:hint="eastAsia" w:ascii="宋体" w:hAnsi="宋体"/>
          <w:b w:val="0"/>
          <w:color w:val="000000" w:themeColor="text1"/>
          <w:highlight w:val="none"/>
          <w:lang w:val="en-US" w:eastAsia="zh-CN"/>
          <w14:textFill>
            <w14:solidFill>
              <w14:schemeClr w14:val="tx1"/>
            </w14:solidFill>
          </w14:textFill>
        </w:rPr>
        <w:t>三</w:t>
      </w:r>
      <w:r>
        <w:rPr>
          <w:rFonts w:hint="eastAsia" w:ascii="宋体" w:hAnsi="宋体"/>
          <w:b w:val="0"/>
          <w:color w:val="000000" w:themeColor="text1"/>
          <w:highlight w:val="none"/>
          <w14:textFill>
            <w14:solidFill>
              <w14:schemeClr w14:val="tx1"/>
            </w14:solidFill>
          </w14:textFill>
        </w:rPr>
        <w:t>：</w:t>
      </w:r>
      <w:bookmarkEnd w:id="2037"/>
      <w:bookmarkEnd w:id="2038"/>
      <w:bookmarkEnd w:id="2039"/>
    </w:p>
    <w:p>
      <w:pPr>
        <w:spacing w:before="312" w:line="225" w:lineRule="auto"/>
        <w:jc w:val="center"/>
        <w:rPr>
          <w:rFonts w:ascii="黑体" w:hAnsi="黑体" w:eastAsia="黑体" w:cs="黑体"/>
          <w:color w:val="000000" w:themeColor="text1"/>
          <w:spacing w:val="8"/>
          <w:sz w:val="51"/>
          <w:szCs w:val="51"/>
          <w:highlight w:val="none"/>
          <w14:textFill>
            <w14:solidFill>
              <w14:schemeClr w14:val="tx1"/>
            </w14:solidFill>
          </w14:textFill>
        </w:rPr>
      </w:pPr>
      <w:r>
        <w:rPr>
          <w:rFonts w:hint="eastAsia" w:ascii="黑体" w:hAnsi="黑体" w:eastAsia="黑体" w:cs="黑体"/>
          <w:color w:val="000000" w:themeColor="text1"/>
          <w:spacing w:val="8"/>
          <w:sz w:val="51"/>
          <w:szCs w:val="51"/>
          <w:highlight w:val="none"/>
          <w:lang w:val="en-US" w:eastAsia="zh-CN"/>
          <w14:textFill>
            <w14:solidFill>
              <w14:schemeClr w14:val="tx1"/>
            </w14:solidFill>
          </w14:textFill>
        </w:rPr>
        <w:t>番禺区村居雨污分流</w:t>
      </w:r>
      <w:r>
        <w:rPr>
          <w:rFonts w:ascii="黑体" w:hAnsi="黑体" w:eastAsia="黑体" w:cs="黑体"/>
          <w:color w:val="000000" w:themeColor="text1"/>
          <w:spacing w:val="8"/>
          <w:sz w:val="51"/>
          <w:szCs w:val="51"/>
          <w:highlight w:val="none"/>
          <w14:textFill>
            <w14:solidFill>
              <w14:schemeClr w14:val="tx1"/>
            </w14:solidFill>
          </w14:textFill>
        </w:rPr>
        <w:t>工程</w:t>
      </w:r>
    </w:p>
    <w:p>
      <w:pPr>
        <w:spacing w:before="312" w:line="225" w:lineRule="auto"/>
        <w:jc w:val="center"/>
        <w:rPr>
          <w:rFonts w:ascii="黑体" w:hAnsi="黑体" w:eastAsia="黑体" w:cs="黑体"/>
          <w:color w:val="000000" w:themeColor="text1"/>
          <w:sz w:val="51"/>
          <w:szCs w:val="51"/>
          <w:highlight w:val="none"/>
          <w14:textFill>
            <w14:solidFill>
              <w14:schemeClr w14:val="tx1"/>
            </w14:solidFill>
          </w14:textFill>
        </w:rPr>
      </w:pPr>
      <w:r>
        <w:rPr>
          <w:rFonts w:ascii="黑体" w:hAnsi="黑体" w:eastAsia="黑体" w:cs="黑体"/>
          <w:color w:val="000000" w:themeColor="text1"/>
          <w:spacing w:val="8"/>
          <w:sz w:val="51"/>
          <w:szCs w:val="51"/>
          <w:highlight w:val="none"/>
          <w14:textFill>
            <w14:solidFill>
              <w14:schemeClr w14:val="tx1"/>
            </w14:solidFill>
          </w14:textFill>
        </w:rPr>
        <w:t>绩效考核指引</w:t>
      </w:r>
    </w:p>
    <w:p>
      <w:pPr>
        <w:spacing w:line="256" w:lineRule="auto"/>
        <w:rPr>
          <w:rFonts w:ascii="Arial"/>
          <w:color w:val="000000" w:themeColor="text1"/>
          <w:sz w:val="21"/>
          <w:highlight w:val="none"/>
          <w14:textFill>
            <w14:solidFill>
              <w14:schemeClr w14:val="tx1"/>
            </w14:solidFill>
          </w14:textFill>
        </w:rPr>
      </w:pPr>
    </w:p>
    <w:p>
      <w:pPr>
        <w:spacing w:line="256" w:lineRule="auto"/>
        <w:rPr>
          <w:rFonts w:ascii="Arial"/>
          <w:color w:val="000000" w:themeColor="text1"/>
          <w:sz w:val="21"/>
          <w:highlight w:val="none"/>
          <w14:textFill>
            <w14:solidFill>
              <w14:schemeClr w14:val="tx1"/>
            </w14:solidFill>
          </w14:textFill>
        </w:rPr>
      </w:pPr>
    </w:p>
    <w:p>
      <w:pPr>
        <w:spacing w:line="256" w:lineRule="auto"/>
        <w:rPr>
          <w:rFonts w:ascii="Arial"/>
          <w:color w:val="000000" w:themeColor="text1"/>
          <w:sz w:val="21"/>
          <w:highlight w:val="none"/>
          <w14:textFill>
            <w14:solidFill>
              <w14:schemeClr w14:val="tx1"/>
            </w14:solidFill>
          </w14:textFill>
        </w:rPr>
      </w:pPr>
    </w:p>
    <w:p>
      <w:pPr>
        <w:spacing w:line="256" w:lineRule="auto"/>
        <w:rPr>
          <w:rFonts w:ascii="Arial"/>
          <w:color w:val="000000" w:themeColor="text1"/>
          <w:sz w:val="21"/>
          <w:highlight w:val="none"/>
          <w14:textFill>
            <w14:solidFill>
              <w14:schemeClr w14:val="tx1"/>
            </w14:solidFill>
          </w14:textFill>
        </w:rPr>
      </w:pPr>
    </w:p>
    <w:p>
      <w:pPr>
        <w:spacing w:line="256" w:lineRule="auto"/>
        <w:rPr>
          <w:rFonts w:ascii="Arial"/>
          <w:color w:val="000000" w:themeColor="text1"/>
          <w:sz w:val="21"/>
          <w:highlight w:val="none"/>
          <w14:textFill>
            <w14:solidFill>
              <w14:schemeClr w14:val="tx1"/>
            </w14:solidFill>
          </w14:textFill>
        </w:rPr>
      </w:pPr>
    </w:p>
    <w:p>
      <w:pPr>
        <w:spacing w:line="257" w:lineRule="auto"/>
        <w:rPr>
          <w:rFonts w:ascii="Arial"/>
          <w:color w:val="000000" w:themeColor="text1"/>
          <w:sz w:val="21"/>
          <w:highlight w:val="none"/>
          <w14:textFill>
            <w14:solidFill>
              <w14:schemeClr w14:val="tx1"/>
            </w14:solidFill>
          </w14:textFill>
        </w:rPr>
      </w:pPr>
    </w:p>
    <w:p>
      <w:pPr>
        <w:spacing w:line="257" w:lineRule="auto"/>
        <w:rPr>
          <w:rFonts w:ascii="Arial"/>
          <w:color w:val="000000" w:themeColor="text1"/>
          <w:sz w:val="21"/>
          <w:highlight w:val="none"/>
          <w14:textFill>
            <w14:solidFill>
              <w14:schemeClr w14:val="tx1"/>
            </w14:solidFill>
          </w14:textFill>
        </w:rPr>
      </w:pPr>
    </w:p>
    <w:p>
      <w:pPr>
        <w:spacing w:line="257"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rPr>
          <w:rFonts w:ascii="Arial"/>
          <w:color w:val="000000" w:themeColor="text1"/>
          <w:sz w:val="21"/>
          <w:highlight w:val="none"/>
          <w14:textFill>
            <w14:solidFill>
              <w14:schemeClr w14:val="tx1"/>
            </w14:solidFill>
          </w14:textFill>
        </w:rPr>
      </w:pPr>
    </w:p>
    <w:p>
      <w:pPr>
        <w:spacing w:line="245" w:lineRule="auto"/>
        <w:jc w:val="center"/>
        <w:rPr>
          <w:rFonts w:ascii="Arial"/>
          <w:color w:val="000000" w:themeColor="text1"/>
          <w:sz w:val="21"/>
          <w:highlight w:val="none"/>
          <w14:textFill>
            <w14:solidFill>
              <w14:schemeClr w14:val="tx1"/>
            </w14:solidFill>
          </w14:textFill>
        </w:rPr>
      </w:pPr>
    </w:p>
    <w:p>
      <w:pPr>
        <w:spacing w:line="245" w:lineRule="auto"/>
        <w:jc w:val="center"/>
        <w:rPr>
          <w:rFonts w:ascii="Arial"/>
          <w:color w:val="000000" w:themeColor="text1"/>
          <w:sz w:val="21"/>
          <w:highlight w:val="none"/>
          <w14:textFill>
            <w14:solidFill>
              <w14:schemeClr w14:val="tx1"/>
            </w14:solidFill>
          </w14:textFill>
        </w:rPr>
      </w:pPr>
    </w:p>
    <w:p>
      <w:pPr>
        <w:spacing w:before="117" w:line="623" w:lineRule="exact"/>
        <w:jc w:val="center"/>
        <w:rPr>
          <w:rFonts w:ascii="黑体" w:hAnsi="黑体" w:eastAsia="黑体" w:cs="黑体"/>
          <w:color w:val="000000" w:themeColor="text1"/>
          <w:sz w:val="36"/>
          <w:szCs w:val="36"/>
          <w:highlight w:val="none"/>
          <w14:textFill>
            <w14:solidFill>
              <w14:schemeClr w14:val="tx1"/>
            </w14:solidFill>
          </w14:textFill>
        </w:rPr>
      </w:pPr>
      <w:r>
        <w:rPr>
          <w:rFonts w:ascii="黑体" w:hAnsi="黑体" w:eastAsia="黑体" w:cs="黑体"/>
          <w:color w:val="000000" w:themeColor="text1"/>
          <w:spacing w:val="-1"/>
          <w:position w:val="19"/>
          <w:sz w:val="36"/>
          <w:szCs w:val="36"/>
          <w:highlight w:val="none"/>
          <w14:textFill>
            <w14:solidFill>
              <w14:schemeClr w14:val="tx1"/>
            </w14:solidFill>
          </w14:textFill>
        </w:rPr>
        <w:t>广州市</w:t>
      </w:r>
      <w:r>
        <w:rPr>
          <w:rFonts w:hint="eastAsia" w:ascii="黑体" w:hAnsi="黑体" w:eastAsia="黑体" w:cs="黑体"/>
          <w:color w:val="000000" w:themeColor="text1"/>
          <w:spacing w:val="-1"/>
          <w:position w:val="19"/>
          <w:sz w:val="36"/>
          <w:szCs w:val="36"/>
          <w:highlight w:val="none"/>
          <w:lang w:val="en-US" w:eastAsia="zh-CN"/>
          <w14:textFill>
            <w14:solidFill>
              <w14:schemeClr w14:val="tx1"/>
            </w14:solidFill>
          </w14:textFill>
        </w:rPr>
        <w:t>番禺</w:t>
      </w:r>
      <w:r>
        <w:rPr>
          <w:rFonts w:ascii="黑体" w:hAnsi="黑体" w:eastAsia="黑体" w:cs="黑体"/>
          <w:color w:val="000000" w:themeColor="text1"/>
          <w:position w:val="19"/>
          <w:sz w:val="36"/>
          <w:szCs w:val="36"/>
          <w:highlight w:val="none"/>
          <w14:textFill>
            <w14:solidFill>
              <w14:schemeClr w14:val="tx1"/>
            </w14:solidFill>
          </w14:textFill>
        </w:rPr>
        <w:t>区水务局</w:t>
      </w:r>
    </w:p>
    <w:p>
      <w:pPr>
        <w:spacing w:line="223" w:lineRule="auto"/>
        <w:jc w:val="center"/>
        <w:rPr>
          <w:rFonts w:ascii="黑体" w:hAnsi="黑体" w:eastAsia="黑体" w:cs="黑体"/>
          <w:color w:val="000000" w:themeColor="text1"/>
          <w:sz w:val="36"/>
          <w:szCs w:val="36"/>
          <w:highlight w:val="none"/>
          <w14:textFill>
            <w14:solidFill>
              <w14:schemeClr w14:val="tx1"/>
            </w14:solidFill>
          </w14:textFill>
        </w:rPr>
      </w:pPr>
      <w:r>
        <w:rPr>
          <w:rFonts w:ascii="黑体" w:hAnsi="黑体" w:eastAsia="黑体" w:cs="黑体"/>
          <w:color w:val="000000" w:themeColor="text1"/>
          <w:spacing w:val="-2"/>
          <w:sz w:val="36"/>
          <w:szCs w:val="36"/>
          <w:highlight w:val="none"/>
          <w14:textFill>
            <w14:solidFill>
              <w14:schemeClr w14:val="tx1"/>
            </w14:solidFill>
          </w14:textFill>
        </w:rPr>
        <w:t>二〇二</w:t>
      </w:r>
      <w:r>
        <w:rPr>
          <w:rFonts w:hint="eastAsia" w:ascii="黑体" w:hAnsi="黑体" w:eastAsia="黑体" w:cs="黑体"/>
          <w:color w:val="000000" w:themeColor="text1"/>
          <w:spacing w:val="-1"/>
          <w:sz w:val="36"/>
          <w:szCs w:val="36"/>
          <w:highlight w:val="none"/>
          <w:lang w:eastAsia="zh-CN"/>
          <w14:textFill>
            <w14:solidFill>
              <w14:schemeClr w14:val="tx1"/>
            </w14:solidFill>
          </w14:textFill>
        </w:rPr>
        <w:t>三</w:t>
      </w:r>
      <w:r>
        <w:rPr>
          <w:rFonts w:ascii="黑体" w:hAnsi="黑体" w:eastAsia="黑体" w:cs="黑体"/>
          <w:color w:val="000000" w:themeColor="text1"/>
          <w:spacing w:val="-1"/>
          <w:sz w:val="36"/>
          <w:szCs w:val="36"/>
          <w:highlight w:val="none"/>
          <w14:textFill>
            <w14:solidFill>
              <w14:schemeClr w14:val="tx1"/>
            </w14:solidFill>
          </w14:textFill>
        </w:rPr>
        <w:t>年</w:t>
      </w:r>
      <w:r>
        <w:rPr>
          <w:rFonts w:hint="eastAsia" w:ascii="黑体" w:hAnsi="黑体" w:eastAsia="黑体" w:cs="黑体"/>
          <w:color w:val="000000" w:themeColor="text1"/>
          <w:spacing w:val="-1"/>
          <w:sz w:val="36"/>
          <w:szCs w:val="36"/>
          <w:highlight w:val="none"/>
          <w:lang w:val="en-US" w:eastAsia="zh-CN"/>
          <w14:textFill>
            <w14:solidFill>
              <w14:schemeClr w14:val="tx1"/>
            </w14:solidFill>
          </w14:textFill>
        </w:rPr>
        <w:t>七</w:t>
      </w:r>
      <w:r>
        <w:rPr>
          <w:rFonts w:ascii="黑体" w:hAnsi="黑体" w:eastAsia="黑体" w:cs="黑体"/>
          <w:color w:val="000000" w:themeColor="text1"/>
          <w:spacing w:val="-1"/>
          <w:sz w:val="36"/>
          <w:szCs w:val="36"/>
          <w:highlight w:val="none"/>
          <w14:textFill>
            <w14:solidFill>
              <w14:schemeClr w14:val="tx1"/>
            </w14:solidFill>
          </w14:textFill>
        </w:rPr>
        <w:t>月</w:t>
      </w:r>
    </w:p>
    <w:p>
      <w:pPr>
        <w:rPr>
          <w:color w:val="000000" w:themeColor="text1"/>
          <w:highlight w:val="none"/>
          <w14:textFill>
            <w14:solidFill>
              <w14:schemeClr w14:val="tx1"/>
            </w14:solidFill>
          </w14:textFill>
        </w:rPr>
        <w:sectPr>
          <w:footerReference r:id="rId12" w:type="default"/>
          <w:pgSz w:w="11905" w:h="16840"/>
          <w:pgMar w:top="1431" w:right="1537" w:bottom="1188" w:left="1729" w:header="0" w:footer="973" w:gutter="0"/>
          <w:pgNumType w:fmt="decimal"/>
          <w:cols w:space="720" w:num="1"/>
        </w:sectPr>
      </w:pPr>
    </w:p>
    <w:p>
      <w:pPr>
        <w:spacing w:before="138" w:line="416" w:lineRule="exact"/>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
          <w:position w:val="1"/>
          <w:sz w:val="31"/>
          <w:szCs w:val="31"/>
          <w:highlight w:val="none"/>
          <w14:textFill>
            <w14:solidFill>
              <w14:schemeClr w14:val="tx1"/>
            </w14:solidFill>
          </w14:textFill>
        </w:rPr>
        <w:t>1.总</w:t>
      </w:r>
      <w:r>
        <w:rPr>
          <w:rFonts w:ascii="宋体" w:hAnsi="宋体" w:eastAsia="宋体" w:cs="宋体"/>
          <w:color w:val="000000" w:themeColor="text1"/>
          <w:position w:val="1"/>
          <w:sz w:val="31"/>
          <w:szCs w:val="31"/>
          <w:highlight w:val="none"/>
          <w14:textFill>
            <w14:solidFill>
              <w14:schemeClr w14:val="tx1"/>
            </w14:solidFill>
          </w14:textFill>
        </w:rPr>
        <w:t>则</w:t>
      </w:r>
    </w:p>
    <w:p>
      <w:pPr>
        <w:spacing w:before="164" w:line="362" w:lineRule="auto"/>
        <w:ind w:left="2" w:firstLine="480"/>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本</w:t>
      </w:r>
      <w:r>
        <w:rPr>
          <w:rFonts w:ascii="宋体" w:hAnsi="宋体" w:eastAsia="宋体" w:cs="宋体"/>
          <w:color w:val="000000" w:themeColor="text1"/>
          <w:spacing w:val="-9"/>
          <w:sz w:val="24"/>
          <w:szCs w:val="24"/>
          <w:highlight w:val="none"/>
          <w14:textFill>
            <w14:solidFill>
              <w14:schemeClr w14:val="tx1"/>
            </w14:solidFill>
          </w14:textFill>
        </w:rPr>
        <w:t>考</w:t>
      </w:r>
      <w:r>
        <w:rPr>
          <w:rFonts w:ascii="宋体" w:hAnsi="宋体" w:eastAsia="宋体" w:cs="宋体"/>
          <w:color w:val="000000" w:themeColor="text1"/>
          <w:spacing w:val="-5"/>
          <w:sz w:val="24"/>
          <w:szCs w:val="24"/>
          <w:highlight w:val="none"/>
          <w14:textFill>
            <w14:solidFill>
              <w14:schemeClr w14:val="tx1"/>
            </w14:solidFill>
          </w14:textFill>
        </w:rPr>
        <w:t>核指引是对《</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5"/>
          <w:sz w:val="24"/>
          <w:szCs w:val="24"/>
          <w:highlight w:val="none"/>
          <w14:textFill>
            <w14:solidFill>
              <w14:schemeClr w14:val="tx1"/>
            </w14:solidFill>
          </w14:textFill>
        </w:rPr>
        <w:t>工程</w:t>
      </w:r>
      <w:r>
        <w:rPr>
          <w:rFonts w:ascii="宋体" w:hAnsi="宋体" w:eastAsia="宋体" w:cs="宋体"/>
          <w:color w:val="000000" w:themeColor="text1"/>
          <w:spacing w:val="3"/>
          <w:sz w:val="24"/>
          <w:szCs w:val="24"/>
          <w:highlight w:val="none"/>
          <w14:textFill>
            <w14:solidFill>
              <w14:schemeClr w14:val="tx1"/>
            </w14:solidFill>
          </w14:textFill>
        </w:rPr>
        <w:t>》所附《</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5"/>
          <w:sz w:val="24"/>
          <w:szCs w:val="24"/>
          <w:highlight w:val="none"/>
          <w14:textFill>
            <w14:solidFill>
              <w14:schemeClr w14:val="tx1"/>
            </w14:solidFill>
          </w14:textFill>
        </w:rPr>
        <w:t>工程</w:t>
      </w:r>
      <w:r>
        <w:rPr>
          <w:rFonts w:ascii="宋体" w:hAnsi="宋体" w:eastAsia="宋体" w:cs="宋体"/>
          <w:color w:val="000000" w:themeColor="text1"/>
          <w:spacing w:val="3"/>
          <w:sz w:val="24"/>
          <w:szCs w:val="24"/>
          <w:highlight w:val="none"/>
          <w14:textFill>
            <w14:solidFill>
              <w14:schemeClr w14:val="tx1"/>
            </w14:solidFill>
          </w14:textFill>
        </w:rPr>
        <w:t>(</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施工图</w:t>
      </w:r>
      <w:r>
        <w:rPr>
          <w:rFonts w:ascii="宋体" w:hAnsi="宋体" w:eastAsia="宋体" w:cs="宋体"/>
          <w:color w:val="000000" w:themeColor="text1"/>
          <w:spacing w:val="3"/>
          <w:sz w:val="24"/>
          <w:szCs w:val="24"/>
          <w:highlight w:val="none"/>
          <w14:textFill>
            <w14:solidFill>
              <w14:schemeClr w14:val="tx1"/>
            </w14:solidFill>
          </w14:textFill>
        </w:rPr>
        <w:t>设计施工</w:t>
      </w:r>
      <w:r>
        <w:rPr>
          <w:rFonts w:ascii="宋体" w:hAnsi="宋体" w:eastAsia="宋体" w:cs="宋体"/>
          <w:color w:val="000000" w:themeColor="text1"/>
          <w:spacing w:val="1"/>
          <w:sz w:val="24"/>
          <w:szCs w:val="24"/>
          <w:highlight w:val="none"/>
          <w14:textFill>
            <w14:solidFill>
              <w14:schemeClr w14:val="tx1"/>
            </w14:solidFill>
          </w14:textFill>
        </w:rPr>
        <w:t>总</w:t>
      </w:r>
      <w:r>
        <w:rPr>
          <w:rFonts w:ascii="宋体" w:hAnsi="宋体" w:eastAsia="宋体" w:cs="宋体"/>
          <w:color w:val="000000" w:themeColor="text1"/>
          <w:spacing w:val="4"/>
          <w:sz w:val="24"/>
          <w:szCs w:val="24"/>
          <w:highlight w:val="none"/>
          <w14:textFill>
            <w14:solidFill>
              <w14:schemeClr w14:val="tx1"/>
            </w14:solidFill>
          </w14:textFill>
        </w:rPr>
        <w:t>承包</w:t>
      </w:r>
      <w:r>
        <w:rPr>
          <w:rFonts w:ascii="宋体" w:hAnsi="宋体" w:eastAsia="宋体" w:cs="宋体"/>
          <w:color w:val="000000" w:themeColor="text1"/>
          <w:sz w:val="24"/>
          <w:szCs w:val="24"/>
          <w:highlight w:val="none"/>
          <w14:textFill>
            <w14:solidFill>
              <w14:schemeClr w14:val="tx1"/>
            </w14:solidFill>
          </w14:textFill>
        </w:rPr>
        <w:t>EPC</w:t>
      </w:r>
      <w:r>
        <w:rPr>
          <w:rFonts w:ascii="宋体" w:hAnsi="宋体" w:eastAsia="宋体" w:cs="宋体"/>
          <w:color w:val="000000" w:themeColor="text1"/>
          <w:spacing w:val="4"/>
          <w:sz w:val="24"/>
          <w:szCs w:val="24"/>
          <w:highlight w:val="none"/>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质</w:t>
      </w:r>
      <w:r>
        <w:rPr>
          <w:rFonts w:ascii="宋体" w:hAnsi="宋体" w:eastAsia="宋体" w:cs="宋体"/>
          <w:color w:val="000000" w:themeColor="text1"/>
          <w:spacing w:val="2"/>
          <w:sz w:val="24"/>
          <w:szCs w:val="24"/>
          <w:highlight w:val="none"/>
          <w14:textFill>
            <w14:solidFill>
              <w14:schemeClr w14:val="tx1"/>
            </w14:solidFill>
          </w14:textFill>
        </w:rPr>
        <w:t>保期考核项目及考核标准表》(以下简称“考核表1”)</w:t>
      </w:r>
      <w:r>
        <w:rPr>
          <w:rFonts w:ascii="宋体" w:hAnsi="宋体" w:eastAsia="宋体" w:cs="宋体"/>
          <w:color w:val="000000" w:themeColor="text1"/>
          <w:spacing w:val="-3"/>
          <w:sz w:val="24"/>
          <w:szCs w:val="24"/>
          <w:highlight w:val="none"/>
          <w14:textFill>
            <w14:solidFill>
              <w14:schemeClr w14:val="tx1"/>
            </w14:solidFill>
          </w14:textFill>
        </w:rPr>
        <w:t>的释义、细化及指导考核工作。考核表1</w:t>
      </w:r>
      <w:r>
        <w:rPr>
          <w:rFonts w:ascii="宋体" w:hAnsi="宋体" w:eastAsia="宋体" w:cs="宋体"/>
          <w:color w:val="000000" w:themeColor="text1"/>
          <w:spacing w:val="-4"/>
          <w:sz w:val="24"/>
          <w:szCs w:val="24"/>
          <w:highlight w:val="none"/>
          <w14:textFill>
            <w14:solidFill>
              <w14:schemeClr w14:val="tx1"/>
            </w14:solidFill>
          </w14:textFill>
        </w:rPr>
        <w:t>适用于对</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施工图设计</w:t>
      </w:r>
      <w:r>
        <w:rPr>
          <w:rFonts w:ascii="宋体" w:hAnsi="宋体" w:eastAsia="宋体" w:cs="宋体"/>
          <w:color w:val="000000" w:themeColor="text1"/>
          <w:spacing w:val="-4"/>
          <w:sz w:val="24"/>
          <w:szCs w:val="24"/>
          <w:highlight w:val="none"/>
          <w14:textFill>
            <w14:solidFill>
              <w14:schemeClr w14:val="tx1"/>
            </w14:solidFill>
          </w14:textFill>
        </w:rPr>
        <w:t>施工总</w:t>
      </w:r>
      <w:r>
        <w:rPr>
          <w:rFonts w:ascii="宋体" w:hAnsi="宋体" w:eastAsia="宋体" w:cs="宋体"/>
          <w:color w:val="000000" w:themeColor="text1"/>
          <w:spacing w:val="-3"/>
          <w:sz w:val="24"/>
          <w:szCs w:val="24"/>
          <w:highlight w:val="none"/>
          <w14:textFill>
            <w14:solidFill>
              <w14:schemeClr w14:val="tx1"/>
            </w14:solidFill>
          </w14:textFill>
        </w:rPr>
        <w:t>承</w:t>
      </w:r>
      <w:r>
        <w:rPr>
          <w:rFonts w:ascii="宋体" w:hAnsi="宋体" w:eastAsia="宋体" w:cs="宋体"/>
          <w:color w:val="000000" w:themeColor="text1"/>
          <w:spacing w:val="-2"/>
          <w:sz w:val="24"/>
          <w:szCs w:val="24"/>
          <w:highlight w:val="none"/>
          <w14:textFill>
            <w14:solidFill>
              <w14:schemeClr w14:val="tx1"/>
            </w14:solidFill>
          </w14:textFill>
        </w:rPr>
        <w:t>包EPC单位质保期的考核，该考核涉及</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7</w:t>
      </w:r>
      <w:r>
        <w:rPr>
          <w:rFonts w:ascii="宋体" w:hAnsi="宋体" w:eastAsia="宋体" w:cs="宋体"/>
          <w:color w:val="000000" w:themeColor="text1"/>
          <w:spacing w:val="-2"/>
          <w:sz w:val="24"/>
          <w:szCs w:val="24"/>
          <w:highlight w:val="none"/>
          <w14:textFill>
            <w14:solidFill>
              <w14:schemeClr w14:val="tx1"/>
            </w14:solidFill>
          </w14:textFill>
        </w:rPr>
        <w:t>%的考核金</w:t>
      </w:r>
      <w:r>
        <w:rPr>
          <w:rFonts w:ascii="宋体" w:hAnsi="宋体" w:eastAsia="宋体" w:cs="宋体"/>
          <w:color w:val="000000" w:themeColor="text1"/>
          <w:spacing w:val="-5"/>
          <w:sz w:val="24"/>
          <w:szCs w:val="24"/>
          <w:highlight w:val="none"/>
          <w14:textFill>
            <w14:solidFill>
              <w14:schemeClr w14:val="tx1"/>
            </w14:solidFill>
          </w14:textFill>
        </w:rPr>
        <w:t>。考核表1的</w:t>
      </w:r>
      <w:r>
        <w:rPr>
          <w:rFonts w:ascii="宋体" w:hAnsi="宋体" w:eastAsia="宋体" w:cs="宋体"/>
          <w:color w:val="000000" w:themeColor="text1"/>
          <w:spacing w:val="-4"/>
          <w:sz w:val="24"/>
          <w:szCs w:val="24"/>
          <w:highlight w:val="none"/>
          <w14:textFill>
            <w14:solidFill>
              <w14:schemeClr w14:val="tx1"/>
            </w14:solidFill>
          </w14:textFill>
        </w:rPr>
        <w:t>得分机制参照考核表</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2</w:t>
      </w:r>
      <w:r>
        <w:rPr>
          <w:rFonts w:ascii="宋体" w:hAnsi="宋体" w:eastAsia="宋体" w:cs="宋体"/>
          <w:color w:val="000000" w:themeColor="text1"/>
          <w:spacing w:val="-4"/>
          <w:sz w:val="24"/>
          <w:szCs w:val="24"/>
          <w:highlight w:val="none"/>
          <w14:textFill>
            <w14:solidFill>
              <w14:schemeClr w14:val="tx1"/>
            </w14:solidFill>
          </w14:textFill>
        </w:rPr>
        <w:t>《</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5"/>
          <w:sz w:val="24"/>
          <w:szCs w:val="24"/>
          <w:highlight w:val="none"/>
          <w14:textFill>
            <w14:solidFill>
              <w14:schemeClr w14:val="tx1"/>
            </w14:solidFill>
          </w14:textFill>
        </w:rPr>
        <w:t>工程</w:t>
      </w:r>
      <w:r>
        <w:rPr>
          <w:rFonts w:ascii="宋体" w:hAnsi="宋体" w:eastAsia="宋体" w:cs="宋体"/>
          <w:color w:val="000000" w:themeColor="text1"/>
          <w:spacing w:val="-2"/>
          <w:sz w:val="24"/>
          <w:szCs w:val="24"/>
          <w:highlight w:val="none"/>
          <w14:textFill>
            <w14:solidFill>
              <w14:schemeClr w14:val="tx1"/>
            </w14:solidFill>
          </w14:textFill>
        </w:rPr>
        <w:t>(</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施工图设计</w:t>
      </w:r>
      <w:r>
        <w:rPr>
          <w:rFonts w:ascii="宋体" w:hAnsi="宋体" w:eastAsia="宋体" w:cs="宋体"/>
          <w:color w:val="000000" w:themeColor="text1"/>
          <w:spacing w:val="1"/>
          <w:sz w:val="24"/>
          <w:szCs w:val="24"/>
          <w:highlight w:val="none"/>
          <w14:textFill>
            <w14:solidFill>
              <w14:schemeClr w14:val="tx1"/>
            </w14:solidFill>
          </w14:textFill>
        </w:rPr>
        <w:t>施工总承包</w:t>
      </w:r>
      <w:r>
        <w:rPr>
          <w:rFonts w:ascii="宋体" w:hAnsi="宋体" w:eastAsia="宋体" w:cs="宋体"/>
          <w:color w:val="000000" w:themeColor="text1"/>
          <w:sz w:val="24"/>
          <w:szCs w:val="24"/>
          <w:highlight w:val="none"/>
          <w14:textFill>
            <w14:solidFill>
              <w14:schemeClr w14:val="tx1"/>
            </w14:solidFill>
          </w14:textFill>
        </w:rPr>
        <w:t>EPC</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质保期评分分级表》执行</w:t>
      </w:r>
      <w:r>
        <w:rPr>
          <w:rFonts w:ascii="宋体" w:hAnsi="宋体" w:eastAsia="宋体" w:cs="宋体"/>
          <w:color w:val="000000" w:themeColor="text1"/>
          <w:spacing w:val="-2"/>
          <w:sz w:val="24"/>
          <w:szCs w:val="24"/>
          <w:highlight w:val="none"/>
          <w14:textFill>
            <w14:solidFill>
              <w14:schemeClr w14:val="tx1"/>
            </w14:solidFill>
          </w14:textFill>
        </w:rPr>
        <w:t>。本指引最终解释权归</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番禺</w:t>
      </w:r>
      <w:r>
        <w:rPr>
          <w:rFonts w:ascii="宋体" w:hAnsi="宋体" w:eastAsia="宋体" w:cs="宋体"/>
          <w:color w:val="000000" w:themeColor="text1"/>
          <w:spacing w:val="-2"/>
          <w:sz w:val="24"/>
          <w:szCs w:val="24"/>
          <w:highlight w:val="none"/>
          <w14:textFill>
            <w14:solidFill>
              <w14:schemeClr w14:val="tx1"/>
            </w14:solidFill>
          </w14:textFill>
        </w:rPr>
        <w:t>区水务局所有。</w:t>
      </w:r>
    </w:p>
    <w:p>
      <w:pPr>
        <w:spacing w:before="17" w:line="643" w:lineRule="exact"/>
        <w:ind w:left="9"/>
        <w:jc w:val="both"/>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4"/>
          <w:position w:val="24"/>
          <w:sz w:val="31"/>
          <w:szCs w:val="31"/>
          <w:highlight w:val="none"/>
          <w14:textFill>
            <w14:solidFill>
              <w14:schemeClr w14:val="tx1"/>
            </w14:solidFill>
          </w14:textFill>
        </w:rPr>
        <w:t>2.术语</w:t>
      </w:r>
    </w:p>
    <w:p>
      <w:pPr>
        <w:spacing w:line="227" w:lineRule="auto"/>
        <w:ind w:left="7"/>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7"/>
          <w:sz w:val="27"/>
          <w:szCs w:val="27"/>
          <w:highlight w:val="none"/>
          <w14:textFill>
            <w14:solidFill>
              <w14:schemeClr w14:val="tx1"/>
            </w14:solidFill>
          </w14:textFill>
        </w:rPr>
        <w:t>2</w:t>
      </w:r>
      <w:r>
        <w:rPr>
          <w:rFonts w:ascii="宋体" w:hAnsi="宋体" w:eastAsia="宋体" w:cs="宋体"/>
          <w:color w:val="000000" w:themeColor="text1"/>
          <w:spacing w:val="-4"/>
          <w:sz w:val="27"/>
          <w:szCs w:val="27"/>
          <w:highlight w:val="none"/>
          <w14:textFill>
            <w14:solidFill>
              <w14:schemeClr w14:val="tx1"/>
            </w14:solidFill>
          </w14:textFill>
        </w:rPr>
        <w:t>.1 考核期</w:t>
      </w:r>
    </w:p>
    <w:p>
      <w:pPr>
        <w:spacing w:before="235" w:line="364" w:lineRule="auto"/>
        <w:ind w:right="95" w:firstLine="483"/>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本工程</w:t>
      </w:r>
      <w:r>
        <w:rPr>
          <w:rFonts w:ascii="宋体" w:hAnsi="宋体" w:eastAsia="宋体" w:cs="宋体"/>
          <w:color w:val="000000" w:themeColor="text1"/>
          <w:spacing w:val="-4"/>
          <w:sz w:val="24"/>
          <w:szCs w:val="24"/>
          <w:highlight w:val="none"/>
          <w14:textFill>
            <w14:solidFill>
              <w14:schemeClr w14:val="tx1"/>
            </w14:solidFill>
          </w14:textFill>
        </w:rPr>
        <w:t>考核期为质保期，质保期</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1</w:t>
      </w:r>
      <w:r>
        <w:rPr>
          <w:rFonts w:ascii="宋体" w:hAnsi="宋体" w:eastAsia="宋体" w:cs="宋体"/>
          <w:color w:val="000000" w:themeColor="text1"/>
          <w:spacing w:val="-4"/>
          <w:sz w:val="24"/>
          <w:szCs w:val="24"/>
          <w:highlight w:val="none"/>
          <w14:textFill>
            <w14:solidFill>
              <w14:schemeClr w14:val="tx1"/>
            </w14:solidFill>
          </w14:textFill>
        </w:rPr>
        <w:t>年，</w:t>
      </w:r>
      <w:r>
        <w:rPr>
          <w:rFonts w:ascii="宋体" w:hAnsi="宋体" w:eastAsia="宋体" w:cs="宋体"/>
          <w:color w:val="000000" w:themeColor="text1"/>
          <w:spacing w:val="-6"/>
          <w:sz w:val="24"/>
          <w:szCs w:val="24"/>
          <w:highlight w:val="none"/>
          <w14:textFill>
            <w14:solidFill>
              <w14:schemeClr w14:val="tx1"/>
            </w14:solidFill>
          </w14:textFill>
        </w:rPr>
        <w:t>起点</w:t>
      </w:r>
      <w:r>
        <w:rPr>
          <w:rFonts w:ascii="宋体" w:hAnsi="宋体" w:eastAsia="宋体" w:cs="宋体"/>
          <w:color w:val="000000" w:themeColor="text1"/>
          <w:spacing w:val="-4"/>
          <w:sz w:val="24"/>
          <w:szCs w:val="24"/>
          <w:highlight w:val="none"/>
          <w14:textFill>
            <w14:solidFill>
              <w14:schemeClr w14:val="tx1"/>
            </w14:solidFill>
          </w14:textFill>
        </w:rPr>
        <w:t>为</w:t>
      </w:r>
      <w:r>
        <w:rPr>
          <w:rFonts w:ascii="宋体" w:hAnsi="宋体" w:eastAsia="宋体" w:cs="宋体"/>
          <w:color w:val="000000" w:themeColor="text1"/>
          <w:spacing w:val="-3"/>
          <w:sz w:val="24"/>
          <w:szCs w:val="24"/>
          <w:highlight w:val="none"/>
          <w14:textFill>
            <w14:solidFill>
              <w14:schemeClr w14:val="tx1"/>
            </w14:solidFill>
          </w14:textFill>
        </w:rPr>
        <w:t>最后</w:t>
      </w:r>
      <w:r>
        <w:rPr>
          <w:rFonts w:hint="eastAsia" w:ascii="宋体" w:hAnsi="宋体" w:eastAsia="宋体" w:cs="宋体"/>
          <w:color w:val="000000" w:themeColor="text1"/>
          <w:spacing w:val="-3"/>
          <w:sz w:val="24"/>
          <w:szCs w:val="24"/>
          <w:highlight w:val="none"/>
          <w:lang w:val="en-US" w:eastAsia="zh-CN"/>
          <w14:textFill>
            <w14:solidFill>
              <w14:schemeClr w14:val="tx1"/>
            </w14:solidFill>
          </w14:textFill>
        </w:rPr>
        <w:t>一处</w:t>
      </w:r>
      <w:r>
        <w:rPr>
          <w:rFonts w:ascii="宋体" w:hAnsi="宋体" w:eastAsia="宋体" w:cs="宋体"/>
          <w:color w:val="000000" w:themeColor="text1"/>
          <w:spacing w:val="-3"/>
          <w:sz w:val="24"/>
          <w:szCs w:val="24"/>
          <w:highlight w:val="none"/>
          <w14:textFill>
            <w14:solidFill>
              <w14:schemeClr w14:val="tx1"/>
            </w14:solidFill>
          </w14:textFill>
        </w:rPr>
        <w:t>工程建设的完工日期，终点为自起始点起算</w:t>
      </w:r>
      <w:r>
        <w:rPr>
          <w:rFonts w:hint="eastAsia" w:ascii="宋体" w:hAnsi="宋体" w:eastAsia="宋体" w:cs="宋体"/>
          <w:color w:val="000000" w:themeColor="text1"/>
          <w:spacing w:val="-3"/>
          <w:sz w:val="24"/>
          <w:szCs w:val="24"/>
          <w:highlight w:val="none"/>
          <w:lang w:val="en-US" w:eastAsia="zh-CN"/>
          <w14:textFill>
            <w14:solidFill>
              <w14:schemeClr w14:val="tx1"/>
            </w14:solidFill>
          </w14:textFill>
        </w:rPr>
        <w:t>365</w:t>
      </w:r>
      <w:r>
        <w:rPr>
          <w:rFonts w:ascii="宋体" w:hAnsi="宋体" w:eastAsia="宋体" w:cs="宋体"/>
          <w:color w:val="000000" w:themeColor="text1"/>
          <w:spacing w:val="-3"/>
          <w:sz w:val="24"/>
          <w:szCs w:val="24"/>
          <w:highlight w:val="none"/>
          <w14:textFill>
            <w14:solidFill>
              <w14:schemeClr w14:val="tx1"/>
            </w14:solidFill>
          </w14:textFill>
        </w:rPr>
        <w:t>个日历天，其中对</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color w:val="000000" w:themeColor="text1"/>
          <w:spacing w:val="-2"/>
          <w:sz w:val="24"/>
          <w:szCs w:val="24"/>
          <w:highlight w:val="none"/>
          <w14:textFill>
            <w14:solidFill>
              <w14:schemeClr w14:val="tx1"/>
            </w14:solidFill>
          </w14:textFill>
        </w:rPr>
        <w:t>E</w:t>
      </w:r>
      <w:r>
        <w:rPr>
          <w:rFonts w:ascii="宋体" w:hAnsi="宋体" w:eastAsia="宋体" w:cs="宋体"/>
          <w:color w:val="000000" w:themeColor="text1"/>
          <w:sz w:val="24"/>
          <w:szCs w:val="24"/>
          <w:highlight w:val="none"/>
          <w14:textFill>
            <w14:solidFill>
              <w14:schemeClr w14:val="tx1"/>
            </w14:solidFill>
          </w14:textFill>
        </w:rPr>
        <w:t>PC</w:t>
      </w:r>
      <w:r>
        <w:rPr>
          <w:rFonts w:ascii="宋体" w:hAnsi="宋体" w:eastAsia="宋体" w:cs="宋体"/>
          <w:color w:val="000000" w:themeColor="text1"/>
          <w:spacing w:val="-3"/>
          <w:sz w:val="24"/>
          <w:szCs w:val="24"/>
          <w:highlight w:val="none"/>
          <w14:textFill>
            <w14:solidFill>
              <w14:schemeClr w14:val="tx1"/>
            </w14:solidFill>
          </w14:textFill>
        </w:rPr>
        <w:t xml:space="preserve"> 单位的考核为每季度1次，涉及每月监测指标的，以每季度的平均值为准</w:t>
      </w:r>
      <w:r>
        <w:rPr>
          <w:rFonts w:ascii="宋体" w:hAnsi="宋体" w:eastAsia="宋体" w:cs="宋体"/>
          <w:color w:val="000000" w:themeColor="text1"/>
          <w:spacing w:val="-9"/>
          <w:sz w:val="24"/>
          <w:szCs w:val="24"/>
          <w:highlight w:val="none"/>
          <w14:textFill>
            <w14:solidFill>
              <w14:schemeClr w14:val="tx1"/>
            </w14:solidFill>
          </w14:textFill>
        </w:rPr>
        <w:t>。</w:t>
      </w:r>
    </w:p>
    <w:p>
      <w:pPr>
        <w:spacing w:before="35" w:line="228" w:lineRule="auto"/>
        <w:ind w:left="7"/>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7"/>
          <w:sz w:val="27"/>
          <w:szCs w:val="27"/>
          <w:highlight w:val="none"/>
          <w14:textFill>
            <w14:solidFill>
              <w14:schemeClr w14:val="tx1"/>
            </w14:solidFill>
          </w14:textFill>
        </w:rPr>
        <w:t>2.2 分区</w:t>
      </w:r>
    </w:p>
    <w:p>
      <w:pPr>
        <w:spacing w:before="233" w:line="368" w:lineRule="auto"/>
        <w:ind w:left="6" w:right="89" w:firstLine="477"/>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本工程的分区一</w:t>
      </w:r>
      <w:r>
        <w:rPr>
          <w:rFonts w:ascii="宋体" w:hAnsi="宋体" w:eastAsia="宋体" w:cs="宋体"/>
          <w:color w:val="000000" w:themeColor="text1"/>
          <w:sz w:val="24"/>
          <w:szCs w:val="24"/>
          <w:highlight w:val="none"/>
          <w14:textFill>
            <w14:solidFill>
              <w14:schemeClr w14:val="tx1"/>
            </w14:solidFill>
          </w14:textFill>
        </w:rPr>
        <w:t>般指的是行政村或社区，当考核各指标的完成情况时，分区指的</w:t>
      </w:r>
      <w:r>
        <w:rPr>
          <w:rFonts w:ascii="宋体" w:hAnsi="宋体" w:eastAsia="宋体" w:cs="宋体"/>
          <w:color w:val="000000" w:themeColor="text1"/>
          <w:spacing w:val="-4"/>
          <w:sz w:val="24"/>
          <w:szCs w:val="24"/>
          <w:highlight w:val="none"/>
          <w14:textFill>
            <w14:solidFill>
              <w14:schemeClr w14:val="tx1"/>
            </w14:solidFill>
          </w14:textFill>
        </w:rPr>
        <w:t>是</w:t>
      </w:r>
      <w:r>
        <w:rPr>
          <w:rFonts w:ascii="宋体" w:hAnsi="宋体" w:eastAsia="宋体" w:cs="宋体"/>
          <w:color w:val="000000" w:themeColor="text1"/>
          <w:spacing w:val="-3"/>
          <w:sz w:val="24"/>
          <w:szCs w:val="24"/>
          <w:highlight w:val="none"/>
          <w14:textFill>
            <w14:solidFill>
              <w14:schemeClr w14:val="tx1"/>
            </w14:solidFill>
          </w14:textFill>
        </w:rPr>
        <w:t>镇</w:t>
      </w:r>
      <w:r>
        <w:rPr>
          <w:rFonts w:ascii="宋体" w:hAnsi="宋体" w:eastAsia="宋体" w:cs="宋体"/>
          <w:color w:val="000000" w:themeColor="text1"/>
          <w:spacing w:val="-2"/>
          <w:sz w:val="24"/>
          <w:szCs w:val="24"/>
          <w:highlight w:val="none"/>
          <w14:textFill>
            <w14:solidFill>
              <w14:schemeClr w14:val="tx1"/>
            </w14:solidFill>
          </w14:textFill>
        </w:rPr>
        <w:t>街辖区，特殊情况时，以发包人意见为准。</w:t>
      </w:r>
      <w:r>
        <w:rPr>
          <w:rFonts w:hint="eastAsia" w:ascii="宋体" w:hAnsi="宋体" w:eastAsia="宋体" w:cs="宋体"/>
          <w:color w:val="000000" w:themeColor="text1"/>
          <w:spacing w:val="-2"/>
          <w:sz w:val="24"/>
          <w:szCs w:val="24"/>
          <w:highlight w:val="none"/>
          <w14:textFill>
            <w14:solidFill>
              <w14:schemeClr w14:val="tx1"/>
            </w14:solidFill>
          </w14:textFill>
        </w:rPr>
        <w:t>为顺利开展绩效考核工作，</w:t>
      </w:r>
      <w:r>
        <w:rPr>
          <w:rFonts w:ascii="宋体" w:hAnsi="宋体" w:eastAsia="宋体" w:cs="宋体"/>
          <w:color w:val="000000" w:themeColor="text1"/>
          <w:spacing w:val="5"/>
          <w:sz w:val="24"/>
          <w:szCs w:val="24"/>
          <w:highlight w:val="none"/>
          <w14:textFill>
            <w14:solidFill>
              <w14:schemeClr w14:val="tx1"/>
            </w14:solidFill>
          </w14:textFill>
        </w:rPr>
        <w:t>EPC单位</w:t>
      </w:r>
      <w:r>
        <w:rPr>
          <w:rFonts w:hint="eastAsia" w:ascii="宋体" w:hAnsi="宋体" w:eastAsia="宋体" w:cs="宋体"/>
          <w:color w:val="000000" w:themeColor="text1"/>
          <w:spacing w:val="5"/>
          <w:sz w:val="24"/>
          <w:szCs w:val="24"/>
          <w:highlight w:val="none"/>
          <w:lang w:eastAsia="zh-CN"/>
          <w14:textFill>
            <w14:solidFill>
              <w14:schemeClr w14:val="tx1"/>
            </w14:solidFill>
          </w14:textFill>
        </w:rPr>
        <w:t>在</w:t>
      </w:r>
      <w:r>
        <w:rPr>
          <w:rFonts w:hint="eastAsia" w:ascii="宋体" w:hAnsi="宋体" w:eastAsia="宋体" w:cs="宋体"/>
          <w:color w:val="000000" w:themeColor="text1"/>
          <w:spacing w:val="-2"/>
          <w:sz w:val="24"/>
          <w:szCs w:val="24"/>
          <w:highlight w:val="none"/>
          <w14:textFill>
            <w14:solidFill>
              <w14:schemeClr w14:val="tx1"/>
            </w14:solidFill>
          </w14:textFill>
        </w:rPr>
        <w:t>每条村平均至少落实2处污水和2处雨水在线可拆装监测设备，考核期结束后可以拆走。</w:t>
      </w:r>
    </w:p>
    <w:p>
      <w:pPr>
        <w:spacing w:before="36" w:line="228" w:lineRule="auto"/>
        <w:ind w:left="7"/>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7"/>
          <w:sz w:val="27"/>
          <w:szCs w:val="27"/>
          <w:highlight w:val="none"/>
          <w14:textFill>
            <w14:solidFill>
              <w14:schemeClr w14:val="tx1"/>
            </w14:solidFill>
          </w14:textFill>
        </w:rPr>
        <w:t>2.3 达标</w:t>
      </w:r>
    </w:p>
    <w:p>
      <w:pPr>
        <w:spacing w:before="232" w:line="369" w:lineRule="auto"/>
        <w:ind w:left="1" w:right="92" w:firstLine="481"/>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本</w:t>
      </w:r>
      <w:r>
        <w:rPr>
          <w:rFonts w:ascii="宋体" w:hAnsi="宋体" w:eastAsia="宋体" w:cs="宋体"/>
          <w:color w:val="000000" w:themeColor="text1"/>
          <w:spacing w:val="-3"/>
          <w:sz w:val="24"/>
          <w:szCs w:val="24"/>
          <w:highlight w:val="none"/>
          <w14:textFill>
            <w14:solidFill>
              <w14:schemeClr w14:val="tx1"/>
            </w14:solidFill>
          </w14:textFill>
        </w:rPr>
        <w:t>工程的达标是指达到考核表1各子项的达标要求，当有新的政府文</w:t>
      </w:r>
      <w:r>
        <w:rPr>
          <w:rFonts w:ascii="宋体" w:hAnsi="宋体" w:eastAsia="宋体" w:cs="宋体"/>
          <w:color w:val="000000" w:themeColor="text1"/>
          <w:spacing w:val="-2"/>
          <w:sz w:val="24"/>
          <w:szCs w:val="24"/>
          <w:highlight w:val="none"/>
          <w14:textFill>
            <w14:solidFill>
              <w14:schemeClr w14:val="tx1"/>
            </w14:solidFill>
          </w14:textFill>
        </w:rPr>
        <w:t>件要求时，以新要</w:t>
      </w:r>
      <w:r>
        <w:rPr>
          <w:rFonts w:ascii="宋体" w:hAnsi="宋体" w:eastAsia="宋体" w:cs="宋体"/>
          <w:color w:val="000000" w:themeColor="text1"/>
          <w:spacing w:val="-1"/>
          <w:sz w:val="24"/>
          <w:szCs w:val="24"/>
          <w:highlight w:val="none"/>
          <w14:textFill>
            <w14:solidFill>
              <w14:schemeClr w14:val="tx1"/>
            </w14:solidFill>
          </w14:textFill>
        </w:rPr>
        <w:t>求为准；当有国家规范或约定俗成的做法时，参照执行。</w:t>
      </w:r>
    </w:p>
    <w:p>
      <w:pPr>
        <w:spacing w:before="36" w:line="227" w:lineRule="auto"/>
        <w:ind w:left="7"/>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26"/>
          <w:sz w:val="27"/>
          <w:szCs w:val="27"/>
          <w:highlight w:val="none"/>
          <w14:textFill>
            <w14:solidFill>
              <w14:schemeClr w14:val="tx1"/>
            </w14:solidFill>
          </w14:textFill>
        </w:rPr>
        <w:t>2.4 整改(治)完</w:t>
      </w:r>
      <w:r>
        <w:rPr>
          <w:rFonts w:ascii="宋体" w:hAnsi="宋体" w:eastAsia="宋体" w:cs="宋体"/>
          <w:color w:val="000000" w:themeColor="text1"/>
          <w:spacing w:val="24"/>
          <w:sz w:val="27"/>
          <w:szCs w:val="27"/>
          <w:highlight w:val="none"/>
          <w14:textFill>
            <w14:solidFill>
              <w14:schemeClr w14:val="tx1"/>
            </w14:solidFill>
          </w14:textFill>
        </w:rPr>
        <w:t>成</w:t>
      </w:r>
    </w:p>
    <w:p>
      <w:pPr>
        <w:spacing w:before="234" w:line="369" w:lineRule="auto"/>
        <w:ind w:left="6" w:right="90" w:firstLine="477"/>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本工程</w:t>
      </w:r>
      <w:r>
        <w:rPr>
          <w:rFonts w:ascii="宋体" w:hAnsi="宋体" w:eastAsia="宋体" w:cs="宋体"/>
          <w:color w:val="000000" w:themeColor="text1"/>
          <w:spacing w:val="5"/>
          <w:sz w:val="24"/>
          <w:szCs w:val="24"/>
          <w:highlight w:val="none"/>
          <w14:textFill>
            <w14:solidFill>
              <w14:schemeClr w14:val="tx1"/>
            </w14:solidFill>
          </w14:textFill>
        </w:rPr>
        <w:t>的</w:t>
      </w:r>
      <w:r>
        <w:rPr>
          <w:rFonts w:ascii="宋体" w:hAnsi="宋体" w:eastAsia="宋体" w:cs="宋体"/>
          <w:color w:val="000000" w:themeColor="text1"/>
          <w:spacing w:val="3"/>
          <w:sz w:val="24"/>
          <w:szCs w:val="24"/>
          <w:highlight w:val="none"/>
          <w14:textFill>
            <w14:solidFill>
              <w14:schemeClr w14:val="tx1"/>
            </w14:solidFill>
          </w14:textFill>
        </w:rPr>
        <w:t>整改(治)完成是指达到考核表各子项的整治要求，达到</w:t>
      </w:r>
      <w:r>
        <w:rPr>
          <w:rFonts w:ascii="宋体" w:hAnsi="宋体" w:eastAsia="宋体" w:cs="宋体"/>
          <w:color w:val="000000" w:themeColor="text1"/>
          <w:spacing w:val="-6"/>
          <w:sz w:val="24"/>
          <w:szCs w:val="24"/>
          <w:highlight w:val="none"/>
          <w14:textFill>
            <w14:solidFill>
              <w14:schemeClr w14:val="tx1"/>
            </w14:solidFill>
          </w14:textFill>
        </w:rPr>
        <w:t>行</w:t>
      </w:r>
      <w:r>
        <w:rPr>
          <w:rFonts w:ascii="宋体" w:hAnsi="宋体" w:eastAsia="宋体" w:cs="宋体"/>
          <w:color w:val="000000" w:themeColor="text1"/>
          <w:spacing w:val="-5"/>
          <w:sz w:val="24"/>
          <w:szCs w:val="24"/>
          <w:highlight w:val="none"/>
          <w14:textFill>
            <w14:solidFill>
              <w14:schemeClr w14:val="tx1"/>
            </w14:solidFill>
          </w14:textFill>
        </w:rPr>
        <w:t>业</w:t>
      </w:r>
      <w:r>
        <w:rPr>
          <w:rFonts w:ascii="宋体" w:hAnsi="宋体" w:eastAsia="宋体" w:cs="宋体"/>
          <w:color w:val="000000" w:themeColor="text1"/>
          <w:spacing w:val="-3"/>
          <w:sz w:val="24"/>
          <w:szCs w:val="24"/>
          <w:highlight w:val="none"/>
          <w14:textFill>
            <w14:solidFill>
              <w14:schemeClr w14:val="tx1"/>
            </w14:solidFill>
          </w14:textFill>
        </w:rPr>
        <w:t>规范、指引的相关要求。</w:t>
      </w:r>
    </w:p>
    <w:p>
      <w:pPr>
        <w:spacing w:line="240" w:lineRule="auto"/>
        <w:ind w:left="0"/>
        <w:jc w:val="both"/>
        <w:rPr>
          <w:rFonts w:ascii="宋体" w:hAnsi="宋体" w:eastAsia="宋体" w:cs="宋体"/>
          <w:color w:val="000000" w:themeColor="text1"/>
          <w:spacing w:val="-1"/>
          <w:sz w:val="27"/>
          <w:szCs w:val="27"/>
          <w:highlight w:val="none"/>
          <w14:textFill>
            <w14:solidFill>
              <w14:schemeClr w14:val="tx1"/>
            </w14:solidFill>
          </w14:textFill>
        </w:rPr>
      </w:pPr>
      <w:r>
        <w:rPr>
          <w:rFonts w:ascii="宋体" w:hAnsi="宋体" w:eastAsia="宋体" w:cs="宋体"/>
          <w:color w:val="000000" w:themeColor="text1"/>
          <w:spacing w:val="-1"/>
          <w:sz w:val="27"/>
          <w:szCs w:val="27"/>
          <w:highlight w:val="none"/>
          <w14:textFill>
            <w14:solidFill>
              <w14:schemeClr w14:val="tx1"/>
            </w14:solidFill>
          </w14:textFill>
        </w:rPr>
        <w:t>2.5 污水收集率</w:t>
      </w:r>
    </w:p>
    <w:p>
      <w:pPr>
        <w:spacing w:before="69" w:line="774" w:lineRule="exact"/>
        <w:jc w:val="both"/>
        <w:rPr>
          <w:rFonts w:ascii="宋体" w:hAnsi="宋体" w:eastAsia="宋体" w:cs="宋体"/>
          <w:color w:val="000000" w:themeColor="text1"/>
          <w:spacing w:val="-4"/>
          <w:position w:val="8"/>
          <w:sz w:val="21"/>
          <w:szCs w:val="21"/>
          <w:highlight w:val="none"/>
          <w14:textFill>
            <w14:solidFill>
              <w14:schemeClr w14:val="tx1"/>
            </w14:solidFill>
          </w14:textFill>
        </w:rPr>
      </w:pPr>
      <w:r>
        <w:rPr>
          <w:rFonts w:ascii="宋体" w:hAnsi="宋体" w:eastAsia="宋体" w:cs="宋体"/>
          <w:color w:val="000000" w:themeColor="text1"/>
          <w:spacing w:val="-4"/>
          <w:position w:val="8"/>
          <w:sz w:val="21"/>
          <w:szCs w:val="21"/>
          <w:highlight w:val="none"/>
          <w14:textFill>
            <w14:solidFill>
              <w14:schemeClr w14:val="tx1"/>
            </w14:solidFill>
          </w14:textFill>
        </w:rPr>
        <w:t>污水收集率=接驳污水管网的房屋栋数</w:t>
      </w:r>
      <w:r>
        <w:rPr>
          <w:rFonts w:hint="eastAsia" w:ascii="宋体" w:hAnsi="宋体" w:eastAsia="宋体" w:cs="宋体"/>
          <w:color w:val="000000" w:themeColor="text1"/>
          <w:spacing w:val="-4"/>
          <w:position w:val="8"/>
          <w:sz w:val="21"/>
          <w:szCs w:val="21"/>
          <w:highlight w:val="none"/>
          <w:lang w:val="en-US" w:eastAsia="zh-CN"/>
          <w14:textFill>
            <w14:solidFill>
              <w14:schemeClr w14:val="tx1"/>
            </w14:solidFill>
          </w14:textFill>
        </w:rPr>
        <w:t>÷</w:t>
      </w:r>
      <w:r>
        <w:rPr>
          <w:rFonts w:ascii="宋体" w:hAnsi="宋体" w:eastAsia="宋体" w:cs="宋体"/>
          <w:color w:val="000000" w:themeColor="text1"/>
          <w:spacing w:val="-4"/>
          <w:position w:val="8"/>
          <w:sz w:val="21"/>
          <w:szCs w:val="21"/>
          <w:highlight w:val="none"/>
          <w14:textFill>
            <w14:solidFill>
              <w14:schemeClr w14:val="tx1"/>
            </w14:solidFill>
          </w14:textFill>
        </w:rPr>
        <w:t>行政村(社区)内房屋总栋数</w:t>
      </w:r>
    </w:p>
    <w:p>
      <w:pPr>
        <w:spacing w:before="191" w:line="220" w:lineRule="auto"/>
        <w:jc w:val="both"/>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4"/>
          <w:sz w:val="21"/>
          <w:szCs w:val="21"/>
          <w:highlight w:val="none"/>
          <w:lang w:val="en-US" w:eastAsia="zh-CN"/>
          <w14:textFill>
            <w14:solidFill>
              <w14:schemeClr w14:val="tx1"/>
            </w14:solidFill>
          </w14:textFill>
        </w:rPr>
        <w:t>※</w:t>
      </w:r>
      <w:r>
        <w:rPr>
          <w:rFonts w:ascii="宋体" w:hAnsi="宋体" w:eastAsia="宋体" w:cs="宋体"/>
          <w:color w:val="000000" w:themeColor="text1"/>
          <w:spacing w:val="12"/>
          <w:sz w:val="21"/>
          <w:szCs w:val="21"/>
          <w:highlight w:val="none"/>
          <w14:textFill>
            <w14:solidFill>
              <w14:schemeClr w14:val="tx1"/>
            </w14:solidFill>
          </w14:textFill>
        </w:rPr>
        <w:t>行政村</w:t>
      </w:r>
      <w:r>
        <w:rPr>
          <w:rFonts w:ascii="宋体" w:hAnsi="宋体" w:eastAsia="宋体" w:cs="宋体"/>
          <w:color w:val="000000" w:themeColor="text1"/>
          <w:spacing w:val="6"/>
          <w:sz w:val="21"/>
          <w:szCs w:val="21"/>
          <w:highlight w:val="none"/>
          <w14:textFill>
            <w14:solidFill>
              <w14:schemeClr w14:val="tx1"/>
            </w14:solidFill>
          </w14:textFill>
        </w:rPr>
        <w:t>(社区)内房屋总栋数按村域内房屋总栋数计算。</w:t>
      </w:r>
    </w:p>
    <w:p>
      <w:pPr>
        <w:spacing w:line="240" w:lineRule="auto"/>
        <w:ind w:left="0"/>
        <w:jc w:val="both"/>
        <w:rPr>
          <w:rFonts w:ascii="宋体" w:hAnsi="宋体" w:eastAsia="宋体" w:cs="宋体"/>
          <w:color w:val="000000" w:themeColor="text1"/>
          <w:spacing w:val="-1"/>
          <w:sz w:val="27"/>
          <w:szCs w:val="27"/>
          <w:highlight w:val="none"/>
          <w14:textFill>
            <w14:solidFill>
              <w14:schemeClr w14:val="tx1"/>
            </w14:solidFill>
          </w14:textFill>
        </w:rPr>
      </w:pPr>
    </w:p>
    <w:p>
      <w:pPr>
        <w:spacing w:before="89" w:line="227" w:lineRule="auto"/>
        <w:ind w:left="5"/>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1"/>
          <w:sz w:val="27"/>
          <w:szCs w:val="27"/>
          <w:highlight w:val="none"/>
          <w14:textFill>
            <w14:solidFill>
              <w14:schemeClr w14:val="tx1"/>
            </w14:solidFill>
          </w14:textFill>
        </w:rPr>
        <w:t>2.</w:t>
      </w:r>
      <w:r>
        <w:rPr>
          <w:rFonts w:hint="eastAsia" w:ascii="宋体" w:hAnsi="宋体" w:eastAsia="宋体" w:cs="宋体"/>
          <w:color w:val="000000" w:themeColor="text1"/>
          <w:spacing w:val="-1"/>
          <w:sz w:val="27"/>
          <w:szCs w:val="27"/>
          <w:highlight w:val="none"/>
          <w:lang w:val="en-US" w:eastAsia="zh-CN"/>
          <w14:textFill>
            <w14:solidFill>
              <w14:schemeClr w14:val="tx1"/>
            </w14:solidFill>
          </w14:textFill>
        </w:rPr>
        <w:t>6</w:t>
      </w:r>
      <w:r>
        <w:rPr>
          <w:rFonts w:ascii="宋体" w:hAnsi="宋体" w:eastAsia="宋体" w:cs="宋体"/>
          <w:color w:val="000000" w:themeColor="text1"/>
          <w:spacing w:val="-1"/>
          <w:sz w:val="27"/>
          <w:szCs w:val="27"/>
          <w:highlight w:val="none"/>
          <w14:textFill>
            <w14:solidFill>
              <w14:schemeClr w14:val="tx1"/>
            </w14:solidFill>
          </w14:textFill>
        </w:rPr>
        <w:t xml:space="preserve"> 水质达标率</w:t>
      </w:r>
    </w:p>
    <w:p>
      <w:pPr>
        <w:spacing w:before="69" w:line="774" w:lineRule="exact"/>
        <w:jc w:val="both"/>
        <w:rPr>
          <w:rFonts w:hint="default" w:ascii="宋体" w:hAnsi="宋体" w:eastAsia="宋体" w:cs="宋体"/>
          <w:color w:val="000000" w:themeColor="text1"/>
          <w:spacing w:val="-4"/>
          <w:position w:val="8"/>
          <w:sz w:val="21"/>
          <w:szCs w:val="21"/>
          <w:highlight w:val="none"/>
          <w:lang w:val="en-US" w:eastAsia="zh-CN"/>
          <w14:textFill>
            <w14:solidFill>
              <w14:schemeClr w14:val="tx1"/>
            </w14:solidFill>
          </w14:textFill>
        </w:rPr>
      </w:pPr>
      <w:r>
        <w:rPr>
          <w:rFonts w:ascii="宋体" w:hAnsi="宋体" w:eastAsia="宋体" w:cs="宋体"/>
          <w:color w:val="000000" w:themeColor="text1"/>
          <w:spacing w:val="-4"/>
          <w:position w:val="8"/>
          <w:sz w:val="21"/>
          <w:szCs w:val="21"/>
          <w:highlight w:val="none"/>
          <w14:textFill>
            <w14:solidFill>
              <w14:schemeClr w14:val="tx1"/>
            </w14:solidFill>
          </w14:textFill>
        </w:rPr>
        <w:t>达标率=</w:t>
      </w:r>
      <w:r>
        <w:rPr>
          <w:rFonts w:hint="eastAsia" w:ascii="宋体" w:hAnsi="宋体" w:eastAsia="宋体" w:cs="宋体"/>
          <w:color w:val="000000" w:themeColor="text1"/>
          <w:spacing w:val="-4"/>
          <w:position w:val="8"/>
          <w:sz w:val="21"/>
          <w:szCs w:val="21"/>
          <w:highlight w:val="none"/>
          <w:lang w:val="en-US" w:eastAsia="zh-CN"/>
          <w14:textFill>
            <w14:solidFill>
              <w14:schemeClr w14:val="tx1"/>
            </w14:solidFill>
          </w14:textFill>
        </w:rPr>
        <w:t>达标监测节点个数÷分区内总监测节点个数</w:t>
      </w:r>
    </w:p>
    <w:p>
      <w:pPr>
        <w:spacing w:before="189" w:line="220" w:lineRule="auto"/>
        <w:jc w:val="both"/>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pacing w:val="14"/>
          <w:sz w:val="21"/>
          <w:szCs w:val="21"/>
          <w:highlight w:val="none"/>
          <w:lang w:val="en-US" w:eastAsia="zh-CN"/>
          <w14:textFill>
            <w14:solidFill>
              <w14:schemeClr w14:val="tx1"/>
            </w14:solidFill>
          </w14:textFill>
        </w:rPr>
        <w:t>※</w:t>
      </w:r>
      <w:r>
        <w:rPr>
          <w:rFonts w:ascii="宋体" w:hAnsi="宋体" w:eastAsia="宋体" w:cs="宋体"/>
          <w:color w:val="000000" w:themeColor="text1"/>
          <w:spacing w:val="-2"/>
          <w:sz w:val="21"/>
          <w:szCs w:val="21"/>
          <w:highlight w:val="none"/>
          <w14:textFill>
            <w14:solidFill>
              <w14:schemeClr w14:val="tx1"/>
            </w14:solidFill>
          </w14:textFill>
        </w:rPr>
        <w:t>节点指的是</w:t>
      </w:r>
      <w:r>
        <w:rPr>
          <w:rFonts w:ascii="宋体" w:hAnsi="宋体" w:eastAsia="宋体" w:cs="宋体"/>
          <w:color w:val="000000" w:themeColor="text1"/>
          <w:spacing w:val="-1"/>
          <w:sz w:val="21"/>
          <w:szCs w:val="21"/>
          <w:highlight w:val="none"/>
          <w14:textFill>
            <w14:solidFill>
              <w14:schemeClr w14:val="tx1"/>
            </w14:solidFill>
          </w14:textFill>
        </w:rPr>
        <w:t>接驳至市政污水系统接驳点。</w:t>
      </w:r>
    </w:p>
    <w:p>
      <w:pPr>
        <w:spacing w:before="122" w:line="413" w:lineRule="exact"/>
        <w:ind w:left="10"/>
        <w:jc w:val="both"/>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6"/>
          <w:position w:val="2"/>
          <w:sz w:val="31"/>
          <w:szCs w:val="31"/>
          <w:highlight w:val="none"/>
          <w14:textFill>
            <w14:solidFill>
              <w14:schemeClr w14:val="tx1"/>
            </w14:solidFill>
          </w14:textFill>
        </w:rPr>
        <w:t>3.考核流程</w:t>
      </w:r>
    </w:p>
    <w:p>
      <w:pPr>
        <w:keepNext w:val="0"/>
        <w:keepLines w:val="0"/>
        <w:pageBreakBefore w:val="0"/>
        <w:widowControl/>
        <w:kinsoku w:val="0"/>
        <w:wordWrap/>
        <w:overflowPunct/>
        <w:topLinePunct w:val="0"/>
        <w:autoSpaceDE w:val="0"/>
        <w:autoSpaceDN w:val="0"/>
        <w:bidi w:val="0"/>
        <w:adjustRightInd w:val="0"/>
        <w:snapToGrid w:val="0"/>
        <w:spacing w:before="171" w:line="360" w:lineRule="auto"/>
        <w:ind w:firstLine="416"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(1</w:t>
      </w:r>
      <w:r>
        <w:rPr>
          <w:rFonts w:ascii="宋体" w:hAnsi="宋体" w:eastAsia="宋体" w:cs="宋体"/>
          <w:color w:val="000000" w:themeColor="text1"/>
          <w:spacing w:val="-11"/>
          <w:sz w:val="24"/>
          <w:szCs w:val="24"/>
          <w:highlight w:val="none"/>
          <w14:textFill>
            <w14:solidFill>
              <w14:schemeClr w14:val="tx1"/>
            </w14:solidFill>
          </w14:textFill>
        </w:rPr>
        <w:t>)</w:t>
      </w:r>
      <w:r>
        <w:rPr>
          <w:rFonts w:ascii="宋体" w:hAnsi="宋体" w:eastAsia="宋体" w:cs="宋体"/>
          <w:color w:val="000000" w:themeColor="text1"/>
          <w:spacing w:val="-8"/>
          <w:sz w:val="24"/>
          <w:szCs w:val="24"/>
          <w:highlight w:val="none"/>
          <w14:textFill>
            <w14:solidFill>
              <w14:schemeClr w14:val="tx1"/>
            </w14:solidFill>
          </w14:textFill>
        </w:rPr>
        <w:t>各</w:t>
      </w:r>
      <w:r>
        <w:rPr>
          <w:rFonts w:ascii="Calibri" w:hAnsi="Calibri" w:eastAsia="Calibri" w:cs="Calibri"/>
          <w:color w:val="000000" w:themeColor="text1"/>
          <w:sz w:val="24"/>
          <w:szCs w:val="24"/>
          <w:highlight w:val="none"/>
          <w14:textFill>
            <w14:solidFill>
              <w14:schemeClr w14:val="tx1"/>
            </w14:solidFill>
          </w14:textFill>
        </w:rPr>
        <w:t>EP</w:t>
      </w:r>
      <w:r>
        <w:rPr>
          <w:rFonts w:hint="eastAsia" w:ascii="Calibri" w:hAnsi="Calibri" w:eastAsia="宋体" w:cs="Calibri"/>
          <w:color w:val="000000" w:themeColor="text1"/>
          <w:sz w:val="24"/>
          <w:szCs w:val="24"/>
          <w:highlight w:val="none"/>
          <w:lang w:val="en-US" w:eastAsia="zh-CN"/>
          <w14:textFill>
            <w14:solidFill>
              <w14:schemeClr w14:val="tx1"/>
            </w14:solidFill>
          </w14:textFill>
        </w:rPr>
        <w:t>C</w:t>
      </w:r>
      <w:r>
        <w:rPr>
          <w:rFonts w:ascii="宋体" w:hAnsi="宋体" w:eastAsia="宋体" w:cs="宋体"/>
          <w:color w:val="000000" w:themeColor="text1"/>
          <w:spacing w:val="-8"/>
          <w:sz w:val="24"/>
          <w:szCs w:val="24"/>
          <w:highlight w:val="none"/>
          <w14:textFill>
            <w14:solidFill>
              <w14:schemeClr w14:val="tx1"/>
            </w14:solidFill>
          </w14:textFill>
        </w:rPr>
        <w:t>单位根据本指引以镇街</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（或村）</w:t>
      </w:r>
      <w:r>
        <w:rPr>
          <w:rFonts w:ascii="宋体" w:hAnsi="宋体" w:eastAsia="宋体" w:cs="宋体"/>
          <w:color w:val="000000" w:themeColor="text1"/>
          <w:spacing w:val="-8"/>
          <w:sz w:val="24"/>
          <w:szCs w:val="24"/>
          <w:highlight w:val="none"/>
          <w14:textFill>
            <w14:solidFill>
              <w14:schemeClr w14:val="tx1"/>
            </w14:solidFill>
          </w14:textFill>
        </w:rPr>
        <w:t>为单位编制《自查报告》，并按要求提供相</w:t>
      </w:r>
      <w:r>
        <w:rPr>
          <w:rFonts w:ascii="宋体" w:hAnsi="宋体" w:eastAsia="宋体" w:cs="宋体"/>
          <w:color w:val="000000" w:themeColor="text1"/>
          <w:spacing w:val="-10"/>
          <w:sz w:val="24"/>
          <w:szCs w:val="24"/>
          <w:highlight w:val="none"/>
          <w14:textFill>
            <w14:solidFill>
              <w14:schemeClr w14:val="tx1"/>
            </w14:solidFill>
          </w14:textFill>
        </w:rPr>
        <w:t>关证明材料</w:t>
      </w:r>
      <w:r>
        <w:rPr>
          <w:rFonts w:ascii="宋体" w:hAnsi="宋体" w:eastAsia="宋体" w:cs="宋体"/>
          <w:color w:val="000000" w:themeColor="text1"/>
          <w:spacing w:val="-5"/>
          <w:sz w:val="24"/>
          <w:szCs w:val="24"/>
          <w:highlight w:val="none"/>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2" w:line="368" w:lineRule="auto"/>
        <w:ind w:right="51" w:firstLine="488" w:firstLineChars="200"/>
        <w:jc w:val="both"/>
        <w:textAlignment w:val="baseline"/>
        <w:rPr>
          <w:rFonts w:ascii="宋体" w:hAnsi="宋体" w:eastAsia="宋体" w:cs="宋体"/>
          <w:color w:val="000000" w:themeColor="text1"/>
          <w:spacing w:val="-8"/>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(2)</w:t>
      </w:r>
      <w:r>
        <w:rPr>
          <w:rFonts w:ascii="宋体" w:hAnsi="宋体" w:eastAsia="宋体" w:cs="宋体"/>
          <w:color w:val="000000" w:themeColor="text1"/>
          <w:spacing w:val="-8"/>
          <w:sz w:val="24"/>
          <w:szCs w:val="24"/>
          <w:highlight w:val="none"/>
          <w14:textFill>
            <w14:solidFill>
              <w14:schemeClr w14:val="tx1"/>
            </w14:solidFill>
          </w14:textFill>
        </w:rPr>
        <w:t>项目管理单位和监理单位对材料进行核查并提出意见，EPC单位根据需要补充相关证明资料；考核小组根据考核情况制作对应《考核表》。</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468"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(3)考核小组通过会议、结合专家评审和现场抽查的形式分别对E</w:t>
      </w:r>
      <w:r>
        <w:rPr>
          <w:rFonts w:ascii="宋体" w:hAnsi="宋体" w:eastAsia="宋体" w:cs="宋体"/>
          <w:color w:val="000000" w:themeColor="text1"/>
          <w:spacing w:val="-2"/>
          <w:sz w:val="24"/>
          <w:szCs w:val="24"/>
          <w:highlight w:val="none"/>
          <w14:textFill>
            <w14:solidFill>
              <w14:schemeClr w14:val="tx1"/>
            </w14:solidFill>
          </w14:textFill>
        </w:rPr>
        <w:t>P</w:t>
      </w:r>
      <w:r>
        <w:rPr>
          <w:rFonts w:ascii="宋体" w:hAnsi="宋体" w:eastAsia="宋体" w:cs="宋体"/>
          <w:color w:val="000000" w:themeColor="text1"/>
          <w:sz w:val="24"/>
          <w:szCs w:val="24"/>
          <w:highlight w:val="none"/>
          <w14:textFill>
            <w14:solidFill>
              <w14:schemeClr w14:val="tx1"/>
            </w14:solidFill>
          </w14:textFill>
        </w:rPr>
        <w:t>C</w:t>
      </w:r>
      <w:r>
        <w:rPr>
          <w:rFonts w:ascii="宋体" w:hAnsi="宋体" w:eastAsia="宋体" w:cs="宋体"/>
          <w:color w:val="000000" w:themeColor="text1"/>
          <w:spacing w:val="-3"/>
          <w:sz w:val="24"/>
          <w:szCs w:val="24"/>
          <w:highlight w:val="none"/>
          <w14:textFill>
            <w14:solidFill>
              <w14:schemeClr w14:val="tx1"/>
            </w14:solidFill>
          </w14:textFill>
        </w:rPr>
        <w:t>单位</w:t>
      </w:r>
      <w:r>
        <w:rPr>
          <w:rFonts w:ascii="宋体" w:hAnsi="宋体" w:eastAsia="宋体" w:cs="宋体"/>
          <w:color w:val="000000" w:themeColor="text1"/>
          <w:spacing w:val="-5"/>
          <w:sz w:val="24"/>
          <w:szCs w:val="24"/>
          <w:highlight w:val="none"/>
          <w14:textFill>
            <w14:solidFill>
              <w14:schemeClr w14:val="tx1"/>
            </w14:solidFill>
          </w14:textFill>
        </w:rPr>
        <w:t>进行考核。</w:t>
      </w:r>
    </w:p>
    <w:p>
      <w:pPr>
        <w:keepNext w:val="0"/>
        <w:keepLines w:val="0"/>
        <w:pageBreakBefore w:val="0"/>
        <w:widowControl/>
        <w:kinsoku w:val="0"/>
        <w:wordWrap/>
        <w:overflowPunct/>
        <w:topLinePunct w:val="0"/>
        <w:autoSpaceDE w:val="0"/>
        <w:autoSpaceDN w:val="0"/>
        <w:bidi w:val="0"/>
        <w:adjustRightInd w:val="0"/>
        <w:snapToGrid w:val="0"/>
        <w:spacing w:before="2" w:line="359" w:lineRule="auto"/>
        <w:ind w:left="12" w:right="49" w:firstLine="484"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(4)对</w:t>
      </w:r>
      <w:r>
        <w:rPr>
          <w:rFonts w:ascii="宋体" w:hAnsi="宋体" w:eastAsia="宋体" w:cs="宋体"/>
          <w:color w:val="000000" w:themeColor="text1"/>
          <w:sz w:val="24"/>
          <w:szCs w:val="24"/>
          <w:highlight w:val="none"/>
          <w14:textFill>
            <w14:solidFill>
              <w14:schemeClr w14:val="tx1"/>
            </w14:solidFill>
          </w14:textFill>
        </w:rPr>
        <w:t>于考核小组在考核过程中发现《自查报告》存在与实际情况严重不符情况</w:t>
      </w:r>
      <w:r>
        <w:rPr>
          <w:rFonts w:ascii="宋体" w:hAnsi="宋体" w:eastAsia="宋体" w:cs="宋体"/>
          <w:color w:val="000000" w:themeColor="text1"/>
          <w:spacing w:val="-2"/>
          <w:sz w:val="24"/>
          <w:szCs w:val="24"/>
          <w:highlight w:val="none"/>
          <w14:textFill>
            <w14:solidFill>
              <w14:schemeClr w14:val="tx1"/>
            </w14:solidFill>
          </w14:textFill>
        </w:rPr>
        <w:t>时，成立专项核查小组，核查相关数据，并按</w:t>
      </w:r>
      <w:r>
        <w:rPr>
          <w:rFonts w:ascii="宋体" w:hAnsi="宋体" w:eastAsia="宋体" w:cs="宋体"/>
          <w:color w:val="000000" w:themeColor="text1"/>
          <w:spacing w:val="-1"/>
          <w:sz w:val="24"/>
          <w:szCs w:val="24"/>
          <w:highlight w:val="none"/>
          <w14:textFill>
            <w14:solidFill>
              <w14:schemeClr w14:val="tx1"/>
            </w14:solidFill>
          </w14:textFill>
        </w:rPr>
        <w:t>合同相关条款进行违约处罚。</w:t>
      </w:r>
    </w:p>
    <w:p>
      <w:pPr>
        <w:keepNext w:val="0"/>
        <w:keepLines w:val="0"/>
        <w:pageBreakBefore w:val="0"/>
        <w:widowControl/>
        <w:kinsoku w:val="0"/>
        <w:wordWrap/>
        <w:overflowPunct/>
        <w:topLinePunct w:val="0"/>
        <w:autoSpaceDE w:val="0"/>
        <w:autoSpaceDN w:val="0"/>
        <w:bidi w:val="0"/>
        <w:adjustRightInd w:val="0"/>
        <w:snapToGrid w:val="0"/>
        <w:spacing w:line="219" w:lineRule="auto"/>
        <w:ind w:firstLine="516"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(5)绩效考核小组由区水务局(牵头单位)、镇街组成，其他参建单位协助</w:t>
      </w:r>
      <w:r>
        <w:rPr>
          <w:rFonts w:ascii="宋体" w:hAnsi="宋体" w:eastAsia="宋体" w:cs="宋体"/>
          <w:color w:val="000000" w:themeColor="text1"/>
          <w:spacing w:val="8"/>
          <w:sz w:val="24"/>
          <w:szCs w:val="24"/>
          <w:highlight w:val="none"/>
          <w14:textFill>
            <w14:solidFill>
              <w14:schemeClr w14:val="tx1"/>
            </w14:solidFill>
          </w14:textFill>
        </w:rPr>
        <w:t>。</w:t>
      </w:r>
    </w:p>
    <w:p>
      <w:pPr>
        <w:spacing w:before="222" w:line="226" w:lineRule="auto"/>
        <w:ind w:left="2"/>
        <w:jc w:val="both"/>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6"/>
          <w:sz w:val="31"/>
          <w:szCs w:val="31"/>
          <w:highlight w:val="none"/>
          <w14:textFill>
            <w14:solidFill>
              <w14:schemeClr w14:val="tx1"/>
            </w14:solidFill>
          </w14:textFill>
        </w:rPr>
        <w:t>4</w:t>
      </w:r>
      <w:r>
        <w:rPr>
          <w:rFonts w:ascii="宋体" w:hAnsi="宋体" w:eastAsia="宋体" w:cs="宋体"/>
          <w:color w:val="000000" w:themeColor="text1"/>
          <w:spacing w:val="-8"/>
          <w:sz w:val="31"/>
          <w:szCs w:val="31"/>
          <w:highlight w:val="none"/>
          <w14:textFill>
            <w14:solidFill>
              <w14:schemeClr w14:val="tx1"/>
            </w14:solidFill>
          </w14:textFill>
        </w:rPr>
        <w:t>.考核方案</w:t>
      </w:r>
    </w:p>
    <w:p>
      <w:pPr>
        <w:keepNext w:val="0"/>
        <w:keepLines w:val="0"/>
        <w:pageBreakBefore w:val="0"/>
        <w:widowControl/>
        <w:kinsoku w:val="0"/>
        <w:wordWrap/>
        <w:overflowPunct/>
        <w:topLinePunct w:val="0"/>
        <w:autoSpaceDE w:val="0"/>
        <w:autoSpaceDN w:val="0"/>
        <w:bidi w:val="0"/>
        <w:adjustRightInd w:val="0"/>
        <w:snapToGrid w:val="0"/>
        <w:spacing w:before="2" w:line="368" w:lineRule="auto"/>
        <w:ind w:right="51" w:firstLine="448" w:firstLineChars="200"/>
        <w:jc w:val="both"/>
        <w:textAlignment w:val="baseline"/>
        <w:rPr>
          <w:rFonts w:ascii="宋体" w:hAnsi="宋体" w:eastAsia="宋体" w:cs="宋体"/>
          <w:color w:val="000000" w:themeColor="text1"/>
          <w:spacing w:val="-8"/>
          <w:sz w:val="24"/>
          <w:szCs w:val="24"/>
          <w:highlight w:val="none"/>
          <w14:textFill>
            <w14:solidFill>
              <w14:schemeClr w14:val="tx1"/>
            </w14:solidFill>
          </w14:textFill>
        </w:rPr>
      </w:pPr>
    </w:p>
    <w:p>
      <w:pPr>
        <w:spacing w:before="206" w:line="364" w:lineRule="auto"/>
        <w:ind w:right="49" w:firstLine="480"/>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考核</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内容包括污水收集率、污水管晴天</w:t>
      </w:r>
      <w:r>
        <w:rPr>
          <w:rFonts w:ascii="宋体" w:hAnsi="宋体" w:eastAsia="宋体" w:cs="宋体"/>
          <w:color w:val="000000" w:themeColor="text1"/>
          <w:spacing w:val="-8"/>
          <w:sz w:val="24"/>
          <w:szCs w:val="24"/>
          <w:highlight w:val="none"/>
          <w14:textFill>
            <w14:solidFill>
              <w14:schemeClr w14:val="tx1"/>
            </w14:solidFill>
          </w14:textFill>
        </w:rPr>
        <w:t>水质(接驳至市政污水系统接驳点水质)</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，污水管雨天水量，雨水管水量，</w:t>
      </w:r>
      <w:r>
        <w:rPr>
          <w:rFonts w:ascii="宋体" w:hAnsi="宋体" w:eastAsia="宋体" w:cs="宋体"/>
          <w:color w:val="000000" w:themeColor="text1"/>
          <w:spacing w:val="-8"/>
          <w:sz w:val="24"/>
          <w:szCs w:val="24"/>
          <w:highlight w:val="none"/>
          <w14:textFill>
            <w14:solidFill>
              <w14:schemeClr w14:val="tx1"/>
            </w14:solidFill>
          </w14:textFill>
        </w:rPr>
        <w:t>信息化平台建设</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等</w:t>
      </w:r>
      <w:r>
        <w:rPr>
          <w:rFonts w:hint="eastAsia" w:ascii="宋体" w:hAnsi="宋体" w:eastAsia="宋体" w:cs="宋体"/>
          <w:color w:val="000000" w:themeColor="text1"/>
          <w:spacing w:val="-8"/>
          <w:sz w:val="24"/>
          <w:szCs w:val="24"/>
          <w:highlight w:val="none"/>
          <w:lang w:val="en-US" w:eastAsia="zh-CN"/>
          <w14:textFill>
            <w14:solidFill>
              <w14:schemeClr w14:val="tx1"/>
            </w14:solidFill>
          </w14:textFill>
        </w:rPr>
        <w:t>5个方面，详见表1。</w:t>
      </w:r>
      <w:r>
        <w:rPr>
          <w:rFonts w:ascii="宋体" w:hAnsi="宋体" w:eastAsia="宋体" w:cs="宋体"/>
          <w:color w:val="000000" w:themeColor="text1"/>
          <w:spacing w:val="-6"/>
          <w:sz w:val="24"/>
          <w:szCs w:val="24"/>
          <w:highlight w:val="none"/>
          <w14:textFill>
            <w14:solidFill>
              <w14:schemeClr w14:val="tx1"/>
            </w14:solidFill>
          </w14:textFill>
        </w:rPr>
        <w:t>每个考核小项的</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评分</w:t>
      </w:r>
      <w:r>
        <w:rPr>
          <w:rFonts w:ascii="宋体" w:hAnsi="宋体" w:eastAsia="宋体" w:cs="宋体"/>
          <w:color w:val="000000" w:themeColor="text1"/>
          <w:spacing w:val="-6"/>
          <w:sz w:val="24"/>
          <w:szCs w:val="24"/>
          <w:highlight w:val="none"/>
          <w14:textFill>
            <w14:solidFill>
              <w14:schemeClr w14:val="tx1"/>
            </w14:solidFill>
          </w14:textFill>
        </w:rPr>
        <w:t>要求</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详见</w:t>
      </w: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10"/>
          <w:sz w:val="24"/>
          <w:szCs w:val="24"/>
          <w:highlight w:val="none"/>
          <w:lang w:val="en-US" w:eastAsia="zh-CN"/>
          <w14:textFill>
            <w14:solidFill>
              <w14:schemeClr w14:val="tx1"/>
            </w14:solidFill>
          </w14:textFill>
        </w:rPr>
        <w:t>2</w:t>
      </w:r>
      <w:r>
        <w:rPr>
          <w:rFonts w:ascii="宋体" w:hAnsi="宋体" w:eastAsia="宋体" w:cs="宋体"/>
          <w:color w:val="000000" w:themeColor="text1"/>
          <w:spacing w:val="-4"/>
          <w:sz w:val="24"/>
          <w:szCs w:val="24"/>
          <w:highlight w:val="none"/>
          <w14:textFill>
            <w14:solidFill>
              <w14:schemeClr w14:val="tx1"/>
            </w14:solidFill>
          </w14:textFill>
        </w:rPr>
        <w:t>《</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5"/>
          <w:sz w:val="24"/>
          <w:szCs w:val="24"/>
          <w:highlight w:val="none"/>
          <w14:textFill>
            <w14:solidFill>
              <w14:schemeClr w14:val="tx1"/>
            </w14:solidFill>
          </w14:textFill>
        </w:rPr>
        <w:t>工程</w:t>
      </w:r>
      <w:r>
        <w:rPr>
          <w:rFonts w:ascii="宋体" w:hAnsi="宋体" w:eastAsia="宋体" w:cs="宋体"/>
          <w:color w:val="000000" w:themeColor="text1"/>
          <w:spacing w:val="-2"/>
          <w:sz w:val="24"/>
          <w:szCs w:val="24"/>
          <w:highlight w:val="none"/>
          <w14:textFill>
            <w14:solidFill>
              <w14:schemeClr w14:val="tx1"/>
            </w14:solidFill>
          </w14:textFill>
        </w:rPr>
        <w:t>(</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施工图设计</w:t>
      </w:r>
      <w:r>
        <w:rPr>
          <w:rFonts w:ascii="宋体" w:hAnsi="宋体" w:eastAsia="宋体" w:cs="宋体"/>
          <w:color w:val="000000" w:themeColor="text1"/>
          <w:spacing w:val="1"/>
          <w:sz w:val="24"/>
          <w:szCs w:val="24"/>
          <w:highlight w:val="none"/>
          <w14:textFill>
            <w14:solidFill>
              <w14:schemeClr w14:val="tx1"/>
            </w14:solidFill>
          </w14:textFill>
        </w:rPr>
        <w:t>施工总承包</w:t>
      </w:r>
      <w:r>
        <w:rPr>
          <w:rFonts w:ascii="宋体" w:hAnsi="宋体" w:eastAsia="宋体" w:cs="宋体"/>
          <w:color w:val="000000" w:themeColor="text1"/>
          <w:sz w:val="24"/>
          <w:szCs w:val="24"/>
          <w:highlight w:val="none"/>
          <w14:textFill>
            <w14:solidFill>
              <w14:schemeClr w14:val="tx1"/>
            </w14:solidFill>
          </w14:textFill>
        </w:rPr>
        <w:t>EPC</w:t>
      </w:r>
      <w:r>
        <w:rPr>
          <w:rFonts w:ascii="宋体" w:hAnsi="宋体" w:eastAsia="宋体" w:cs="宋体"/>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质保期评分分级表》</w:t>
      </w:r>
      <w:r>
        <w:rPr>
          <w:rFonts w:ascii="宋体" w:hAnsi="宋体" w:eastAsia="宋体" w:cs="宋体"/>
          <w:color w:val="000000" w:themeColor="text1"/>
          <w:spacing w:val="6"/>
          <w:sz w:val="24"/>
          <w:szCs w:val="24"/>
          <w:highlight w:val="none"/>
          <w14:textFill>
            <w14:solidFill>
              <w14:schemeClr w14:val="tx1"/>
            </w14:solidFill>
          </w14:textFill>
        </w:rPr>
        <w:t>及对应的附表进行各小项的评</w:t>
      </w:r>
      <w:r>
        <w:rPr>
          <w:rFonts w:ascii="宋体" w:hAnsi="宋体" w:eastAsia="宋体" w:cs="宋体"/>
          <w:color w:val="000000" w:themeColor="text1"/>
          <w:spacing w:val="-4"/>
          <w:sz w:val="24"/>
          <w:szCs w:val="24"/>
          <w:highlight w:val="none"/>
          <w14:textFill>
            <w14:solidFill>
              <w14:schemeClr w14:val="tx1"/>
            </w14:solidFill>
          </w14:textFill>
        </w:rPr>
        <w:t>分，最</w:t>
      </w:r>
      <w:r>
        <w:rPr>
          <w:rFonts w:ascii="宋体" w:hAnsi="宋体" w:eastAsia="宋体" w:cs="宋体"/>
          <w:color w:val="000000" w:themeColor="text1"/>
          <w:spacing w:val="-2"/>
          <w:sz w:val="24"/>
          <w:szCs w:val="24"/>
          <w:highlight w:val="none"/>
          <w14:textFill>
            <w14:solidFill>
              <w14:schemeClr w14:val="tx1"/>
            </w14:solidFill>
          </w14:textFill>
        </w:rPr>
        <w:t>终将总分作为考核金支付依据。</w:t>
      </w:r>
    </w:p>
    <w:p>
      <w:pPr>
        <w:spacing w:before="36" w:line="227" w:lineRule="auto"/>
        <w:ind w:left="1"/>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4"/>
          <w:sz w:val="27"/>
          <w:szCs w:val="27"/>
          <w:highlight w:val="none"/>
          <w14:textFill>
            <w14:solidFill>
              <w14:schemeClr w14:val="tx1"/>
            </w14:solidFill>
          </w14:textFill>
        </w:rPr>
        <w:t xml:space="preserve">4.1 </w:t>
      </w:r>
      <w:r>
        <w:rPr>
          <w:rFonts w:ascii="宋体" w:hAnsi="宋体" w:eastAsia="宋体" w:cs="宋体"/>
          <w:color w:val="000000" w:themeColor="text1"/>
          <w:spacing w:val="2"/>
          <w:sz w:val="27"/>
          <w:szCs w:val="27"/>
          <w:highlight w:val="none"/>
          <w14:textFill>
            <w14:solidFill>
              <w14:schemeClr w14:val="tx1"/>
            </w14:solidFill>
          </w14:textFill>
        </w:rPr>
        <w:t>污水收集率的考核</w:t>
      </w:r>
    </w:p>
    <w:p>
      <w:pPr>
        <w:spacing w:before="234" w:line="360" w:lineRule="auto"/>
        <w:ind w:left="24" w:right="45" w:firstLine="464"/>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w:t>
      </w:r>
      <w:r>
        <w:rPr>
          <w:rFonts w:ascii="Calibri" w:hAnsi="Calibri" w:eastAsia="Calibri" w:cs="Calibri"/>
          <w:color w:val="000000" w:themeColor="text1"/>
          <w:spacing w:val="1"/>
          <w:sz w:val="24"/>
          <w:szCs w:val="24"/>
          <w:highlight w:val="none"/>
          <w14:textFill>
            <w14:solidFill>
              <w14:schemeClr w14:val="tx1"/>
            </w14:solidFill>
          </w14:textFill>
        </w:rPr>
        <w:t>1</w:t>
      </w:r>
      <w:r>
        <w:rPr>
          <w:rFonts w:ascii="宋体" w:hAnsi="宋体" w:eastAsia="宋体" w:cs="宋体"/>
          <w:color w:val="000000" w:themeColor="text1"/>
          <w:spacing w:val="1"/>
          <w:sz w:val="24"/>
          <w:szCs w:val="24"/>
          <w:highlight w:val="none"/>
          <w14:textFill>
            <w14:solidFill>
              <w14:schemeClr w14:val="tx1"/>
            </w14:solidFill>
          </w14:textFill>
        </w:rPr>
        <w:t>)</w:t>
      </w:r>
      <w:r>
        <w:rPr>
          <w:rFonts w:ascii="Calibri" w:hAnsi="Calibri" w:eastAsia="Calibri" w:cs="Calibri"/>
          <w:color w:val="000000" w:themeColor="text1"/>
          <w:sz w:val="24"/>
          <w:szCs w:val="24"/>
          <w:highlight w:val="none"/>
          <w14:textFill>
            <w14:solidFill>
              <w14:schemeClr w14:val="tx1"/>
            </w14:solidFill>
          </w14:textFill>
        </w:rPr>
        <w:t>EPC</w:t>
      </w:r>
      <w:r>
        <w:rPr>
          <w:rFonts w:ascii="宋体" w:hAnsi="宋体" w:eastAsia="宋体" w:cs="宋体"/>
          <w:color w:val="000000" w:themeColor="text1"/>
          <w:spacing w:val="1"/>
          <w:sz w:val="24"/>
          <w:szCs w:val="24"/>
          <w:highlight w:val="none"/>
          <w14:textFill>
            <w14:solidFill>
              <w14:schemeClr w14:val="tx1"/>
            </w14:solidFill>
          </w14:textFill>
        </w:rPr>
        <w:t>单位参照附表</w:t>
      </w:r>
      <w:r>
        <w:rPr>
          <w:rFonts w:hint="eastAsia" w:ascii="Calibri" w:hAnsi="Calibri" w:eastAsia="宋体" w:cs="Calibri"/>
          <w:color w:val="000000" w:themeColor="text1"/>
          <w:spacing w:val="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填写《污水收集率考核表》，并按要求提供设计总</w:t>
      </w:r>
      <w:r>
        <w:rPr>
          <w:rFonts w:ascii="宋体" w:hAnsi="宋体" w:eastAsia="宋体" w:cs="宋体"/>
          <w:color w:val="000000" w:themeColor="text1"/>
          <w:spacing w:val="-10"/>
          <w:sz w:val="24"/>
          <w:szCs w:val="24"/>
          <w:highlight w:val="none"/>
          <w14:textFill>
            <w14:solidFill>
              <w14:schemeClr w14:val="tx1"/>
            </w14:solidFill>
          </w14:textFill>
        </w:rPr>
        <w:t>图</w:t>
      </w:r>
      <w:r>
        <w:rPr>
          <w:rFonts w:ascii="宋体" w:hAnsi="宋体" w:eastAsia="宋体" w:cs="宋体"/>
          <w:color w:val="000000" w:themeColor="text1"/>
          <w:spacing w:val="-8"/>
          <w:sz w:val="24"/>
          <w:szCs w:val="24"/>
          <w:highlight w:val="none"/>
          <w14:textFill>
            <w14:solidFill>
              <w14:schemeClr w14:val="tx1"/>
            </w14:solidFill>
          </w14:textFill>
        </w:rPr>
        <w:t>等证明材料。</w:t>
      </w:r>
    </w:p>
    <w:p>
      <w:pPr>
        <w:spacing w:line="360" w:lineRule="auto"/>
        <w:ind w:left="1" w:right="49" w:firstLine="486"/>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w:t>
      </w:r>
      <w:r>
        <w:rPr>
          <w:rFonts w:ascii="Calibri" w:hAnsi="Calibri" w:eastAsia="Calibri" w:cs="Calibri"/>
          <w:color w:val="000000" w:themeColor="text1"/>
          <w:spacing w:val="-3"/>
          <w:sz w:val="24"/>
          <w:szCs w:val="24"/>
          <w:highlight w:val="none"/>
          <w14:textFill>
            <w14:solidFill>
              <w14:schemeClr w14:val="tx1"/>
            </w14:solidFill>
          </w14:textFill>
        </w:rPr>
        <w:t>2</w:t>
      </w:r>
      <w:r>
        <w:rPr>
          <w:rFonts w:ascii="宋体" w:hAnsi="宋体" w:eastAsia="宋体" w:cs="宋体"/>
          <w:color w:val="000000" w:themeColor="text1"/>
          <w:spacing w:val="-3"/>
          <w:sz w:val="24"/>
          <w:szCs w:val="24"/>
          <w:highlight w:val="none"/>
          <w14:textFill>
            <w14:solidFill>
              <w14:schemeClr w14:val="tx1"/>
            </w14:solidFill>
          </w14:textFill>
        </w:rPr>
        <w:t>)项目管理单位和监理单位根据前期施工期监理情况、</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质保期</w:t>
      </w:r>
      <w:r>
        <w:rPr>
          <w:rFonts w:ascii="宋体" w:hAnsi="宋体" w:eastAsia="宋体" w:cs="宋体"/>
          <w:color w:val="000000" w:themeColor="text1"/>
          <w:spacing w:val="-3"/>
          <w:sz w:val="24"/>
          <w:szCs w:val="24"/>
          <w:highlight w:val="none"/>
          <w14:textFill>
            <w14:solidFill>
              <w14:schemeClr w14:val="tx1"/>
            </w14:solidFill>
          </w14:textFill>
        </w:rPr>
        <w:t>巡查情况，核实</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color w:val="000000" w:themeColor="text1"/>
          <w:spacing w:val="-12"/>
          <w:sz w:val="24"/>
          <w:szCs w:val="24"/>
          <w:highlight w:val="none"/>
          <w14:textFill>
            <w14:solidFill>
              <w14:schemeClr w14:val="tx1"/>
            </w14:solidFill>
          </w14:textFill>
        </w:rPr>
        <w:t>《污水收集</w:t>
      </w:r>
      <w:r>
        <w:rPr>
          <w:rFonts w:ascii="宋体" w:hAnsi="宋体" w:eastAsia="宋体" w:cs="宋体"/>
          <w:color w:val="000000" w:themeColor="text1"/>
          <w:spacing w:val="-7"/>
          <w:sz w:val="24"/>
          <w:szCs w:val="24"/>
          <w:highlight w:val="none"/>
          <w14:textFill>
            <w14:solidFill>
              <w14:schemeClr w14:val="tx1"/>
            </w14:solidFill>
          </w14:textFill>
        </w:rPr>
        <w:t>率</w:t>
      </w:r>
      <w:r>
        <w:rPr>
          <w:rFonts w:ascii="宋体" w:hAnsi="宋体" w:eastAsia="宋体" w:cs="宋体"/>
          <w:color w:val="000000" w:themeColor="text1"/>
          <w:spacing w:val="-6"/>
          <w:sz w:val="24"/>
          <w:szCs w:val="24"/>
          <w:highlight w:val="none"/>
          <w14:textFill>
            <w14:solidFill>
              <w14:schemeClr w14:val="tx1"/>
            </w14:solidFill>
          </w14:textFill>
        </w:rPr>
        <w:t>考核表》，并提出相关意见；</w:t>
      </w:r>
      <w:r>
        <w:rPr>
          <w:rFonts w:ascii="Calibri" w:hAnsi="Calibri" w:eastAsia="Calibri" w:cs="Calibri"/>
          <w:color w:val="000000" w:themeColor="text1"/>
          <w:spacing w:val="-6"/>
          <w:sz w:val="24"/>
          <w:szCs w:val="24"/>
          <w:highlight w:val="none"/>
          <w14:textFill>
            <w14:solidFill>
              <w14:schemeClr w14:val="tx1"/>
            </w14:solidFill>
          </w14:textFill>
        </w:rPr>
        <w:t>EPC</w:t>
      </w:r>
      <w:r>
        <w:rPr>
          <w:rFonts w:ascii="宋体" w:hAnsi="宋体" w:eastAsia="宋体" w:cs="宋体"/>
          <w:color w:val="000000" w:themeColor="text1"/>
          <w:spacing w:val="-6"/>
          <w:sz w:val="24"/>
          <w:szCs w:val="24"/>
          <w:highlight w:val="none"/>
          <w14:textFill>
            <w14:solidFill>
              <w14:schemeClr w14:val="tx1"/>
            </w14:solidFill>
          </w14:textFill>
        </w:rPr>
        <w:t>单位根据意见补充相关证明资料。</w:t>
      </w:r>
    </w:p>
    <w:p>
      <w:pPr>
        <w:spacing w:before="3" w:line="359" w:lineRule="auto"/>
        <w:ind w:left="1" w:right="47" w:firstLine="486"/>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w:t>
      </w:r>
      <w:r>
        <w:rPr>
          <w:rFonts w:ascii="Calibri" w:hAnsi="Calibri" w:eastAsia="Calibri" w:cs="Calibri"/>
          <w:color w:val="000000" w:themeColor="text1"/>
          <w:spacing w:val="1"/>
          <w:sz w:val="24"/>
          <w:szCs w:val="24"/>
          <w:highlight w:val="none"/>
          <w14:textFill>
            <w14:solidFill>
              <w14:schemeClr w14:val="tx1"/>
            </w14:solidFill>
          </w14:textFill>
        </w:rPr>
        <w:t>3</w:t>
      </w:r>
      <w:r>
        <w:rPr>
          <w:rFonts w:ascii="宋体" w:hAnsi="宋体" w:eastAsia="宋体" w:cs="宋体"/>
          <w:color w:val="000000" w:themeColor="text1"/>
          <w:spacing w:val="1"/>
          <w:sz w:val="24"/>
          <w:szCs w:val="24"/>
          <w:highlight w:val="none"/>
          <w14:textFill>
            <w14:solidFill>
              <w14:schemeClr w14:val="tx1"/>
            </w14:solidFill>
          </w14:textFill>
        </w:rPr>
        <w:t>)考</w:t>
      </w:r>
      <w:r>
        <w:rPr>
          <w:rFonts w:ascii="宋体" w:hAnsi="宋体" w:eastAsia="宋体" w:cs="宋体"/>
          <w:color w:val="000000" w:themeColor="text1"/>
          <w:sz w:val="24"/>
          <w:szCs w:val="24"/>
          <w:highlight w:val="none"/>
          <w14:textFill>
            <w14:solidFill>
              <w14:schemeClr w14:val="tx1"/>
            </w14:solidFill>
          </w14:textFill>
        </w:rPr>
        <w:t>核小组根据各村</w:t>
      </w:r>
      <w:r>
        <w:rPr>
          <w:rFonts w:hint="eastAsia" w:ascii="宋体" w:hAnsi="宋体" w:eastAsia="宋体" w:cs="宋体"/>
          <w:color w:val="000000" w:themeColor="text1"/>
          <w:sz w:val="24"/>
          <w:szCs w:val="24"/>
          <w:highlight w:val="none"/>
          <w:lang w:eastAsia="zh-CN"/>
          <w14:textFill>
            <w14:solidFill>
              <w14:schemeClr w14:val="tx1"/>
            </w14:solidFill>
          </w14:textFill>
        </w:rPr>
        <w:t>（关键节点）</w:t>
      </w:r>
      <w:r>
        <w:rPr>
          <w:rFonts w:ascii="宋体" w:hAnsi="宋体" w:eastAsia="宋体" w:cs="宋体"/>
          <w:color w:val="000000" w:themeColor="text1"/>
          <w:sz w:val="24"/>
          <w:szCs w:val="24"/>
          <w:highlight w:val="none"/>
          <w14:textFill>
            <w14:solidFill>
              <w14:schemeClr w14:val="tx1"/>
            </w14:solidFill>
          </w14:textFill>
        </w:rPr>
        <w:t>接入市政管网水量、水</w:t>
      </w:r>
      <w:r>
        <w:rPr>
          <w:rFonts w:ascii="宋体" w:hAnsi="宋体" w:eastAsia="宋体" w:cs="宋体"/>
          <w:color w:val="000000" w:themeColor="text1"/>
          <w:spacing w:val="-2"/>
          <w:sz w:val="24"/>
          <w:szCs w:val="24"/>
          <w:highlight w:val="none"/>
          <w14:textFill>
            <w14:solidFill>
              <w14:schemeClr w14:val="tx1"/>
            </w14:solidFill>
          </w14:textFill>
        </w:rPr>
        <w:t>质数据，结合考核</w:t>
      </w:r>
      <w:r>
        <w:rPr>
          <w:rFonts w:ascii="宋体" w:hAnsi="宋体" w:eastAsia="宋体" w:cs="宋体"/>
          <w:color w:val="000000" w:themeColor="text1"/>
          <w:spacing w:val="-1"/>
          <w:sz w:val="24"/>
          <w:szCs w:val="24"/>
          <w:highlight w:val="none"/>
          <w14:textFill>
            <w14:solidFill>
              <w14:schemeClr w14:val="tx1"/>
            </w14:solidFill>
          </w14:textFill>
        </w:rPr>
        <w:t>期投诉、检举等情况，选择存在异常情况的行政村进行抽检。</w:t>
      </w:r>
    </w:p>
    <w:p>
      <w:pPr>
        <w:spacing w:before="2" w:line="359" w:lineRule="auto"/>
        <w:ind w:left="2" w:firstLine="485"/>
        <w:jc w:val="both"/>
        <w:rPr>
          <w:rFonts w:ascii="宋体" w:hAnsi="宋体" w:eastAsia="宋体" w:cs="宋体"/>
          <w:color w:val="000000" w:themeColor="text1"/>
          <w:spacing w:val="5"/>
          <w:sz w:val="24"/>
          <w:szCs w:val="24"/>
          <w:highlight w:val="none"/>
          <w14:textFill>
            <w14:solidFill>
              <w14:schemeClr w14:val="tx1"/>
            </w14:solidFill>
          </w14:textFill>
        </w:rPr>
      </w:pPr>
      <w:r>
        <w:rPr>
          <w:rFonts w:ascii="宋体" w:hAnsi="宋体" w:eastAsia="宋体" w:cs="宋体"/>
          <w:color w:val="000000" w:themeColor="text1"/>
          <w:spacing w:val="5"/>
          <w:sz w:val="24"/>
          <w:szCs w:val="24"/>
          <w:highlight w:val="none"/>
          <w14:textFill>
            <w14:solidFill>
              <w14:schemeClr w14:val="tx1"/>
            </w14:solidFill>
          </w14:textFill>
        </w:rPr>
        <w:t>(</w:t>
      </w:r>
      <w:r>
        <w:rPr>
          <w:rFonts w:ascii="Calibri" w:hAnsi="Calibri" w:eastAsia="Calibri" w:cs="Calibri"/>
          <w:color w:val="000000" w:themeColor="text1"/>
          <w:spacing w:val="5"/>
          <w:sz w:val="24"/>
          <w:szCs w:val="24"/>
          <w:highlight w:val="none"/>
          <w14:textFill>
            <w14:solidFill>
              <w14:schemeClr w14:val="tx1"/>
            </w14:solidFill>
          </w14:textFill>
        </w:rPr>
        <w:t>4</w:t>
      </w:r>
      <w:r>
        <w:rPr>
          <w:rFonts w:ascii="宋体" w:hAnsi="宋体" w:eastAsia="宋体" w:cs="宋体"/>
          <w:color w:val="000000" w:themeColor="text1"/>
          <w:spacing w:val="5"/>
          <w:sz w:val="24"/>
          <w:szCs w:val="24"/>
          <w:highlight w:val="none"/>
          <w14:textFill>
            <w14:solidFill>
              <w14:schemeClr w14:val="tx1"/>
            </w14:solidFill>
          </w14:textFill>
        </w:rPr>
        <w:t>)建设过程中存在工程范围调整等原因与原初步设计内容不相符时，应提供相关证明材料。</w:t>
      </w:r>
    </w:p>
    <w:p>
      <w:pPr>
        <w:spacing w:before="2" w:line="359" w:lineRule="auto"/>
        <w:ind w:left="2" w:firstLine="485"/>
        <w:jc w:val="both"/>
        <w:rPr>
          <w:rFonts w:ascii="宋体" w:hAnsi="宋体" w:eastAsia="宋体" w:cs="宋体"/>
          <w:color w:val="000000" w:themeColor="text1"/>
          <w:spacing w:val="5"/>
          <w:sz w:val="24"/>
          <w:szCs w:val="24"/>
          <w:highlight w:val="none"/>
          <w14:textFill>
            <w14:solidFill>
              <w14:schemeClr w14:val="tx1"/>
            </w14:solidFill>
          </w14:textFill>
        </w:rPr>
      </w:pPr>
      <w:r>
        <w:rPr>
          <w:rFonts w:ascii="宋体" w:hAnsi="宋体" w:eastAsia="宋体" w:cs="宋体"/>
          <w:color w:val="000000" w:themeColor="text1"/>
          <w:spacing w:val="5"/>
          <w:sz w:val="24"/>
          <w:szCs w:val="24"/>
          <w:highlight w:val="none"/>
          <w14:textFill>
            <w14:solidFill>
              <w14:schemeClr w14:val="tx1"/>
            </w14:solidFill>
          </w14:textFill>
        </w:rPr>
        <w:t>(</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5</w:t>
      </w:r>
      <w:r>
        <w:rPr>
          <w:rFonts w:ascii="宋体" w:hAnsi="宋体" w:eastAsia="宋体" w:cs="宋体"/>
          <w:color w:val="000000" w:themeColor="text1"/>
          <w:spacing w:val="5"/>
          <w:sz w:val="24"/>
          <w:szCs w:val="24"/>
          <w:highlight w:val="none"/>
          <w14:textFill>
            <w14:solidFill>
              <w14:schemeClr w14:val="tx1"/>
            </w14:solidFill>
          </w14:textFill>
        </w:rPr>
        <w:t>)当污水收集率不满足要求时，EPC单位</w:t>
      </w:r>
      <w:r>
        <w:rPr>
          <w:rFonts w:hint="eastAsia" w:ascii="宋体" w:hAnsi="宋体" w:eastAsia="宋体" w:cs="宋体"/>
          <w:color w:val="000000" w:themeColor="text1"/>
          <w:spacing w:val="5"/>
          <w:sz w:val="24"/>
          <w:szCs w:val="24"/>
          <w:highlight w:val="none"/>
          <w:lang w:eastAsia="zh-CN"/>
          <w14:textFill>
            <w14:solidFill>
              <w14:schemeClr w14:val="tx1"/>
            </w14:solidFill>
          </w14:textFill>
        </w:rPr>
        <w:t>须</w:t>
      </w:r>
      <w:r>
        <w:rPr>
          <w:rFonts w:ascii="宋体" w:hAnsi="宋体" w:eastAsia="宋体" w:cs="宋体"/>
          <w:color w:val="000000" w:themeColor="text1"/>
          <w:spacing w:val="5"/>
          <w:sz w:val="24"/>
          <w:szCs w:val="24"/>
          <w:highlight w:val="none"/>
          <w14:textFill>
            <w14:solidFill>
              <w14:schemeClr w14:val="tx1"/>
            </w14:solidFill>
          </w14:textFill>
        </w:rPr>
        <w:t>自行出资整改，不再占用本项目的建设资金。</w:t>
      </w:r>
    </w:p>
    <w:p>
      <w:pPr>
        <w:spacing w:before="33" w:line="227" w:lineRule="auto"/>
        <w:ind w:left="7"/>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2"/>
          <w:sz w:val="27"/>
          <w:szCs w:val="27"/>
          <w:highlight w:val="none"/>
          <w14:textFill>
            <w14:solidFill>
              <w14:schemeClr w14:val="tx1"/>
            </w14:solidFill>
          </w14:textFill>
        </w:rPr>
        <w:t>4.</w:t>
      </w:r>
      <w:r>
        <w:rPr>
          <w:rFonts w:hint="eastAsia" w:ascii="宋体" w:hAnsi="宋体" w:eastAsia="宋体" w:cs="宋体"/>
          <w:color w:val="000000" w:themeColor="text1"/>
          <w:spacing w:val="2"/>
          <w:sz w:val="27"/>
          <w:szCs w:val="27"/>
          <w:highlight w:val="none"/>
          <w:lang w:val="en-US" w:eastAsia="zh-CN"/>
          <w14:textFill>
            <w14:solidFill>
              <w14:schemeClr w14:val="tx1"/>
            </w14:solidFill>
          </w14:textFill>
        </w:rPr>
        <w:t>2</w:t>
      </w:r>
      <w:r>
        <w:rPr>
          <w:rFonts w:ascii="宋体" w:hAnsi="宋体" w:eastAsia="宋体" w:cs="宋体"/>
          <w:color w:val="000000" w:themeColor="text1"/>
          <w:spacing w:val="2"/>
          <w:sz w:val="27"/>
          <w:szCs w:val="27"/>
          <w:highlight w:val="none"/>
          <w14:textFill>
            <w14:solidFill>
              <w14:schemeClr w14:val="tx1"/>
            </w14:solidFill>
          </w14:textFill>
        </w:rPr>
        <w:t xml:space="preserve"> 节点水质</w:t>
      </w:r>
      <w:r>
        <w:rPr>
          <w:rFonts w:ascii="宋体" w:hAnsi="宋体" w:eastAsia="宋体" w:cs="宋体"/>
          <w:color w:val="000000" w:themeColor="text1"/>
          <w:spacing w:val="1"/>
          <w:sz w:val="27"/>
          <w:szCs w:val="27"/>
          <w:highlight w:val="none"/>
          <w14:textFill>
            <w14:solidFill>
              <w14:schemeClr w14:val="tx1"/>
            </w14:solidFill>
          </w14:textFill>
        </w:rPr>
        <w:t>的考核</w:t>
      </w:r>
    </w:p>
    <w:p>
      <w:pPr>
        <w:keepNext w:val="0"/>
        <w:keepLines w:val="0"/>
        <w:pageBreakBefore w:val="0"/>
        <w:widowControl/>
        <w:kinsoku w:val="0"/>
        <w:wordWrap/>
        <w:overflowPunct/>
        <w:topLinePunct w:val="0"/>
        <w:autoSpaceDE w:val="0"/>
        <w:autoSpaceDN w:val="0"/>
        <w:bidi w:val="0"/>
        <w:adjustRightInd w:val="0"/>
        <w:snapToGrid w:val="0"/>
        <w:spacing w:before="233" w:line="360" w:lineRule="auto"/>
        <w:ind w:firstLine="464" w:firstLineChars="200"/>
        <w:jc w:val="both"/>
        <w:textAlignment w:val="baseline"/>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1)本条旨在通过监测</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污水</w:t>
      </w:r>
      <w:r>
        <w:rPr>
          <w:rFonts w:ascii="宋体" w:hAnsi="宋体" w:eastAsia="宋体" w:cs="宋体"/>
          <w:color w:val="000000" w:themeColor="text1"/>
          <w:spacing w:val="-3"/>
          <w:sz w:val="24"/>
          <w:szCs w:val="24"/>
          <w:highlight w:val="none"/>
          <w14:textFill>
            <w14:solidFill>
              <w14:schemeClr w14:val="tx1"/>
            </w14:solidFill>
          </w14:textFill>
        </w:rPr>
        <w:t>管网的水质浓度来考核污水管网质量</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及污水收集效果</w:t>
      </w:r>
      <w:r>
        <w:rPr>
          <w:rFonts w:ascii="宋体" w:hAnsi="宋体" w:eastAsia="宋体" w:cs="宋体"/>
          <w:color w:val="000000" w:themeColor="text1"/>
          <w:sz w:val="24"/>
          <w:szCs w:val="24"/>
          <w:highlight w:val="none"/>
          <w14:textFill>
            <w14:solidFill>
              <w14:schemeClr w14:val="tx1"/>
            </w14:solidFill>
          </w14:textFill>
        </w:rPr>
        <w:t>，监测</w:t>
      </w:r>
      <w:r>
        <w:rPr>
          <w:rFonts w:hint="eastAsia" w:ascii="宋体" w:hAnsi="宋体" w:eastAsia="宋体" w:cs="宋体"/>
          <w:color w:val="000000" w:themeColor="text1"/>
          <w:sz w:val="24"/>
          <w:szCs w:val="24"/>
          <w:highlight w:val="none"/>
          <w:lang w:eastAsia="zh-CN"/>
          <w14:textFill>
            <w14:solidFill>
              <w14:schemeClr w14:val="tx1"/>
            </w14:solidFill>
          </w14:textFill>
        </w:rPr>
        <w:t>村居</w:t>
      </w:r>
      <w:r>
        <w:rPr>
          <w:rFonts w:ascii="宋体" w:hAnsi="宋体" w:eastAsia="宋体" w:cs="宋体"/>
          <w:color w:val="000000" w:themeColor="text1"/>
          <w:spacing w:val="1"/>
          <w:sz w:val="24"/>
          <w:szCs w:val="24"/>
          <w:highlight w:val="none"/>
          <w14:textFill>
            <w14:solidFill>
              <w14:schemeClr w14:val="tx1"/>
            </w14:solidFill>
          </w14:textFill>
        </w:rPr>
        <w:t>管网与市政管网接驳点的水</w:t>
      </w:r>
      <w:r>
        <w:rPr>
          <w:rFonts w:ascii="宋体" w:hAnsi="宋体" w:eastAsia="宋体" w:cs="宋体"/>
          <w:color w:val="000000" w:themeColor="text1"/>
          <w:sz w:val="24"/>
          <w:szCs w:val="24"/>
          <w:highlight w:val="none"/>
          <w14:textFill>
            <w14:solidFill>
              <w14:schemeClr w14:val="tx1"/>
            </w14:solidFill>
          </w14:textFill>
        </w:rPr>
        <w:t>质</w:t>
      </w:r>
      <w:r>
        <w:rPr>
          <w:rFonts w:hint="eastAsia" w:ascii="宋体" w:hAnsi="宋体" w:eastAsia="宋体" w:cs="宋体"/>
          <w:color w:val="000000" w:themeColor="text1"/>
          <w:sz w:val="24"/>
          <w:szCs w:val="24"/>
          <w:highlight w:val="none"/>
          <w:lang w:eastAsia="zh-CN"/>
          <w14:textFill>
            <w14:solidFill>
              <w14:schemeClr w14:val="tx1"/>
            </w14:solidFill>
          </w14:textFill>
        </w:rPr>
        <w:t>、水量；监测污水管、雨水管网晴天、雨天的水量，来衡量雨污分流成效</w:t>
      </w:r>
      <w:r>
        <w:rPr>
          <w:rFonts w:ascii="宋体" w:hAnsi="宋体" w:eastAsia="宋体" w:cs="宋体"/>
          <w:color w:val="000000" w:themeColor="text1"/>
          <w:sz w:val="24"/>
          <w:szCs w:val="24"/>
          <w:highlight w:val="none"/>
          <w14:textFill>
            <w14:solidFill>
              <w14:schemeClr w14:val="tx1"/>
            </w14:solidFill>
          </w14:textFill>
        </w:rPr>
        <w:t>。监测包括</w:t>
      </w:r>
      <w:r>
        <w:rPr>
          <w:rFonts w:ascii="宋体" w:hAnsi="宋体" w:eastAsia="宋体" w:cs="宋体"/>
          <w:color w:val="000000" w:themeColor="text1"/>
          <w:spacing w:val="-2"/>
          <w:sz w:val="24"/>
          <w:szCs w:val="24"/>
          <w:highlight w:val="none"/>
          <w14:textFill>
            <w14:solidFill>
              <w14:schemeClr w14:val="tx1"/>
            </w14:solidFill>
          </w14:textFill>
        </w:rPr>
        <w:t>污水管网接驳市政管网接驳点考核COD、NH</w:t>
      </w:r>
      <w:r>
        <w:rPr>
          <w:rFonts w:ascii="宋体" w:hAnsi="宋体" w:eastAsia="宋体" w:cs="宋体"/>
          <w:color w:val="000000" w:themeColor="text1"/>
          <w:spacing w:val="-2"/>
          <w:position w:val="-3"/>
          <w:sz w:val="12"/>
          <w:szCs w:val="12"/>
          <w:highlight w:val="none"/>
          <w14:textFill>
            <w14:solidFill>
              <w14:schemeClr w14:val="tx1"/>
            </w14:solidFill>
          </w14:textFill>
        </w:rPr>
        <w:t>3</w:t>
      </w:r>
      <w:r>
        <w:rPr>
          <w:rFonts w:ascii="宋体" w:hAnsi="宋体" w:eastAsia="宋体" w:cs="宋体"/>
          <w:color w:val="000000" w:themeColor="text1"/>
          <w:spacing w:val="-2"/>
          <w:sz w:val="24"/>
          <w:szCs w:val="24"/>
          <w:highlight w:val="none"/>
          <w14:textFill>
            <w14:solidFill>
              <w14:schemeClr w14:val="tx1"/>
            </w14:solidFill>
          </w14:textFill>
        </w:rPr>
        <w:t>-N</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、水量</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三个</w:t>
      </w:r>
      <w:r>
        <w:rPr>
          <w:rFonts w:ascii="宋体" w:hAnsi="宋体" w:eastAsia="宋体" w:cs="宋体"/>
          <w:color w:val="000000" w:themeColor="text1"/>
          <w:spacing w:val="-8"/>
          <w:sz w:val="24"/>
          <w:szCs w:val="24"/>
          <w:highlight w:val="none"/>
          <w14:textFill>
            <w14:solidFill>
              <w14:schemeClr w14:val="tx1"/>
            </w14:solidFill>
          </w14:textFill>
        </w:rPr>
        <w:t>指标</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8" w:right="88" w:firstLine="464"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(2)</w:t>
      </w:r>
      <w:r>
        <w:rPr>
          <w:rFonts w:ascii="宋体" w:hAnsi="宋体" w:eastAsia="宋体" w:cs="宋体"/>
          <w:color w:val="000000" w:themeColor="text1"/>
          <w:spacing w:val="-2"/>
          <w:sz w:val="24"/>
          <w:szCs w:val="24"/>
          <w:highlight w:val="none"/>
          <w14:textFill>
            <w14:solidFill>
              <w14:schemeClr w14:val="tx1"/>
            </w14:solidFill>
          </w14:textFill>
        </w:rPr>
        <w:t>EPC</w:t>
      </w:r>
      <w:r>
        <w:rPr>
          <w:rFonts w:ascii="宋体" w:hAnsi="宋体" w:eastAsia="宋体" w:cs="宋体"/>
          <w:color w:val="000000" w:themeColor="text1"/>
          <w:spacing w:val="-4"/>
          <w:sz w:val="24"/>
          <w:szCs w:val="24"/>
          <w:highlight w:val="none"/>
          <w14:textFill>
            <w14:solidFill>
              <w14:schemeClr w14:val="tx1"/>
            </w14:solidFill>
          </w14:textFill>
        </w:rPr>
        <w:t>单位参照附表</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4</w:t>
      </w:r>
      <w:r>
        <w:rPr>
          <w:rFonts w:ascii="宋体" w:hAnsi="宋体" w:eastAsia="宋体" w:cs="宋体"/>
          <w:color w:val="000000" w:themeColor="text1"/>
          <w:spacing w:val="-4"/>
          <w:sz w:val="24"/>
          <w:szCs w:val="24"/>
          <w:highlight w:val="none"/>
          <w14:textFill>
            <w14:solidFill>
              <w14:schemeClr w14:val="tx1"/>
            </w14:solidFill>
          </w14:textFill>
        </w:rPr>
        <w:t>填写</w:t>
      </w:r>
      <w:r>
        <w:rPr>
          <w:rFonts w:ascii="宋体" w:hAnsi="宋体" w:eastAsia="宋体" w:cs="宋体"/>
          <w:color w:val="000000" w:themeColor="text1"/>
          <w:spacing w:val="-2"/>
          <w:sz w:val="24"/>
          <w:szCs w:val="24"/>
          <w:highlight w:val="none"/>
          <w14:textFill>
            <w14:solidFill>
              <w14:schemeClr w14:val="tx1"/>
            </w14:solidFill>
          </w14:textFill>
        </w:rPr>
        <w:t>《节点水质统计表》，并提供包含考核期所有监</w:t>
      </w:r>
      <w:r>
        <w:rPr>
          <w:rFonts w:ascii="宋体" w:hAnsi="宋体" w:eastAsia="宋体" w:cs="宋体"/>
          <w:color w:val="000000" w:themeColor="text1"/>
          <w:spacing w:val="-6"/>
          <w:sz w:val="24"/>
          <w:szCs w:val="24"/>
          <w:highlight w:val="none"/>
          <w14:textFill>
            <w14:solidFill>
              <w14:schemeClr w14:val="tx1"/>
            </w14:solidFill>
          </w14:textFill>
        </w:rPr>
        <w:t>测数</w:t>
      </w:r>
      <w:r>
        <w:rPr>
          <w:rFonts w:ascii="宋体" w:hAnsi="宋体" w:eastAsia="宋体" w:cs="宋体"/>
          <w:color w:val="000000" w:themeColor="text1"/>
          <w:spacing w:val="-5"/>
          <w:sz w:val="24"/>
          <w:szCs w:val="24"/>
          <w:highlight w:val="none"/>
          <w14:textFill>
            <w14:solidFill>
              <w14:schemeClr w14:val="tx1"/>
            </w14:solidFill>
          </w14:textFill>
        </w:rPr>
        <w:t>据</w:t>
      </w:r>
      <w:r>
        <w:rPr>
          <w:rFonts w:ascii="宋体" w:hAnsi="宋体" w:eastAsia="宋体" w:cs="宋体"/>
          <w:color w:val="000000" w:themeColor="text1"/>
          <w:spacing w:val="-3"/>
          <w:sz w:val="24"/>
          <w:szCs w:val="24"/>
          <w:highlight w:val="none"/>
          <w14:textFill>
            <w14:solidFill>
              <w14:schemeClr w14:val="tx1"/>
            </w14:solidFill>
          </w14:textFill>
        </w:rPr>
        <w:t>的报表作为附件。</w:t>
      </w:r>
    </w:p>
    <w:p>
      <w:pPr>
        <w:keepNext w:val="0"/>
        <w:keepLines w:val="0"/>
        <w:pageBreakBefore w:val="0"/>
        <w:widowControl/>
        <w:kinsoku w:val="0"/>
        <w:wordWrap/>
        <w:overflowPunct/>
        <w:topLinePunct w:val="0"/>
        <w:autoSpaceDE w:val="0"/>
        <w:autoSpaceDN w:val="0"/>
        <w:bidi w:val="0"/>
        <w:adjustRightInd w:val="0"/>
        <w:snapToGrid w:val="0"/>
        <w:spacing w:before="3" w:line="359" w:lineRule="auto"/>
        <w:ind w:left="8" w:right="93" w:firstLine="408"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8"/>
          <w:sz w:val="24"/>
          <w:szCs w:val="24"/>
          <w:highlight w:val="none"/>
          <w14:textFill>
            <w14:solidFill>
              <w14:schemeClr w14:val="tx1"/>
            </w14:solidFill>
          </w14:textFill>
        </w:rPr>
        <w:t>(</w:t>
      </w:r>
      <w:r>
        <w:rPr>
          <w:rFonts w:ascii="宋体" w:hAnsi="宋体" w:eastAsia="宋体" w:cs="宋体"/>
          <w:color w:val="000000" w:themeColor="text1"/>
          <w:spacing w:val="-12"/>
          <w:sz w:val="24"/>
          <w:szCs w:val="24"/>
          <w:highlight w:val="none"/>
          <w14:textFill>
            <w14:solidFill>
              <w14:schemeClr w14:val="tx1"/>
            </w14:solidFill>
          </w14:textFill>
        </w:rPr>
        <w:t>3</w:t>
      </w:r>
      <w:r>
        <w:rPr>
          <w:rFonts w:ascii="宋体" w:hAnsi="宋体" w:eastAsia="宋体" w:cs="宋体"/>
          <w:color w:val="000000" w:themeColor="text1"/>
          <w:spacing w:val="-9"/>
          <w:sz w:val="24"/>
          <w:szCs w:val="24"/>
          <w:highlight w:val="none"/>
          <w14:textFill>
            <w14:solidFill>
              <w14:schemeClr w14:val="tx1"/>
            </w14:solidFill>
          </w14:textFill>
        </w:rPr>
        <w:t>)项目管理单位和监理单位根据在线监测数据，核实《节点水质统计表》，并</w:t>
      </w:r>
      <w:r>
        <w:rPr>
          <w:rFonts w:ascii="宋体" w:hAnsi="宋体" w:eastAsia="宋体" w:cs="宋体"/>
          <w:color w:val="000000" w:themeColor="text1"/>
          <w:spacing w:val="-6"/>
          <w:sz w:val="24"/>
          <w:szCs w:val="24"/>
          <w:highlight w:val="none"/>
          <w14:textFill>
            <w14:solidFill>
              <w14:schemeClr w14:val="tx1"/>
            </w14:solidFill>
          </w14:textFill>
        </w:rPr>
        <w:t>提出复核意见</w:t>
      </w:r>
      <w:r>
        <w:rPr>
          <w:rFonts w:ascii="宋体" w:hAnsi="宋体" w:eastAsia="宋体" w:cs="宋体"/>
          <w:color w:val="000000" w:themeColor="text1"/>
          <w:spacing w:val="-3"/>
          <w:sz w:val="24"/>
          <w:szCs w:val="24"/>
          <w:highlight w:val="none"/>
          <w14:textFill>
            <w14:solidFill>
              <w14:schemeClr w14:val="tx1"/>
            </w14:solidFill>
          </w14:textFill>
        </w:rPr>
        <w:t>；EPC单位根据意见补充相关证明资料。</w:t>
      </w:r>
    </w:p>
    <w:p>
      <w:pPr>
        <w:keepNext w:val="0"/>
        <w:keepLines w:val="0"/>
        <w:pageBreakBefore w:val="0"/>
        <w:widowControl/>
        <w:kinsoku w:val="0"/>
        <w:wordWrap/>
        <w:overflowPunct/>
        <w:topLinePunct w:val="0"/>
        <w:autoSpaceDE w:val="0"/>
        <w:autoSpaceDN w:val="0"/>
        <w:bidi w:val="0"/>
        <w:adjustRightInd w:val="0"/>
        <w:snapToGrid w:val="0"/>
        <w:spacing w:before="2" w:line="359" w:lineRule="auto"/>
        <w:ind w:left="10" w:right="84" w:firstLine="456"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(4) 考核小组根据在线监测数据情况，结合考核期投诉、检举等情况，选择存在异</w:t>
      </w:r>
      <w:r>
        <w:rPr>
          <w:rFonts w:ascii="宋体" w:hAnsi="宋体" w:eastAsia="宋体" w:cs="宋体"/>
          <w:color w:val="000000" w:themeColor="text1"/>
          <w:spacing w:val="-4"/>
          <w:sz w:val="24"/>
          <w:szCs w:val="24"/>
          <w:highlight w:val="none"/>
          <w14:textFill>
            <w14:solidFill>
              <w14:schemeClr w14:val="tx1"/>
            </w14:solidFill>
          </w14:textFill>
        </w:rPr>
        <w:t>常</w:t>
      </w:r>
      <w:r>
        <w:rPr>
          <w:rFonts w:ascii="宋体" w:hAnsi="宋体" w:eastAsia="宋体" w:cs="宋体"/>
          <w:color w:val="000000" w:themeColor="text1"/>
          <w:spacing w:val="-3"/>
          <w:sz w:val="24"/>
          <w:szCs w:val="24"/>
          <w:highlight w:val="none"/>
          <w14:textFill>
            <w14:solidFill>
              <w14:schemeClr w14:val="tx1"/>
            </w14:solidFill>
          </w14:textFill>
        </w:rPr>
        <w:t>情况的行政村</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或节点</w:t>
      </w:r>
      <w:r>
        <w:rPr>
          <w:rFonts w:ascii="宋体" w:hAnsi="宋体" w:eastAsia="宋体" w:cs="宋体"/>
          <w:color w:val="000000" w:themeColor="text1"/>
          <w:spacing w:val="-3"/>
          <w:sz w:val="24"/>
          <w:szCs w:val="24"/>
          <w:highlight w:val="none"/>
          <w14:textFill>
            <w14:solidFill>
              <w14:schemeClr w14:val="tx1"/>
            </w14:solidFill>
          </w14:textFill>
        </w:rPr>
        <w:t>进行抽检。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10" w:right="84" w:firstLine="416"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(5)</w:t>
      </w:r>
      <w:r>
        <w:rPr>
          <w:rFonts w:ascii="宋体" w:hAnsi="宋体" w:eastAsia="宋体" w:cs="宋体"/>
          <w:color w:val="000000" w:themeColor="text1"/>
          <w:spacing w:val="-10"/>
          <w:sz w:val="24"/>
          <w:szCs w:val="24"/>
          <w:highlight w:val="none"/>
          <w14:textFill>
            <w14:solidFill>
              <w14:schemeClr w14:val="tx1"/>
            </w14:solidFill>
          </w14:textFill>
        </w:rPr>
        <w:t xml:space="preserve"> </w:t>
      </w:r>
      <w:r>
        <w:rPr>
          <w:rFonts w:ascii="宋体" w:hAnsi="宋体" w:eastAsia="宋体" w:cs="宋体"/>
          <w:color w:val="000000" w:themeColor="text1"/>
          <w:spacing w:val="-8"/>
          <w:sz w:val="24"/>
          <w:szCs w:val="24"/>
          <w:highlight w:val="none"/>
          <w14:textFill>
            <w14:solidFill>
              <w14:schemeClr w14:val="tx1"/>
            </w14:solidFill>
          </w14:textFill>
        </w:rPr>
        <w:t>在线监测数据1个日历天内数据异常，或接到举报、投诉等情况时，项目管</w:t>
      </w:r>
      <w:r>
        <w:rPr>
          <w:rFonts w:ascii="宋体" w:hAnsi="宋体" w:eastAsia="宋体" w:cs="宋体"/>
          <w:color w:val="000000" w:themeColor="text1"/>
          <w:spacing w:val="1"/>
          <w:sz w:val="24"/>
          <w:szCs w:val="24"/>
          <w:highlight w:val="none"/>
          <w14:textFill>
            <w14:solidFill>
              <w14:schemeClr w14:val="tx1"/>
            </w14:solidFill>
          </w14:textFill>
        </w:rPr>
        <w:t>理单位</w:t>
      </w:r>
      <w:r>
        <w:rPr>
          <w:rFonts w:ascii="宋体" w:hAnsi="宋体" w:eastAsia="宋体" w:cs="宋体"/>
          <w:color w:val="000000" w:themeColor="text1"/>
          <w:sz w:val="24"/>
          <w:szCs w:val="24"/>
          <w:highlight w:val="none"/>
          <w14:textFill>
            <w14:solidFill>
              <w14:schemeClr w14:val="tx1"/>
            </w14:solidFill>
          </w14:textFill>
        </w:rPr>
        <w:t>需进行现场核实，若为设备故障等原因时应及时排除故障，并在3</w:t>
      </w:r>
      <w:r>
        <w:rPr>
          <w:rFonts w:ascii="宋体" w:hAnsi="宋体" w:eastAsia="宋体" w:cs="宋体"/>
          <w:color w:val="000000" w:themeColor="text1"/>
          <w:spacing w:val="-2"/>
          <w:sz w:val="24"/>
          <w:szCs w:val="24"/>
          <w:highlight w:val="none"/>
          <w14:textFill>
            <w14:solidFill>
              <w14:schemeClr w14:val="tx1"/>
            </w14:solidFill>
          </w14:textFill>
        </w:rPr>
        <w:t>日内提供书面证明材料，经</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项目业主单位</w:t>
      </w:r>
      <w:r>
        <w:rPr>
          <w:rFonts w:ascii="宋体" w:hAnsi="宋体" w:eastAsia="宋体" w:cs="宋体"/>
          <w:color w:val="000000" w:themeColor="text1"/>
          <w:spacing w:val="-1"/>
          <w:sz w:val="24"/>
          <w:szCs w:val="24"/>
          <w:highlight w:val="none"/>
          <w14:textFill>
            <w14:solidFill>
              <w14:schemeClr w14:val="tx1"/>
            </w14:solidFill>
          </w14:textFill>
        </w:rPr>
        <w:t>确认后，可不计入不达标指标数。</w:t>
      </w:r>
    </w:p>
    <w:p>
      <w:pPr>
        <w:keepNext w:val="0"/>
        <w:keepLines w:val="0"/>
        <w:pageBreakBefore w:val="0"/>
        <w:widowControl/>
        <w:kinsoku w:val="0"/>
        <w:wordWrap/>
        <w:overflowPunct/>
        <w:topLinePunct w:val="0"/>
        <w:autoSpaceDE w:val="0"/>
        <w:autoSpaceDN w:val="0"/>
        <w:bidi w:val="0"/>
        <w:adjustRightInd w:val="0"/>
        <w:snapToGrid w:val="0"/>
        <w:spacing w:before="1" w:line="219" w:lineRule="auto"/>
        <w:ind w:firstLine="520"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(6)在</w:t>
      </w:r>
      <w:r>
        <w:rPr>
          <w:rFonts w:ascii="宋体" w:hAnsi="宋体" w:eastAsia="宋体" w:cs="宋体"/>
          <w:color w:val="000000" w:themeColor="text1"/>
          <w:spacing w:val="5"/>
          <w:sz w:val="24"/>
          <w:szCs w:val="24"/>
          <w:highlight w:val="none"/>
          <w14:textFill>
            <w14:solidFill>
              <w14:schemeClr w14:val="tx1"/>
            </w14:solidFill>
          </w14:textFill>
        </w:rPr>
        <w:t>线水质监测设施出现故障时，若未报备则该时段数据按不合格考虑。</w:t>
      </w:r>
    </w:p>
    <w:p>
      <w:pPr>
        <w:keepNext w:val="0"/>
        <w:keepLines w:val="0"/>
        <w:pageBreakBefore w:val="0"/>
        <w:widowControl/>
        <w:kinsoku w:val="0"/>
        <w:wordWrap/>
        <w:overflowPunct/>
        <w:topLinePunct w:val="0"/>
        <w:autoSpaceDE w:val="0"/>
        <w:autoSpaceDN w:val="0"/>
        <w:bidi w:val="0"/>
        <w:adjustRightInd w:val="0"/>
        <w:snapToGrid w:val="0"/>
        <w:spacing w:before="182" w:line="360" w:lineRule="auto"/>
        <w:ind w:left="10" w:right="85" w:firstLine="464"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7) 为减小检测设备偏差造成检测结果不准，每季度拟采用一次人工检测进行复</w:t>
      </w:r>
      <w:r>
        <w:rPr>
          <w:rFonts w:ascii="宋体" w:hAnsi="宋体" w:eastAsia="宋体" w:cs="宋体"/>
          <w:color w:val="000000" w:themeColor="text1"/>
          <w:spacing w:val="1"/>
          <w:sz w:val="24"/>
          <w:szCs w:val="24"/>
          <w:highlight w:val="none"/>
          <w14:textFill>
            <w14:solidFill>
              <w14:schemeClr w14:val="tx1"/>
            </w14:solidFill>
          </w14:textFill>
        </w:rPr>
        <w:t>核，若数据</w:t>
      </w:r>
      <w:r>
        <w:rPr>
          <w:rFonts w:ascii="宋体" w:hAnsi="宋体" w:eastAsia="宋体" w:cs="宋体"/>
          <w:color w:val="000000" w:themeColor="text1"/>
          <w:sz w:val="24"/>
          <w:szCs w:val="24"/>
          <w:highlight w:val="none"/>
          <w14:textFill>
            <w14:solidFill>
              <w14:schemeClr w14:val="tx1"/>
            </w14:solidFill>
          </w14:textFill>
        </w:rPr>
        <w:t>偏差较大则限期三日对检测设备进行校整。人工检测数据同样纳入本次考</w:t>
      </w:r>
      <w:r>
        <w:rPr>
          <w:rFonts w:ascii="宋体" w:hAnsi="宋体" w:eastAsia="宋体" w:cs="宋体"/>
          <w:color w:val="000000" w:themeColor="text1"/>
          <w:spacing w:val="-9"/>
          <w:sz w:val="24"/>
          <w:szCs w:val="24"/>
          <w:highlight w:val="none"/>
          <w14:textFill>
            <w14:solidFill>
              <w14:schemeClr w14:val="tx1"/>
            </w14:solidFill>
          </w14:textFill>
        </w:rPr>
        <w:t>核</w:t>
      </w:r>
      <w:r>
        <w:rPr>
          <w:rFonts w:ascii="宋体" w:hAnsi="宋体" w:eastAsia="宋体" w:cs="宋体"/>
          <w:color w:val="000000" w:themeColor="text1"/>
          <w:spacing w:val="-7"/>
          <w:sz w:val="24"/>
          <w:szCs w:val="24"/>
          <w:highlight w:val="none"/>
          <w14:textFill>
            <w14:solidFill>
              <w14:schemeClr w14:val="tx1"/>
            </w14:solidFill>
          </w14:textFill>
        </w:rPr>
        <w:t>样本中。</w:t>
      </w:r>
    </w:p>
    <w:p>
      <w:pPr>
        <w:keepNext w:val="0"/>
        <w:keepLines w:val="0"/>
        <w:pageBreakBefore w:val="0"/>
        <w:widowControl/>
        <w:kinsoku w:val="0"/>
        <w:wordWrap/>
        <w:overflowPunct/>
        <w:topLinePunct w:val="0"/>
        <w:autoSpaceDE w:val="0"/>
        <w:autoSpaceDN w:val="0"/>
        <w:bidi w:val="0"/>
        <w:adjustRightInd w:val="0"/>
        <w:snapToGrid w:val="0"/>
        <w:spacing w:before="233" w:line="360" w:lineRule="auto"/>
        <w:ind w:firstLine="416" w:firstLineChars="200"/>
        <w:jc w:val="both"/>
        <w:textAlignment w:val="baseline"/>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(9)</w:t>
      </w:r>
      <w:r>
        <w:rPr>
          <w:rFonts w:ascii="宋体" w:hAnsi="宋体" w:eastAsia="宋体" w:cs="宋体"/>
          <w:color w:val="000000" w:themeColor="text1"/>
          <w:spacing w:val="-5"/>
          <w:sz w:val="24"/>
          <w:szCs w:val="24"/>
          <w:highlight w:val="none"/>
          <w14:textFill>
            <w14:solidFill>
              <w14:schemeClr w14:val="tx1"/>
            </w14:solidFill>
          </w14:textFill>
        </w:rPr>
        <w:t>当水质不满足要求时，</w:t>
      </w:r>
      <w:r>
        <w:rPr>
          <w:rFonts w:ascii="Calibri" w:hAnsi="Calibri" w:eastAsia="Calibri" w:cs="Calibri"/>
          <w:color w:val="000000" w:themeColor="text1"/>
          <w:spacing w:val="-6"/>
          <w:sz w:val="24"/>
          <w:szCs w:val="24"/>
          <w:highlight w:val="none"/>
          <w14:textFill>
            <w14:solidFill>
              <w14:schemeClr w14:val="tx1"/>
            </w14:solidFill>
          </w14:textFill>
        </w:rPr>
        <w:t>EPC</w:t>
      </w:r>
      <w:r>
        <w:rPr>
          <w:rFonts w:ascii="宋体" w:hAnsi="宋体" w:eastAsia="宋体" w:cs="宋体"/>
          <w:color w:val="000000" w:themeColor="text1"/>
          <w:spacing w:val="-5"/>
          <w:sz w:val="24"/>
          <w:szCs w:val="24"/>
          <w:highlight w:val="none"/>
          <w14:textFill>
            <w14:solidFill>
              <w14:schemeClr w14:val="tx1"/>
            </w14:solidFill>
          </w14:textFill>
        </w:rPr>
        <w:t>单位应自行摸查原因、自行出资整改，不再占用</w:t>
      </w:r>
      <w:r>
        <w:rPr>
          <w:rFonts w:ascii="宋体" w:hAnsi="宋体" w:eastAsia="宋体" w:cs="宋体"/>
          <w:color w:val="000000" w:themeColor="text1"/>
          <w:spacing w:val="-4"/>
          <w:sz w:val="24"/>
          <w:szCs w:val="24"/>
          <w:highlight w:val="none"/>
          <w14:textFill>
            <w14:solidFill>
              <w14:schemeClr w14:val="tx1"/>
            </w14:solidFill>
          </w14:textFill>
        </w:rPr>
        <w:t>本项目的建设资金。</w:t>
      </w:r>
    </w:p>
    <w:p>
      <w:pPr>
        <w:keepNext w:val="0"/>
        <w:keepLines w:val="0"/>
        <w:pageBreakBefore w:val="0"/>
        <w:widowControl/>
        <w:kinsoku w:val="0"/>
        <w:wordWrap/>
        <w:overflowPunct/>
        <w:topLinePunct w:val="0"/>
        <w:autoSpaceDE w:val="0"/>
        <w:autoSpaceDN w:val="0"/>
        <w:bidi w:val="0"/>
        <w:adjustRightInd w:val="0"/>
        <w:snapToGrid w:val="0"/>
        <w:spacing w:before="233" w:line="360" w:lineRule="auto"/>
        <w:ind w:firstLine="464" w:firstLineChars="200"/>
        <w:jc w:val="both"/>
        <w:textAlignment w:val="baseline"/>
        <w:rPr>
          <w:rFonts w:ascii="宋体" w:hAnsi="宋体" w:eastAsia="宋体" w:cs="宋体"/>
          <w:color w:val="000000" w:themeColor="text1"/>
          <w:spacing w:val="-4"/>
          <w:sz w:val="24"/>
          <w:szCs w:val="24"/>
          <w:highlight w:val="none"/>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before="233" w:line="360" w:lineRule="auto"/>
        <w:ind w:firstLine="464" w:firstLineChars="200"/>
        <w:jc w:val="both"/>
        <w:textAlignment w:val="baseline"/>
        <w:rPr>
          <w:rFonts w:ascii="宋体" w:hAnsi="宋体" w:eastAsia="宋体" w:cs="宋体"/>
          <w:color w:val="000000" w:themeColor="text1"/>
          <w:spacing w:val="-4"/>
          <w:sz w:val="24"/>
          <w:szCs w:val="24"/>
          <w:highlight w:val="none"/>
          <w14:textFill>
            <w14:solidFill>
              <w14:schemeClr w14:val="tx1"/>
            </w14:solidFill>
          </w14:textFill>
        </w:rPr>
      </w:pPr>
    </w:p>
    <w:p>
      <w:pPr>
        <w:spacing w:before="37" w:line="227" w:lineRule="auto"/>
        <w:jc w:val="both"/>
        <w:rPr>
          <w:rFonts w:ascii="宋体" w:hAnsi="宋体" w:eastAsia="宋体" w:cs="宋体"/>
          <w:color w:val="000000" w:themeColor="text1"/>
          <w:sz w:val="27"/>
          <w:szCs w:val="27"/>
          <w:highlight w:val="none"/>
          <w14:textFill>
            <w14:solidFill>
              <w14:schemeClr w14:val="tx1"/>
            </w14:solidFill>
          </w14:textFill>
        </w:rPr>
      </w:pPr>
      <w:r>
        <w:rPr>
          <w:rFonts w:ascii="宋体" w:hAnsi="宋体" w:eastAsia="宋体" w:cs="宋体"/>
          <w:color w:val="000000" w:themeColor="text1"/>
          <w:spacing w:val="4"/>
          <w:sz w:val="27"/>
          <w:szCs w:val="27"/>
          <w:highlight w:val="none"/>
          <w14:textFill>
            <w14:solidFill>
              <w14:schemeClr w14:val="tx1"/>
            </w14:solidFill>
          </w14:textFill>
        </w:rPr>
        <w:t>4.</w:t>
      </w:r>
      <w:r>
        <w:rPr>
          <w:rFonts w:hint="eastAsia" w:ascii="宋体" w:hAnsi="宋体" w:eastAsia="宋体" w:cs="宋体"/>
          <w:color w:val="000000" w:themeColor="text1"/>
          <w:spacing w:val="4"/>
          <w:sz w:val="27"/>
          <w:szCs w:val="27"/>
          <w:highlight w:val="none"/>
          <w:lang w:val="en-US" w:eastAsia="zh-CN"/>
          <w14:textFill>
            <w14:solidFill>
              <w14:schemeClr w14:val="tx1"/>
            </w14:solidFill>
          </w14:textFill>
        </w:rPr>
        <w:t>3</w:t>
      </w:r>
      <w:r>
        <w:rPr>
          <w:rFonts w:ascii="宋体" w:hAnsi="宋体" w:eastAsia="宋体" w:cs="宋体"/>
          <w:color w:val="000000" w:themeColor="text1"/>
          <w:spacing w:val="4"/>
          <w:sz w:val="27"/>
          <w:szCs w:val="27"/>
          <w:highlight w:val="none"/>
          <w14:textFill>
            <w14:solidFill>
              <w14:schemeClr w14:val="tx1"/>
            </w14:solidFill>
          </w14:textFill>
        </w:rPr>
        <w:t xml:space="preserve"> 信息化平台建设的考</w:t>
      </w:r>
      <w:r>
        <w:rPr>
          <w:rFonts w:ascii="宋体" w:hAnsi="宋体" w:eastAsia="宋体" w:cs="宋体"/>
          <w:color w:val="000000" w:themeColor="text1"/>
          <w:spacing w:val="1"/>
          <w:sz w:val="27"/>
          <w:szCs w:val="27"/>
          <w:highlight w:val="none"/>
          <w14:textFill>
            <w14:solidFill>
              <w14:schemeClr w14:val="tx1"/>
            </w14:solidFill>
          </w14:textFill>
        </w:rPr>
        <w:t>核</w:t>
      </w:r>
    </w:p>
    <w:p>
      <w:pPr>
        <w:spacing w:before="233" w:line="220" w:lineRule="auto"/>
        <w:ind w:left="487"/>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(1)</w:t>
      </w:r>
      <w:r>
        <w:rPr>
          <w:rFonts w:ascii="宋体" w:hAnsi="宋体" w:eastAsia="宋体" w:cs="宋体"/>
          <w:color w:val="000000" w:themeColor="text1"/>
          <w:spacing w:val="-2"/>
          <w:sz w:val="24"/>
          <w:szCs w:val="24"/>
          <w:highlight w:val="none"/>
          <w14:textFill>
            <w14:solidFill>
              <w14:schemeClr w14:val="tx1"/>
            </w14:solidFill>
          </w14:textFill>
        </w:rPr>
        <w:t>EPC</w:t>
      </w:r>
      <w:r>
        <w:rPr>
          <w:rFonts w:ascii="宋体" w:hAnsi="宋体" w:eastAsia="宋体" w:cs="宋体"/>
          <w:color w:val="000000" w:themeColor="text1"/>
          <w:spacing w:val="-4"/>
          <w:sz w:val="24"/>
          <w:szCs w:val="24"/>
          <w:highlight w:val="none"/>
          <w14:textFill>
            <w14:solidFill>
              <w14:schemeClr w14:val="tx1"/>
            </w14:solidFill>
          </w14:textFill>
        </w:rPr>
        <w:t>单位参照附表</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5</w:t>
      </w:r>
      <w:r>
        <w:rPr>
          <w:rFonts w:ascii="宋体" w:hAnsi="宋体" w:eastAsia="宋体" w:cs="宋体"/>
          <w:color w:val="000000" w:themeColor="text1"/>
          <w:spacing w:val="-2"/>
          <w:sz w:val="24"/>
          <w:szCs w:val="24"/>
          <w:highlight w:val="none"/>
          <w14:textFill>
            <w14:solidFill>
              <w14:schemeClr w14:val="tx1"/>
            </w14:solidFill>
          </w14:textFill>
        </w:rPr>
        <w:t>填写《信息化平台建设考核表》。</w:t>
      </w:r>
    </w:p>
    <w:p>
      <w:pPr>
        <w:spacing w:before="182" w:line="220" w:lineRule="auto"/>
        <w:ind w:left="487"/>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w:t>
      </w:r>
      <w:r>
        <w:rPr>
          <w:rFonts w:ascii="宋体" w:hAnsi="宋体" w:eastAsia="宋体" w:cs="宋体"/>
          <w:color w:val="000000" w:themeColor="text1"/>
          <w:spacing w:val="7"/>
          <w:sz w:val="24"/>
          <w:szCs w:val="24"/>
          <w:highlight w:val="none"/>
          <w14:textFill>
            <w14:solidFill>
              <w14:schemeClr w14:val="tx1"/>
            </w14:solidFill>
          </w14:textFill>
        </w:rPr>
        <w:t>2)设备布点及安装、上系统在项目完工时同步完工运行。</w:t>
      </w:r>
    </w:p>
    <w:p>
      <w:pPr>
        <w:spacing w:before="183" w:line="360" w:lineRule="auto"/>
        <w:ind w:right="96" w:firstLine="487"/>
        <w:jc w:val="both"/>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(3)</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业主单位</w:t>
      </w:r>
      <w:r>
        <w:rPr>
          <w:rFonts w:ascii="宋体" w:hAnsi="宋体" w:eastAsia="宋体" w:cs="宋体"/>
          <w:color w:val="000000" w:themeColor="text1"/>
          <w:spacing w:val="-3"/>
          <w:sz w:val="24"/>
          <w:szCs w:val="24"/>
          <w:highlight w:val="none"/>
          <w14:textFill>
            <w14:solidFill>
              <w14:schemeClr w14:val="tx1"/>
            </w14:solidFill>
          </w14:textFill>
        </w:rPr>
        <w:t>根据前期施工期监理情况、质保期巡查情况， 核实《信息化</w:t>
      </w:r>
      <w:r>
        <w:rPr>
          <w:rFonts w:ascii="宋体" w:hAnsi="宋体" w:eastAsia="宋体" w:cs="宋体"/>
          <w:color w:val="000000" w:themeColor="text1"/>
          <w:spacing w:val="-6"/>
          <w:sz w:val="24"/>
          <w:szCs w:val="24"/>
          <w:highlight w:val="none"/>
          <w14:textFill>
            <w14:solidFill>
              <w14:schemeClr w14:val="tx1"/>
            </w14:solidFill>
          </w14:textFill>
        </w:rPr>
        <w:t>平台建设考核表》，并提出相关意见；EPC单位根据意见补充相关证明资料。</w:t>
      </w:r>
    </w:p>
    <w:p>
      <w:pPr>
        <w:spacing w:before="17" w:line="413" w:lineRule="exact"/>
        <w:ind w:firstLine="504" w:firstLineChars="200"/>
        <w:jc w:val="both"/>
        <w:rPr>
          <w:rFonts w:ascii="宋体" w:hAnsi="宋体" w:eastAsia="宋体" w:cs="宋体"/>
          <w:color w:val="000000" w:themeColor="text1"/>
          <w:spacing w:val="-3"/>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 xml:space="preserve">(4) </w:t>
      </w:r>
      <w:r>
        <w:rPr>
          <w:rFonts w:ascii="宋体" w:hAnsi="宋体" w:eastAsia="宋体" w:cs="宋体"/>
          <w:color w:val="000000" w:themeColor="text1"/>
          <w:spacing w:val="3"/>
          <w:sz w:val="24"/>
          <w:szCs w:val="24"/>
          <w:highlight w:val="none"/>
          <w14:textFill>
            <w14:solidFill>
              <w14:schemeClr w14:val="tx1"/>
            </w14:solidFill>
          </w14:textFill>
        </w:rPr>
        <w:t>当信息化平台建设不满足要求时，</w:t>
      </w:r>
      <w:r>
        <w:rPr>
          <w:rFonts w:ascii="宋体" w:hAnsi="宋体" w:eastAsia="宋体" w:cs="宋体"/>
          <w:color w:val="000000" w:themeColor="text1"/>
          <w:sz w:val="24"/>
          <w:szCs w:val="24"/>
          <w:highlight w:val="none"/>
          <w14:textFill>
            <w14:solidFill>
              <w14:schemeClr w14:val="tx1"/>
            </w14:solidFill>
          </w14:textFill>
        </w:rPr>
        <w:t>EPC</w:t>
      </w:r>
      <w:r>
        <w:rPr>
          <w:rFonts w:ascii="宋体" w:hAnsi="宋体" w:eastAsia="宋体" w:cs="宋体"/>
          <w:color w:val="000000" w:themeColor="text1"/>
          <w:spacing w:val="3"/>
          <w:sz w:val="24"/>
          <w:szCs w:val="24"/>
          <w:highlight w:val="none"/>
          <w14:textFill>
            <w14:solidFill>
              <w14:schemeClr w14:val="tx1"/>
            </w14:solidFill>
          </w14:textFill>
        </w:rPr>
        <w:t>单位应自行摸查原因、自行出资整</w:t>
      </w:r>
      <w:r>
        <w:rPr>
          <w:rFonts w:ascii="宋体" w:hAnsi="宋体" w:eastAsia="宋体" w:cs="宋体"/>
          <w:color w:val="000000" w:themeColor="text1"/>
          <w:spacing w:val="-6"/>
          <w:sz w:val="24"/>
          <w:szCs w:val="24"/>
          <w:highlight w:val="none"/>
          <w14:textFill>
            <w14:solidFill>
              <w14:schemeClr w14:val="tx1"/>
            </w14:solidFill>
          </w14:textFill>
        </w:rPr>
        <w:t>改</w:t>
      </w:r>
      <w:r>
        <w:rPr>
          <w:rFonts w:ascii="宋体" w:hAnsi="宋体" w:eastAsia="宋体" w:cs="宋体"/>
          <w:color w:val="000000" w:themeColor="text1"/>
          <w:spacing w:val="-4"/>
          <w:sz w:val="24"/>
          <w:szCs w:val="24"/>
          <w:highlight w:val="none"/>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不再占用本项目的建设资金。</w:t>
      </w:r>
    </w:p>
    <w:p>
      <w:pPr>
        <w:spacing w:before="17" w:line="413" w:lineRule="exact"/>
        <w:jc w:val="both"/>
        <w:rPr>
          <w:rFonts w:hint="eastAsia" w:ascii="宋体" w:hAnsi="宋体" w:eastAsia="宋体" w:cs="宋体"/>
          <w:color w:val="000000" w:themeColor="text1"/>
          <w:spacing w:val="6"/>
          <w:position w:val="2"/>
          <w:sz w:val="31"/>
          <w:szCs w:val="31"/>
          <w:highlight w:val="none"/>
          <w:lang w:val="en-US" w:eastAsia="zh-CN"/>
          <w14:textFill>
            <w14:solidFill>
              <w14:schemeClr w14:val="tx1"/>
            </w14:solidFill>
          </w14:textFill>
        </w:rPr>
      </w:pPr>
    </w:p>
    <w:p>
      <w:pPr>
        <w:spacing w:before="17" w:line="413" w:lineRule="exact"/>
        <w:jc w:val="both"/>
        <w:rPr>
          <w:rFonts w:ascii="宋体" w:hAnsi="宋体" w:eastAsia="宋体" w:cs="宋体"/>
          <w:color w:val="000000" w:themeColor="text1"/>
          <w:spacing w:val="7"/>
          <w:position w:val="17"/>
          <w:sz w:val="24"/>
          <w:szCs w:val="24"/>
          <w:highlight w:val="none"/>
          <w14:textFill>
            <w14:solidFill>
              <w14:schemeClr w14:val="tx1"/>
            </w14:solidFill>
          </w14:textFill>
        </w:rPr>
      </w:pPr>
      <w:r>
        <w:rPr>
          <w:rFonts w:hint="eastAsia" w:ascii="宋体" w:hAnsi="宋体" w:eastAsia="宋体" w:cs="宋体"/>
          <w:color w:val="000000" w:themeColor="text1"/>
          <w:spacing w:val="6"/>
          <w:position w:val="2"/>
          <w:sz w:val="31"/>
          <w:szCs w:val="31"/>
          <w:highlight w:val="none"/>
          <w:lang w:val="en-US" w:eastAsia="zh-CN"/>
          <w14:textFill>
            <w14:solidFill>
              <w14:schemeClr w14:val="tx1"/>
            </w14:solidFill>
          </w14:textFill>
        </w:rPr>
        <w:t>5</w:t>
      </w:r>
      <w:r>
        <w:rPr>
          <w:rFonts w:ascii="宋体" w:hAnsi="宋体" w:eastAsia="宋体" w:cs="宋体"/>
          <w:color w:val="000000" w:themeColor="text1"/>
          <w:spacing w:val="6"/>
          <w:position w:val="2"/>
          <w:sz w:val="31"/>
          <w:szCs w:val="31"/>
          <w:highlight w:val="none"/>
          <w14:textFill>
            <w14:solidFill>
              <w14:schemeClr w14:val="tx1"/>
            </w14:solidFill>
          </w14:textFill>
        </w:rPr>
        <w:t>.附表</w:t>
      </w:r>
    </w:p>
    <w:p>
      <w:pPr>
        <w:spacing w:before="182" w:line="240" w:lineRule="auto"/>
        <w:jc w:val="both"/>
        <w:rPr>
          <w:rFonts w:ascii="宋体" w:hAnsi="宋体" w:eastAsia="宋体" w:cs="宋体"/>
          <w:color w:val="000000" w:themeColor="text1"/>
          <w:spacing w:val="7"/>
          <w:position w:val="17"/>
          <w:sz w:val="24"/>
          <w:szCs w:val="24"/>
          <w:highlight w:val="none"/>
          <w14:textFill>
            <w14:solidFill>
              <w14:schemeClr w14:val="tx1"/>
            </w14:solidFill>
          </w14:textFill>
        </w:rPr>
      </w:pPr>
      <w:r>
        <w:rPr>
          <w:rFonts w:ascii="宋体" w:hAnsi="宋体" w:eastAsia="宋体" w:cs="宋体"/>
          <w:color w:val="000000" w:themeColor="text1"/>
          <w:spacing w:val="7"/>
          <w:position w:val="17"/>
          <w:sz w:val="24"/>
          <w:szCs w:val="24"/>
          <w:highlight w:val="none"/>
          <w14:textFill>
            <w14:solidFill>
              <w14:schemeClr w14:val="tx1"/>
            </w14:solidFill>
          </w14:textFill>
        </w:rPr>
        <w:t>表1：</w:t>
      </w: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7"/>
          <w:position w:val="17"/>
          <w:sz w:val="24"/>
          <w:szCs w:val="24"/>
          <w:highlight w:val="none"/>
          <w14:textFill>
            <w14:solidFill>
              <w14:schemeClr w14:val="tx1"/>
            </w14:solidFill>
          </w14:textFill>
        </w:rPr>
        <w:t>工程(</w:t>
      </w:r>
      <w:r>
        <w:rPr>
          <w:rFonts w:hint="eastAsia" w:ascii="宋体" w:hAnsi="宋体" w:eastAsia="宋体" w:cs="宋体"/>
          <w:color w:val="000000" w:themeColor="text1"/>
          <w:spacing w:val="7"/>
          <w:position w:val="17"/>
          <w:sz w:val="24"/>
          <w:szCs w:val="24"/>
          <w:highlight w:val="none"/>
          <w:lang w:eastAsia="zh-CN"/>
          <w14:textFill>
            <w14:solidFill>
              <w14:schemeClr w14:val="tx1"/>
            </w14:solidFill>
          </w14:textFill>
        </w:rPr>
        <w:t>施工图设计</w:t>
      </w:r>
      <w:r>
        <w:rPr>
          <w:rFonts w:ascii="宋体" w:hAnsi="宋体" w:eastAsia="宋体" w:cs="宋体"/>
          <w:color w:val="000000" w:themeColor="text1"/>
          <w:spacing w:val="7"/>
          <w:position w:val="17"/>
          <w:sz w:val="24"/>
          <w:szCs w:val="24"/>
          <w:highlight w:val="none"/>
          <w14:textFill>
            <w14:solidFill>
              <w14:schemeClr w14:val="tx1"/>
            </w14:solidFill>
          </w14:textFill>
        </w:rPr>
        <w:t>施工总承包EPC)质保期考核项目及考核标准表</w:t>
      </w:r>
    </w:p>
    <w:p>
      <w:pPr>
        <w:spacing w:before="182" w:line="240" w:lineRule="auto"/>
        <w:jc w:val="both"/>
        <w:rPr>
          <w:rFonts w:ascii="宋体" w:hAnsi="宋体" w:eastAsia="宋体" w:cs="宋体"/>
          <w:color w:val="000000" w:themeColor="text1"/>
          <w:spacing w:val="7"/>
          <w:position w:val="17"/>
          <w:sz w:val="24"/>
          <w:szCs w:val="24"/>
          <w:highlight w:val="none"/>
          <w14:textFill>
            <w14:solidFill>
              <w14:schemeClr w14:val="tx1"/>
            </w14:solidFill>
          </w14:textFill>
        </w:rPr>
      </w:pPr>
      <w:r>
        <w:rPr>
          <w:rFonts w:ascii="宋体" w:hAnsi="宋体" w:eastAsia="宋体" w:cs="宋体"/>
          <w:color w:val="000000" w:themeColor="text1"/>
          <w:spacing w:val="7"/>
          <w:position w:val="17"/>
          <w:sz w:val="24"/>
          <w:szCs w:val="24"/>
          <w:highlight w:val="none"/>
          <w14:textFill>
            <w14:solidFill>
              <w14:schemeClr w14:val="tx1"/>
            </w14:solidFill>
          </w14:textFill>
        </w:rPr>
        <w:t>表</w:t>
      </w: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pacing w:val="7"/>
          <w:position w:val="17"/>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番禺区村居雨污分流</w:t>
      </w:r>
      <w:r>
        <w:rPr>
          <w:rFonts w:ascii="宋体" w:hAnsi="宋体" w:eastAsia="宋体" w:cs="宋体"/>
          <w:color w:val="000000" w:themeColor="text1"/>
          <w:spacing w:val="7"/>
          <w:position w:val="17"/>
          <w:sz w:val="24"/>
          <w:szCs w:val="24"/>
          <w:highlight w:val="none"/>
          <w14:textFill>
            <w14:solidFill>
              <w14:schemeClr w14:val="tx1"/>
            </w14:solidFill>
          </w14:textFill>
        </w:rPr>
        <w:t>工程 (</w:t>
      </w:r>
      <w:r>
        <w:rPr>
          <w:rFonts w:hint="eastAsia" w:ascii="宋体" w:hAnsi="宋体" w:eastAsia="宋体" w:cs="宋体"/>
          <w:color w:val="000000" w:themeColor="text1"/>
          <w:spacing w:val="7"/>
          <w:position w:val="17"/>
          <w:sz w:val="24"/>
          <w:szCs w:val="24"/>
          <w:highlight w:val="none"/>
          <w:lang w:eastAsia="zh-CN"/>
          <w14:textFill>
            <w14:solidFill>
              <w14:schemeClr w14:val="tx1"/>
            </w14:solidFill>
          </w14:textFill>
        </w:rPr>
        <w:t>施工图设计</w:t>
      </w:r>
      <w:r>
        <w:rPr>
          <w:rFonts w:ascii="宋体" w:hAnsi="宋体" w:eastAsia="宋体" w:cs="宋体"/>
          <w:color w:val="000000" w:themeColor="text1"/>
          <w:spacing w:val="7"/>
          <w:position w:val="17"/>
          <w:sz w:val="24"/>
          <w:szCs w:val="24"/>
          <w:highlight w:val="none"/>
          <w14:textFill>
            <w14:solidFill>
              <w14:schemeClr w14:val="tx1"/>
            </w14:solidFill>
          </w14:textFill>
        </w:rPr>
        <w:t>施工总承包EPC)质保期评分分级表</w:t>
      </w:r>
    </w:p>
    <w:p>
      <w:pPr>
        <w:spacing w:before="182" w:line="240" w:lineRule="auto"/>
        <w:jc w:val="both"/>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表3：污水收集率考核表</w:t>
      </w:r>
    </w:p>
    <w:p>
      <w:pPr>
        <w:spacing w:before="182" w:line="240" w:lineRule="auto"/>
        <w:jc w:val="both"/>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表4：节点水质考核表</w:t>
      </w:r>
    </w:p>
    <w:p>
      <w:pPr>
        <w:spacing w:before="182" w:line="240" w:lineRule="auto"/>
        <w:jc w:val="both"/>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表5：节点水量考核表</w:t>
      </w:r>
    </w:p>
    <w:p>
      <w:pPr>
        <w:spacing w:before="182" w:line="240" w:lineRule="auto"/>
        <w:jc w:val="both"/>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7"/>
          <w:position w:val="17"/>
          <w:sz w:val="24"/>
          <w:szCs w:val="24"/>
          <w:highlight w:val="none"/>
          <w:lang w:val="en-US" w:eastAsia="zh-CN"/>
          <w14:textFill>
            <w14:solidFill>
              <w14:schemeClr w14:val="tx1"/>
            </w14:solidFill>
          </w14:textFill>
        </w:rPr>
        <w:t>表6：信息化平台建设考核表</w:t>
      </w:r>
    </w:p>
    <w:p>
      <w:pPr>
        <w:rPr>
          <w:color w:val="000000" w:themeColor="text1"/>
          <w:highlight w:val="none"/>
          <w14:textFill>
            <w14:solidFill>
              <w14:schemeClr w14:val="tx1"/>
            </w14:solidFill>
          </w14:textFill>
        </w:rPr>
        <w:sectPr>
          <w:footerReference r:id="rId13" w:type="default"/>
          <w:pgSz w:w="11906" w:h="16838"/>
          <w:pgMar w:top="1440" w:right="1800" w:bottom="1440" w:left="1800" w:header="851" w:footer="992" w:gutter="0"/>
          <w:pgNumType w:fmt="decimal"/>
          <w:cols w:space="720" w:num="1"/>
          <w:docGrid w:type="lines" w:linePitch="312" w:charSpace="0"/>
        </w:sectPr>
      </w:pPr>
    </w:p>
    <w:p>
      <w:pPr>
        <w:spacing w:before="97" w:line="220" w:lineRule="auto"/>
        <w:ind w:left="1800"/>
        <w:outlineLvl w:val="0"/>
        <w:rPr>
          <w:rFonts w:ascii="宋体" w:hAnsi="宋体" w:eastAsia="宋体" w:cs="宋体"/>
          <w:color w:val="000000" w:themeColor="text1"/>
          <w:sz w:val="30"/>
          <w:szCs w:val="30"/>
          <w:highlight w:val="none"/>
          <w14:textFill>
            <w14:solidFill>
              <w14:schemeClr w14:val="tx1"/>
            </w14:solidFill>
          </w14:textFill>
        </w:rPr>
      </w:pPr>
      <w:r>
        <w:rPr>
          <w:rFonts w:ascii="宋体" w:hAnsi="宋体" w:eastAsia="宋体" w:cs="宋体"/>
          <w:color w:val="000000" w:themeColor="text1"/>
          <w:spacing w:val="-1"/>
          <w:sz w:val="30"/>
          <w:szCs w:val="30"/>
          <w:highlight w:val="none"/>
          <w14:textFill>
            <w14:solidFill>
              <w14:schemeClr w14:val="tx1"/>
            </w14:solidFill>
          </w14:textFill>
        </w:rPr>
        <w:t>表 1：</w:t>
      </w:r>
      <w:r>
        <w:rPr>
          <w:rFonts w:hint="eastAsia" w:ascii="宋体" w:hAnsi="宋体" w:eastAsia="宋体" w:cs="宋体"/>
          <w:color w:val="000000" w:themeColor="text1"/>
          <w:sz w:val="30"/>
          <w:szCs w:val="30"/>
          <w:highlight w:val="none"/>
          <w:lang w:val="en-US" w:eastAsia="zh-CN"/>
          <w14:textFill>
            <w14:solidFill>
              <w14:schemeClr w14:val="tx1"/>
            </w14:solidFill>
          </w14:textFill>
        </w:rPr>
        <w:t>番禺区村居雨污分流</w:t>
      </w:r>
      <w:r>
        <w:rPr>
          <w:rFonts w:ascii="宋体" w:hAnsi="宋体" w:eastAsia="宋体" w:cs="宋体"/>
          <w:color w:val="000000" w:themeColor="text1"/>
          <w:sz w:val="30"/>
          <w:szCs w:val="30"/>
          <w:highlight w:val="none"/>
          <w14:textFill>
            <w14:solidFill>
              <w14:schemeClr w14:val="tx1"/>
            </w14:solidFill>
          </w14:textFill>
        </w:rPr>
        <w:t>工程(</w:t>
      </w:r>
      <w:r>
        <w:rPr>
          <w:rFonts w:hint="eastAsia" w:ascii="宋体" w:hAnsi="宋体" w:eastAsia="宋体" w:cs="宋体"/>
          <w:color w:val="000000" w:themeColor="text1"/>
          <w:sz w:val="30"/>
          <w:szCs w:val="30"/>
          <w:highlight w:val="none"/>
          <w:lang w:eastAsia="zh-CN"/>
          <w14:textFill>
            <w14:solidFill>
              <w14:schemeClr w14:val="tx1"/>
            </w14:solidFill>
          </w14:textFill>
        </w:rPr>
        <w:t>施工图设计</w:t>
      </w:r>
      <w:r>
        <w:rPr>
          <w:rFonts w:ascii="宋体" w:hAnsi="宋体" w:eastAsia="宋体" w:cs="宋体"/>
          <w:color w:val="000000" w:themeColor="text1"/>
          <w:sz w:val="30"/>
          <w:szCs w:val="30"/>
          <w:highlight w:val="none"/>
          <w14:textFill>
            <w14:solidFill>
              <w14:schemeClr w14:val="tx1"/>
            </w14:solidFill>
          </w14:textFill>
        </w:rPr>
        <w:t>施工总承包 EPC)质保期考核项目及标准表</w:t>
      </w:r>
    </w:p>
    <w:p>
      <w:pPr>
        <w:spacing w:line="104" w:lineRule="exact"/>
        <w:rPr>
          <w:color w:val="000000" w:themeColor="text1"/>
          <w:highlight w:val="none"/>
          <w14:textFill>
            <w14:solidFill>
              <w14:schemeClr w14:val="tx1"/>
            </w14:solidFill>
          </w14:textFill>
        </w:rPr>
      </w:pPr>
    </w:p>
    <w:tbl>
      <w:tblPr>
        <w:tblStyle w:val="78"/>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0"/>
        <w:gridCol w:w="2059"/>
        <w:gridCol w:w="4384"/>
        <w:gridCol w:w="2831"/>
        <w:gridCol w:w="2233"/>
        <w:gridCol w:w="821"/>
        <w:gridCol w:w="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97" w:type="pct"/>
            <w:noWrap w:val="0"/>
            <w:vAlign w:val="top"/>
          </w:tcPr>
          <w:p>
            <w:pPr>
              <w:spacing w:before="61" w:line="231"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7"/>
                <w:sz w:val="19"/>
                <w:szCs w:val="19"/>
                <w:highlight w:val="none"/>
                <w14:textFill>
                  <w14:solidFill>
                    <w14:schemeClr w14:val="tx1"/>
                  </w14:solidFill>
                </w14:textFill>
              </w:rPr>
              <w:t>序</w:t>
            </w:r>
            <w:r>
              <w:rPr>
                <w:rFonts w:ascii="宋体" w:hAnsi="宋体" w:eastAsia="宋体" w:cs="宋体"/>
                <w:color w:val="000000" w:themeColor="text1"/>
                <w:spacing w:val="6"/>
                <w:sz w:val="19"/>
                <w:szCs w:val="19"/>
                <w:highlight w:val="none"/>
                <w14:textFill>
                  <w14:solidFill>
                    <w14:schemeClr w14:val="tx1"/>
                  </w14:solidFill>
                </w14:textFill>
              </w:rPr>
              <w:t>号</w:t>
            </w:r>
          </w:p>
        </w:tc>
        <w:tc>
          <w:tcPr>
            <w:tcW w:w="736" w:type="pct"/>
            <w:noWrap w:val="0"/>
            <w:vAlign w:val="top"/>
          </w:tcPr>
          <w:p>
            <w:pPr>
              <w:spacing w:before="60" w:line="232"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5"/>
                <w:sz w:val="19"/>
                <w:szCs w:val="19"/>
                <w:highlight w:val="none"/>
                <w14:textFill>
                  <w14:solidFill>
                    <w14:schemeClr w14:val="tx1"/>
                  </w14:solidFill>
                </w14:textFill>
              </w:rPr>
              <w:t>名称</w:t>
            </w:r>
          </w:p>
        </w:tc>
        <w:tc>
          <w:tcPr>
            <w:tcW w:w="1567" w:type="pct"/>
            <w:noWrap w:val="0"/>
            <w:vAlign w:val="top"/>
          </w:tcPr>
          <w:p>
            <w:pPr>
              <w:spacing w:before="60" w:line="230" w:lineRule="auto"/>
              <w:jc w:val="center"/>
              <w:rPr>
                <w:rFonts w:hint="eastAsia" w:ascii="宋体" w:hAnsi="宋体" w:eastAsia="宋体" w:cs="宋体"/>
                <w:color w:val="000000" w:themeColor="text1"/>
                <w:sz w:val="19"/>
                <w:szCs w:val="19"/>
                <w:highlight w:val="none"/>
                <w:lang w:eastAsia="zh-CN"/>
                <w14:textFill>
                  <w14:solidFill>
                    <w14:schemeClr w14:val="tx1"/>
                  </w14:solidFill>
                </w14:textFill>
              </w:rPr>
            </w:pPr>
            <w:r>
              <w:rPr>
                <w:rFonts w:ascii="宋体" w:hAnsi="宋体" w:eastAsia="宋体" w:cs="宋体"/>
                <w:color w:val="000000" w:themeColor="text1"/>
                <w:spacing w:val="9"/>
                <w:sz w:val="19"/>
                <w:szCs w:val="19"/>
                <w:highlight w:val="none"/>
                <w14:textFill>
                  <w14:solidFill>
                    <w14:schemeClr w14:val="tx1"/>
                  </w14:solidFill>
                </w14:textFill>
              </w:rPr>
              <w:t>考</w:t>
            </w:r>
            <w:r>
              <w:rPr>
                <w:rFonts w:ascii="宋体" w:hAnsi="宋体" w:eastAsia="宋体" w:cs="宋体"/>
                <w:color w:val="000000" w:themeColor="text1"/>
                <w:spacing w:val="7"/>
                <w:sz w:val="19"/>
                <w:szCs w:val="19"/>
                <w:highlight w:val="none"/>
                <w14:textFill>
                  <w14:solidFill>
                    <w14:schemeClr w14:val="tx1"/>
                  </w14:solidFill>
                </w14:textFill>
              </w:rPr>
              <w:t>核</w:t>
            </w:r>
            <w:r>
              <w:rPr>
                <w:rFonts w:hint="eastAsia" w:ascii="宋体" w:hAnsi="宋体" w:eastAsia="宋体" w:cs="宋体"/>
                <w:color w:val="000000" w:themeColor="text1"/>
                <w:spacing w:val="7"/>
                <w:sz w:val="19"/>
                <w:szCs w:val="19"/>
                <w:highlight w:val="none"/>
                <w:lang w:eastAsia="zh-CN"/>
                <w14:textFill>
                  <w14:solidFill>
                    <w14:schemeClr w14:val="tx1"/>
                  </w14:solidFill>
                </w14:textFill>
              </w:rPr>
              <w:t>指标</w:t>
            </w:r>
          </w:p>
        </w:tc>
        <w:tc>
          <w:tcPr>
            <w:tcW w:w="1012" w:type="pct"/>
            <w:noWrap w:val="0"/>
            <w:vAlign w:val="top"/>
          </w:tcPr>
          <w:p>
            <w:pPr>
              <w:spacing w:before="60" w:line="230"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7"/>
                <w:sz w:val="19"/>
                <w:szCs w:val="19"/>
                <w:highlight w:val="none"/>
                <w14:textFill>
                  <w14:solidFill>
                    <w14:schemeClr w14:val="tx1"/>
                  </w14:solidFill>
                </w14:textFill>
              </w:rPr>
              <w:t>达标率</w:t>
            </w:r>
          </w:p>
        </w:tc>
        <w:tc>
          <w:tcPr>
            <w:tcW w:w="798" w:type="pct"/>
            <w:noWrap w:val="0"/>
            <w:vAlign w:val="top"/>
          </w:tcPr>
          <w:p>
            <w:pPr>
              <w:spacing w:before="61" w:line="231" w:lineRule="auto"/>
              <w:jc w:val="center"/>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pacing w:val="5"/>
                <w:sz w:val="19"/>
                <w:szCs w:val="19"/>
                <w:highlight w:val="none"/>
                <w:lang w:eastAsia="zh-CN"/>
                <w14:textFill>
                  <w14:solidFill>
                    <w14:schemeClr w14:val="tx1"/>
                  </w14:solidFill>
                </w14:textFill>
              </w:rPr>
              <w:t>考核频次</w:t>
            </w:r>
          </w:p>
        </w:tc>
        <w:tc>
          <w:tcPr>
            <w:tcW w:w="293" w:type="pct"/>
            <w:noWrap w:val="0"/>
            <w:vAlign w:val="top"/>
          </w:tcPr>
          <w:p>
            <w:pPr>
              <w:spacing w:before="60" w:line="230" w:lineRule="auto"/>
              <w:ind w:left="593" w:leftChars="0" w:hanging="593" w:hangingChars="291"/>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7"/>
                <w:sz w:val="19"/>
                <w:szCs w:val="19"/>
                <w:highlight w:val="none"/>
                <w14:textFill>
                  <w14:solidFill>
                    <w14:schemeClr w14:val="tx1"/>
                  </w14:solidFill>
                </w14:textFill>
              </w:rPr>
              <w:t>分值占比</w:t>
            </w:r>
          </w:p>
        </w:tc>
        <w:tc>
          <w:tcPr>
            <w:tcW w:w="294" w:type="pct"/>
            <w:noWrap w:val="0"/>
            <w:vAlign w:val="top"/>
          </w:tcPr>
          <w:p>
            <w:pPr>
              <w:spacing w:before="60" w:line="230" w:lineRule="auto"/>
              <w:ind w:left="593" w:leftChars="0" w:hanging="593" w:hangingChars="291"/>
              <w:jc w:val="center"/>
              <w:rPr>
                <w:rFonts w:hint="eastAsia" w:ascii="宋体" w:hAnsi="宋体" w:eastAsia="宋体" w:cs="宋体"/>
                <w:color w:val="000000" w:themeColor="text1"/>
                <w:spacing w:val="7"/>
                <w:sz w:val="19"/>
                <w:szCs w:val="19"/>
                <w:highlight w:val="none"/>
                <w:lang w:eastAsia="zh-CN"/>
                <w14:textFill>
                  <w14:solidFill>
                    <w14:schemeClr w14:val="tx1"/>
                  </w14:solidFill>
                </w14:textFill>
              </w:rPr>
            </w:pPr>
            <w:r>
              <w:rPr>
                <w:rFonts w:hint="eastAsia" w:ascii="宋体" w:hAnsi="宋体" w:eastAsia="宋体" w:cs="宋体"/>
                <w:color w:val="000000" w:themeColor="text1"/>
                <w:spacing w:val="7"/>
                <w:sz w:val="19"/>
                <w:szCs w:val="19"/>
                <w:highlight w:val="none"/>
                <w:lang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297" w:type="pct"/>
            <w:noWrap w:val="0"/>
            <w:vAlign w:val="top"/>
          </w:tcPr>
          <w:p>
            <w:pPr>
              <w:spacing w:line="333" w:lineRule="auto"/>
              <w:jc w:val="left"/>
              <w:rPr>
                <w:rFonts w:ascii="Arial"/>
                <w:color w:val="000000" w:themeColor="text1"/>
                <w:sz w:val="21"/>
                <w:highlight w:val="none"/>
                <w14:textFill>
                  <w14:solidFill>
                    <w14:schemeClr w14:val="tx1"/>
                  </w14:solidFill>
                </w14:textFill>
              </w:rPr>
            </w:pPr>
          </w:p>
          <w:p>
            <w:pPr>
              <w:spacing w:before="62" w:line="194" w:lineRule="auto"/>
              <w:ind w:left="597"/>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z w:val="19"/>
                <w:szCs w:val="19"/>
                <w:highlight w:val="none"/>
                <w14:textFill>
                  <w14:solidFill>
                    <w14:schemeClr w14:val="tx1"/>
                  </w14:solidFill>
                </w14:textFill>
              </w:rPr>
              <w:t>1</w:t>
            </w:r>
          </w:p>
        </w:tc>
        <w:tc>
          <w:tcPr>
            <w:tcW w:w="736" w:type="pct"/>
            <w:noWrap w:val="0"/>
            <w:vAlign w:val="top"/>
          </w:tcPr>
          <w:p>
            <w:pPr>
              <w:spacing w:line="303" w:lineRule="auto"/>
              <w:ind w:left="0" w:leftChars="0" w:firstLine="0" w:firstLineChars="0"/>
              <w:jc w:val="left"/>
              <w:rPr>
                <w:rFonts w:ascii="Arial"/>
                <w:color w:val="000000" w:themeColor="text1"/>
                <w:sz w:val="21"/>
                <w:highlight w:val="none"/>
                <w14:textFill>
                  <w14:solidFill>
                    <w14:schemeClr w14:val="tx1"/>
                  </w14:solidFill>
                </w14:textFill>
              </w:rPr>
            </w:pPr>
          </w:p>
          <w:p>
            <w:pPr>
              <w:spacing w:before="62" w:line="230"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8"/>
                <w:sz w:val="19"/>
                <w:szCs w:val="19"/>
                <w:highlight w:val="none"/>
                <w14:textFill>
                  <w14:solidFill>
                    <w14:schemeClr w14:val="tx1"/>
                  </w14:solidFill>
                </w14:textFill>
              </w:rPr>
              <w:t>污水收集</w:t>
            </w:r>
            <w:r>
              <w:rPr>
                <w:rFonts w:ascii="宋体" w:hAnsi="宋体" w:eastAsia="宋体" w:cs="宋体"/>
                <w:color w:val="000000" w:themeColor="text1"/>
                <w:spacing w:val="7"/>
                <w:sz w:val="19"/>
                <w:szCs w:val="19"/>
                <w:highlight w:val="none"/>
                <w14:textFill>
                  <w14:solidFill>
                    <w14:schemeClr w14:val="tx1"/>
                  </w14:solidFill>
                </w14:textFill>
              </w:rPr>
              <w:t>率</w:t>
            </w:r>
          </w:p>
        </w:tc>
        <w:tc>
          <w:tcPr>
            <w:tcW w:w="1567" w:type="pct"/>
            <w:noWrap w:val="0"/>
            <w:vAlign w:val="top"/>
          </w:tcPr>
          <w:p>
            <w:pPr>
              <w:spacing w:line="304" w:lineRule="auto"/>
              <w:ind w:left="0" w:leftChars="0" w:firstLine="0" w:firstLineChars="0"/>
              <w:jc w:val="left"/>
              <w:rPr>
                <w:rFonts w:ascii="Arial"/>
                <w:color w:val="000000" w:themeColor="text1"/>
                <w:sz w:val="21"/>
                <w:highlight w:val="none"/>
                <w14:textFill>
                  <w14:solidFill>
                    <w14:schemeClr w14:val="tx1"/>
                  </w14:solidFill>
                </w14:textFill>
              </w:rPr>
            </w:pPr>
          </w:p>
          <w:p>
            <w:pPr>
              <w:spacing w:before="61" w:line="229"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8"/>
                <w:sz w:val="19"/>
                <w:szCs w:val="19"/>
                <w:highlight w:val="none"/>
                <w14:textFill>
                  <w14:solidFill>
                    <w14:schemeClr w14:val="tx1"/>
                  </w14:solidFill>
                </w14:textFill>
              </w:rPr>
              <w:t>接驳</w:t>
            </w:r>
            <w:r>
              <w:rPr>
                <w:rFonts w:ascii="宋体" w:hAnsi="宋体" w:eastAsia="宋体" w:cs="宋体"/>
                <w:color w:val="000000" w:themeColor="text1"/>
                <w:spacing w:val="10"/>
                <w:sz w:val="19"/>
                <w:szCs w:val="19"/>
                <w:highlight w:val="none"/>
                <w14:textFill>
                  <w14:solidFill>
                    <w14:schemeClr w14:val="tx1"/>
                  </w14:solidFill>
                </w14:textFill>
              </w:rPr>
              <w:t>污</w:t>
            </w:r>
            <w:r>
              <w:rPr>
                <w:rFonts w:ascii="宋体" w:hAnsi="宋体" w:eastAsia="宋体" w:cs="宋体"/>
                <w:color w:val="000000" w:themeColor="text1"/>
                <w:spacing w:val="9"/>
                <w:sz w:val="19"/>
                <w:szCs w:val="19"/>
                <w:highlight w:val="none"/>
                <w14:textFill>
                  <w14:solidFill>
                    <w14:schemeClr w14:val="tx1"/>
                  </w14:solidFill>
                </w14:textFill>
              </w:rPr>
              <w:t>水管网的房屋栋数 /行政村(社区) 内房屋总栋数</w:t>
            </w:r>
          </w:p>
        </w:tc>
        <w:tc>
          <w:tcPr>
            <w:tcW w:w="1012" w:type="pct"/>
            <w:noWrap w:val="0"/>
            <w:vAlign w:val="top"/>
          </w:tcPr>
          <w:p>
            <w:pPr>
              <w:spacing w:line="303" w:lineRule="auto"/>
              <w:jc w:val="left"/>
              <w:rPr>
                <w:rFonts w:ascii="Arial"/>
                <w:color w:val="000000" w:themeColor="text1"/>
                <w:sz w:val="21"/>
                <w:highlight w:val="none"/>
                <w14:textFill>
                  <w14:solidFill>
                    <w14:schemeClr w14:val="tx1"/>
                  </w14:solidFill>
                </w14:textFill>
              </w:rPr>
            </w:pPr>
          </w:p>
          <w:p>
            <w:pPr>
              <w:spacing w:before="62" w:line="258" w:lineRule="exact"/>
              <w:ind w:firstLine="970" w:firstLineChars="50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
                <w:position w:val="1"/>
                <w:sz w:val="19"/>
                <w:szCs w:val="19"/>
                <w:highlight w:val="none"/>
                <w14:textFill>
                  <w14:solidFill>
                    <w14:schemeClr w14:val="tx1"/>
                  </w14:solidFill>
                </w14:textFill>
              </w:rPr>
              <w:t>95%</w:t>
            </w:r>
          </w:p>
        </w:tc>
        <w:tc>
          <w:tcPr>
            <w:tcW w:w="798" w:type="pct"/>
            <w:noWrap w:val="0"/>
            <w:vAlign w:val="top"/>
          </w:tcPr>
          <w:p>
            <w:pPr>
              <w:spacing w:before="74" w:line="231" w:lineRule="auto"/>
              <w:ind w:left="0" w:leftChars="0" w:hanging="8"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
                <w:sz w:val="19"/>
                <w:szCs w:val="19"/>
                <w:highlight w:val="none"/>
                <w14:textFill>
                  <w14:solidFill>
                    <w14:schemeClr w14:val="tx1"/>
                  </w14:solidFill>
                </w14:textFill>
              </w:rPr>
              <w:t>完工后考核，每季度 1 次。</w:t>
            </w:r>
          </w:p>
        </w:tc>
        <w:tc>
          <w:tcPr>
            <w:tcW w:w="293" w:type="pct"/>
            <w:noWrap w:val="0"/>
            <w:vAlign w:val="top"/>
          </w:tcPr>
          <w:p>
            <w:pPr>
              <w:spacing w:line="336" w:lineRule="auto"/>
              <w:jc w:val="center"/>
              <w:rPr>
                <w:rFonts w:ascii="Arial"/>
                <w:color w:val="000000" w:themeColor="text1"/>
                <w:sz w:val="21"/>
                <w:highlight w:val="none"/>
                <w14:textFill>
                  <w14:solidFill>
                    <w14:schemeClr w14:val="tx1"/>
                  </w14:solidFill>
                </w14:textFill>
              </w:rPr>
            </w:pPr>
          </w:p>
          <w:p>
            <w:pPr>
              <w:spacing w:before="62" w:line="190"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294" w:type="pct"/>
            <w:noWrap w:val="0"/>
            <w:vAlign w:val="top"/>
          </w:tcPr>
          <w:p>
            <w:pPr>
              <w:spacing w:before="62" w:line="190" w:lineRule="auto"/>
              <w:ind w:left="746"/>
              <w:jc w:val="both"/>
              <w:rPr>
                <w:rFonts w:hint="eastAsia" w:ascii="宋体" w:hAnsi="宋体" w:eastAsia="宋体" w:cs="宋体"/>
                <w:color w:val="000000" w:themeColor="text1"/>
                <w:sz w:val="19"/>
                <w:szCs w:val="19"/>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97" w:type="pct"/>
            <w:noWrap w:val="0"/>
            <w:vAlign w:val="top"/>
          </w:tcPr>
          <w:p>
            <w:pPr>
              <w:spacing w:line="323" w:lineRule="auto"/>
              <w:jc w:val="left"/>
              <w:rPr>
                <w:rFonts w:ascii="Arial"/>
                <w:color w:val="000000" w:themeColor="text1"/>
                <w:sz w:val="21"/>
                <w:highlight w:val="none"/>
                <w14:textFill>
                  <w14:solidFill>
                    <w14:schemeClr w14:val="tx1"/>
                  </w14:solidFill>
                </w14:textFill>
              </w:rPr>
            </w:pPr>
          </w:p>
          <w:p>
            <w:pPr>
              <w:spacing w:line="324" w:lineRule="auto"/>
              <w:jc w:val="left"/>
              <w:rPr>
                <w:rFonts w:ascii="Arial"/>
                <w:color w:val="000000" w:themeColor="text1"/>
                <w:sz w:val="21"/>
                <w:highlight w:val="none"/>
                <w14:textFill>
                  <w14:solidFill>
                    <w14:schemeClr w14:val="tx1"/>
                  </w14:solidFill>
                </w14:textFill>
              </w:rPr>
            </w:pPr>
          </w:p>
          <w:p>
            <w:pPr>
              <w:spacing w:before="62" w:line="191" w:lineRule="auto"/>
              <w:ind w:left="586"/>
              <w:jc w:val="left"/>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w:t>
            </w:r>
          </w:p>
        </w:tc>
        <w:tc>
          <w:tcPr>
            <w:tcW w:w="736" w:type="pct"/>
            <w:noWrap w:val="0"/>
            <w:vAlign w:val="top"/>
          </w:tcPr>
          <w:p>
            <w:pPr>
              <w:spacing w:before="62" w:line="315" w:lineRule="auto"/>
              <w:ind w:left="0" w:leftChars="0" w:right="107"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pacing w:val="18"/>
                <w:sz w:val="19"/>
                <w:szCs w:val="19"/>
                <w:highlight w:val="none"/>
                <w:lang w:eastAsia="zh-CN"/>
                <w14:textFill>
                  <w14:solidFill>
                    <w14:schemeClr w14:val="tx1"/>
                  </w14:solidFill>
                </w14:textFill>
              </w:rPr>
              <w:t>污水管晴天</w:t>
            </w:r>
            <w:r>
              <w:rPr>
                <w:rFonts w:ascii="宋体" w:hAnsi="宋体" w:eastAsia="宋体" w:cs="宋体"/>
                <w:color w:val="000000" w:themeColor="text1"/>
                <w:spacing w:val="18"/>
                <w:sz w:val="19"/>
                <w:szCs w:val="19"/>
                <w:highlight w:val="none"/>
                <w14:textFill>
                  <w14:solidFill>
                    <w14:schemeClr w14:val="tx1"/>
                  </w14:solidFill>
                </w14:textFill>
              </w:rPr>
              <w:t>水质(接驳至市政污水系统接驳点水质)</w:t>
            </w:r>
          </w:p>
        </w:tc>
        <w:tc>
          <w:tcPr>
            <w:tcW w:w="1567" w:type="pct"/>
            <w:noWrap w:val="0"/>
            <w:vAlign w:val="top"/>
          </w:tcPr>
          <w:p>
            <w:pPr>
              <w:spacing w:line="323" w:lineRule="auto"/>
              <w:ind w:left="0" w:leftChars="0" w:firstLine="0" w:firstLineChars="0"/>
              <w:jc w:val="left"/>
              <w:rPr>
                <w:rFonts w:ascii="Arial"/>
                <w:color w:val="000000" w:themeColor="text1"/>
                <w:sz w:val="21"/>
                <w:highlight w:val="none"/>
                <w14:textFill>
                  <w14:solidFill>
                    <w14:schemeClr w14:val="tx1"/>
                  </w14:solidFill>
                </w14:textFill>
              </w:rPr>
            </w:pPr>
          </w:p>
          <w:p>
            <w:pPr>
              <w:spacing w:line="324" w:lineRule="auto"/>
              <w:ind w:left="0" w:leftChars="0" w:firstLine="0" w:firstLineChars="0"/>
              <w:jc w:val="left"/>
              <w:rPr>
                <w:rFonts w:ascii="Arial"/>
                <w:color w:val="000000" w:themeColor="text1"/>
                <w:sz w:val="21"/>
                <w:highlight w:val="none"/>
                <w14:textFill>
                  <w14:solidFill>
                    <w14:schemeClr w14:val="tx1"/>
                  </w14:solidFill>
                </w14:textFill>
              </w:rPr>
            </w:pPr>
          </w:p>
          <w:p>
            <w:pPr>
              <w:spacing w:before="62" w:line="199"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z w:val="19"/>
                <w:szCs w:val="19"/>
                <w:highlight w:val="none"/>
                <w14:textFill>
                  <w14:solidFill>
                    <w14:schemeClr w14:val="tx1"/>
                  </w14:solidFill>
                </w14:textFill>
              </w:rPr>
              <w:t>COD</w:t>
            </w:r>
            <w:r>
              <w:rPr>
                <w:rFonts w:hint="eastAsia" w:ascii="宋体" w:hAnsi="宋体" w:eastAsia="宋体" w:cs="宋体"/>
                <w:color w:val="000000" w:themeColor="text1"/>
                <w:sz w:val="19"/>
                <w:szCs w:val="19"/>
                <w:highlight w:val="none"/>
                <w:lang w:eastAsia="zh-CN"/>
                <w14:textFill>
                  <w14:solidFill>
                    <w14:schemeClr w14:val="tx1"/>
                  </w14:solidFill>
                </w14:textFill>
              </w:rPr>
              <w:t>、</w:t>
            </w:r>
            <w:r>
              <w:rPr>
                <w:rFonts w:ascii="宋体" w:hAnsi="宋体" w:eastAsia="宋体" w:cs="宋体"/>
                <w:color w:val="000000" w:themeColor="text1"/>
                <w:sz w:val="19"/>
                <w:szCs w:val="19"/>
                <w:highlight w:val="none"/>
                <w14:textFill>
                  <w14:solidFill>
                    <w14:schemeClr w14:val="tx1"/>
                  </w14:solidFill>
                </w14:textFill>
              </w:rPr>
              <w:t>NH</w:t>
            </w:r>
            <w:r>
              <w:rPr>
                <w:rFonts w:ascii="宋体" w:hAnsi="宋体" w:eastAsia="宋体" w:cs="宋体"/>
                <w:color w:val="000000" w:themeColor="text1"/>
                <w:spacing w:val="8"/>
                <w:position w:val="-2"/>
                <w:sz w:val="9"/>
                <w:szCs w:val="9"/>
                <w:highlight w:val="none"/>
                <w14:textFill>
                  <w14:solidFill>
                    <w14:schemeClr w14:val="tx1"/>
                  </w14:solidFill>
                </w14:textFill>
              </w:rPr>
              <w:t>3</w:t>
            </w:r>
            <w:r>
              <w:rPr>
                <w:rFonts w:ascii="宋体" w:hAnsi="宋体" w:eastAsia="宋体" w:cs="宋体"/>
                <w:color w:val="000000" w:themeColor="text1"/>
                <w:spacing w:val="8"/>
                <w:sz w:val="19"/>
                <w:szCs w:val="19"/>
                <w:highlight w:val="none"/>
                <w14:textFill>
                  <w14:solidFill>
                    <w14:schemeClr w14:val="tx1"/>
                  </w14:solidFill>
                </w14:textFill>
              </w:rPr>
              <w:t>-</w:t>
            </w:r>
            <w:r>
              <w:rPr>
                <w:rFonts w:ascii="宋体" w:hAnsi="宋体" w:eastAsia="宋体" w:cs="宋体"/>
                <w:color w:val="000000" w:themeColor="text1"/>
                <w:sz w:val="19"/>
                <w:szCs w:val="19"/>
                <w:highlight w:val="none"/>
                <w14:textFill>
                  <w14:solidFill>
                    <w14:schemeClr w14:val="tx1"/>
                  </w14:solidFill>
                </w14:textFill>
              </w:rPr>
              <w:t>N</w:t>
            </w:r>
          </w:p>
        </w:tc>
        <w:tc>
          <w:tcPr>
            <w:tcW w:w="1012" w:type="pct"/>
            <w:noWrap w:val="0"/>
            <w:vAlign w:val="top"/>
          </w:tcPr>
          <w:p>
            <w:pPr>
              <w:rPr>
                <w:color w:val="000000" w:themeColor="text1"/>
                <w:highlight w:val="none"/>
                <w14:textFill>
                  <w14:solidFill>
                    <w14:schemeClr w14:val="tx1"/>
                  </w14:solidFill>
                </w14:textFill>
              </w:rPr>
            </w:pPr>
            <w:r>
              <w:rPr>
                <w:rFonts w:ascii="宋体" w:hAnsi="宋体" w:eastAsia="宋体" w:cs="宋体"/>
                <w:color w:val="000000" w:themeColor="text1"/>
                <w:sz w:val="19"/>
                <w:szCs w:val="19"/>
                <w:highlight w:val="none"/>
                <w14:textFill>
                  <w14:solidFill>
                    <w14:schemeClr w14:val="tx1"/>
                  </w14:solidFill>
                </w14:textFill>
              </w:rPr>
              <w:t>COD</w:t>
            </w:r>
            <w:r>
              <w:rPr>
                <w:rFonts w:hint="eastAsia" w:ascii="Arial" w:hAnsi="Arial" w:eastAsia="宋体" w:cs="Arial"/>
                <w:color w:val="000000" w:themeColor="text1"/>
                <w:spacing w:val="9"/>
                <w:sz w:val="19"/>
                <w:szCs w:val="19"/>
                <w:highlight w:val="none"/>
                <w:lang w:eastAsia="zh-CN"/>
                <w14:textFill>
                  <w14:solidFill>
                    <w14:schemeClr w14:val="tx1"/>
                  </w14:solidFill>
                </w14:textFill>
              </w:rPr>
              <w:t>：</w:t>
            </w:r>
            <w:r>
              <w:rPr>
                <w:rFonts w:hint="eastAsia" w:ascii="宋体" w:hAnsi="宋体" w:eastAsia="宋体" w:cs="宋体"/>
                <w:color w:val="000000" w:themeColor="text1"/>
                <w:spacing w:val="9"/>
                <w:sz w:val="19"/>
                <w:szCs w:val="19"/>
                <w:highlight w:val="none"/>
                <w:lang w:val="en-US" w:eastAsia="zh-CN"/>
                <w14:textFill>
                  <w14:solidFill>
                    <w14:schemeClr w14:val="tx1"/>
                  </w14:solidFill>
                </w14:textFill>
              </w:rPr>
              <w:t>200</w:t>
            </w:r>
            <w:r>
              <w:rPr>
                <w:rFonts w:ascii="宋体" w:hAnsi="宋体" w:eastAsia="宋体" w:cs="宋体"/>
                <w:color w:val="000000" w:themeColor="text1"/>
                <w:sz w:val="19"/>
                <w:szCs w:val="19"/>
                <w:highlight w:val="none"/>
                <w14:textFill>
                  <w14:solidFill>
                    <w14:schemeClr w14:val="tx1"/>
                  </w14:solidFill>
                </w14:textFill>
              </w:rPr>
              <w:t>mg</w:t>
            </w:r>
            <w:r>
              <w:rPr>
                <w:rFonts w:ascii="宋体" w:hAnsi="宋体" w:eastAsia="宋体" w:cs="宋体"/>
                <w:color w:val="000000" w:themeColor="text1"/>
                <w:spacing w:val="7"/>
                <w:sz w:val="19"/>
                <w:szCs w:val="19"/>
                <w:highlight w:val="none"/>
                <w14:textFill>
                  <w14:solidFill>
                    <w14:schemeClr w14:val="tx1"/>
                  </w14:solidFill>
                </w14:textFill>
              </w:rPr>
              <w:t>/</w:t>
            </w:r>
            <w:r>
              <w:rPr>
                <w:rFonts w:ascii="宋体" w:hAnsi="宋体" w:eastAsia="宋体" w:cs="宋体"/>
                <w:color w:val="000000" w:themeColor="text1"/>
                <w:sz w:val="19"/>
                <w:szCs w:val="19"/>
                <w:highlight w:val="none"/>
                <w14:textFill>
                  <w14:solidFill>
                    <w14:schemeClr w14:val="tx1"/>
                  </w14:solidFill>
                </w14:textFill>
              </w:rPr>
              <w:t>L</w:t>
            </w:r>
            <w:r>
              <w:rPr>
                <w:rFonts w:ascii="宋体" w:hAnsi="宋体" w:eastAsia="宋体" w:cs="宋体"/>
                <w:color w:val="000000" w:themeColor="text1"/>
                <w:sz w:val="19"/>
                <w:szCs w:val="19"/>
                <w:highlight w:val="none"/>
                <w14:textFill>
                  <w14:solidFill>
                    <w14:schemeClr w14:val="tx1"/>
                  </w14:solidFill>
                </w14:textFill>
              </w:rPr>
              <w:br w:type="textWrapping"/>
            </w:r>
          </w:p>
          <w:p>
            <w:pPr>
              <w:spacing w:before="58" w:line="224"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z w:val="19"/>
                <w:szCs w:val="19"/>
                <w:highlight w:val="none"/>
                <w14:textFill>
                  <w14:solidFill>
                    <w14:schemeClr w14:val="tx1"/>
                  </w14:solidFill>
                </w14:textFill>
              </w:rPr>
              <w:t>NH</w:t>
            </w:r>
            <w:r>
              <w:rPr>
                <w:rFonts w:ascii="宋体" w:hAnsi="宋体" w:eastAsia="宋体" w:cs="宋体"/>
                <w:color w:val="000000" w:themeColor="text1"/>
                <w:spacing w:val="10"/>
                <w:position w:val="-2"/>
                <w:sz w:val="9"/>
                <w:szCs w:val="9"/>
                <w:highlight w:val="none"/>
                <w14:textFill>
                  <w14:solidFill>
                    <w14:schemeClr w14:val="tx1"/>
                  </w14:solidFill>
                </w14:textFill>
              </w:rPr>
              <w:t>3</w:t>
            </w:r>
            <w:r>
              <w:rPr>
                <w:rFonts w:ascii="宋体" w:hAnsi="宋体" w:eastAsia="宋体" w:cs="宋体"/>
                <w:color w:val="000000" w:themeColor="text1"/>
                <w:spacing w:val="10"/>
                <w:sz w:val="19"/>
                <w:szCs w:val="19"/>
                <w:highlight w:val="none"/>
                <w14:textFill>
                  <w14:solidFill>
                    <w14:schemeClr w14:val="tx1"/>
                  </w14:solidFill>
                </w14:textFill>
              </w:rPr>
              <w:t>-</w:t>
            </w:r>
            <w:r>
              <w:rPr>
                <w:rFonts w:ascii="宋体" w:hAnsi="宋体" w:eastAsia="宋体" w:cs="宋体"/>
                <w:color w:val="000000" w:themeColor="text1"/>
                <w:sz w:val="19"/>
                <w:szCs w:val="19"/>
                <w:highlight w:val="none"/>
                <w14:textFill>
                  <w14:solidFill>
                    <w14:schemeClr w14:val="tx1"/>
                  </w14:solidFill>
                </w14:textFill>
              </w:rPr>
              <w:t>N</w:t>
            </w:r>
            <w:r>
              <w:rPr>
                <w:rFonts w:hint="eastAsia" w:eastAsia="宋体" w:cs="Arial"/>
                <w:color w:val="000000" w:themeColor="text1"/>
                <w:spacing w:val="9"/>
                <w:sz w:val="19"/>
                <w:szCs w:val="19"/>
                <w:highlight w:val="none"/>
                <w:lang w:eastAsia="zh-CN"/>
                <w14:textFill>
                  <w14:solidFill>
                    <w14:schemeClr w14:val="tx1"/>
                  </w14:solidFill>
                </w14:textFill>
              </w:rPr>
              <w:t>：</w:t>
            </w:r>
            <w:r>
              <w:rPr>
                <w:rFonts w:hint="eastAsia" w:ascii="宋体" w:hAnsi="宋体" w:eastAsia="宋体" w:cs="宋体"/>
                <w:color w:val="000000" w:themeColor="text1"/>
                <w:spacing w:val="10"/>
                <w:sz w:val="19"/>
                <w:szCs w:val="19"/>
                <w:highlight w:val="none"/>
                <w:lang w:val="en-US" w:eastAsia="zh-CN"/>
                <w14:textFill>
                  <w14:solidFill>
                    <w14:schemeClr w14:val="tx1"/>
                  </w14:solidFill>
                </w14:textFill>
              </w:rPr>
              <w:t>23.6</w:t>
            </w:r>
            <w:r>
              <w:rPr>
                <w:rFonts w:ascii="宋体" w:hAnsi="宋体" w:eastAsia="宋体" w:cs="宋体"/>
                <w:color w:val="000000" w:themeColor="text1"/>
                <w:sz w:val="19"/>
                <w:szCs w:val="19"/>
                <w:highlight w:val="none"/>
                <w14:textFill>
                  <w14:solidFill>
                    <w14:schemeClr w14:val="tx1"/>
                  </w14:solidFill>
                </w14:textFill>
              </w:rPr>
              <w:t>mg</w:t>
            </w:r>
            <w:r>
              <w:rPr>
                <w:rFonts w:ascii="宋体" w:hAnsi="宋体" w:eastAsia="宋体" w:cs="宋体"/>
                <w:color w:val="000000" w:themeColor="text1"/>
                <w:spacing w:val="9"/>
                <w:sz w:val="19"/>
                <w:szCs w:val="19"/>
                <w:highlight w:val="none"/>
                <w14:textFill>
                  <w14:solidFill>
                    <w14:schemeClr w14:val="tx1"/>
                  </w14:solidFill>
                </w14:textFill>
              </w:rPr>
              <w:t>/</w:t>
            </w:r>
            <w:r>
              <w:rPr>
                <w:rFonts w:ascii="宋体" w:hAnsi="宋体" w:eastAsia="宋体" w:cs="宋体"/>
                <w:color w:val="000000" w:themeColor="text1"/>
                <w:sz w:val="19"/>
                <w:szCs w:val="19"/>
                <w:highlight w:val="none"/>
                <w14:textFill>
                  <w14:solidFill>
                    <w14:schemeClr w14:val="tx1"/>
                  </w14:solidFill>
                </w14:textFill>
              </w:rPr>
              <w:t>L</w:t>
            </w:r>
          </w:p>
          <w:p>
            <w:pPr>
              <w:spacing w:before="81" w:line="224"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p>
        </w:tc>
        <w:tc>
          <w:tcPr>
            <w:tcW w:w="798" w:type="pct"/>
            <w:noWrap w:val="0"/>
            <w:vAlign w:val="top"/>
          </w:tcPr>
          <w:p>
            <w:pPr>
              <w:spacing w:before="75" w:line="303" w:lineRule="auto"/>
              <w:ind w:left="0" w:leftChars="0" w:right="107" w:hanging="8"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8"/>
                <w:sz w:val="19"/>
                <w:szCs w:val="19"/>
                <w:highlight w:val="none"/>
                <w14:textFill>
                  <w14:solidFill>
                    <w14:schemeClr w14:val="tx1"/>
                  </w14:solidFill>
                </w14:textFill>
              </w:rPr>
              <w:t>1、</w:t>
            </w:r>
            <w:r>
              <w:rPr>
                <w:rFonts w:ascii="宋体" w:hAnsi="宋体" w:eastAsia="宋体" w:cs="宋体"/>
                <w:color w:val="000000" w:themeColor="text1"/>
                <w:spacing w:val="1"/>
                <w:sz w:val="19"/>
                <w:szCs w:val="19"/>
                <w:highlight w:val="none"/>
                <w14:textFill>
                  <w14:solidFill>
                    <w14:schemeClr w14:val="tx1"/>
                  </w14:solidFill>
                </w14:textFill>
              </w:rPr>
              <w:t>发包人有权根</w:t>
            </w:r>
            <w:r>
              <w:rPr>
                <w:rFonts w:ascii="宋体" w:hAnsi="宋体" w:eastAsia="宋体" w:cs="宋体"/>
                <w:color w:val="000000" w:themeColor="text1"/>
                <w:sz w:val="19"/>
                <w:szCs w:val="19"/>
                <w:highlight w:val="none"/>
                <w14:textFill>
                  <w14:solidFill>
                    <w14:schemeClr w14:val="tx1"/>
                  </w14:solidFill>
                </w14:textFill>
              </w:rPr>
              <w:t>据省市相关文件</w:t>
            </w:r>
            <w:r>
              <w:rPr>
                <w:rFonts w:ascii="宋体" w:hAnsi="宋体" w:eastAsia="宋体" w:cs="宋体"/>
                <w:color w:val="000000" w:themeColor="text1"/>
                <w:spacing w:val="11"/>
                <w:sz w:val="19"/>
                <w:szCs w:val="19"/>
                <w:highlight w:val="none"/>
                <w14:textFill>
                  <w14:solidFill>
                    <w14:schemeClr w14:val="tx1"/>
                  </w14:solidFill>
                </w14:textFill>
              </w:rPr>
              <w:t>要</w:t>
            </w:r>
            <w:r>
              <w:rPr>
                <w:rFonts w:ascii="宋体" w:hAnsi="宋体" w:eastAsia="宋体" w:cs="宋体"/>
                <w:color w:val="000000" w:themeColor="text1"/>
                <w:spacing w:val="8"/>
                <w:sz w:val="19"/>
                <w:szCs w:val="19"/>
                <w:highlight w:val="none"/>
                <w14:textFill>
                  <w14:solidFill>
                    <w14:schemeClr w14:val="tx1"/>
                  </w14:solidFill>
                </w14:textFill>
              </w:rPr>
              <w:t>求调整部分指标的考核值；</w:t>
            </w:r>
          </w:p>
          <w:p>
            <w:pPr>
              <w:spacing w:line="231" w:lineRule="auto"/>
              <w:ind w:left="0" w:leftChars="0" w:hanging="8"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
                <w:sz w:val="19"/>
                <w:szCs w:val="19"/>
                <w:highlight w:val="none"/>
                <w14:textFill>
                  <w14:solidFill>
                    <w14:schemeClr w14:val="tx1"/>
                  </w14:solidFill>
                </w14:textFill>
              </w:rPr>
              <w:t>2、</w:t>
            </w:r>
            <w:r>
              <w:rPr>
                <w:rFonts w:ascii="宋体" w:hAnsi="宋体" w:eastAsia="宋体" w:cs="宋体"/>
                <w:color w:val="000000" w:themeColor="text1"/>
                <w:spacing w:val="1"/>
                <w:sz w:val="19"/>
                <w:szCs w:val="19"/>
                <w:highlight w:val="none"/>
                <w14:textFill>
                  <w14:solidFill>
                    <w14:schemeClr w14:val="tx1"/>
                  </w14:solidFill>
                </w14:textFill>
              </w:rPr>
              <w:t>完工后考核，每季度 1 次。</w:t>
            </w:r>
          </w:p>
        </w:tc>
        <w:tc>
          <w:tcPr>
            <w:tcW w:w="293" w:type="pct"/>
            <w:noWrap w:val="0"/>
            <w:vAlign w:val="top"/>
          </w:tcPr>
          <w:p>
            <w:pPr>
              <w:spacing w:line="323" w:lineRule="auto"/>
              <w:jc w:val="center"/>
              <w:rPr>
                <w:rFonts w:ascii="Arial"/>
                <w:color w:val="000000" w:themeColor="text1"/>
                <w:sz w:val="21"/>
                <w:highlight w:val="none"/>
                <w14:textFill>
                  <w14:solidFill>
                    <w14:schemeClr w14:val="tx1"/>
                  </w14:solidFill>
                </w14:textFill>
              </w:rPr>
            </w:pPr>
          </w:p>
          <w:p>
            <w:pPr>
              <w:spacing w:line="324" w:lineRule="auto"/>
              <w:jc w:val="center"/>
              <w:rPr>
                <w:rFonts w:ascii="Arial"/>
                <w:color w:val="000000" w:themeColor="text1"/>
                <w:sz w:val="21"/>
                <w:highlight w:val="none"/>
                <w14:textFill>
                  <w14:solidFill>
                    <w14:schemeClr w14:val="tx1"/>
                  </w14:solidFill>
                </w14:textFill>
              </w:rPr>
            </w:pPr>
          </w:p>
          <w:p>
            <w:pPr>
              <w:spacing w:before="62" w:line="191"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30</w:t>
            </w:r>
          </w:p>
        </w:tc>
        <w:tc>
          <w:tcPr>
            <w:tcW w:w="294" w:type="pct"/>
            <w:noWrap w:val="0"/>
            <w:vAlign w:val="top"/>
          </w:tcPr>
          <w:p>
            <w:pPr>
              <w:spacing w:before="62" w:line="191" w:lineRule="auto"/>
              <w:ind w:left="694"/>
              <w:jc w:val="both"/>
              <w:rPr>
                <w:rFonts w:hint="eastAsia" w:ascii="宋体" w:hAnsi="宋体" w:eastAsia="宋体" w:cs="宋体"/>
                <w:color w:val="000000" w:themeColor="text1"/>
                <w:sz w:val="19"/>
                <w:szCs w:val="19"/>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97" w:type="pct"/>
            <w:noWrap w:val="0"/>
            <w:vAlign w:val="top"/>
          </w:tcPr>
          <w:p>
            <w:pPr>
              <w:spacing w:before="62" w:line="191" w:lineRule="auto"/>
              <w:ind w:left="586"/>
              <w:jc w:val="left"/>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3</w:t>
            </w:r>
          </w:p>
        </w:tc>
        <w:tc>
          <w:tcPr>
            <w:tcW w:w="736" w:type="pct"/>
            <w:noWrap w:val="0"/>
            <w:vAlign w:val="top"/>
          </w:tcPr>
          <w:p>
            <w:pPr>
              <w:spacing w:before="62" w:line="315" w:lineRule="auto"/>
              <w:ind w:left="0" w:leftChars="0" w:right="107" w:firstLine="0" w:firstLineChars="0"/>
              <w:jc w:val="left"/>
              <w:rPr>
                <w:rFonts w:hint="eastAsia" w:ascii="宋体" w:hAnsi="宋体" w:eastAsia="宋体" w:cs="宋体"/>
                <w:color w:val="000000" w:themeColor="text1"/>
                <w:spacing w:val="10"/>
                <w:sz w:val="19"/>
                <w:szCs w:val="19"/>
                <w:highlight w:val="none"/>
                <w:lang w:eastAsia="zh-CN"/>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污水管雨天水量</w:t>
            </w:r>
          </w:p>
        </w:tc>
        <w:tc>
          <w:tcPr>
            <w:tcW w:w="1567" w:type="pct"/>
            <w:noWrap w:val="0"/>
            <w:vAlign w:val="top"/>
          </w:tcPr>
          <w:p>
            <w:pPr>
              <w:spacing w:before="62" w:line="199" w:lineRule="auto"/>
              <w:ind w:left="0" w:leftChars="0" w:firstLine="0" w:firstLineChars="0"/>
              <w:jc w:val="left"/>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eastAsia="zh-CN"/>
                <w14:textFill>
                  <w14:solidFill>
                    <w14:schemeClr w14:val="tx1"/>
                  </w14:solidFill>
                </w14:textFill>
              </w:rPr>
              <w:t>晴天水量、雨天水量</w:t>
            </w:r>
          </w:p>
        </w:tc>
        <w:tc>
          <w:tcPr>
            <w:tcW w:w="1012" w:type="pct"/>
            <w:noWrap w:val="0"/>
            <w:vAlign w:val="top"/>
          </w:tcPr>
          <w:p>
            <w:pPr>
              <w:spacing w:before="81" w:line="224" w:lineRule="auto"/>
              <w:ind w:left="0" w:leftChars="0" w:firstLine="0" w:firstLineChars="0"/>
              <w:jc w:val="left"/>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eastAsia="zh-CN"/>
                <w14:textFill>
                  <w14:solidFill>
                    <w14:schemeClr w14:val="tx1"/>
                  </w14:solidFill>
                </w14:textFill>
              </w:rPr>
              <w:t>雨天水量与晴天水量基本一样</w:t>
            </w:r>
          </w:p>
        </w:tc>
        <w:tc>
          <w:tcPr>
            <w:tcW w:w="798" w:type="pct"/>
            <w:noWrap w:val="0"/>
            <w:vAlign w:val="top"/>
          </w:tcPr>
          <w:p>
            <w:pPr>
              <w:spacing w:line="231" w:lineRule="auto"/>
              <w:ind w:left="0" w:leftChars="0" w:hanging="8" w:firstLineChars="0"/>
              <w:jc w:val="left"/>
              <w:rPr>
                <w:rFonts w:hint="eastAsia" w:ascii="宋体" w:hAnsi="宋体" w:eastAsia="宋体" w:cs="宋体"/>
                <w:color w:val="000000" w:themeColor="text1"/>
                <w:spacing w:val="2"/>
                <w:sz w:val="19"/>
                <w:szCs w:val="19"/>
                <w:highlight w:val="none"/>
                <w:lang w:eastAsia="zh-CN"/>
                <w14:textFill>
                  <w14:solidFill>
                    <w14:schemeClr w14:val="tx1"/>
                  </w14:solidFill>
                </w14:textFill>
              </w:rPr>
            </w:pPr>
            <w:r>
              <w:rPr>
                <w:rFonts w:hint="eastAsia" w:ascii="宋体" w:hAnsi="宋体" w:eastAsia="宋体" w:cs="宋体"/>
                <w:color w:val="000000" w:themeColor="text1"/>
                <w:spacing w:val="2"/>
                <w:sz w:val="19"/>
                <w:szCs w:val="19"/>
                <w:highlight w:val="none"/>
                <w:lang w:eastAsia="zh-CN"/>
                <w14:textFill>
                  <w14:solidFill>
                    <w14:schemeClr w14:val="tx1"/>
                  </w14:solidFill>
                </w14:textFill>
              </w:rPr>
              <w:t>降雨期间</w:t>
            </w:r>
          </w:p>
        </w:tc>
        <w:tc>
          <w:tcPr>
            <w:tcW w:w="293" w:type="pct"/>
            <w:noWrap w:val="0"/>
            <w:vAlign w:val="top"/>
          </w:tcPr>
          <w:p>
            <w:pPr>
              <w:spacing w:before="62" w:line="191"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294" w:type="pct"/>
            <w:noWrap w:val="0"/>
            <w:vAlign w:val="top"/>
          </w:tcPr>
          <w:p>
            <w:pPr>
              <w:spacing w:before="62" w:line="191" w:lineRule="auto"/>
              <w:ind w:left="694"/>
              <w:jc w:val="both"/>
              <w:rPr>
                <w:rFonts w:hint="eastAsia" w:ascii="宋体" w:hAnsi="宋体" w:eastAsia="宋体" w:cs="宋体"/>
                <w:color w:val="000000" w:themeColor="text1"/>
                <w:sz w:val="19"/>
                <w:szCs w:val="19"/>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97" w:type="pct"/>
            <w:noWrap w:val="0"/>
            <w:vAlign w:val="top"/>
          </w:tcPr>
          <w:p>
            <w:pPr>
              <w:spacing w:before="62" w:line="191" w:lineRule="auto"/>
              <w:ind w:left="586"/>
              <w:jc w:val="left"/>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4</w:t>
            </w:r>
          </w:p>
        </w:tc>
        <w:tc>
          <w:tcPr>
            <w:tcW w:w="736" w:type="pct"/>
            <w:noWrap w:val="0"/>
            <w:vAlign w:val="top"/>
          </w:tcPr>
          <w:p>
            <w:pPr>
              <w:spacing w:before="62" w:line="315" w:lineRule="auto"/>
              <w:ind w:left="0" w:leftChars="0" w:right="107" w:firstLine="0" w:firstLineChars="0"/>
              <w:jc w:val="left"/>
              <w:rPr>
                <w:rFonts w:hint="eastAsia" w:ascii="宋体" w:hAnsi="宋体" w:eastAsia="宋体" w:cs="宋体"/>
                <w:color w:val="000000" w:themeColor="text1"/>
                <w:spacing w:val="10"/>
                <w:sz w:val="19"/>
                <w:szCs w:val="19"/>
                <w:highlight w:val="none"/>
                <w:lang w:eastAsia="zh-CN"/>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雨水管水量</w:t>
            </w:r>
          </w:p>
        </w:tc>
        <w:tc>
          <w:tcPr>
            <w:tcW w:w="1567" w:type="pct"/>
            <w:noWrap w:val="0"/>
            <w:vAlign w:val="top"/>
          </w:tcPr>
          <w:p>
            <w:pPr>
              <w:spacing w:before="62" w:line="199" w:lineRule="auto"/>
              <w:ind w:left="0" w:leftChars="0" w:firstLine="0" w:firstLineChars="0"/>
              <w:jc w:val="left"/>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eastAsia="zh-CN"/>
                <w14:textFill>
                  <w14:solidFill>
                    <w14:schemeClr w14:val="tx1"/>
                  </w14:solidFill>
                </w14:textFill>
              </w:rPr>
              <w:t>晴天水量、雨天</w:t>
            </w:r>
            <w:r>
              <w:rPr>
                <w:rFonts w:hint="eastAsia" w:ascii="宋体" w:hAnsi="宋体" w:eastAsia="宋体" w:cs="宋体"/>
                <w:color w:val="000000" w:themeColor="text1"/>
                <w:sz w:val="19"/>
                <w:szCs w:val="19"/>
                <w:highlight w:val="none"/>
                <w:lang w:val="en-US" w:eastAsia="zh-CN"/>
                <w14:textFill>
                  <w14:solidFill>
                    <w14:schemeClr w14:val="tx1"/>
                  </w14:solidFill>
                </w14:textFill>
              </w:rPr>
              <w:t>水量</w:t>
            </w:r>
          </w:p>
        </w:tc>
        <w:tc>
          <w:tcPr>
            <w:tcW w:w="1012" w:type="pct"/>
            <w:noWrap w:val="0"/>
            <w:vAlign w:val="top"/>
          </w:tcPr>
          <w:p>
            <w:pPr>
              <w:spacing w:before="81" w:line="224"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pacing w:val="11"/>
                <w:sz w:val="19"/>
                <w:szCs w:val="19"/>
                <w:highlight w:val="none"/>
                <w:lang w:eastAsia="zh-CN"/>
                <w14:textFill>
                  <w14:solidFill>
                    <w14:schemeClr w14:val="tx1"/>
                  </w14:solidFill>
                </w14:textFill>
              </w:rPr>
              <w:t>晴天雨水管网没有水；雨天雨水管网的水与降雨大小匹配。</w:t>
            </w:r>
            <w:r>
              <w:rPr>
                <w:rFonts w:hint="eastAsia" w:ascii="宋体" w:hAnsi="宋体" w:eastAsia="宋体" w:cs="宋体"/>
                <w:color w:val="000000" w:themeColor="text1"/>
                <w:sz w:val="19"/>
                <w:szCs w:val="19"/>
                <w:highlight w:val="none"/>
                <w:lang w:eastAsia="zh-CN"/>
                <w14:textFill>
                  <w14:solidFill>
                    <w14:schemeClr w14:val="tx1"/>
                  </w14:solidFill>
                </w14:textFill>
              </w:rPr>
              <w:t>）</w:t>
            </w:r>
          </w:p>
        </w:tc>
        <w:tc>
          <w:tcPr>
            <w:tcW w:w="798" w:type="pct"/>
            <w:noWrap w:val="0"/>
            <w:vAlign w:val="top"/>
          </w:tcPr>
          <w:p>
            <w:pPr>
              <w:spacing w:line="231" w:lineRule="auto"/>
              <w:ind w:left="0" w:leftChars="0" w:hanging="8" w:firstLineChars="0"/>
              <w:jc w:val="left"/>
              <w:rPr>
                <w:rFonts w:hint="eastAsia" w:ascii="宋体" w:hAnsi="宋体" w:eastAsia="宋体" w:cs="宋体"/>
                <w:color w:val="000000" w:themeColor="text1"/>
                <w:spacing w:val="2"/>
                <w:sz w:val="19"/>
                <w:szCs w:val="19"/>
                <w:highlight w:val="none"/>
                <w:lang w:eastAsia="zh-CN"/>
                <w14:textFill>
                  <w14:solidFill>
                    <w14:schemeClr w14:val="tx1"/>
                  </w14:solidFill>
                </w14:textFill>
              </w:rPr>
            </w:pPr>
            <w:r>
              <w:rPr>
                <w:rFonts w:hint="eastAsia" w:ascii="宋体" w:hAnsi="宋体" w:eastAsia="宋体" w:cs="宋体"/>
                <w:color w:val="000000" w:themeColor="text1"/>
                <w:spacing w:val="2"/>
                <w:sz w:val="19"/>
                <w:szCs w:val="19"/>
                <w:highlight w:val="none"/>
                <w:lang w:eastAsia="zh-CN"/>
                <w14:textFill>
                  <w14:solidFill>
                    <w14:schemeClr w14:val="tx1"/>
                  </w14:solidFill>
                </w14:textFill>
              </w:rPr>
              <w:t>按季度，分晴天、雨天分别考核</w:t>
            </w:r>
          </w:p>
        </w:tc>
        <w:tc>
          <w:tcPr>
            <w:tcW w:w="293" w:type="pct"/>
            <w:noWrap w:val="0"/>
            <w:vAlign w:val="top"/>
          </w:tcPr>
          <w:p>
            <w:pPr>
              <w:spacing w:before="62" w:line="191"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294" w:type="pct"/>
            <w:noWrap w:val="0"/>
            <w:vAlign w:val="top"/>
          </w:tcPr>
          <w:p>
            <w:pPr>
              <w:spacing w:before="62" w:line="191" w:lineRule="auto"/>
              <w:ind w:left="694"/>
              <w:jc w:val="both"/>
              <w:rPr>
                <w:rFonts w:hint="eastAsia" w:ascii="宋体" w:hAnsi="宋体" w:eastAsia="宋体" w:cs="宋体"/>
                <w:color w:val="000000" w:themeColor="text1"/>
                <w:sz w:val="19"/>
                <w:szCs w:val="19"/>
                <w:highlight w:val="none"/>
                <w:lang w:val="en-US"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297" w:type="pct"/>
            <w:noWrap w:val="0"/>
            <w:vAlign w:val="top"/>
          </w:tcPr>
          <w:p>
            <w:pPr>
              <w:spacing w:line="268" w:lineRule="auto"/>
              <w:rPr>
                <w:rFonts w:ascii="Arial"/>
                <w:color w:val="000000" w:themeColor="text1"/>
                <w:sz w:val="21"/>
                <w:highlight w:val="none"/>
                <w14:textFill>
                  <w14:solidFill>
                    <w14:schemeClr w14:val="tx1"/>
                  </w14:solidFill>
                </w14:textFill>
              </w:rPr>
            </w:pPr>
          </w:p>
          <w:p>
            <w:pPr>
              <w:spacing w:line="268" w:lineRule="auto"/>
              <w:rPr>
                <w:rFonts w:ascii="Arial"/>
                <w:color w:val="000000" w:themeColor="text1"/>
                <w:sz w:val="21"/>
                <w:highlight w:val="none"/>
                <w14:textFill>
                  <w14:solidFill>
                    <w14:schemeClr w14:val="tx1"/>
                  </w14:solidFill>
                </w14:textFill>
              </w:rPr>
            </w:pPr>
          </w:p>
          <w:p>
            <w:pPr>
              <w:spacing w:line="269" w:lineRule="auto"/>
              <w:rPr>
                <w:rFonts w:ascii="Arial"/>
                <w:color w:val="000000" w:themeColor="text1"/>
                <w:sz w:val="21"/>
                <w:highlight w:val="none"/>
                <w14:textFill>
                  <w14:solidFill>
                    <w14:schemeClr w14:val="tx1"/>
                  </w14:solidFill>
                </w14:textFill>
              </w:rPr>
            </w:pPr>
          </w:p>
          <w:p>
            <w:pPr>
              <w:spacing w:before="62" w:line="191" w:lineRule="auto"/>
              <w:ind w:left="583"/>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5</w:t>
            </w:r>
          </w:p>
        </w:tc>
        <w:tc>
          <w:tcPr>
            <w:tcW w:w="736" w:type="pct"/>
            <w:noWrap w:val="0"/>
            <w:vAlign w:val="top"/>
          </w:tcPr>
          <w:p>
            <w:pPr>
              <w:spacing w:line="257" w:lineRule="auto"/>
              <w:ind w:left="0" w:leftChars="0" w:firstLine="0" w:firstLineChars="0"/>
              <w:jc w:val="left"/>
              <w:rPr>
                <w:rFonts w:ascii="Arial"/>
                <w:color w:val="000000" w:themeColor="text1"/>
                <w:sz w:val="21"/>
                <w:highlight w:val="none"/>
                <w14:textFill>
                  <w14:solidFill>
                    <w14:schemeClr w14:val="tx1"/>
                  </w14:solidFill>
                </w14:textFill>
              </w:rPr>
            </w:pPr>
          </w:p>
          <w:p>
            <w:pPr>
              <w:spacing w:line="258" w:lineRule="auto"/>
              <w:ind w:left="0" w:leftChars="0" w:firstLine="0" w:firstLineChars="0"/>
              <w:jc w:val="left"/>
              <w:rPr>
                <w:rFonts w:ascii="Arial"/>
                <w:color w:val="000000" w:themeColor="text1"/>
                <w:sz w:val="21"/>
                <w:highlight w:val="none"/>
                <w14:textFill>
                  <w14:solidFill>
                    <w14:schemeClr w14:val="tx1"/>
                  </w14:solidFill>
                </w14:textFill>
              </w:rPr>
            </w:pPr>
          </w:p>
          <w:p>
            <w:pPr>
              <w:spacing w:line="258" w:lineRule="auto"/>
              <w:ind w:left="0" w:leftChars="0" w:firstLine="0" w:firstLineChars="0"/>
              <w:jc w:val="left"/>
              <w:rPr>
                <w:rFonts w:ascii="Arial"/>
                <w:color w:val="000000" w:themeColor="text1"/>
                <w:sz w:val="21"/>
                <w:highlight w:val="none"/>
                <w14:textFill>
                  <w14:solidFill>
                    <w14:schemeClr w14:val="tx1"/>
                  </w14:solidFill>
                </w14:textFill>
              </w:rPr>
            </w:pPr>
          </w:p>
          <w:p>
            <w:pPr>
              <w:spacing w:before="62" w:line="230" w:lineRule="auto"/>
              <w:ind w:left="0" w:leftChars="0" w:firstLine="0" w:firstLineChars="0"/>
              <w:jc w:val="left"/>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1"/>
                <w:sz w:val="19"/>
                <w:szCs w:val="19"/>
                <w:highlight w:val="none"/>
                <w14:textFill>
                  <w14:solidFill>
                    <w14:schemeClr w14:val="tx1"/>
                  </w14:solidFill>
                </w14:textFill>
              </w:rPr>
              <w:t>信</w:t>
            </w:r>
            <w:r>
              <w:rPr>
                <w:rFonts w:ascii="宋体" w:hAnsi="宋体" w:eastAsia="宋体" w:cs="宋体"/>
                <w:color w:val="000000" w:themeColor="text1"/>
                <w:spacing w:val="8"/>
                <w:sz w:val="19"/>
                <w:szCs w:val="19"/>
                <w:highlight w:val="none"/>
                <w14:textFill>
                  <w14:solidFill>
                    <w14:schemeClr w14:val="tx1"/>
                  </w14:solidFill>
                </w14:textFill>
              </w:rPr>
              <w:t>息化平台建设</w:t>
            </w:r>
          </w:p>
        </w:tc>
        <w:tc>
          <w:tcPr>
            <w:tcW w:w="1567" w:type="pct"/>
            <w:noWrap w:val="0"/>
            <w:vAlign w:val="top"/>
          </w:tcPr>
          <w:p>
            <w:pPr>
              <w:spacing w:before="59" w:line="284" w:lineRule="auto"/>
              <w:ind w:left="0" w:leftChars="0" w:right="108" w:firstLine="0" w:firstLineChars="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8"/>
                <w:sz w:val="19"/>
                <w:szCs w:val="19"/>
                <w:highlight w:val="none"/>
                <w14:textFill>
                  <w14:solidFill>
                    <w14:schemeClr w14:val="tx1"/>
                  </w14:solidFill>
                </w14:textFill>
              </w:rPr>
              <w:t>(</w:t>
            </w:r>
            <w:r>
              <w:rPr>
                <w:rFonts w:ascii="宋体" w:hAnsi="宋体" w:eastAsia="宋体" w:cs="宋体"/>
                <w:color w:val="000000" w:themeColor="text1"/>
                <w:spacing w:val="19"/>
                <w:sz w:val="19"/>
                <w:szCs w:val="19"/>
                <w:highlight w:val="none"/>
                <w14:textFill>
                  <w14:solidFill>
                    <w14:schemeClr w14:val="tx1"/>
                  </w14:solidFill>
                </w14:textFill>
              </w:rPr>
              <w:t xml:space="preserve">1)污水管网关键节点(泵站、接驳市政管网处) </w:t>
            </w:r>
            <w:r>
              <w:rPr>
                <w:rFonts w:ascii="宋体" w:hAnsi="宋体" w:eastAsia="宋体" w:cs="宋体"/>
                <w:color w:val="000000" w:themeColor="text1"/>
                <w:spacing w:val="6"/>
                <w:sz w:val="19"/>
                <w:szCs w:val="19"/>
                <w:highlight w:val="none"/>
                <w14:textFill>
                  <w14:solidFill>
                    <w14:schemeClr w14:val="tx1"/>
                  </w14:solidFill>
                </w14:textFill>
              </w:rPr>
              <w:t>设置自动水质、水量监测仪，数据回传总控中</w:t>
            </w:r>
            <w:r>
              <w:rPr>
                <w:rFonts w:ascii="宋体" w:hAnsi="宋体" w:eastAsia="宋体" w:cs="宋体"/>
                <w:color w:val="000000" w:themeColor="text1"/>
                <w:spacing w:val="-1"/>
                <w:sz w:val="19"/>
                <w:szCs w:val="19"/>
                <w:highlight w:val="none"/>
                <w14:textFill>
                  <w14:solidFill>
                    <w14:schemeClr w14:val="tx1"/>
                  </w14:solidFill>
                </w14:textFill>
              </w:rPr>
              <w:t>心；</w:t>
            </w:r>
          </w:p>
          <w:p>
            <w:pPr>
              <w:spacing w:before="58" w:line="267" w:lineRule="auto"/>
              <w:ind w:left="0" w:leftChars="0" w:right="143" w:firstLine="0" w:firstLineChars="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2"/>
                <w:sz w:val="19"/>
                <w:szCs w:val="19"/>
                <w:highlight w:val="none"/>
                <w14:textFill>
                  <w14:solidFill>
                    <w14:schemeClr w14:val="tx1"/>
                  </w14:solidFill>
                </w14:textFill>
              </w:rPr>
              <w:t>(</w:t>
            </w:r>
            <w:r>
              <w:rPr>
                <w:rFonts w:ascii="宋体" w:hAnsi="宋体" w:eastAsia="宋体" w:cs="宋体"/>
                <w:color w:val="000000" w:themeColor="text1"/>
                <w:spacing w:val="13"/>
                <w:sz w:val="19"/>
                <w:szCs w:val="19"/>
                <w:highlight w:val="none"/>
                <w14:textFill>
                  <w14:solidFill>
                    <w14:schemeClr w14:val="tx1"/>
                  </w14:solidFill>
                </w14:textFill>
              </w:rPr>
              <w:t>2</w:t>
            </w:r>
            <w:r>
              <w:rPr>
                <w:rFonts w:ascii="宋体" w:hAnsi="宋体" w:eastAsia="宋体" w:cs="宋体"/>
                <w:color w:val="000000" w:themeColor="text1"/>
                <w:spacing w:val="11"/>
                <w:sz w:val="19"/>
                <w:szCs w:val="19"/>
                <w:highlight w:val="none"/>
                <w14:textFill>
                  <w14:solidFill>
                    <w14:schemeClr w14:val="tx1"/>
                  </w14:solidFill>
                </w14:textFill>
              </w:rPr>
              <w:t>)</w:t>
            </w:r>
            <w:r>
              <w:rPr>
                <w:rFonts w:hint="eastAsia" w:ascii="宋体" w:hAnsi="宋体" w:eastAsia="宋体" w:cs="宋体"/>
                <w:color w:val="000000" w:themeColor="text1"/>
                <w:spacing w:val="10"/>
                <w:sz w:val="19"/>
                <w:szCs w:val="19"/>
                <w:highlight w:val="none"/>
                <w:lang w:eastAsia="zh-CN"/>
                <w14:textFill>
                  <w14:solidFill>
                    <w14:schemeClr w14:val="tx1"/>
                  </w14:solidFill>
                </w14:textFill>
              </w:rPr>
              <w:t>雨水管关键节点水量</w:t>
            </w:r>
            <w:r>
              <w:rPr>
                <w:rFonts w:ascii="宋体" w:hAnsi="宋体" w:eastAsia="宋体" w:cs="宋体"/>
                <w:color w:val="000000" w:themeColor="text1"/>
                <w:spacing w:val="6"/>
                <w:sz w:val="19"/>
                <w:szCs w:val="19"/>
                <w:highlight w:val="none"/>
                <w14:textFill>
                  <w14:solidFill>
                    <w14:schemeClr w14:val="tx1"/>
                  </w14:solidFill>
                </w14:textFill>
              </w:rPr>
              <w:t>监测仪，数据回传总控中</w:t>
            </w:r>
            <w:r>
              <w:rPr>
                <w:rFonts w:ascii="宋体" w:hAnsi="宋体" w:eastAsia="宋体" w:cs="宋体"/>
                <w:color w:val="000000" w:themeColor="text1"/>
                <w:spacing w:val="-1"/>
                <w:sz w:val="19"/>
                <w:szCs w:val="19"/>
                <w:highlight w:val="none"/>
                <w14:textFill>
                  <w14:solidFill>
                    <w14:schemeClr w14:val="tx1"/>
                  </w14:solidFill>
                </w14:textFill>
              </w:rPr>
              <w:t>心；</w:t>
            </w:r>
          </w:p>
          <w:p>
            <w:pPr>
              <w:spacing w:before="76" w:line="230" w:lineRule="auto"/>
              <w:ind w:left="0" w:leftChars="0" w:firstLine="0" w:firstLineChars="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5"/>
                <w:sz w:val="19"/>
                <w:szCs w:val="19"/>
                <w:highlight w:val="none"/>
                <w14:textFill>
                  <w14:solidFill>
                    <w14:schemeClr w14:val="tx1"/>
                  </w14:solidFill>
                </w14:textFill>
              </w:rPr>
              <w:t>(</w:t>
            </w:r>
            <w:r>
              <w:rPr>
                <w:rFonts w:hint="eastAsia" w:ascii="宋体" w:hAnsi="宋体" w:eastAsia="宋体" w:cs="宋体"/>
                <w:color w:val="000000" w:themeColor="text1"/>
                <w:spacing w:val="15"/>
                <w:sz w:val="19"/>
                <w:szCs w:val="19"/>
                <w:highlight w:val="none"/>
                <w:lang w:val="en-US" w:eastAsia="zh-CN"/>
                <w14:textFill>
                  <w14:solidFill>
                    <w14:schemeClr w14:val="tx1"/>
                  </w14:solidFill>
                </w14:textFill>
              </w:rPr>
              <w:t>3</w:t>
            </w:r>
            <w:r>
              <w:rPr>
                <w:rFonts w:ascii="宋体" w:hAnsi="宋体" w:eastAsia="宋体" w:cs="宋体"/>
                <w:color w:val="000000" w:themeColor="text1"/>
                <w:spacing w:val="15"/>
                <w:sz w:val="19"/>
                <w:szCs w:val="19"/>
                <w:highlight w:val="none"/>
                <w14:textFill>
                  <w14:solidFill>
                    <w14:schemeClr w14:val="tx1"/>
                  </w14:solidFill>
                </w14:textFill>
              </w:rPr>
              <w:t>) 工程信息化管</w:t>
            </w:r>
            <w:r>
              <w:rPr>
                <w:rFonts w:ascii="宋体" w:hAnsi="宋体" w:eastAsia="宋体" w:cs="宋体"/>
                <w:color w:val="000000" w:themeColor="text1"/>
                <w:spacing w:val="13"/>
                <w:sz w:val="19"/>
                <w:szCs w:val="19"/>
                <w:highlight w:val="none"/>
                <w14:textFill>
                  <w14:solidFill>
                    <w14:schemeClr w14:val="tx1"/>
                  </w14:solidFill>
                </w14:textFill>
              </w:rPr>
              <w:t>理</w:t>
            </w:r>
          </w:p>
        </w:tc>
        <w:tc>
          <w:tcPr>
            <w:tcW w:w="1012" w:type="pct"/>
            <w:noWrap w:val="0"/>
            <w:vAlign w:val="top"/>
          </w:tcPr>
          <w:p>
            <w:pPr>
              <w:spacing w:before="59" w:line="279" w:lineRule="auto"/>
              <w:ind w:left="114" w:right="104" w:firstLine="1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6"/>
                <w:sz w:val="19"/>
                <w:szCs w:val="19"/>
                <w:highlight w:val="none"/>
                <w14:textFill>
                  <w14:solidFill>
                    <w14:schemeClr w14:val="tx1"/>
                  </w14:solidFill>
                </w14:textFill>
              </w:rPr>
              <w:t>(</w:t>
            </w:r>
            <w:r>
              <w:rPr>
                <w:rFonts w:ascii="宋体" w:hAnsi="宋体" w:eastAsia="宋体" w:cs="宋体"/>
                <w:color w:val="000000" w:themeColor="text1"/>
                <w:spacing w:val="12"/>
                <w:sz w:val="19"/>
                <w:szCs w:val="19"/>
                <w:highlight w:val="none"/>
                <w14:textFill>
                  <w14:solidFill>
                    <w14:schemeClr w14:val="tx1"/>
                  </w14:solidFill>
                </w14:textFill>
              </w:rPr>
              <w:t>1) 污水管网关键节点 (泵站、接驳市政</w:t>
            </w:r>
            <w:r>
              <w:rPr>
                <w:rFonts w:ascii="宋体" w:hAnsi="宋体" w:eastAsia="宋体" w:cs="宋体"/>
                <w:color w:val="000000" w:themeColor="text1"/>
                <w:sz w:val="19"/>
                <w:szCs w:val="19"/>
                <w:highlight w:val="none"/>
                <w14:textFill>
                  <w14:solidFill>
                    <w14:schemeClr w14:val="tx1"/>
                  </w14:solidFill>
                </w14:textFill>
              </w:rPr>
              <w:t xml:space="preserve"> </w:t>
            </w:r>
            <w:r>
              <w:rPr>
                <w:rFonts w:ascii="宋体" w:hAnsi="宋体" w:eastAsia="宋体" w:cs="宋体"/>
                <w:color w:val="000000" w:themeColor="text1"/>
                <w:spacing w:val="16"/>
                <w:sz w:val="19"/>
                <w:szCs w:val="19"/>
                <w:highlight w:val="none"/>
                <w14:textFill>
                  <w14:solidFill>
                    <w14:schemeClr w14:val="tx1"/>
                  </w14:solidFill>
                </w14:textFill>
              </w:rPr>
              <w:t>管</w:t>
            </w:r>
            <w:r>
              <w:rPr>
                <w:rFonts w:ascii="宋体" w:hAnsi="宋体" w:eastAsia="宋体" w:cs="宋体"/>
                <w:color w:val="000000" w:themeColor="text1"/>
                <w:spacing w:val="12"/>
                <w:sz w:val="19"/>
                <w:szCs w:val="19"/>
                <w:highlight w:val="none"/>
                <w14:textFill>
                  <w14:solidFill>
                    <w14:schemeClr w14:val="tx1"/>
                  </w14:solidFill>
                </w14:textFill>
              </w:rPr>
              <w:t>网</w:t>
            </w:r>
            <w:r>
              <w:rPr>
                <w:rFonts w:ascii="宋体" w:hAnsi="宋体" w:eastAsia="宋体" w:cs="宋体"/>
                <w:color w:val="000000" w:themeColor="text1"/>
                <w:spacing w:val="8"/>
                <w:sz w:val="19"/>
                <w:szCs w:val="19"/>
                <w:highlight w:val="none"/>
                <w14:textFill>
                  <w14:solidFill>
                    <w14:schemeClr w14:val="tx1"/>
                  </w14:solidFill>
                </w14:textFill>
              </w:rPr>
              <w:t>处) 设置自动水质、水</w:t>
            </w:r>
            <w:r>
              <w:rPr>
                <w:rFonts w:ascii="宋体" w:hAnsi="宋体" w:eastAsia="宋体" w:cs="宋体"/>
                <w:color w:val="000000" w:themeColor="text1"/>
                <w:sz w:val="19"/>
                <w:szCs w:val="19"/>
                <w:highlight w:val="none"/>
                <w14:textFill>
                  <w14:solidFill>
                    <w14:schemeClr w14:val="tx1"/>
                  </w14:solidFill>
                </w14:textFill>
              </w:rPr>
              <w:t xml:space="preserve"> </w:t>
            </w:r>
            <w:r>
              <w:rPr>
                <w:rFonts w:ascii="宋体" w:hAnsi="宋体" w:eastAsia="宋体" w:cs="宋体"/>
                <w:color w:val="000000" w:themeColor="text1"/>
                <w:spacing w:val="13"/>
                <w:sz w:val="19"/>
                <w:szCs w:val="19"/>
                <w:highlight w:val="none"/>
                <w14:textFill>
                  <w14:solidFill>
                    <w14:schemeClr w14:val="tx1"/>
                  </w14:solidFill>
                </w14:textFill>
              </w:rPr>
              <w:t>量</w:t>
            </w:r>
            <w:r>
              <w:rPr>
                <w:rFonts w:ascii="宋体" w:hAnsi="宋体" w:eastAsia="宋体" w:cs="宋体"/>
                <w:color w:val="000000" w:themeColor="text1"/>
                <w:spacing w:val="8"/>
                <w:sz w:val="19"/>
                <w:szCs w:val="19"/>
                <w:highlight w:val="none"/>
                <w14:textFill>
                  <w14:solidFill>
                    <w14:schemeClr w14:val="tx1"/>
                  </w14:solidFill>
                </w14:textFill>
              </w:rPr>
              <w:t>监测仪，数据回传总控中心；</w:t>
            </w:r>
          </w:p>
          <w:p>
            <w:pPr>
              <w:spacing w:before="75" w:line="267" w:lineRule="auto"/>
              <w:ind w:left="115" w:right="195" w:firstLine="9"/>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0"/>
                <w:sz w:val="19"/>
                <w:szCs w:val="19"/>
                <w:highlight w:val="none"/>
                <w14:textFill>
                  <w14:solidFill>
                    <w14:schemeClr w14:val="tx1"/>
                  </w14:solidFill>
                </w14:textFill>
              </w:rPr>
              <w:t>(</w:t>
            </w:r>
            <w:r>
              <w:rPr>
                <w:rFonts w:ascii="宋体" w:hAnsi="宋体" w:eastAsia="宋体" w:cs="宋体"/>
                <w:color w:val="000000" w:themeColor="text1"/>
                <w:spacing w:val="12"/>
                <w:sz w:val="19"/>
                <w:szCs w:val="19"/>
                <w:highlight w:val="none"/>
                <w14:textFill>
                  <w14:solidFill>
                    <w14:schemeClr w14:val="tx1"/>
                  </w14:solidFill>
                </w14:textFill>
              </w:rPr>
              <w:t>2)</w:t>
            </w:r>
            <w:r>
              <w:rPr>
                <w:rFonts w:hint="eastAsia" w:ascii="宋体" w:hAnsi="宋体" w:eastAsia="宋体" w:cs="宋体"/>
                <w:color w:val="000000" w:themeColor="text1"/>
                <w:spacing w:val="10"/>
                <w:sz w:val="19"/>
                <w:szCs w:val="19"/>
                <w:highlight w:val="none"/>
                <w:lang w:eastAsia="zh-CN"/>
                <w14:textFill>
                  <w14:solidFill>
                    <w14:schemeClr w14:val="tx1"/>
                  </w14:solidFill>
                </w14:textFill>
              </w:rPr>
              <w:t>雨水管关键节点水量</w:t>
            </w:r>
            <w:r>
              <w:rPr>
                <w:rFonts w:ascii="宋体" w:hAnsi="宋体" w:eastAsia="宋体" w:cs="宋体"/>
                <w:color w:val="000000" w:themeColor="text1"/>
                <w:spacing w:val="6"/>
                <w:sz w:val="19"/>
                <w:szCs w:val="19"/>
                <w:highlight w:val="none"/>
                <w14:textFill>
                  <w14:solidFill>
                    <w14:schemeClr w14:val="tx1"/>
                  </w14:solidFill>
                </w14:textFill>
              </w:rPr>
              <w:t>监测仪，数据回传总控中</w:t>
            </w:r>
            <w:r>
              <w:rPr>
                <w:rFonts w:ascii="宋体" w:hAnsi="宋体" w:eastAsia="宋体" w:cs="宋体"/>
                <w:color w:val="000000" w:themeColor="text1"/>
                <w:spacing w:val="-1"/>
                <w:sz w:val="19"/>
                <w:szCs w:val="19"/>
                <w:highlight w:val="none"/>
                <w14:textFill>
                  <w14:solidFill>
                    <w14:schemeClr w14:val="tx1"/>
                  </w14:solidFill>
                </w14:textFill>
              </w:rPr>
              <w:t>心；</w:t>
            </w:r>
          </w:p>
          <w:p>
            <w:pPr>
              <w:spacing w:before="74" w:line="230" w:lineRule="auto"/>
              <w:ind w:left="124"/>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5"/>
                <w:sz w:val="19"/>
                <w:szCs w:val="19"/>
                <w:highlight w:val="none"/>
                <w14:textFill>
                  <w14:solidFill>
                    <w14:schemeClr w14:val="tx1"/>
                  </w14:solidFill>
                </w14:textFill>
              </w:rPr>
              <w:t>(3) 工工程信息化管</w:t>
            </w:r>
            <w:r>
              <w:rPr>
                <w:rFonts w:ascii="宋体" w:hAnsi="宋体" w:eastAsia="宋体" w:cs="宋体"/>
                <w:color w:val="000000" w:themeColor="text1"/>
                <w:spacing w:val="13"/>
                <w:sz w:val="19"/>
                <w:szCs w:val="19"/>
                <w:highlight w:val="none"/>
                <w14:textFill>
                  <w14:solidFill>
                    <w14:schemeClr w14:val="tx1"/>
                  </w14:solidFill>
                </w14:textFill>
              </w:rPr>
              <w:t>理</w:t>
            </w:r>
          </w:p>
        </w:tc>
        <w:tc>
          <w:tcPr>
            <w:tcW w:w="798" w:type="pct"/>
            <w:noWrap w:val="0"/>
            <w:vAlign w:val="top"/>
          </w:tcPr>
          <w:p>
            <w:pPr>
              <w:spacing w:line="257" w:lineRule="auto"/>
              <w:ind w:left="0" w:leftChars="0" w:hanging="8" w:firstLineChars="0"/>
              <w:rPr>
                <w:rFonts w:ascii="Arial"/>
                <w:color w:val="000000" w:themeColor="text1"/>
                <w:sz w:val="21"/>
                <w:highlight w:val="none"/>
                <w14:textFill>
                  <w14:solidFill>
                    <w14:schemeClr w14:val="tx1"/>
                  </w14:solidFill>
                </w14:textFill>
              </w:rPr>
            </w:pPr>
          </w:p>
          <w:p>
            <w:pPr>
              <w:spacing w:line="257" w:lineRule="auto"/>
              <w:ind w:left="0" w:leftChars="0" w:hanging="8" w:firstLineChars="0"/>
              <w:rPr>
                <w:rFonts w:ascii="Arial"/>
                <w:color w:val="000000" w:themeColor="text1"/>
                <w:sz w:val="21"/>
                <w:highlight w:val="none"/>
                <w14:textFill>
                  <w14:solidFill>
                    <w14:schemeClr w14:val="tx1"/>
                  </w14:solidFill>
                </w14:textFill>
              </w:rPr>
            </w:pPr>
          </w:p>
          <w:p>
            <w:pPr>
              <w:spacing w:line="258" w:lineRule="auto"/>
              <w:ind w:left="0" w:leftChars="0" w:hanging="8" w:firstLineChars="0"/>
              <w:rPr>
                <w:rFonts w:ascii="Arial"/>
                <w:color w:val="000000" w:themeColor="text1"/>
                <w:sz w:val="21"/>
                <w:highlight w:val="none"/>
                <w14:textFill>
                  <w14:solidFill>
                    <w14:schemeClr w14:val="tx1"/>
                  </w14:solidFill>
                </w14:textFill>
              </w:rPr>
            </w:pPr>
          </w:p>
          <w:p>
            <w:pPr>
              <w:spacing w:before="62" w:line="231" w:lineRule="auto"/>
              <w:ind w:left="0" w:leftChars="0" w:hanging="8" w:firstLineChars="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
                <w:sz w:val="19"/>
                <w:szCs w:val="19"/>
                <w:highlight w:val="none"/>
                <w14:textFill>
                  <w14:solidFill>
                    <w14:schemeClr w14:val="tx1"/>
                  </w14:solidFill>
                </w14:textFill>
              </w:rPr>
              <w:t>完工后考</w:t>
            </w:r>
            <w:r>
              <w:rPr>
                <w:rFonts w:ascii="宋体" w:hAnsi="宋体" w:eastAsia="宋体" w:cs="宋体"/>
                <w:color w:val="000000" w:themeColor="text1"/>
                <w:sz w:val="19"/>
                <w:szCs w:val="19"/>
                <w:highlight w:val="none"/>
                <w14:textFill>
                  <w14:solidFill>
                    <w14:schemeClr w14:val="tx1"/>
                  </w14:solidFill>
                </w14:textFill>
              </w:rPr>
              <w:t>核，每季度 1 次。</w:t>
            </w:r>
          </w:p>
        </w:tc>
        <w:tc>
          <w:tcPr>
            <w:tcW w:w="293" w:type="pct"/>
            <w:noWrap w:val="0"/>
            <w:vAlign w:val="top"/>
          </w:tcPr>
          <w:p>
            <w:pPr>
              <w:spacing w:line="268" w:lineRule="auto"/>
              <w:jc w:val="center"/>
              <w:rPr>
                <w:rFonts w:ascii="Arial"/>
                <w:color w:val="000000" w:themeColor="text1"/>
                <w:sz w:val="21"/>
                <w:highlight w:val="none"/>
                <w14:textFill>
                  <w14:solidFill>
                    <w14:schemeClr w14:val="tx1"/>
                  </w14:solidFill>
                </w14:textFill>
              </w:rPr>
            </w:pPr>
          </w:p>
          <w:p>
            <w:pPr>
              <w:spacing w:line="269" w:lineRule="auto"/>
              <w:jc w:val="center"/>
              <w:rPr>
                <w:rFonts w:ascii="Arial"/>
                <w:color w:val="000000" w:themeColor="text1"/>
                <w:sz w:val="21"/>
                <w:highlight w:val="none"/>
                <w14:textFill>
                  <w14:solidFill>
                    <w14:schemeClr w14:val="tx1"/>
                  </w14:solidFill>
                </w14:textFill>
              </w:rPr>
            </w:pPr>
          </w:p>
          <w:p>
            <w:pPr>
              <w:spacing w:line="269" w:lineRule="auto"/>
              <w:jc w:val="center"/>
              <w:rPr>
                <w:rFonts w:ascii="Arial"/>
                <w:color w:val="000000" w:themeColor="text1"/>
                <w:sz w:val="21"/>
                <w:highlight w:val="none"/>
                <w14:textFill>
                  <w14:solidFill>
                    <w14:schemeClr w14:val="tx1"/>
                  </w14:solidFill>
                </w14:textFill>
              </w:rPr>
            </w:pPr>
          </w:p>
          <w:p>
            <w:pPr>
              <w:spacing w:before="62" w:line="190"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10</w:t>
            </w:r>
          </w:p>
        </w:tc>
        <w:tc>
          <w:tcPr>
            <w:tcW w:w="294" w:type="pct"/>
            <w:noWrap w:val="0"/>
            <w:vAlign w:val="top"/>
          </w:tcPr>
          <w:p>
            <w:pPr>
              <w:spacing w:before="62" w:line="190" w:lineRule="auto"/>
              <w:ind w:left="746"/>
              <w:jc w:val="both"/>
              <w:rPr>
                <w:rFonts w:hint="eastAsia" w:ascii="宋体" w:hAnsi="宋体" w:eastAsia="宋体" w:cs="宋体"/>
                <w:color w:val="000000" w:themeColor="text1"/>
                <w:sz w:val="19"/>
                <w:szCs w:val="19"/>
                <w:highlight w:val="none"/>
                <w:lang w:val="en-US" w:eastAsia="zh-CN"/>
                <w14:textFill>
                  <w14:solidFill>
                    <w14:schemeClr w14:val="tx1"/>
                  </w14:solidFill>
                </w14:textFill>
              </w:rPr>
            </w:pPr>
          </w:p>
        </w:tc>
      </w:tr>
    </w:tbl>
    <w:p>
      <w:pPr>
        <w:spacing w:before="55" w:line="316" w:lineRule="auto"/>
        <w:ind w:left="121" w:right="178"/>
        <w:rPr>
          <w:rFonts w:hint="eastAsia" w:ascii="宋体" w:hAnsi="宋体" w:eastAsia="宋体" w:cs="宋体"/>
          <w:color w:val="000000" w:themeColor="text1"/>
          <w:spacing w:val="8"/>
          <w:sz w:val="19"/>
          <w:szCs w:val="19"/>
          <w:highlight w:val="none"/>
          <w:lang w:val="en-US" w:eastAsia="zh-CN"/>
          <w14:textFill>
            <w14:solidFill>
              <w14:schemeClr w14:val="tx1"/>
            </w14:solidFill>
          </w14:textFill>
        </w:rPr>
      </w:pPr>
      <w:r>
        <w:rPr>
          <w:rFonts w:ascii="宋体" w:hAnsi="宋体" w:eastAsia="宋体" w:cs="宋体"/>
          <w:color w:val="000000" w:themeColor="text1"/>
          <w:spacing w:val="11"/>
          <w:sz w:val="19"/>
          <w:szCs w:val="19"/>
          <w:highlight w:val="none"/>
          <w14:textFill>
            <w14:solidFill>
              <w14:schemeClr w14:val="tx1"/>
            </w14:solidFill>
          </w14:textFill>
        </w:rPr>
        <w:t>说</w:t>
      </w:r>
      <w:r>
        <w:rPr>
          <w:rFonts w:ascii="宋体" w:hAnsi="宋体" w:eastAsia="宋体" w:cs="宋体"/>
          <w:color w:val="000000" w:themeColor="text1"/>
          <w:spacing w:val="8"/>
          <w:sz w:val="19"/>
          <w:szCs w:val="19"/>
          <w:highlight w:val="none"/>
          <w14:textFill>
            <w14:solidFill>
              <w14:schemeClr w14:val="tx1"/>
            </w14:solidFill>
          </w14:textFill>
        </w:rPr>
        <w:t>明：本表格为本工程的绩效考核指标表，具体考核分级详见《</w:t>
      </w:r>
      <w:r>
        <w:rPr>
          <w:rFonts w:hint="eastAsia" w:ascii="宋体" w:hAnsi="宋体" w:eastAsia="宋体" w:cs="宋体"/>
          <w:color w:val="000000" w:themeColor="text1"/>
          <w:spacing w:val="8"/>
          <w:sz w:val="19"/>
          <w:szCs w:val="19"/>
          <w:highlight w:val="none"/>
          <w:lang w:val="en-US" w:eastAsia="zh-CN"/>
          <w14:textFill>
            <w14:solidFill>
              <w14:schemeClr w14:val="tx1"/>
            </w14:solidFill>
          </w14:textFill>
        </w:rPr>
        <w:t>番禺区村居雨污分流</w:t>
      </w:r>
      <w:r>
        <w:rPr>
          <w:rFonts w:ascii="宋体" w:hAnsi="宋体" w:eastAsia="宋体" w:cs="宋体"/>
          <w:color w:val="000000" w:themeColor="text1"/>
          <w:spacing w:val="8"/>
          <w:sz w:val="19"/>
          <w:szCs w:val="19"/>
          <w:highlight w:val="none"/>
          <w14:textFill>
            <w14:solidFill>
              <w14:schemeClr w14:val="tx1"/>
            </w14:solidFill>
          </w14:textFill>
        </w:rPr>
        <w:t>工程绩效考核指引》中的附表</w:t>
      </w:r>
      <w:r>
        <w:rPr>
          <w:rFonts w:hint="eastAsia" w:ascii="宋体" w:hAnsi="宋体" w:eastAsia="宋体" w:cs="宋体"/>
          <w:color w:val="000000" w:themeColor="text1"/>
          <w:spacing w:val="8"/>
          <w:sz w:val="19"/>
          <w:szCs w:val="19"/>
          <w:highlight w:val="none"/>
          <w:lang w:val="en-US" w:eastAsia="zh-CN"/>
          <w14:textFill>
            <w14:solidFill>
              <w14:schemeClr w14:val="tx1"/>
            </w14:solidFill>
          </w14:textFill>
        </w:rPr>
        <w:t xml:space="preserve"> 2“番禺区村居雨污分流工程 (施工图设计施工总承包 EPC)质保期评分分级表”。</w:t>
      </w:r>
    </w:p>
    <w:p>
      <w:pPr>
        <w:spacing w:before="55" w:line="316" w:lineRule="auto"/>
        <w:ind w:left="121" w:right="178"/>
        <w:rPr>
          <w:rFonts w:ascii="宋体" w:hAnsi="宋体" w:eastAsia="宋体" w:cs="宋体"/>
          <w:color w:val="000000" w:themeColor="text1"/>
          <w:spacing w:val="5"/>
          <w:sz w:val="19"/>
          <w:szCs w:val="19"/>
          <w:highlight w:val="none"/>
          <w14:textFill>
            <w14:solidFill>
              <w14:schemeClr w14:val="tx1"/>
            </w14:solidFill>
          </w14:textFill>
        </w:rPr>
      </w:pPr>
    </w:p>
    <w:p>
      <w:pPr>
        <w:spacing w:before="97" w:line="220" w:lineRule="auto"/>
        <w:jc w:val="center"/>
        <w:rPr>
          <w:rFonts w:ascii="宋体" w:hAnsi="宋体" w:eastAsia="宋体" w:cs="宋体"/>
          <w:color w:val="000000" w:themeColor="text1"/>
          <w:sz w:val="30"/>
          <w:szCs w:val="30"/>
          <w:highlight w:val="none"/>
          <w14:textFill>
            <w14:solidFill>
              <w14:schemeClr w14:val="tx1"/>
            </w14:solidFill>
          </w14:textFill>
        </w:rPr>
      </w:pPr>
      <w:r>
        <w:rPr>
          <w:rFonts w:ascii="宋体" w:hAnsi="宋体" w:eastAsia="宋体" w:cs="宋体"/>
          <w:color w:val="000000" w:themeColor="text1"/>
          <w:spacing w:val="-1"/>
          <w:sz w:val="30"/>
          <w:szCs w:val="30"/>
          <w:highlight w:val="none"/>
          <w14:textFill>
            <w14:solidFill>
              <w14:schemeClr w14:val="tx1"/>
            </w14:solidFill>
          </w14:textFill>
        </w:rPr>
        <w:t>表</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lang w:val="en-US" w:eastAsia="zh-CN"/>
          <w14:textFill>
            <w14:solidFill>
              <w14:schemeClr w14:val="tx1"/>
            </w14:solidFill>
          </w14:textFill>
        </w:rPr>
        <w:t>2</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lang w:val="en-US" w:eastAsia="zh-CN"/>
          <w14:textFill>
            <w14:solidFill>
              <w14:schemeClr w14:val="tx1"/>
            </w14:solidFill>
          </w14:textFill>
        </w:rPr>
        <w:t>番禺区村居雨污分流</w:t>
      </w:r>
      <w:r>
        <w:rPr>
          <w:rFonts w:ascii="宋体" w:hAnsi="宋体" w:eastAsia="宋体" w:cs="宋体"/>
          <w:color w:val="000000" w:themeColor="text1"/>
          <w:sz w:val="30"/>
          <w:szCs w:val="30"/>
          <w:highlight w:val="none"/>
          <w14:textFill>
            <w14:solidFill>
              <w14:schemeClr w14:val="tx1"/>
            </w14:solidFill>
          </w14:textFill>
        </w:rPr>
        <w:t>工程 (</w:t>
      </w:r>
      <w:r>
        <w:rPr>
          <w:rFonts w:hint="eastAsia" w:ascii="宋体" w:hAnsi="宋体" w:eastAsia="宋体" w:cs="宋体"/>
          <w:color w:val="000000" w:themeColor="text1"/>
          <w:sz w:val="30"/>
          <w:szCs w:val="30"/>
          <w:highlight w:val="none"/>
          <w:lang w:eastAsia="zh-CN"/>
          <w14:textFill>
            <w14:solidFill>
              <w14:schemeClr w14:val="tx1"/>
            </w14:solidFill>
          </w14:textFill>
        </w:rPr>
        <w:t>施工图设计</w:t>
      </w:r>
      <w:r>
        <w:rPr>
          <w:rFonts w:ascii="宋体" w:hAnsi="宋体" w:eastAsia="宋体" w:cs="宋体"/>
          <w:color w:val="000000" w:themeColor="text1"/>
          <w:sz w:val="30"/>
          <w:szCs w:val="30"/>
          <w:highlight w:val="none"/>
          <w14:textFill>
            <w14:solidFill>
              <w14:schemeClr w14:val="tx1"/>
            </w14:solidFill>
          </w14:textFill>
        </w:rPr>
        <w:t>施工总承包 EPC)质保期评分分级表</w:t>
      </w:r>
    </w:p>
    <w:p>
      <w:pPr>
        <w:spacing w:line="104" w:lineRule="exact"/>
        <w:jc w:val="center"/>
        <w:rPr>
          <w:color w:val="000000" w:themeColor="text1"/>
          <w:highlight w:val="none"/>
          <w14:textFill>
            <w14:solidFill>
              <w14:schemeClr w14:val="tx1"/>
            </w14:solidFill>
          </w14:textFill>
        </w:rPr>
      </w:pPr>
    </w:p>
    <w:tbl>
      <w:tblPr>
        <w:tblStyle w:val="78"/>
        <w:tblW w:w="469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9"/>
        <w:gridCol w:w="1397"/>
        <w:gridCol w:w="945"/>
        <w:gridCol w:w="1979"/>
        <w:gridCol w:w="1930"/>
        <w:gridCol w:w="1917"/>
        <w:gridCol w:w="1500"/>
        <w:gridCol w:w="1287"/>
        <w:gridCol w:w="1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28" w:type="pct"/>
            <w:vMerge w:val="restart"/>
            <w:tcBorders>
              <w:bottom w:val="nil"/>
            </w:tcBorders>
            <w:noWrap w:val="0"/>
            <w:vAlign w:val="top"/>
          </w:tcPr>
          <w:p>
            <w:pPr>
              <w:spacing w:before="286" w:line="222" w:lineRule="auto"/>
              <w:jc w:val="center"/>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序</w:t>
            </w:r>
            <w:r>
              <w:rPr>
                <w:rFonts w:ascii="宋体" w:hAnsi="宋体" w:eastAsia="宋体" w:cs="宋体"/>
                <w:color w:val="000000" w:themeColor="text1"/>
                <w:spacing w:val="-2"/>
                <w:sz w:val="24"/>
                <w:szCs w:val="24"/>
                <w:highlight w:val="none"/>
                <w14:textFill>
                  <w14:solidFill>
                    <w14:schemeClr w14:val="tx1"/>
                  </w14:solidFill>
                </w14:textFill>
              </w:rPr>
              <w:t>号</w:t>
            </w:r>
          </w:p>
        </w:tc>
        <w:tc>
          <w:tcPr>
            <w:tcW w:w="533" w:type="pct"/>
            <w:vMerge w:val="restart"/>
            <w:tcBorders>
              <w:bottom w:val="nil"/>
            </w:tcBorders>
            <w:noWrap w:val="0"/>
            <w:vAlign w:val="top"/>
          </w:tcPr>
          <w:p>
            <w:pPr>
              <w:spacing w:line="243" w:lineRule="auto"/>
              <w:jc w:val="center"/>
              <w:rPr>
                <w:rFonts w:ascii="Arial"/>
                <w:color w:val="000000" w:themeColor="text1"/>
                <w:sz w:val="21"/>
                <w:highlight w:val="none"/>
                <w14:textFill>
                  <w14:solidFill>
                    <w14:schemeClr w14:val="tx1"/>
                  </w14:solidFill>
                </w14:textFill>
              </w:rPr>
            </w:pPr>
          </w:p>
          <w:p>
            <w:pPr>
              <w:spacing w:before="62" w:line="230"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8"/>
                <w:sz w:val="19"/>
                <w:szCs w:val="19"/>
                <w:highlight w:val="none"/>
                <w14:textFill>
                  <w14:solidFill>
                    <w14:schemeClr w14:val="tx1"/>
                  </w14:solidFill>
                </w14:textFill>
              </w:rPr>
              <w:t>考核内容</w:t>
            </w:r>
          </w:p>
        </w:tc>
        <w:tc>
          <w:tcPr>
            <w:tcW w:w="360" w:type="pct"/>
            <w:vMerge w:val="restart"/>
            <w:tcBorders>
              <w:bottom w:val="nil"/>
            </w:tcBorders>
            <w:noWrap w:val="0"/>
            <w:vAlign w:val="top"/>
          </w:tcPr>
          <w:p>
            <w:pPr>
              <w:spacing w:line="243" w:lineRule="auto"/>
              <w:jc w:val="center"/>
              <w:rPr>
                <w:rFonts w:ascii="Arial"/>
                <w:color w:val="000000" w:themeColor="text1"/>
                <w:sz w:val="21"/>
                <w:highlight w:val="none"/>
                <w14:textFill>
                  <w14:solidFill>
                    <w14:schemeClr w14:val="tx1"/>
                  </w14:solidFill>
                </w14:textFill>
              </w:rPr>
            </w:pPr>
          </w:p>
          <w:p>
            <w:pPr>
              <w:spacing w:before="62" w:line="230"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5"/>
                <w:sz w:val="19"/>
                <w:szCs w:val="19"/>
                <w:highlight w:val="none"/>
                <w14:textFill>
                  <w14:solidFill>
                    <w14:schemeClr w14:val="tx1"/>
                  </w14:solidFill>
                </w14:textFill>
              </w:rPr>
              <w:t>分值</w:t>
            </w:r>
          </w:p>
        </w:tc>
        <w:tc>
          <w:tcPr>
            <w:tcW w:w="2794" w:type="pct"/>
            <w:gridSpan w:val="4"/>
            <w:noWrap w:val="0"/>
            <w:vAlign w:val="top"/>
          </w:tcPr>
          <w:p>
            <w:pPr>
              <w:spacing w:before="60" w:line="231"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8"/>
                <w:sz w:val="19"/>
                <w:szCs w:val="19"/>
                <w:highlight w:val="none"/>
                <w14:textFill>
                  <w14:solidFill>
                    <w14:schemeClr w14:val="tx1"/>
                  </w14:solidFill>
                </w14:textFill>
              </w:rPr>
              <w:t>评分标准</w:t>
            </w:r>
          </w:p>
        </w:tc>
        <w:tc>
          <w:tcPr>
            <w:tcW w:w="491" w:type="pct"/>
            <w:noWrap w:val="0"/>
            <w:vAlign w:val="top"/>
          </w:tcPr>
          <w:p>
            <w:pPr>
              <w:spacing w:before="60" w:line="231" w:lineRule="auto"/>
              <w:ind w:left="6787"/>
              <w:jc w:val="center"/>
              <w:rPr>
                <w:rFonts w:ascii="宋体" w:hAnsi="宋体" w:eastAsia="宋体" w:cs="宋体"/>
                <w:color w:val="000000" w:themeColor="text1"/>
                <w:spacing w:val="8"/>
                <w:sz w:val="19"/>
                <w:szCs w:val="19"/>
                <w:highlight w:val="none"/>
                <w14:textFill>
                  <w14:solidFill>
                    <w14:schemeClr w14:val="tx1"/>
                  </w14:solidFill>
                </w14:textFill>
              </w:rPr>
            </w:pPr>
          </w:p>
          <w:p>
            <w:pPr>
              <w:bidi w:val="0"/>
              <w:jc w:val="center"/>
              <w:rPr>
                <w:rFonts w:hint="eastAsia" w:ascii="Arial" w:hAnsi="Arial" w:eastAsia="宋体" w:cs="Arial"/>
                <w:snapToGrid w:val="0"/>
                <w:color w:val="000000" w:themeColor="text1"/>
                <w:kern w:val="0"/>
                <w:sz w:val="21"/>
                <w:szCs w:val="21"/>
                <w:highlight w:val="none"/>
                <w:lang w:eastAsia="zh-CN"/>
                <w14:textFill>
                  <w14:solidFill>
                    <w14:schemeClr w14:val="tx1"/>
                  </w14:solidFill>
                </w14:textFill>
              </w:rPr>
            </w:pPr>
            <w:r>
              <w:rPr>
                <w:rFonts w:hint="eastAsia" w:eastAsia="宋体" w:cs="Arial"/>
                <w:snapToGrid w:val="0"/>
                <w:color w:val="000000" w:themeColor="text1"/>
                <w:kern w:val="0"/>
                <w:sz w:val="21"/>
                <w:szCs w:val="21"/>
                <w:highlight w:val="none"/>
                <w:lang w:eastAsia="zh-CN"/>
                <w14:textFill>
                  <w14:solidFill>
                    <w14:schemeClr w14:val="tx1"/>
                  </w14:solidFill>
                </w14:textFill>
              </w:rPr>
              <w:t>考核分值</w:t>
            </w:r>
          </w:p>
        </w:tc>
        <w:tc>
          <w:tcPr>
            <w:tcW w:w="491" w:type="pct"/>
            <w:noWrap w:val="0"/>
            <w:vAlign w:val="top"/>
          </w:tcPr>
          <w:p>
            <w:pPr>
              <w:spacing w:before="57" w:line="267" w:lineRule="auto"/>
              <w:ind w:left="-1" w:leftChars="0" w:right="212" w:firstLine="546" w:firstLineChars="0"/>
              <w:jc w:val="center"/>
              <w:rPr>
                <w:rFonts w:hint="eastAsia" w:ascii="宋体" w:hAnsi="宋体" w:eastAsia="宋体" w:cs="宋体"/>
                <w:color w:val="000000" w:themeColor="text1"/>
                <w:spacing w:val="10"/>
                <w:sz w:val="19"/>
                <w:szCs w:val="19"/>
                <w:highlight w:val="none"/>
                <w:lang w:eastAsia="zh-CN"/>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328" w:type="pct"/>
            <w:vMerge w:val="continue"/>
            <w:tcBorders>
              <w:top w:val="nil"/>
            </w:tcBorders>
            <w:noWrap w:val="0"/>
            <w:vAlign w:val="top"/>
          </w:tcPr>
          <w:p>
            <w:pPr>
              <w:rPr>
                <w:rFonts w:ascii="Arial"/>
                <w:color w:val="000000" w:themeColor="text1"/>
                <w:sz w:val="21"/>
                <w:highlight w:val="none"/>
                <w14:textFill>
                  <w14:solidFill>
                    <w14:schemeClr w14:val="tx1"/>
                  </w14:solidFill>
                </w14:textFill>
              </w:rPr>
            </w:pPr>
          </w:p>
        </w:tc>
        <w:tc>
          <w:tcPr>
            <w:tcW w:w="533" w:type="pct"/>
            <w:vMerge w:val="continue"/>
            <w:tcBorders>
              <w:top w:val="nil"/>
            </w:tcBorders>
            <w:noWrap w:val="0"/>
            <w:vAlign w:val="top"/>
          </w:tcPr>
          <w:p>
            <w:pPr>
              <w:rPr>
                <w:rFonts w:ascii="Arial"/>
                <w:color w:val="000000" w:themeColor="text1"/>
                <w:sz w:val="21"/>
                <w:highlight w:val="none"/>
                <w14:textFill>
                  <w14:solidFill>
                    <w14:schemeClr w14:val="tx1"/>
                  </w14:solidFill>
                </w14:textFill>
              </w:rPr>
            </w:pPr>
          </w:p>
        </w:tc>
        <w:tc>
          <w:tcPr>
            <w:tcW w:w="360" w:type="pct"/>
            <w:vMerge w:val="continue"/>
            <w:tcBorders>
              <w:top w:val="nil"/>
            </w:tcBorders>
            <w:noWrap w:val="0"/>
            <w:vAlign w:val="top"/>
          </w:tcPr>
          <w:p>
            <w:pPr>
              <w:rPr>
                <w:rFonts w:ascii="Arial"/>
                <w:color w:val="000000" w:themeColor="text1"/>
                <w:sz w:val="21"/>
                <w:highlight w:val="none"/>
                <w14:textFill>
                  <w14:solidFill>
                    <w14:schemeClr w14:val="tx1"/>
                  </w14:solidFill>
                </w14:textFill>
              </w:rPr>
            </w:pPr>
          </w:p>
        </w:tc>
        <w:tc>
          <w:tcPr>
            <w:tcW w:w="755" w:type="pct"/>
            <w:noWrap w:val="0"/>
            <w:vAlign w:val="top"/>
          </w:tcPr>
          <w:p>
            <w:pPr>
              <w:spacing w:before="140"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7"/>
                <w:sz w:val="19"/>
                <w:szCs w:val="19"/>
                <w:highlight w:val="none"/>
                <w14:textFill>
                  <w14:solidFill>
                    <w14:schemeClr w14:val="tx1"/>
                  </w14:solidFill>
                </w14:textFill>
              </w:rPr>
              <w:t>优(分值×1.0</w:t>
            </w:r>
            <w:r>
              <w:rPr>
                <w:rFonts w:ascii="宋体" w:hAnsi="宋体" w:eastAsia="宋体" w:cs="宋体"/>
                <w:color w:val="000000" w:themeColor="text1"/>
                <w:spacing w:val="16"/>
                <w:sz w:val="19"/>
                <w:szCs w:val="19"/>
                <w:highlight w:val="none"/>
                <w14:textFill>
                  <w14:solidFill>
                    <w14:schemeClr w14:val="tx1"/>
                  </w14:solidFill>
                </w14:textFill>
              </w:rPr>
              <w:t>)</w:t>
            </w:r>
          </w:p>
        </w:tc>
        <w:tc>
          <w:tcPr>
            <w:tcW w:w="736" w:type="pct"/>
            <w:noWrap w:val="0"/>
            <w:vAlign w:val="top"/>
          </w:tcPr>
          <w:p>
            <w:pPr>
              <w:spacing w:before="140"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5"/>
                <w:sz w:val="19"/>
                <w:szCs w:val="19"/>
                <w:highlight w:val="none"/>
                <w14:textFill>
                  <w14:solidFill>
                    <w14:schemeClr w14:val="tx1"/>
                  </w14:solidFill>
                </w14:textFill>
              </w:rPr>
              <w:t>良</w:t>
            </w:r>
            <w:r>
              <w:rPr>
                <w:rFonts w:ascii="宋体" w:hAnsi="宋体" w:eastAsia="宋体" w:cs="宋体"/>
                <w:color w:val="000000" w:themeColor="text1"/>
                <w:spacing w:val="13"/>
                <w:sz w:val="19"/>
                <w:szCs w:val="19"/>
                <w:highlight w:val="none"/>
                <w14:textFill>
                  <w14:solidFill>
                    <w14:schemeClr w14:val="tx1"/>
                  </w14:solidFill>
                </w14:textFill>
              </w:rPr>
              <w:t>(分值×0.9)</w:t>
            </w:r>
          </w:p>
        </w:tc>
        <w:tc>
          <w:tcPr>
            <w:tcW w:w="731" w:type="pct"/>
            <w:noWrap w:val="0"/>
            <w:vAlign w:val="top"/>
          </w:tcPr>
          <w:p>
            <w:pPr>
              <w:spacing w:before="140"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0"/>
                <w:sz w:val="19"/>
                <w:szCs w:val="19"/>
                <w:highlight w:val="none"/>
                <w14:textFill>
                  <w14:solidFill>
                    <w14:schemeClr w14:val="tx1"/>
                  </w14:solidFill>
                </w14:textFill>
              </w:rPr>
              <w:t>中</w:t>
            </w:r>
            <w:r>
              <w:rPr>
                <w:rFonts w:ascii="宋体" w:hAnsi="宋体" w:eastAsia="宋体" w:cs="宋体"/>
                <w:color w:val="000000" w:themeColor="text1"/>
                <w:spacing w:val="14"/>
                <w:sz w:val="19"/>
                <w:szCs w:val="19"/>
                <w:highlight w:val="none"/>
                <w14:textFill>
                  <w14:solidFill>
                    <w14:schemeClr w14:val="tx1"/>
                  </w14:solidFill>
                </w14:textFill>
              </w:rPr>
              <w:t>(分值×0.6)</w:t>
            </w:r>
          </w:p>
        </w:tc>
        <w:tc>
          <w:tcPr>
            <w:tcW w:w="571" w:type="pct"/>
            <w:noWrap w:val="0"/>
            <w:vAlign w:val="top"/>
          </w:tcPr>
          <w:p>
            <w:pPr>
              <w:spacing w:before="140"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22"/>
                <w:sz w:val="19"/>
                <w:szCs w:val="19"/>
                <w:highlight w:val="none"/>
                <w14:textFill>
                  <w14:solidFill>
                    <w14:schemeClr w14:val="tx1"/>
                  </w14:solidFill>
                </w14:textFill>
              </w:rPr>
              <w:t>差</w:t>
            </w:r>
            <w:r>
              <w:rPr>
                <w:rFonts w:ascii="宋体" w:hAnsi="宋体" w:eastAsia="宋体" w:cs="宋体"/>
                <w:color w:val="000000" w:themeColor="text1"/>
                <w:spacing w:val="18"/>
                <w:sz w:val="19"/>
                <w:szCs w:val="19"/>
                <w:highlight w:val="none"/>
                <w14:textFill>
                  <w14:solidFill>
                    <w14:schemeClr w14:val="tx1"/>
                  </w14:solidFill>
                </w14:textFill>
              </w:rPr>
              <w:t>(分值×0)</w:t>
            </w:r>
          </w:p>
        </w:tc>
        <w:tc>
          <w:tcPr>
            <w:tcW w:w="491" w:type="pct"/>
            <w:noWrap w:val="0"/>
            <w:vAlign w:val="top"/>
          </w:tcPr>
          <w:p>
            <w:pPr>
              <w:spacing w:before="140" w:line="230" w:lineRule="auto"/>
              <w:ind w:left="1045"/>
              <w:rPr>
                <w:rFonts w:ascii="宋体" w:hAnsi="宋体" w:eastAsia="宋体" w:cs="宋体"/>
                <w:color w:val="000000" w:themeColor="text1"/>
                <w:spacing w:val="22"/>
                <w:sz w:val="19"/>
                <w:szCs w:val="19"/>
                <w:highlight w:val="none"/>
                <w14:textFill>
                  <w14:solidFill>
                    <w14:schemeClr w14:val="tx1"/>
                  </w14:solidFill>
                </w14:textFill>
              </w:rPr>
            </w:pP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28" w:type="pct"/>
            <w:noWrap w:val="0"/>
            <w:vAlign w:val="top"/>
          </w:tcPr>
          <w:p>
            <w:pPr>
              <w:spacing w:line="274" w:lineRule="auto"/>
              <w:jc w:val="center"/>
              <w:rPr>
                <w:rFonts w:ascii="Arial"/>
                <w:color w:val="000000" w:themeColor="text1"/>
                <w:sz w:val="21"/>
                <w:highlight w:val="none"/>
                <w14:textFill>
                  <w14:solidFill>
                    <w14:schemeClr w14:val="tx1"/>
                  </w14:solidFill>
                </w14:textFill>
              </w:rPr>
            </w:pPr>
          </w:p>
          <w:p>
            <w:pPr>
              <w:spacing w:before="62" w:line="194" w:lineRule="auto"/>
              <w:jc w:val="center"/>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z w:val="19"/>
                <w:szCs w:val="19"/>
                <w:highlight w:val="none"/>
                <w14:textFill>
                  <w14:solidFill>
                    <w14:schemeClr w14:val="tx1"/>
                  </w14:solidFill>
                </w14:textFill>
              </w:rPr>
              <w:t>1</w:t>
            </w:r>
          </w:p>
        </w:tc>
        <w:tc>
          <w:tcPr>
            <w:tcW w:w="533" w:type="pct"/>
            <w:noWrap w:val="0"/>
            <w:vAlign w:val="top"/>
          </w:tcPr>
          <w:p>
            <w:pPr>
              <w:spacing w:line="244" w:lineRule="auto"/>
              <w:rPr>
                <w:rFonts w:ascii="Arial"/>
                <w:color w:val="000000" w:themeColor="text1"/>
                <w:sz w:val="21"/>
                <w:highlight w:val="none"/>
                <w14:textFill>
                  <w14:solidFill>
                    <w14:schemeClr w14:val="tx1"/>
                  </w14:solidFill>
                </w14:textFill>
              </w:rPr>
            </w:pPr>
          </w:p>
          <w:p>
            <w:pPr>
              <w:spacing w:before="61"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8"/>
                <w:sz w:val="19"/>
                <w:szCs w:val="19"/>
                <w:highlight w:val="none"/>
                <w14:textFill>
                  <w14:solidFill>
                    <w14:schemeClr w14:val="tx1"/>
                  </w14:solidFill>
                </w14:textFill>
              </w:rPr>
              <w:t>污水收集</w:t>
            </w:r>
            <w:r>
              <w:rPr>
                <w:rFonts w:ascii="宋体" w:hAnsi="宋体" w:eastAsia="宋体" w:cs="宋体"/>
                <w:color w:val="000000" w:themeColor="text1"/>
                <w:spacing w:val="7"/>
                <w:sz w:val="19"/>
                <w:szCs w:val="19"/>
                <w:highlight w:val="none"/>
                <w14:textFill>
                  <w14:solidFill>
                    <w14:schemeClr w14:val="tx1"/>
                  </w14:solidFill>
                </w14:textFill>
              </w:rPr>
              <w:t>率</w:t>
            </w:r>
          </w:p>
        </w:tc>
        <w:tc>
          <w:tcPr>
            <w:tcW w:w="360" w:type="pct"/>
            <w:noWrap w:val="0"/>
            <w:vAlign w:val="top"/>
          </w:tcPr>
          <w:p>
            <w:pPr>
              <w:spacing w:line="276" w:lineRule="auto"/>
              <w:rPr>
                <w:rFonts w:ascii="Arial"/>
                <w:color w:val="000000" w:themeColor="text1"/>
                <w:sz w:val="21"/>
                <w:highlight w:val="none"/>
                <w14:textFill>
                  <w14:solidFill>
                    <w14:schemeClr w14:val="tx1"/>
                  </w14:solidFill>
                </w14:textFill>
              </w:rPr>
            </w:pPr>
          </w:p>
          <w:p>
            <w:pPr>
              <w:spacing w:before="62" w:line="190" w:lineRule="auto"/>
              <w:ind w:left="749"/>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755" w:type="pct"/>
            <w:noWrap w:val="0"/>
            <w:vAlign w:val="top"/>
          </w:tcPr>
          <w:p>
            <w:pPr>
              <w:spacing w:before="151" w:line="229" w:lineRule="auto"/>
              <w:ind w:left="195" w:leftChars="0" w:hanging="195" w:hangingChars="92"/>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1"/>
                <w:sz w:val="19"/>
                <w:szCs w:val="19"/>
                <w:highlight w:val="none"/>
                <w14:textFill>
                  <w14:solidFill>
                    <w14:schemeClr w14:val="tx1"/>
                  </w14:solidFill>
                </w14:textFill>
              </w:rPr>
              <w:t>工</w:t>
            </w:r>
            <w:r>
              <w:rPr>
                <w:rFonts w:ascii="宋体" w:hAnsi="宋体" w:eastAsia="宋体" w:cs="宋体"/>
                <w:color w:val="000000" w:themeColor="text1"/>
                <w:spacing w:val="6"/>
                <w:sz w:val="19"/>
                <w:szCs w:val="19"/>
                <w:highlight w:val="none"/>
                <w14:textFill>
                  <w14:solidFill>
                    <w14:schemeClr w14:val="tx1"/>
                  </w14:solidFill>
                </w14:textFill>
              </w:rPr>
              <w:t>程范围内的行政村的污水收集率达到 9</w:t>
            </w:r>
            <w:r>
              <w:rPr>
                <w:rFonts w:hint="eastAsia" w:ascii="宋体" w:hAnsi="宋体" w:eastAsia="宋体" w:cs="宋体"/>
                <w:color w:val="000000" w:themeColor="text1"/>
                <w:spacing w:val="6"/>
                <w:sz w:val="19"/>
                <w:szCs w:val="19"/>
                <w:highlight w:val="none"/>
                <w:lang w:val="en-US" w:eastAsia="zh-CN"/>
                <w14:textFill>
                  <w14:solidFill>
                    <w14:schemeClr w14:val="tx1"/>
                  </w14:solidFill>
                </w14:textFill>
              </w:rPr>
              <w:t>5</w:t>
            </w:r>
            <w:r>
              <w:rPr>
                <w:rFonts w:ascii="宋体" w:hAnsi="宋体" w:eastAsia="宋体" w:cs="宋体"/>
                <w:color w:val="000000" w:themeColor="text1"/>
                <w:spacing w:val="6"/>
                <w:sz w:val="19"/>
                <w:szCs w:val="19"/>
                <w:highlight w:val="none"/>
                <w14:textFill>
                  <w14:solidFill>
                    <w14:schemeClr w14:val="tx1"/>
                  </w14:solidFill>
                </w14:textFill>
              </w:rPr>
              <w:t>%</w:t>
            </w:r>
            <w:r>
              <w:rPr>
                <w:rFonts w:ascii="宋体" w:hAnsi="宋体" w:eastAsia="宋体" w:cs="宋体"/>
                <w:color w:val="000000" w:themeColor="text1"/>
                <w:spacing w:val="18"/>
                <w:sz w:val="19"/>
                <w:szCs w:val="19"/>
                <w:highlight w:val="none"/>
                <w14:textFill>
                  <w14:solidFill>
                    <w14:schemeClr w14:val="tx1"/>
                  </w14:solidFill>
                </w14:textFill>
              </w:rPr>
              <w:t>(含) 以上</w:t>
            </w:r>
            <w:r>
              <w:rPr>
                <w:rFonts w:ascii="宋体" w:hAnsi="宋体" w:eastAsia="宋体" w:cs="宋体"/>
                <w:color w:val="000000" w:themeColor="text1"/>
                <w:spacing w:val="17"/>
                <w:sz w:val="19"/>
                <w:szCs w:val="19"/>
                <w:highlight w:val="none"/>
                <w14:textFill>
                  <w14:solidFill>
                    <w14:schemeClr w14:val="tx1"/>
                  </w14:solidFill>
                </w14:textFill>
              </w:rPr>
              <w:t>。</w:t>
            </w:r>
          </w:p>
        </w:tc>
        <w:tc>
          <w:tcPr>
            <w:tcW w:w="736" w:type="pct"/>
            <w:noWrap w:val="0"/>
            <w:vAlign w:val="top"/>
          </w:tcPr>
          <w:p>
            <w:pPr>
              <w:spacing w:before="151" w:line="229" w:lineRule="auto"/>
              <w:ind w:left="232" w:leftChars="0" w:hanging="232" w:hangingChars="115"/>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6"/>
                <w:sz w:val="19"/>
                <w:szCs w:val="19"/>
                <w:highlight w:val="none"/>
                <w14:textFill>
                  <w14:solidFill>
                    <w14:schemeClr w14:val="tx1"/>
                  </w14:solidFill>
                </w14:textFill>
              </w:rPr>
              <w:t>工程范围内行政村的污水收集率在</w:t>
            </w:r>
            <w:r>
              <w:rPr>
                <w:rFonts w:hint="eastAsia" w:ascii="宋体" w:hAnsi="宋体" w:eastAsia="宋体" w:cs="宋体"/>
                <w:color w:val="000000" w:themeColor="text1"/>
                <w:spacing w:val="6"/>
                <w:sz w:val="19"/>
                <w:szCs w:val="19"/>
                <w:highlight w:val="none"/>
                <w:lang w:val="en-US" w:eastAsia="zh-CN"/>
                <w14:textFill>
                  <w14:solidFill>
                    <w14:schemeClr w14:val="tx1"/>
                  </w14:solidFill>
                </w14:textFill>
              </w:rPr>
              <w:t>90</w:t>
            </w:r>
            <w:r>
              <w:rPr>
                <w:rFonts w:ascii="宋体" w:hAnsi="宋体" w:eastAsia="宋体" w:cs="宋体"/>
                <w:color w:val="000000" w:themeColor="text1"/>
                <w:spacing w:val="2"/>
                <w:sz w:val="19"/>
                <w:szCs w:val="19"/>
                <w:highlight w:val="none"/>
                <w14:textFill>
                  <w14:solidFill>
                    <w14:schemeClr w14:val="tx1"/>
                  </w14:solidFill>
                </w14:textFill>
              </w:rPr>
              <w:t>%</w:t>
            </w:r>
            <w:r>
              <w:rPr>
                <w:rFonts w:ascii="宋体" w:hAnsi="宋体" w:eastAsia="宋体" w:cs="宋体"/>
                <w:color w:val="000000" w:themeColor="text1"/>
                <w:spacing w:val="16"/>
                <w:sz w:val="19"/>
                <w:szCs w:val="19"/>
                <w:highlight w:val="none"/>
                <w14:textFill>
                  <w14:solidFill>
                    <w14:schemeClr w14:val="tx1"/>
                  </w14:solidFill>
                </w14:textFill>
              </w:rPr>
              <w:t>(</w:t>
            </w:r>
            <w:r>
              <w:rPr>
                <w:rFonts w:ascii="宋体" w:hAnsi="宋体" w:eastAsia="宋体" w:cs="宋体"/>
                <w:color w:val="000000" w:themeColor="text1"/>
                <w:spacing w:val="13"/>
                <w:sz w:val="19"/>
                <w:szCs w:val="19"/>
                <w:highlight w:val="none"/>
                <w14:textFill>
                  <w14:solidFill>
                    <w14:schemeClr w14:val="tx1"/>
                  </w14:solidFill>
                </w14:textFill>
              </w:rPr>
              <w:t>含) -</w:t>
            </w:r>
            <w:r>
              <w:rPr>
                <w:rFonts w:hint="eastAsia" w:ascii="宋体" w:hAnsi="宋体" w:eastAsia="宋体" w:cs="宋体"/>
                <w:color w:val="000000" w:themeColor="text1"/>
                <w:spacing w:val="13"/>
                <w:sz w:val="19"/>
                <w:szCs w:val="19"/>
                <w:highlight w:val="none"/>
                <w:lang w:val="en-US" w:eastAsia="zh-CN"/>
                <w14:textFill>
                  <w14:solidFill>
                    <w14:schemeClr w14:val="tx1"/>
                  </w14:solidFill>
                </w14:textFill>
              </w:rPr>
              <w:t>95</w:t>
            </w:r>
            <w:r>
              <w:rPr>
                <w:rFonts w:ascii="宋体" w:hAnsi="宋体" w:eastAsia="宋体" w:cs="宋体"/>
                <w:color w:val="000000" w:themeColor="text1"/>
                <w:spacing w:val="13"/>
                <w:sz w:val="19"/>
                <w:szCs w:val="19"/>
                <w:highlight w:val="none"/>
                <w14:textFill>
                  <w14:solidFill>
                    <w14:schemeClr w14:val="tx1"/>
                  </w14:solidFill>
                </w14:textFill>
              </w:rPr>
              <w:t>%之间。</w:t>
            </w:r>
          </w:p>
        </w:tc>
        <w:tc>
          <w:tcPr>
            <w:tcW w:w="731" w:type="pct"/>
            <w:noWrap w:val="0"/>
            <w:vAlign w:val="top"/>
          </w:tcPr>
          <w:p>
            <w:pPr>
              <w:spacing w:before="150" w:line="315" w:lineRule="auto"/>
              <w:ind w:left="357" w:leftChars="0" w:right="129" w:hanging="357" w:hangingChars="172"/>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9"/>
                <w:sz w:val="19"/>
                <w:szCs w:val="19"/>
                <w:highlight w:val="none"/>
                <w14:textFill>
                  <w14:solidFill>
                    <w14:schemeClr w14:val="tx1"/>
                  </w14:solidFill>
                </w14:textFill>
              </w:rPr>
              <w:t>工程范围内站点的污水收集</w:t>
            </w:r>
            <w:r>
              <w:rPr>
                <w:rFonts w:ascii="宋体" w:hAnsi="宋体" w:eastAsia="宋体" w:cs="宋体"/>
                <w:color w:val="000000" w:themeColor="text1"/>
                <w:spacing w:val="8"/>
                <w:sz w:val="19"/>
                <w:szCs w:val="19"/>
                <w:highlight w:val="none"/>
                <w14:textFill>
                  <w14:solidFill>
                    <w14:schemeClr w14:val="tx1"/>
                  </w14:solidFill>
                </w14:textFill>
              </w:rPr>
              <w:t>率</w:t>
            </w:r>
            <w:r>
              <w:rPr>
                <w:rFonts w:hint="eastAsia" w:ascii="宋体" w:hAnsi="宋体" w:eastAsia="宋体" w:cs="宋体"/>
                <w:color w:val="000000" w:themeColor="text1"/>
                <w:spacing w:val="8"/>
                <w:sz w:val="19"/>
                <w:szCs w:val="19"/>
                <w:highlight w:val="none"/>
                <w:lang w:eastAsia="zh-CN"/>
                <w14:textFill>
                  <w14:solidFill>
                    <w14:schemeClr w14:val="tx1"/>
                  </w14:solidFill>
                </w14:textFill>
              </w:rPr>
              <w:t>在</w:t>
            </w:r>
            <w:r>
              <w:rPr>
                <w:rFonts w:hint="eastAsia" w:ascii="宋体" w:hAnsi="宋体" w:eastAsia="宋体" w:cs="宋体"/>
                <w:color w:val="000000" w:themeColor="text1"/>
                <w:spacing w:val="8"/>
                <w:sz w:val="19"/>
                <w:szCs w:val="19"/>
                <w:highlight w:val="none"/>
                <w:lang w:val="en-US" w:eastAsia="zh-CN"/>
                <w14:textFill>
                  <w14:solidFill>
                    <w14:schemeClr w14:val="tx1"/>
                  </w14:solidFill>
                </w14:textFill>
              </w:rPr>
              <w:t>80%</w:t>
            </w:r>
            <w:r>
              <w:rPr>
                <w:rFonts w:ascii="宋体" w:hAnsi="宋体" w:eastAsia="宋体" w:cs="宋体"/>
                <w:color w:val="000000" w:themeColor="text1"/>
                <w:spacing w:val="13"/>
                <w:sz w:val="19"/>
                <w:szCs w:val="19"/>
                <w:highlight w:val="none"/>
                <w14:textFill>
                  <w14:solidFill>
                    <w14:schemeClr w14:val="tx1"/>
                  </w14:solidFill>
                </w14:textFill>
              </w:rPr>
              <w:t>-</w:t>
            </w:r>
            <w:r>
              <w:rPr>
                <w:rFonts w:hint="eastAsia" w:ascii="宋体" w:hAnsi="宋体" w:eastAsia="宋体" w:cs="宋体"/>
                <w:color w:val="000000" w:themeColor="text1"/>
                <w:spacing w:val="8"/>
                <w:sz w:val="19"/>
                <w:szCs w:val="19"/>
                <w:highlight w:val="none"/>
                <w:lang w:val="en-US" w:eastAsia="zh-CN"/>
                <w14:textFill>
                  <w14:solidFill>
                    <w14:schemeClr w14:val="tx1"/>
                  </w14:solidFill>
                </w14:textFill>
              </w:rPr>
              <w:t>90</w:t>
            </w:r>
            <w:r>
              <w:rPr>
                <w:rFonts w:ascii="宋体" w:hAnsi="宋体" w:eastAsia="宋体" w:cs="宋体"/>
                <w:color w:val="000000" w:themeColor="text1"/>
                <w:spacing w:val="8"/>
                <w:sz w:val="19"/>
                <w:szCs w:val="19"/>
                <w:highlight w:val="none"/>
                <w14:textFill>
                  <w14:solidFill>
                    <w14:schemeClr w14:val="tx1"/>
                  </w14:solidFill>
                </w14:textFill>
              </w:rPr>
              <w:t>%</w:t>
            </w:r>
            <w:r>
              <w:rPr>
                <w:rFonts w:hint="eastAsia" w:ascii="宋体" w:hAnsi="宋体" w:eastAsia="宋体" w:cs="宋体"/>
                <w:color w:val="000000" w:themeColor="text1"/>
                <w:spacing w:val="8"/>
                <w:sz w:val="19"/>
                <w:szCs w:val="19"/>
                <w:highlight w:val="none"/>
                <w:lang w:eastAsia="zh-CN"/>
                <w14:textFill>
                  <w14:solidFill>
                    <w14:schemeClr w14:val="tx1"/>
                  </w14:solidFill>
                </w14:textFill>
              </w:rPr>
              <w:t>以下</w:t>
            </w:r>
            <w:r>
              <w:rPr>
                <w:rFonts w:ascii="宋体" w:hAnsi="宋体" w:eastAsia="宋体" w:cs="宋体"/>
                <w:color w:val="000000" w:themeColor="text1"/>
                <w:spacing w:val="8"/>
                <w:sz w:val="19"/>
                <w:szCs w:val="19"/>
                <w:highlight w:val="none"/>
                <w14:textFill>
                  <w14:solidFill>
                    <w14:schemeClr w14:val="tx1"/>
                  </w14:solidFill>
                </w14:textFill>
              </w:rPr>
              <w:t>。</w:t>
            </w:r>
          </w:p>
        </w:tc>
        <w:tc>
          <w:tcPr>
            <w:tcW w:w="571" w:type="pct"/>
            <w:noWrap w:val="0"/>
            <w:vAlign w:val="top"/>
          </w:tcPr>
          <w:p>
            <w:pPr>
              <w:spacing w:before="150" w:line="316" w:lineRule="auto"/>
              <w:ind w:left="-1" w:leftChars="0" w:right="192" w:firstLine="0" w:firstLineChars="0"/>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9"/>
                <w:sz w:val="19"/>
                <w:szCs w:val="19"/>
                <w:highlight w:val="none"/>
                <w14:textFill>
                  <w14:solidFill>
                    <w14:schemeClr w14:val="tx1"/>
                  </w14:solidFill>
                </w14:textFill>
              </w:rPr>
              <w:t>工程范围内站点的的污水收集率</w:t>
            </w:r>
            <w:r>
              <w:rPr>
                <w:rFonts w:hint="eastAsia" w:ascii="宋体" w:hAnsi="宋体" w:eastAsia="宋体" w:cs="宋体"/>
                <w:color w:val="000000" w:themeColor="text1"/>
                <w:spacing w:val="-2"/>
                <w:sz w:val="19"/>
                <w:szCs w:val="19"/>
                <w:highlight w:val="none"/>
                <w:lang w:val="en-US" w:eastAsia="zh-CN"/>
                <w14:textFill>
                  <w14:solidFill>
                    <w14:schemeClr w14:val="tx1"/>
                  </w14:solidFill>
                </w14:textFill>
              </w:rPr>
              <w:t>8</w:t>
            </w:r>
            <w:r>
              <w:rPr>
                <w:rFonts w:ascii="宋体" w:hAnsi="宋体" w:eastAsia="宋体" w:cs="宋体"/>
                <w:color w:val="000000" w:themeColor="text1"/>
                <w:spacing w:val="-2"/>
                <w:sz w:val="19"/>
                <w:szCs w:val="19"/>
                <w:highlight w:val="none"/>
                <w14:textFill>
                  <w14:solidFill>
                    <w14:schemeClr w14:val="tx1"/>
                  </w14:solidFill>
                </w14:textFill>
              </w:rPr>
              <w:t>0%以</w:t>
            </w:r>
            <w:r>
              <w:rPr>
                <w:rFonts w:ascii="宋体" w:hAnsi="宋体" w:eastAsia="宋体" w:cs="宋体"/>
                <w:color w:val="000000" w:themeColor="text1"/>
                <w:spacing w:val="-1"/>
                <w:sz w:val="19"/>
                <w:szCs w:val="19"/>
                <w:highlight w:val="none"/>
                <w14:textFill>
                  <w14:solidFill>
                    <w14:schemeClr w14:val="tx1"/>
                  </w14:solidFill>
                </w14:textFill>
              </w:rPr>
              <w:t>下。</w:t>
            </w:r>
          </w:p>
        </w:tc>
        <w:tc>
          <w:tcPr>
            <w:tcW w:w="491" w:type="pct"/>
            <w:noWrap w:val="0"/>
            <w:vAlign w:val="top"/>
          </w:tcPr>
          <w:p>
            <w:pPr>
              <w:spacing w:before="150" w:line="316" w:lineRule="auto"/>
              <w:ind w:left="-1" w:leftChars="0" w:right="192" w:firstLine="0" w:firstLineChars="0"/>
              <w:rPr>
                <w:rFonts w:ascii="宋体" w:hAnsi="宋体" w:eastAsia="宋体" w:cs="宋体"/>
                <w:color w:val="000000" w:themeColor="text1"/>
                <w:spacing w:val="9"/>
                <w:sz w:val="19"/>
                <w:szCs w:val="19"/>
                <w:highlight w:val="none"/>
                <w14:textFill>
                  <w14:solidFill>
                    <w14:schemeClr w14:val="tx1"/>
                  </w14:solidFill>
                </w14:textFill>
              </w:rPr>
            </w:pP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8" w:type="pct"/>
            <w:noWrap w:val="0"/>
            <w:vAlign w:val="top"/>
          </w:tcPr>
          <w:p>
            <w:pPr>
              <w:spacing w:before="244" w:line="191" w:lineRule="auto"/>
              <w:jc w:val="center"/>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w:t>
            </w:r>
          </w:p>
        </w:tc>
        <w:tc>
          <w:tcPr>
            <w:tcW w:w="533" w:type="pct"/>
            <w:noWrap w:val="0"/>
            <w:vAlign w:val="top"/>
          </w:tcPr>
          <w:p>
            <w:pPr>
              <w:spacing w:before="62" w:line="315" w:lineRule="auto"/>
              <w:ind w:right="107" w:rightChars="0"/>
              <w:jc w:val="left"/>
              <w:rPr>
                <w:rFonts w:ascii="宋体" w:hAnsi="宋体" w:eastAsia="宋体" w:cs="宋体"/>
                <w:color w:val="000000" w:themeColor="text1"/>
                <w:sz w:val="19"/>
                <w:szCs w:val="19"/>
                <w:highlight w:val="none"/>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污水管晴天</w:t>
            </w:r>
            <w:r>
              <w:rPr>
                <w:rFonts w:ascii="宋体" w:hAnsi="宋体" w:eastAsia="宋体" w:cs="宋体"/>
                <w:color w:val="000000" w:themeColor="text1"/>
                <w:spacing w:val="10"/>
                <w:sz w:val="19"/>
                <w:szCs w:val="19"/>
                <w:highlight w:val="none"/>
                <w14:textFill>
                  <w14:solidFill>
                    <w14:schemeClr w14:val="tx1"/>
                  </w14:solidFill>
                </w14:textFill>
              </w:rPr>
              <w:t>水质(接驳</w:t>
            </w:r>
            <w:r>
              <w:rPr>
                <w:rFonts w:ascii="宋体" w:hAnsi="宋体" w:eastAsia="宋体" w:cs="宋体"/>
                <w:color w:val="000000" w:themeColor="text1"/>
                <w:spacing w:val="9"/>
                <w:sz w:val="19"/>
                <w:szCs w:val="19"/>
                <w:highlight w:val="none"/>
                <w14:textFill>
                  <w14:solidFill>
                    <w14:schemeClr w14:val="tx1"/>
                  </w14:solidFill>
                </w14:textFill>
              </w:rPr>
              <w:t>至</w:t>
            </w:r>
            <w:r>
              <w:rPr>
                <w:rFonts w:ascii="宋体" w:hAnsi="宋体" w:eastAsia="宋体" w:cs="宋体"/>
                <w:color w:val="000000" w:themeColor="text1"/>
                <w:spacing w:val="14"/>
                <w:sz w:val="19"/>
                <w:szCs w:val="19"/>
                <w:highlight w:val="none"/>
                <w14:textFill>
                  <w14:solidFill>
                    <w14:schemeClr w14:val="tx1"/>
                  </w14:solidFill>
                </w14:textFill>
              </w:rPr>
              <w:t>市</w:t>
            </w:r>
            <w:r>
              <w:rPr>
                <w:rFonts w:ascii="宋体" w:hAnsi="宋体" w:eastAsia="宋体" w:cs="宋体"/>
                <w:color w:val="000000" w:themeColor="text1"/>
                <w:spacing w:val="9"/>
                <w:sz w:val="19"/>
                <w:szCs w:val="19"/>
                <w:highlight w:val="none"/>
                <w14:textFill>
                  <w14:solidFill>
                    <w14:schemeClr w14:val="tx1"/>
                  </w14:solidFill>
                </w14:textFill>
              </w:rPr>
              <w:t>政</w:t>
            </w:r>
            <w:r>
              <w:rPr>
                <w:rFonts w:ascii="宋体" w:hAnsi="宋体" w:eastAsia="宋体" w:cs="宋体"/>
                <w:color w:val="000000" w:themeColor="text1"/>
                <w:spacing w:val="7"/>
                <w:sz w:val="19"/>
                <w:szCs w:val="19"/>
                <w:highlight w:val="none"/>
                <w14:textFill>
                  <w14:solidFill>
                    <w14:schemeClr w14:val="tx1"/>
                  </w14:solidFill>
                </w14:textFill>
              </w:rPr>
              <w:t>污水系统接驳点水质)</w:t>
            </w:r>
          </w:p>
        </w:tc>
        <w:tc>
          <w:tcPr>
            <w:tcW w:w="360" w:type="pct"/>
            <w:noWrap w:val="0"/>
            <w:vAlign w:val="top"/>
          </w:tcPr>
          <w:p>
            <w:pPr>
              <w:spacing w:line="323" w:lineRule="auto"/>
              <w:jc w:val="center"/>
              <w:rPr>
                <w:rFonts w:ascii="Arial"/>
                <w:color w:val="000000" w:themeColor="text1"/>
                <w:sz w:val="21"/>
                <w:highlight w:val="none"/>
                <w14:textFill>
                  <w14:solidFill>
                    <w14:schemeClr w14:val="tx1"/>
                  </w14:solidFill>
                </w14:textFill>
              </w:rPr>
            </w:pPr>
          </w:p>
          <w:p>
            <w:pPr>
              <w:spacing w:line="324" w:lineRule="auto"/>
              <w:jc w:val="center"/>
              <w:rPr>
                <w:rFonts w:ascii="Arial"/>
                <w:color w:val="000000" w:themeColor="text1"/>
                <w:sz w:val="21"/>
                <w:highlight w:val="none"/>
                <w14:textFill>
                  <w14:solidFill>
                    <w14:schemeClr w14:val="tx1"/>
                  </w14:solidFill>
                </w14:textFill>
              </w:rPr>
            </w:pPr>
          </w:p>
          <w:p>
            <w:pPr>
              <w:spacing w:before="62" w:line="191" w:lineRule="auto"/>
              <w:jc w:val="center"/>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30</w:t>
            </w:r>
          </w:p>
        </w:tc>
        <w:tc>
          <w:tcPr>
            <w:tcW w:w="755" w:type="pct"/>
            <w:noWrap w:val="0"/>
            <w:vAlign w:val="top"/>
          </w:tcPr>
          <w:p>
            <w:pPr>
              <w:spacing w:before="211" w:line="231"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8"/>
                <w:sz w:val="19"/>
                <w:szCs w:val="19"/>
                <w:highlight w:val="none"/>
                <w14:textFill>
                  <w14:solidFill>
                    <w14:schemeClr w14:val="tx1"/>
                  </w14:solidFill>
                </w14:textFill>
              </w:rPr>
              <w:t>水</w:t>
            </w:r>
            <w:r>
              <w:rPr>
                <w:rFonts w:ascii="宋体" w:hAnsi="宋体" w:eastAsia="宋体" w:cs="宋体"/>
                <w:color w:val="000000" w:themeColor="text1"/>
                <w:spacing w:val="16"/>
                <w:sz w:val="19"/>
                <w:szCs w:val="19"/>
                <w:highlight w:val="none"/>
                <w14:textFill>
                  <w14:solidFill>
                    <w14:schemeClr w14:val="tx1"/>
                  </w14:solidFill>
                </w14:textFill>
              </w:rPr>
              <w:t>质</w:t>
            </w:r>
            <w:r>
              <w:rPr>
                <w:rFonts w:ascii="宋体" w:hAnsi="宋体" w:eastAsia="宋体" w:cs="宋体"/>
                <w:color w:val="000000" w:themeColor="text1"/>
                <w:spacing w:val="9"/>
                <w:sz w:val="19"/>
                <w:szCs w:val="19"/>
                <w:highlight w:val="none"/>
                <w14:textFill>
                  <w14:solidFill>
                    <w14:schemeClr w14:val="tx1"/>
                  </w14:solidFill>
                </w14:textFill>
              </w:rPr>
              <w:t xml:space="preserve">指标达到设计值达标率 </w:t>
            </w:r>
            <w:r>
              <w:rPr>
                <w:rFonts w:hint="eastAsia" w:ascii="宋体" w:hAnsi="宋体" w:eastAsia="宋体" w:cs="宋体"/>
                <w:color w:val="000000" w:themeColor="text1"/>
                <w:spacing w:val="9"/>
                <w:sz w:val="19"/>
                <w:szCs w:val="19"/>
                <w:highlight w:val="none"/>
                <w:lang w:val="en-US" w:eastAsia="zh-CN"/>
                <w14:textFill>
                  <w14:solidFill>
                    <w14:schemeClr w14:val="tx1"/>
                  </w14:solidFill>
                </w14:textFill>
              </w:rPr>
              <w:t>10</w:t>
            </w:r>
            <w:r>
              <w:rPr>
                <w:rFonts w:ascii="宋体" w:hAnsi="宋体" w:eastAsia="宋体" w:cs="宋体"/>
                <w:color w:val="000000" w:themeColor="text1"/>
                <w:spacing w:val="9"/>
                <w:sz w:val="19"/>
                <w:szCs w:val="19"/>
                <w:highlight w:val="none"/>
                <w14:textFill>
                  <w14:solidFill>
                    <w14:schemeClr w14:val="tx1"/>
                  </w14:solidFill>
                </w14:textFill>
              </w:rPr>
              <w:t>0%(含) 。</w:t>
            </w:r>
          </w:p>
        </w:tc>
        <w:tc>
          <w:tcPr>
            <w:tcW w:w="736" w:type="pct"/>
            <w:noWrap w:val="0"/>
            <w:vAlign w:val="top"/>
          </w:tcPr>
          <w:p>
            <w:pPr>
              <w:spacing w:before="54" w:line="274" w:lineRule="auto"/>
              <w:ind w:right="127"/>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2"/>
                <w:sz w:val="19"/>
                <w:szCs w:val="19"/>
                <w:highlight w:val="none"/>
                <w14:textFill>
                  <w14:solidFill>
                    <w14:schemeClr w14:val="tx1"/>
                  </w14:solidFill>
                </w14:textFill>
              </w:rPr>
              <w:t>水</w:t>
            </w:r>
            <w:r>
              <w:rPr>
                <w:rFonts w:ascii="宋体" w:hAnsi="宋体" w:eastAsia="宋体" w:cs="宋体"/>
                <w:color w:val="000000" w:themeColor="text1"/>
                <w:spacing w:val="10"/>
                <w:sz w:val="19"/>
                <w:szCs w:val="19"/>
                <w:highlight w:val="none"/>
                <w14:textFill>
                  <w14:solidFill>
                    <w14:schemeClr w14:val="tx1"/>
                  </w14:solidFill>
                </w14:textFill>
              </w:rPr>
              <w:t>质指标达到设计值达标率</w:t>
            </w:r>
            <w:r>
              <w:rPr>
                <w:rFonts w:hint="eastAsia" w:ascii="宋体" w:hAnsi="宋体" w:eastAsia="宋体" w:cs="宋体"/>
                <w:color w:val="000000" w:themeColor="text1"/>
                <w:spacing w:val="10"/>
                <w:sz w:val="19"/>
                <w:szCs w:val="19"/>
                <w:highlight w:val="none"/>
                <w:lang w:val="en-US" w:eastAsia="zh-CN"/>
                <w14:textFill>
                  <w14:solidFill>
                    <w14:schemeClr w14:val="tx1"/>
                  </w14:solidFill>
                </w14:textFill>
              </w:rPr>
              <w:t>90</w:t>
            </w:r>
            <w:r>
              <w:rPr>
                <w:rFonts w:ascii="宋体" w:hAnsi="宋体" w:eastAsia="宋体" w:cs="宋体"/>
                <w:color w:val="000000" w:themeColor="text1"/>
                <w:spacing w:val="10"/>
                <w:sz w:val="19"/>
                <w:szCs w:val="19"/>
                <w:highlight w:val="none"/>
                <w14:textFill>
                  <w14:solidFill>
                    <w14:schemeClr w14:val="tx1"/>
                  </w14:solidFill>
                </w14:textFill>
              </w:rPr>
              <w:t>%(含) 以</w:t>
            </w:r>
            <w:r>
              <w:rPr>
                <w:rFonts w:ascii="宋体" w:hAnsi="宋体" w:eastAsia="宋体" w:cs="宋体"/>
                <w:color w:val="000000" w:themeColor="text1"/>
                <w:sz w:val="19"/>
                <w:szCs w:val="19"/>
                <w:highlight w:val="none"/>
                <w14:textFill>
                  <w14:solidFill>
                    <w14:schemeClr w14:val="tx1"/>
                  </w14:solidFill>
                </w14:textFill>
              </w:rPr>
              <w:t xml:space="preserve"> 上。</w:t>
            </w:r>
          </w:p>
        </w:tc>
        <w:tc>
          <w:tcPr>
            <w:tcW w:w="731" w:type="pct"/>
            <w:noWrap w:val="0"/>
            <w:vAlign w:val="top"/>
          </w:tcPr>
          <w:p>
            <w:pPr>
              <w:spacing w:before="56"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5"/>
                <w:sz w:val="19"/>
                <w:szCs w:val="19"/>
                <w:highlight w:val="none"/>
                <w14:textFill>
                  <w14:solidFill>
                    <w14:schemeClr w14:val="tx1"/>
                  </w14:solidFill>
                </w14:textFill>
              </w:rPr>
              <w:t xml:space="preserve">水质指标达到设计值达标率 </w:t>
            </w:r>
            <w:r>
              <w:rPr>
                <w:rFonts w:hint="eastAsia" w:ascii="宋体" w:hAnsi="宋体" w:eastAsia="宋体" w:cs="宋体"/>
                <w:color w:val="000000" w:themeColor="text1"/>
                <w:spacing w:val="5"/>
                <w:sz w:val="19"/>
                <w:szCs w:val="19"/>
                <w:highlight w:val="none"/>
                <w:lang w:eastAsia="zh-CN"/>
                <w14:textFill>
                  <w14:solidFill>
                    <w14:schemeClr w14:val="tx1"/>
                  </w14:solidFill>
                </w14:textFill>
              </w:rPr>
              <w:t>在</w:t>
            </w:r>
            <w:r>
              <w:rPr>
                <w:rFonts w:hint="eastAsia" w:ascii="宋体" w:hAnsi="宋体" w:eastAsia="宋体" w:cs="宋体"/>
                <w:color w:val="000000" w:themeColor="text1"/>
                <w:spacing w:val="5"/>
                <w:sz w:val="19"/>
                <w:szCs w:val="19"/>
                <w:highlight w:val="none"/>
                <w:lang w:val="en-US" w:eastAsia="zh-CN"/>
                <w14:textFill>
                  <w14:solidFill>
                    <w14:schemeClr w14:val="tx1"/>
                  </w14:solidFill>
                </w14:textFill>
              </w:rPr>
              <w:t>60（含）-90</w:t>
            </w:r>
            <w:r>
              <w:rPr>
                <w:rFonts w:ascii="宋体" w:hAnsi="宋体" w:eastAsia="宋体" w:cs="宋体"/>
                <w:color w:val="000000" w:themeColor="text1"/>
                <w:spacing w:val="5"/>
                <w:sz w:val="19"/>
                <w:szCs w:val="19"/>
                <w:highlight w:val="none"/>
                <w14:textFill>
                  <w14:solidFill>
                    <w14:schemeClr w14:val="tx1"/>
                  </w14:solidFill>
                </w14:textFill>
              </w:rPr>
              <w:t>%</w:t>
            </w:r>
            <w:r>
              <w:rPr>
                <w:rFonts w:hint="eastAsia" w:ascii="宋体" w:hAnsi="宋体" w:eastAsia="宋体" w:cs="宋体"/>
                <w:color w:val="000000" w:themeColor="text1"/>
                <w:spacing w:val="5"/>
                <w:sz w:val="19"/>
                <w:szCs w:val="19"/>
                <w:highlight w:val="none"/>
                <w:lang w:eastAsia="zh-CN"/>
                <w14:textFill>
                  <w14:solidFill>
                    <w14:schemeClr w14:val="tx1"/>
                  </w14:solidFill>
                </w14:textFill>
              </w:rPr>
              <w:t>之间</w:t>
            </w:r>
            <w:r>
              <w:rPr>
                <w:rFonts w:ascii="宋体" w:hAnsi="宋体" w:eastAsia="宋体" w:cs="宋体"/>
                <w:color w:val="000000" w:themeColor="text1"/>
                <w:spacing w:val="17"/>
                <w:sz w:val="19"/>
                <w:szCs w:val="19"/>
                <w:highlight w:val="none"/>
                <w14:textFill>
                  <w14:solidFill>
                    <w14:schemeClr w14:val="tx1"/>
                  </w14:solidFill>
                </w14:textFill>
              </w:rPr>
              <w:t>。</w:t>
            </w:r>
          </w:p>
        </w:tc>
        <w:tc>
          <w:tcPr>
            <w:tcW w:w="571" w:type="pct"/>
            <w:noWrap w:val="0"/>
            <w:vAlign w:val="top"/>
          </w:tcPr>
          <w:p>
            <w:pPr>
              <w:spacing w:before="57" w:line="267" w:lineRule="auto"/>
              <w:ind w:right="212"/>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0"/>
                <w:sz w:val="19"/>
                <w:szCs w:val="19"/>
                <w:highlight w:val="none"/>
                <w14:textFill>
                  <w14:solidFill>
                    <w14:schemeClr w14:val="tx1"/>
                  </w14:solidFill>
                </w14:textFill>
              </w:rPr>
              <w:t>水</w:t>
            </w:r>
            <w:r>
              <w:rPr>
                <w:rFonts w:ascii="宋体" w:hAnsi="宋体" w:eastAsia="宋体" w:cs="宋体"/>
                <w:color w:val="000000" w:themeColor="text1"/>
                <w:spacing w:val="5"/>
                <w:sz w:val="19"/>
                <w:szCs w:val="19"/>
                <w:highlight w:val="none"/>
                <w14:textFill>
                  <w14:solidFill>
                    <w14:schemeClr w14:val="tx1"/>
                  </w14:solidFill>
                </w14:textFill>
              </w:rPr>
              <w:t>质指标达到设计值达标率</w:t>
            </w:r>
            <w:r>
              <w:rPr>
                <w:rFonts w:hint="eastAsia" w:ascii="宋体" w:hAnsi="宋体" w:eastAsia="宋体" w:cs="宋体"/>
                <w:color w:val="000000" w:themeColor="text1"/>
                <w:spacing w:val="5"/>
                <w:sz w:val="19"/>
                <w:szCs w:val="19"/>
                <w:highlight w:val="none"/>
                <w:lang w:val="en-US" w:eastAsia="zh-CN"/>
                <w14:textFill>
                  <w14:solidFill>
                    <w14:schemeClr w14:val="tx1"/>
                  </w14:solidFill>
                </w14:textFill>
              </w:rPr>
              <w:t>60</w:t>
            </w:r>
            <w:r>
              <w:rPr>
                <w:rFonts w:ascii="宋体" w:hAnsi="宋体" w:eastAsia="宋体" w:cs="宋体"/>
                <w:color w:val="000000" w:themeColor="text1"/>
                <w:spacing w:val="5"/>
                <w:sz w:val="19"/>
                <w:szCs w:val="19"/>
                <w:highlight w:val="none"/>
                <w14:textFill>
                  <w14:solidFill>
                    <w14:schemeClr w14:val="tx1"/>
                  </w14:solidFill>
                </w14:textFill>
              </w:rPr>
              <w:t>%以</w:t>
            </w:r>
            <w:r>
              <w:rPr>
                <w:rFonts w:ascii="宋体" w:hAnsi="宋体" w:eastAsia="宋体" w:cs="宋体"/>
                <w:color w:val="000000" w:themeColor="text1"/>
                <w:sz w:val="19"/>
                <w:szCs w:val="19"/>
                <w:highlight w:val="none"/>
                <w14:textFill>
                  <w14:solidFill>
                    <w14:schemeClr w14:val="tx1"/>
                  </w14:solidFill>
                </w14:textFill>
              </w:rPr>
              <w:t xml:space="preserve"> </w:t>
            </w:r>
            <w:r>
              <w:rPr>
                <w:rFonts w:ascii="宋体" w:hAnsi="宋体" w:eastAsia="宋体" w:cs="宋体"/>
                <w:color w:val="000000" w:themeColor="text1"/>
                <w:spacing w:val="-3"/>
                <w:sz w:val="19"/>
                <w:szCs w:val="19"/>
                <w:highlight w:val="none"/>
                <w14:textFill>
                  <w14:solidFill>
                    <w14:schemeClr w14:val="tx1"/>
                  </w14:solidFill>
                </w14:textFill>
              </w:rPr>
              <w:t>下</w:t>
            </w:r>
            <w:r>
              <w:rPr>
                <w:rFonts w:ascii="宋体" w:hAnsi="宋体" w:eastAsia="宋体" w:cs="宋体"/>
                <w:color w:val="000000" w:themeColor="text1"/>
                <w:spacing w:val="-2"/>
                <w:sz w:val="19"/>
                <w:szCs w:val="19"/>
                <w:highlight w:val="none"/>
                <w14:textFill>
                  <w14:solidFill>
                    <w14:schemeClr w14:val="tx1"/>
                  </w14:solidFill>
                </w14:textFill>
              </w:rPr>
              <w:t>。</w:t>
            </w:r>
          </w:p>
        </w:tc>
        <w:tc>
          <w:tcPr>
            <w:tcW w:w="491" w:type="pct"/>
            <w:noWrap w:val="0"/>
            <w:vAlign w:val="top"/>
          </w:tcPr>
          <w:p>
            <w:pPr>
              <w:spacing w:before="57" w:line="267" w:lineRule="auto"/>
              <w:ind w:left="-1" w:leftChars="0" w:right="212" w:firstLine="0" w:firstLineChars="0"/>
              <w:rPr>
                <w:rFonts w:ascii="宋体" w:hAnsi="宋体" w:eastAsia="宋体" w:cs="宋体"/>
                <w:color w:val="000000" w:themeColor="text1"/>
                <w:spacing w:val="10"/>
                <w:sz w:val="19"/>
                <w:szCs w:val="19"/>
                <w:highlight w:val="none"/>
                <w14:textFill>
                  <w14:solidFill>
                    <w14:schemeClr w14:val="tx1"/>
                  </w14:solidFill>
                </w14:textFill>
              </w:rPr>
            </w:pP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8" w:type="pct"/>
            <w:noWrap w:val="0"/>
            <w:vAlign w:val="top"/>
          </w:tcPr>
          <w:p>
            <w:pPr>
              <w:spacing w:before="244" w:line="191" w:lineRule="auto"/>
              <w:jc w:val="center"/>
              <w:rPr>
                <w:rFonts w:hint="eastAsia"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3</w:t>
            </w:r>
          </w:p>
        </w:tc>
        <w:tc>
          <w:tcPr>
            <w:tcW w:w="533" w:type="pct"/>
            <w:noWrap w:val="0"/>
            <w:vAlign w:val="top"/>
          </w:tcPr>
          <w:p>
            <w:pPr>
              <w:spacing w:before="62" w:line="315" w:lineRule="auto"/>
              <w:ind w:left="773" w:leftChars="0" w:right="107" w:rightChars="0" w:hanging="660" w:firstLineChars="0"/>
              <w:jc w:val="left"/>
              <w:rPr>
                <w:rFonts w:ascii="宋体" w:hAnsi="宋体" w:eastAsia="宋体" w:cs="宋体"/>
                <w:color w:val="000000" w:themeColor="text1"/>
                <w:spacing w:val="5"/>
                <w:sz w:val="19"/>
                <w:szCs w:val="19"/>
                <w:highlight w:val="none"/>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污水管雨天水量</w:t>
            </w:r>
          </w:p>
        </w:tc>
        <w:tc>
          <w:tcPr>
            <w:tcW w:w="360" w:type="pct"/>
            <w:noWrap w:val="0"/>
            <w:vAlign w:val="top"/>
          </w:tcPr>
          <w:p>
            <w:pPr>
              <w:spacing w:before="62" w:line="191" w:lineRule="auto"/>
              <w:jc w:val="center"/>
              <w:rPr>
                <w:rFonts w:hint="eastAsia" w:ascii="宋体" w:hAnsi="宋体" w:eastAsia="宋体" w:cs="宋体"/>
                <w:color w:val="000000" w:themeColor="text1"/>
                <w:spacing w:val="-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755" w:type="pct"/>
            <w:noWrap w:val="0"/>
            <w:vAlign w:val="top"/>
          </w:tcPr>
          <w:p>
            <w:pPr>
              <w:spacing w:before="151" w:line="229" w:lineRule="auto"/>
              <w:ind w:left="195" w:leftChars="0" w:hanging="195" w:hangingChars="92"/>
              <w:rPr>
                <w:rFonts w:ascii="宋体" w:hAnsi="宋体" w:eastAsia="宋体" w:cs="宋体"/>
                <w:color w:val="000000" w:themeColor="text1"/>
                <w:spacing w:val="11"/>
                <w:sz w:val="19"/>
                <w:szCs w:val="19"/>
                <w:highlight w:val="none"/>
                <w14:textFill>
                  <w14:solidFill>
                    <w14:schemeClr w14:val="tx1"/>
                  </w14:solidFill>
                </w14:textFill>
              </w:rPr>
            </w:pPr>
            <w:r>
              <w:rPr>
                <w:rFonts w:hint="eastAsia" w:ascii="宋体" w:hAnsi="宋体" w:eastAsia="宋体" w:cs="宋体"/>
                <w:color w:val="000000" w:themeColor="text1"/>
                <w:spacing w:val="11"/>
                <w:sz w:val="19"/>
                <w:szCs w:val="19"/>
                <w:highlight w:val="none"/>
                <w:lang w:eastAsia="zh-CN"/>
                <w14:textFill>
                  <w14:solidFill>
                    <w14:schemeClr w14:val="tx1"/>
                  </w14:solidFill>
                </w14:textFill>
              </w:rPr>
              <w:t>与晴天水量基本一样</w:t>
            </w:r>
          </w:p>
        </w:tc>
        <w:tc>
          <w:tcPr>
            <w:tcW w:w="736" w:type="pct"/>
            <w:noWrap w:val="0"/>
            <w:vAlign w:val="top"/>
          </w:tcPr>
          <w:p>
            <w:pPr>
              <w:spacing w:before="54" w:line="274" w:lineRule="auto"/>
              <w:ind w:right="127"/>
              <w:rPr>
                <w:rFonts w:ascii="宋体" w:hAnsi="宋体" w:eastAsia="宋体" w:cs="宋体"/>
                <w:color w:val="000000" w:themeColor="text1"/>
                <w:spacing w:val="12"/>
                <w:sz w:val="19"/>
                <w:szCs w:val="19"/>
                <w:highlight w:val="none"/>
                <w14:textFill>
                  <w14:solidFill>
                    <w14:schemeClr w14:val="tx1"/>
                  </w14:solidFill>
                </w14:textFill>
              </w:rPr>
            </w:pPr>
            <w:r>
              <w:rPr>
                <w:rFonts w:hint="eastAsia" w:ascii="宋体" w:hAnsi="宋体" w:eastAsia="宋体" w:cs="宋体"/>
                <w:color w:val="000000" w:themeColor="text1"/>
                <w:spacing w:val="11"/>
                <w:sz w:val="19"/>
                <w:szCs w:val="19"/>
                <w:highlight w:val="none"/>
                <w:lang w:eastAsia="zh-CN"/>
                <w14:textFill>
                  <w14:solidFill>
                    <w14:schemeClr w14:val="tx1"/>
                  </w14:solidFill>
                </w14:textFill>
              </w:rPr>
              <w:t>比晴天水量稍有增加</w:t>
            </w:r>
          </w:p>
        </w:tc>
        <w:tc>
          <w:tcPr>
            <w:tcW w:w="731" w:type="pct"/>
            <w:noWrap w:val="0"/>
            <w:vAlign w:val="top"/>
          </w:tcPr>
          <w:p>
            <w:pPr>
              <w:spacing w:before="74" w:line="231" w:lineRule="auto"/>
              <w:ind w:left="364" w:leftChars="0" w:hanging="364" w:hangingChars="172"/>
              <w:rPr>
                <w:rFonts w:hint="eastAsia" w:ascii="宋体" w:hAnsi="宋体" w:eastAsia="宋体" w:cs="宋体"/>
                <w:color w:val="000000" w:themeColor="text1"/>
                <w:spacing w:val="18"/>
                <w:sz w:val="19"/>
                <w:szCs w:val="19"/>
                <w:highlight w:val="none"/>
                <w:lang w:eastAsia="zh-CN"/>
                <w14:textFill>
                  <w14:solidFill>
                    <w14:schemeClr w14:val="tx1"/>
                  </w14:solidFill>
                </w14:textFill>
              </w:rPr>
            </w:pPr>
            <w:r>
              <w:rPr>
                <w:rFonts w:hint="eastAsia" w:ascii="宋体" w:hAnsi="宋体" w:eastAsia="宋体" w:cs="宋体"/>
                <w:color w:val="000000" w:themeColor="text1"/>
                <w:spacing w:val="11"/>
                <w:sz w:val="19"/>
                <w:szCs w:val="19"/>
                <w:highlight w:val="none"/>
                <w:lang w:eastAsia="zh-CN"/>
                <w14:textFill>
                  <w14:solidFill>
                    <w14:schemeClr w14:val="tx1"/>
                  </w14:solidFill>
                </w14:textFill>
              </w:rPr>
              <w:t>比晴天水量增加较多</w:t>
            </w:r>
          </w:p>
        </w:tc>
        <w:tc>
          <w:tcPr>
            <w:tcW w:w="57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发生雨天污水管冒溢。</w:t>
            </w: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8" w:type="pct"/>
            <w:noWrap w:val="0"/>
            <w:vAlign w:val="top"/>
          </w:tcPr>
          <w:p>
            <w:pPr>
              <w:spacing w:before="244" w:line="191" w:lineRule="auto"/>
              <w:jc w:val="center"/>
              <w:rPr>
                <w:rFonts w:hint="eastAsia"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4</w:t>
            </w:r>
          </w:p>
        </w:tc>
        <w:tc>
          <w:tcPr>
            <w:tcW w:w="533" w:type="pct"/>
            <w:noWrap w:val="0"/>
            <w:vAlign w:val="top"/>
          </w:tcPr>
          <w:p>
            <w:pPr>
              <w:spacing w:before="62" w:line="315" w:lineRule="auto"/>
              <w:ind w:left="773" w:leftChars="0" w:right="107" w:rightChars="0" w:hanging="660" w:firstLineChars="0"/>
              <w:jc w:val="left"/>
              <w:rPr>
                <w:rFonts w:ascii="宋体" w:hAnsi="宋体" w:eastAsia="宋体" w:cs="宋体"/>
                <w:color w:val="000000" w:themeColor="text1"/>
                <w:spacing w:val="5"/>
                <w:sz w:val="19"/>
                <w:szCs w:val="19"/>
                <w:highlight w:val="none"/>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雨水管水量</w:t>
            </w:r>
          </w:p>
        </w:tc>
        <w:tc>
          <w:tcPr>
            <w:tcW w:w="360" w:type="pct"/>
            <w:noWrap w:val="0"/>
            <w:vAlign w:val="top"/>
          </w:tcPr>
          <w:p>
            <w:pPr>
              <w:spacing w:before="62" w:line="191" w:lineRule="auto"/>
              <w:jc w:val="center"/>
              <w:rPr>
                <w:rFonts w:hint="eastAsia" w:ascii="宋体" w:hAnsi="宋体" w:eastAsia="宋体" w:cs="宋体"/>
                <w:color w:val="000000" w:themeColor="text1"/>
                <w:spacing w:val="-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20</w:t>
            </w:r>
          </w:p>
        </w:tc>
        <w:tc>
          <w:tcPr>
            <w:tcW w:w="755" w:type="pct"/>
            <w:noWrap w:val="0"/>
            <w:vAlign w:val="top"/>
          </w:tcPr>
          <w:p>
            <w:pPr>
              <w:spacing w:before="151" w:line="229" w:lineRule="auto"/>
              <w:rPr>
                <w:rFonts w:ascii="宋体" w:hAnsi="宋体" w:eastAsia="宋体" w:cs="宋体"/>
                <w:color w:val="000000" w:themeColor="text1"/>
                <w:spacing w:val="11"/>
                <w:sz w:val="19"/>
                <w:szCs w:val="19"/>
                <w:highlight w:val="none"/>
                <w14:textFill>
                  <w14:solidFill>
                    <w14:schemeClr w14:val="tx1"/>
                  </w14:solidFill>
                </w14:textFill>
              </w:rPr>
            </w:pPr>
            <w:r>
              <w:rPr>
                <w:rFonts w:hint="eastAsia" w:ascii="宋体" w:hAnsi="宋体" w:eastAsia="宋体" w:cs="宋体"/>
                <w:color w:val="000000" w:themeColor="text1"/>
                <w:spacing w:val="11"/>
                <w:sz w:val="19"/>
                <w:szCs w:val="19"/>
                <w:highlight w:val="none"/>
                <w:lang w:eastAsia="zh-CN"/>
                <w14:textFill>
                  <w14:solidFill>
                    <w14:schemeClr w14:val="tx1"/>
                  </w14:solidFill>
                </w14:textFill>
              </w:rPr>
              <w:t>晴天雨水管网没有水；雨天雨水管网的水与降雨大小匹配。</w:t>
            </w:r>
          </w:p>
        </w:tc>
        <w:tc>
          <w:tcPr>
            <w:tcW w:w="736" w:type="pct"/>
            <w:noWrap w:val="0"/>
            <w:vAlign w:val="top"/>
          </w:tcPr>
          <w:p>
            <w:pPr>
              <w:spacing w:before="54" w:line="274" w:lineRule="auto"/>
              <w:ind w:left="246" w:leftChars="0" w:right="127" w:hanging="246" w:hangingChars="115"/>
              <w:rPr>
                <w:rFonts w:ascii="宋体" w:hAnsi="宋体" w:eastAsia="宋体" w:cs="宋体"/>
                <w:color w:val="000000" w:themeColor="text1"/>
                <w:spacing w:val="12"/>
                <w:sz w:val="19"/>
                <w:szCs w:val="19"/>
                <w:highlight w:val="none"/>
                <w14:textFill>
                  <w14:solidFill>
                    <w14:schemeClr w14:val="tx1"/>
                  </w14:solidFill>
                </w14:textFill>
              </w:rPr>
            </w:pPr>
          </w:p>
        </w:tc>
        <w:tc>
          <w:tcPr>
            <w:tcW w:w="731" w:type="pct"/>
            <w:noWrap w:val="0"/>
            <w:vAlign w:val="top"/>
          </w:tcPr>
          <w:p>
            <w:pPr>
              <w:spacing w:before="74" w:line="231" w:lineRule="auto"/>
              <w:ind w:left="388" w:leftChars="0" w:hanging="388" w:hangingChars="172"/>
              <w:rPr>
                <w:rFonts w:ascii="宋体" w:hAnsi="宋体" w:eastAsia="宋体" w:cs="宋体"/>
                <w:color w:val="000000" w:themeColor="text1"/>
                <w:spacing w:val="18"/>
                <w:sz w:val="19"/>
                <w:szCs w:val="19"/>
                <w:highlight w:val="none"/>
                <w14:textFill>
                  <w14:solidFill>
                    <w14:schemeClr w14:val="tx1"/>
                  </w14:solidFill>
                </w14:textFill>
              </w:rPr>
            </w:pPr>
          </w:p>
        </w:tc>
        <w:tc>
          <w:tcPr>
            <w:tcW w:w="57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r>
              <w:rPr>
                <w:rFonts w:hint="eastAsia" w:ascii="宋体" w:hAnsi="宋体" w:eastAsia="宋体" w:cs="宋体"/>
                <w:color w:val="000000" w:themeColor="text1"/>
                <w:spacing w:val="10"/>
                <w:sz w:val="19"/>
                <w:szCs w:val="19"/>
                <w:highlight w:val="none"/>
                <w:lang w:eastAsia="zh-CN"/>
                <w14:textFill>
                  <w14:solidFill>
                    <w14:schemeClr w14:val="tx1"/>
                  </w14:solidFill>
                </w14:textFill>
              </w:rPr>
              <w:t>晴天雨水管网有明显水流、有异味。</w:t>
            </w: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c>
          <w:tcPr>
            <w:tcW w:w="491" w:type="pct"/>
            <w:noWrap w:val="0"/>
            <w:vAlign w:val="top"/>
          </w:tcPr>
          <w:p>
            <w:pPr>
              <w:spacing w:before="57" w:line="267" w:lineRule="auto"/>
              <w:ind w:left="-1" w:leftChars="0" w:right="212" w:firstLine="0" w:firstLineChars="0"/>
              <w:rPr>
                <w:rFonts w:hint="eastAsia" w:ascii="宋体" w:hAnsi="宋体" w:eastAsia="宋体" w:cs="宋体"/>
                <w:color w:val="000000" w:themeColor="text1"/>
                <w:spacing w:val="10"/>
                <w:sz w:val="19"/>
                <w:szCs w:val="19"/>
                <w:highlight w:val="none"/>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328" w:type="pct"/>
            <w:noWrap w:val="0"/>
            <w:vAlign w:val="top"/>
          </w:tcPr>
          <w:p>
            <w:pPr>
              <w:spacing w:line="277" w:lineRule="auto"/>
              <w:jc w:val="center"/>
              <w:rPr>
                <w:rFonts w:ascii="Arial"/>
                <w:color w:val="000000" w:themeColor="text1"/>
                <w:sz w:val="21"/>
                <w:highlight w:val="none"/>
                <w14:textFill>
                  <w14:solidFill>
                    <w14:schemeClr w14:val="tx1"/>
                  </w14:solidFill>
                </w14:textFill>
              </w:rPr>
            </w:pPr>
          </w:p>
          <w:p>
            <w:pPr>
              <w:spacing w:before="62" w:line="191" w:lineRule="auto"/>
              <w:jc w:val="center"/>
              <w:rPr>
                <w:rFonts w:hint="eastAsia" w:ascii="宋体" w:hAnsi="宋体" w:eastAsia="宋体" w:cs="宋体"/>
                <w:color w:val="000000" w:themeColor="text1"/>
                <w:sz w:val="19"/>
                <w:szCs w:val="19"/>
                <w:highlight w:val="none"/>
                <w:lang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5</w:t>
            </w:r>
          </w:p>
        </w:tc>
        <w:tc>
          <w:tcPr>
            <w:tcW w:w="533" w:type="pct"/>
            <w:noWrap w:val="0"/>
            <w:vAlign w:val="top"/>
          </w:tcPr>
          <w:p>
            <w:pPr>
              <w:spacing w:line="261" w:lineRule="auto"/>
              <w:rPr>
                <w:rFonts w:ascii="Arial"/>
                <w:color w:val="000000" w:themeColor="text1"/>
                <w:sz w:val="21"/>
                <w:highlight w:val="none"/>
                <w14:textFill>
                  <w14:solidFill>
                    <w14:schemeClr w14:val="tx1"/>
                  </w14:solidFill>
                </w14:textFill>
              </w:rPr>
            </w:pPr>
          </w:p>
          <w:p>
            <w:pPr>
              <w:spacing w:line="261" w:lineRule="auto"/>
              <w:rPr>
                <w:rFonts w:ascii="Arial"/>
                <w:color w:val="000000" w:themeColor="text1"/>
                <w:sz w:val="21"/>
                <w:highlight w:val="none"/>
                <w14:textFill>
                  <w14:solidFill>
                    <w14:schemeClr w14:val="tx1"/>
                  </w14:solidFill>
                </w14:textFill>
              </w:rPr>
            </w:pPr>
          </w:p>
          <w:p>
            <w:pPr>
              <w:spacing w:before="62" w:line="230" w:lineRule="auto"/>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2"/>
                <w:sz w:val="19"/>
                <w:szCs w:val="19"/>
                <w:highlight w:val="none"/>
                <w14:textFill>
                  <w14:solidFill>
                    <w14:schemeClr w14:val="tx1"/>
                  </w14:solidFill>
                </w14:textFill>
              </w:rPr>
              <w:t>信</w:t>
            </w:r>
            <w:r>
              <w:rPr>
                <w:rFonts w:ascii="宋体" w:hAnsi="宋体" w:eastAsia="宋体" w:cs="宋体"/>
                <w:color w:val="000000" w:themeColor="text1"/>
                <w:spacing w:val="8"/>
                <w:sz w:val="19"/>
                <w:szCs w:val="19"/>
                <w:highlight w:val="none"/>
                <w14:textFill>
                  <w14:solidFill>
                    <w14:schemeClr w14:val="tx1"/>
                  </w14:solidFill>
                </w14:textFill>
              </w:rPr>
              <w:t>息化建设</w:t>
            </w:r>
          </w:p>
        </w:tc>
        <w:tc>
          <w:tcPr>
            <w:tcW w:w="360" w:type="pct"/>
            <w:noWrap w:val="0"/>
            <w:vAlign w:val="top"/>
          </w:tcPr>
          <w:p>
            <w:pPr>
              <w:spacing w:line="277" w:lineRule="auto"/>
              <w:rPr>
                <w:rFonts w:ascii="Arial"/>
                <w:color w:val="000000" w:themeColor="text1"/>
                <w:sz w:val="21"/>
                <w:highlight w:val="none"/>
                <w14:textFill>
                  <w14:solidFill>
                    <w14:schemeClr w14:val="tx1"/>
                  </w14:solidFill>
                </w14:textFill>
              </w:rPr>
            </w:pPr>
          </w:p>
          <w:p>
            <w:pPr>
              <w:spacing w:before="62" w:line="190" w:lineRule="auto"/>
              <w:ind w:left="749"/>
              <w:rPr>
                <w:rFonts w:hint="default" w:ascii="宋体" w:hAnsi="宋体" w:eastAsia="宋体" w:cs="宋体"/>
                <w:color w:val="000000" w:themeColor="text1"/>
                <w:sz w:val="19"/>
                <w:szCs w:val="19"/>
                <w:highlight w:val="none"/>
                <w:lang w:val="en-US" w:eastAsia="zh-CN"/>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10</w:t>
            </w:r>
          </w:p>
        </w:tc>
        <w:tc>
          <w:tcPr>
            <w:tcW w:w="755" w:type="pct"/>
            <w:noWrap w:val="0"/>
            <w:vAlign w:val="top"/>
          </w:tcPr>
          <w:p>
            <w:pPr>
              <w:spacing w:before="151" w:line="229" w:lineRule="auto"/>
              <w:ind w:left="13" w:leftChars="6" w:firstLine="205" w:firstLineChars="97"/>
              <w:rPr>
                <w:rFonts w:hint="eastAsia" w:ascii="宋体" w:hAnsi="宋体" w:eastAsia="宋体" w:cs="宋体"/>
                <w:color w:val="000000" w:themeColor="text1"/>
                <w:sz w:val="19"/>
                <w:szCs w:val="19"/>
                <w:highlight w:val="none"/>
                <w:lang w:eastAsia="zh-CN"/>
                <w14:textFill>
                  <w14:solidFill>
                    <w14:schemeClr w14:val="tx1"/>
                  </w14:solidFill>
                </w14:textFill>
              </w:rPr>
            </w:pPr>
            <w:r>
              <w:rPr>
                <w:rFonts w:ascii="宋体" w:hAnsi="宋体" w:eastAsia="宋体" w:cs="宋体"/>
                <w:color w:val="000000" w:themeColor="text1"/>
                <w:spacing w:val="11"/>
                <w:sz w:val="19"/>
                <w:szCs w:val="19"/>
                <w:highlight w:val="none"/>
                <w14:textFill>
                  <w14:solidFill>
                    <w14:schemeClr w14:val="tx1"/>
                  </w14:solidFill>
                </w14:textFill>
              </w:rPr>
              <w:t>水量、水质、视频设施建设完备，数据有效回传至总控中心，数据失真率≤5%</w:t>
            </w:r>
            <w:r>
              <w:rPr>
                <w:rFonts w:hint="eastAsia" w:ascii="宋体" w:hAnsi="宋体" w:eastAsia="宋体" w:cs="宋体"/>
                <w:color w:val="000000" w:themeColor="text1"/>
                <w:spacing w:val="11"/>
                <w:sz w:val="19"/>
                <w:szCs w:val="19"/>
                <w:highlight w:val="none"/>
                <w:lang w:eastAsia="zh-CN"/>
                <w14:textFill>
                  <w14:solidFill>
                    <w14:schemeClr w14:val="tx1"/>
                  </w14:solidFill>
                </w14:textFill>
              </w:rPr>
              <w:t>。</w:t>
            </w:r>
          </w:p>
        </w:tc>
        <w:tc>
          <w:tcPr>
            <w:tcW w:w="736" w:type="pct"/>
            <w:noWrap w:val="0"/>
            <w:vAlign w:val="top"/>
          </w:tcPr>
          <w:p>
            <w:pPr>
              <w:spacing w:before="275" w:line="230" w:lineRule="auto"/>
              <w:ind w:left="0" w:leftChars="0" w:firstLine="218" w:firstLineChars="103"/>
              <w:rPr>
                <w:rFonts w:hint="eastAsia" w:ascii="宋体" w:hAnsi="宋体" w:eastAsia="宋体" w:cs="宋体"/>
                <w:color w:val="000000" w:themeColor="text1"/>
                <w:sz w:val="19"/>
                <w:szCs w:val="19"/>
                <w:highlight w:val="none"/>
                <w:lang w:eastAsia="zh-CN"/>
                <w14:textFill>
                  <w14:solidFill>
                    <w14:schemeClr w14:val="tx1"/>
                  </w14:solidFill>
                </w14:textFill>
              </w:rPr>
            </w:pPr>
            <w:r>
              <w:rPr>
                <w:rFonts w:ascii="宋体" w:hAnsi="宋体" w:eastAsia="宋体" w:cs="宋体"/>
                <w:color w:val="000000" w:themeColor="text1"/>
                <w:spacing w:val="11"/>
                <w:sz w:val="19"/>
                <w:szCs w:val="19"/>
                <w:highlight w:val="none"/>
                <w14:textFill>
                  <w14:solidFill>
                    <w14:schemeClr w14:val="tx1"/>
                  </w14:solidFill>
                </w14:textFill>
              </w:rPr>
              <w:t>水量、水质、视频设施建设完备，数据有效回传至总控中心，5%≤数据失真率≤10%</w:t>
            </w:r>
            <w:r>
              <w:rPr>
                <w:rFonts w:hint="eastAsia" w:ascii="宋体" w:hAnsi="宋体" w:eastAsia="宋体" w:cs="宋体"/>
                <w:color w:val="000000" w:themeColor="text1"/>
                <w:spacing w:val="11"/>
                <w:sz w:val="19"/>
                <w:szCs w:val="19"/>
                <w:highlight w:val="none"/>
                <w:lang w:eastAsia="zh-CN"/>
                <w14:textFill>
                  <w14:solidFill>
                    <w14:schemeClr w14:val="tx1"/>
                  </w14:solidFill>
                </w14:textFill>
              </w:rPr>
              <w:t>。</w:t>
            </w:r>
          </w:p>
        </w:tc>
        <w:tc>
          <w:tcPr>
            <w:tcW w:w="731" w:type="pct"/>
            <w:noWrap w:val="0"/>
            <w:vAlign w:val="top"/>
          </w:tcPr>
          <w:p>
            <w:pPr>
              <w:spacing w:before="276" w:line="303" w:lineRule="auto"/>
              <w:ind w:left="0" w:leftChars="0" w:right="52" w:firstLine="219" w:firstLineChars="111"/>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4"/>
                <w:sz w:val="19"/>
                <w:szCs w:val="19"/>
                <w:highlight w:val="none"/>
                <w14:textFill>
                  <w14:solidFill>
                    <w14:schemeClr w14:val="tx1"/>
                  </w14:solidFill>
                </w14:textFill>
              </w:rPr>
              <w:t>水</w:t>
            </w:r>
            <w:r>
              <w:rPr>
                <w:rFonts w:ascii="宋体" w:hAnsi="宋体" w:eastAsia="宋体" w:cs="宋体"/>
                <w:color w:val="000000" w:themeColor="text1"/>
                <w:spacing w:val="3"/>
                <w:sz w:val="19"/>
                <w:szCs w:val="19"/>
                <w:highlight w:val="none"/>
                <w14:textFill>
                  <w14:solidFill>
                    <w14:schemeClr w14:val="tx1"/>
                  </w14:solidFill>
                </w14:textFill>
              </w:rPr>
              <w:t>量</w:t>
            </w:r>
            <w:r>
              <w:rPr>
                <w:rFonts w:ascii="宋体" w:hAnsi="宋体" w:eastAsia="宋体" w:cs="宋体"/>
                <w:color w:val="000000" w:themeColor="text1"/>
                <w:spacing w:val="2"/>
                <w:sz w:val="19"/>
                <w:szCs w:val="19"/>
                <w:highlight w:val="none"/>
                <w14:textFill>
                  <w14:solidFill>
                    <w14:schemeClr w14:val="tx1"/>
                  </w14:solidFill>
                </w14:textFill>
              </w:rPr>
              <w:t>、水质、视频设施建设完备，</w:t>
            </w:r>
            <w:r>
              <w:rPr>
                <w:rFonts w:ascii="宋体" w:hAnsi="宋体" w:eastAsia="宋体" w:cs="宋体"/>
                <w:color w:val="000000" w:themeColor="text1"/>
                <w:sz w:val="19"/>
                <w:szCs w:val="19"/>
                <w:highlight w:val="none"/>
                <w14:textFill>
                  <w14:solidFill>
                    <w14:schemeClr w14:val="tx1"/>
                  </w14:solidFill>
                </w14:textFill>
              </w:rPr>
              <w:t xml:space="preserve"> </w:t>
            </w:r>
            <w:r>
              <w:rPr>
                <w:rFonts w:ascii="宋体" w:hAnsi="宋体" w:eastAsia="宋体" w:cs="宋体"/>
                <w:color w:val="000000" w:themeColor="text1"/>
                <w:spacing w:val="13"/>
                <w:sz w:val="19"/>
                <w:szCs w:val="19"/>
                <w:highlight w:val="none"/>
                <w14:textFill>
                  <w14:solidFill>
                    <w14:schemeClr w14:val="tx1"/>
                  </w14:solidFill>
                </w14:textFill>
              </w:rPr>
              <w:t>数</w:t>
            </w:r>
            <w:r>
              <w:rPr>
                <w:rFonts w:ascii="宋体" w:hAnsi="宋体" w:eastAsia="宋体" w:cs="宋体"/>
                <w:color w:val="000000" w:themeColor="text1"/>
                <w:spacing w:val="8"/>
                <w:sz w:val="19"/>
                <w:szCs w:val="19"/>
                <w:highlight w:val="none"/>
                <w14:textFill>
                  <w14:solidFill>
                    <w14:schemeClr w14:val="tx1"/>
                  </w14:solidFill>
                </w14:textFill>
              </w:rPr>
              <w:t>据有效回传至总控中心，10%</w:t>
            </w:r>
            <w:r>
              <w:rPr>
                <w:rFonts w:ascii="宋体" w:hAnsi="宋体" w:eastAsia="宋体" w:cs="宋体"/>
                <w:color w:val="000000" w:themeColor="text1"/>
                <w:spacing w:val="9"/>
                <w:sz w:val="19"/>
                <w:szCs w:val="19"/>
                <w:highlight w:val="none"/>
                <w14:textFill>
                  <w14:solidFill>
                    <w14:schemeClr w14:val="tx1"/>
                  </w14:solidFill>
                </w14:textFill>
              </w:rPr>
              <w:t>≤</w:t>
            </w:r>
            <w:r>
              <w:rPr>
                <w:rFonts w:ascii="宋体" w:hAnsi="宋体" w:eastAsia="宋体" w:cs="宋体"/>
                <w:color w:val="000000" w:themeColor="text1"/>
                <w:spacing w:val="6"/>
                <w:sz w:val="19"/>
                <w:szCs w:val="19"/>
                <w:highlight w:val="none"/>
                <w14:textFill>
                  <w14:solidFill>
                    <w14:schemeClr w14:val="tx1"/>
                  </w14:solidFill>
                </w14:textFill>
              </w:rPr>
              <w:t>数据失真率≤15%</w:t>
            </w:r>
          </w:p>
        </w:tc>
        <w:tc>
          <w:tcPr>
            <w:tcW w:w="571" w:type="pct"/>
            <w:noWrap w:val="0"/>
            <w:vAlign w:val="top"/>
          </w:tcPr>
          <w:p>
            <w:pPr>
              <w:spacing w:before="275" w:line="230" w:lineRule="auto"/>
              <w:ind w:left="0" w:leftChars="0" w:firstLine="220" w:firstLineChars="103"/>
              <w:rPr>
                <w:rFonts w:ascii="宋体" w:hAnsi="宋体" w:eastAsia="宋体" w:cs="宋体"/>
                <w:color w:val="000000" w:themeColor="text1"/>
                <w:sz w:val="19"/>
                <w:szCs w:val="19"/>
                <w:highlight w:val="none"/>
                <w14:textFill>
                  <w14:solidFill>
                    <w14:schemeClr w14:val="tx1"/>
                  </w14:solidFill>
                </w14:textFill>
              </w:rPr>
            </w:pPr>
            <w:r>
              <w:rPr>
                <w:rFonts w:ascii="宋体" w:hAnsi="宋体" w:eastAsia="宋体" w:cs="宋体"/>
                <w:color w:val="000000" w:themeColor="text1"/>
                <w:spacing w:val="12"/>
                <w:sz w:val="19"/>
                <w:szCs w:val="19"/>
                <w:highlight w:val="none"/>
                <w14:textFill>
                  <w14:solidFill>
                    <w14:schemeClr w14:val="tx1"/>
                  </w14:solidFill>
                </w14:textFill>
              </w:rPr>
              <w:t>水</w:t>
            </w:r>
            <w:r>
              <w:rPr>
                <w:rFonts w:ascii="宋体" w:hAnsi="宋体" w:eastAsia="宋体" w:cs="宋体"/>
                <w:color w:val="000000" w:themeColor="text1"/>
                <w:spacing w:val="11"/>
                <w:sz w:val="19"/>
                <w:szCs w:val="19"/>
                <w:highlight w:val="none"/>
                <w14:textFill>
                  <w14:solidFill>
                    <w14:schemeClr w14:val="tx1"/>
                  </w14:solidFill>
                </w14:textFill>
              </w:rPr>
              <w:t>量</w:t>
            </w:r>
            <w:r>
              <w:rPr>
                <w:rFonts w:ascii="宋体" w:hAnsi="宋体" w:eastAsia="宋体" w:cs="宋体"/>
                <w:color w:val="000000" w:themeColor="text1"/>
                <w:spacing w:val="6"/>
                <w:sz w:val="19"/>
                <w:szCs w:val="19"/>
                <w:highlight w:val="none"/>
                <w14:textFill>
                  <w14:solidFill>
                    <w14:schemeClr w14:val="tx1"/>
                  </w14:solidFill>
                </w14:textFill>
              </w:rPr>
              <w:t>、水质、视频设施建设完备，数</w:t>
            </w:r>
            <w:r>
              <w:rPr>
                <w:rFonts w:ascii="宋体" w:hAnsi="宋体" w:eastAsia="宋体" w:cs="宋体"/>
                <w:color w:val="000000" w:themeColor="text1"/>
                <w:spacing w:val="7"/>
                <w:sz w:val="19"/>
                <w:szCs w:val="19"/>
                <w:highlight w:val="none"/>
                <w14:textFill>
                  <w14:solidFill>
                    <w14:schemeClr w14:val="tx1"/>
                  </w14:solidFill>
                </w14:textFill>
              </w:rPr>
              <w:t>据有效回传至总控中心，数据失真</w:t>
            </w:r>
            <w:r>
              <w:rPr>
                <w:rFonts w:ascii="宋体" w:hAnsi="宋体" w:eastAsia="宋体" w:cs="宋体"/>
                <w:color w:val="000000" w:themeColor="text1"/>
                <w:spacing w:val="4"/>
                <w:sz w:val="19"/>
                <w:szCs w:val="19"/>
                <w:highlight w:val="none"/>
                <w14:textFill>
                  <w14:solidFill>
                    <w14:schemeClr w14:val="tx1"/>
                  </w14:solidFill>
                </w14:textFill>
              </w:rPr>
              <w:t>率</w:t>
            </w:r>
            <w:r>
              <w:rPr>
                <w:rFonts w:ascii="宋体" w:hAnsi="宋体" w:eastAsia="宋体" w:cs="宋体"/>
                <w:color w:val="000000" w:themeColor="text1"/>
                <w:spacing w:val="-2"/>
                <w:sz w:val="19"/>
                <w:szCs w:val="19"/>
                <w:highlight w:val="none"/>
                <w14:textFill>
                  <w14:solidFill>
                    <w14:schemeClr w14:val="tx1"/>
                  </w14:solidFill>
                </w14:textFill>
              </w:rPr>
              <w:t>＞</w:t>
            </w:r>
            <w:r>
              <w:rPr>
                <w:rFonts w:ascii="宋体" w:hAnsi="宋体" w:eastAsia="宋体" w:cs="宋体"/>
                <w:color w:val="000000" w:themeColor="text1"/>
                <w:spacing w:val="-1"/>
                <w:sz w:val="19"/>
                <w:szCs w:val="19"/>
                <w:highlight w:val="none"/>
                <w14:textFill>
                  <w14:solidFill>
                    <w14:schemeClr w14:val="tx1"/>
                  </w14:solidFill>
                </w14:textFill>
              </w:rPr>
              <w:t>15%</w:t>
            </w:r>
          </w:p>
        </w:tc>
        <w:tc>
          <w:tcPr>
            <w:tcW w:w="491" w:type="pct"/>
            <w:noWrap w:val="0"/>
            <w:vAlign w:val="top"/>
          </w:tcPr>
          <w:p>
            <w:pPr>
              <w:spacing w:before="275" w:line="230" w:lineRule="auto"/>
              <w:ind w:left="0" w:leftChars="0" w:firstLine="220" w:firstLineChars="103"/>
              <w:rPr>
                <w:rFonts w:ascii="宋体" w:hAnsi="宋体" w:eastAsia="宋体" w:cs="宋体"/>
                <w:color w:val="000000" w:themeColor="text1"/>
                <w:spacing w:val="12"/>
                <w:sz w:val="19"/>
                <w:szCs w:val="19"/>
                <w:highlight w:val="none"/>
                <w14:textFill>
                  <w14:solidFill>
                    <w14:schemeClr w14:val="tx1"/>
                  </w14:solidFill>
                </w14:textFill>
              </w:rPr>
            </w:pPr>
          </w:p>
        </w:tc>
        <w:tc>
          <w:tcPr>
            <w:tcW w:w="491" w:type="pct"/>
            <w:noWrap w:val="0"/>
            <w:vAlign w:val="top"/>
          </w:tcPr>
          <w:p>
            <w:pPr>
              <w:spacing w:before="275" w:line="230" w:lineRule="auto"/>
              <w:ind w:left="0" w:leftChars="0" w:firstLine="220" w:firstLineChars="103"/>
              <w:rPr>
                <w:rFonts w:ascii="宋体" w:hAnsi="宋体" w:eastAsia="宋体" w:cs="宋体"/>
                <w:color w:val="000000" w:themeColor="text1"/>
                <w:spacing w:val="12"/>
                <w:sz w:val="19"/>
                <w:szCs w:val="19"/>
                <w:highlight w:val="none"/>
                <w14:textFill>
                  <w14:solidFill>
                    <w14:schemeClr w14:val="tx1"/>
                  </w14:solidFill>
                </w14:textFill>
              </w:rPr>
            </w:pPr>
          </w:p>
        </w:tc>
      </w:tr>
    </w:tbl>
    <w:p>
      <w:pPr>
        <w:rPr>
          <w:color w:val="000000" w:themeColor="text1"/>
          <w:highlight w:val="none"/>
          <w14:textFill>
            <w14:solidFill>
              <w14:schemeClr w14:val="tx1"/>
            </w14:solidFill>
          </w14:textFill>
        </w:rPr>
        <w:sectPr>
          <w:pgSz w:w="16838" w:h="11906" w:orient="landscape"/>
          <w:pgMar w:top="1800" w:right="1440" w:bottom="1800" w:left="1440" w:header="851" w:footer="992" w:gutter="0"/>
          <w:pgNumType w:fmt="decimal"/>
          <w:cols w:space="720" w:num="1"/>
          <w:docGrid w:type="lines" w:linePitch="312" w:charSpace="0"/>
        </w:sectPr>
      </w:pPr>
    </w:p>
    <w:p>
      <w:pPr>
        <w:spacing w:line="463" w:lineRule="auto"/>
        <w:rPr>
          <w:rFonts w:ascii="Arial"/>
          <w:color w:val="000000" w:themeColor="text1"/>
          <w:sz w:val="21"/>
          <w:highlight w:val="none"/>
          <w14:textFill>
            <w14:solidFill>
              <w14:schemeClr w14:val="tx1"/>
            </w14:solidFill>
          </w14:textFill>
        </w:rPr>
      </w:pPr>
    </w:p>
    <w:p>
      <w:pPr>
        <w:spacing w:before="242" w:line="185" w:lineRule="auto"/>
        <w:ind w:left="117"/>
        <w:jc w:val="both"/>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工程名称：</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 xml:space="preserve">      </w:t>
      </w:r>
    </w:p>
    <w:p>
      <w:pPr>
        <w:spacing w:before="242" w:line="185" w:lineRule="auto"/>
        <w:ind w:left="117"/>
        <w:jc w:val="both"/>
        <w:rPr>
          <w:rFonts w:ascii="Times New Roman" w:hAnsi="Times New Roman" w:eastAsia="Times New Roman" w:cs="Times New Roman"/>
          <w:color w:val="000000" w:themeColor="text1"/>
          <w:spacing w:val="-4"/>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EPC单位名称：</w:t>
      </w:r>
    </w:p>
    <w:p>
      <w:pPr>
        <w:spacing w:line="14" w:lineRule="auto"/>
        <w:jc w:val="both"/>
        <w:rPr>
          <w:rFonts w:ascii="Arial"/>
          <w:color w:val="000000" w:themeColor="text1"/>
          <w:sz w:val="2"/>
          <w:highlight w:val="none"/>
          <w14:textFill>
            <w14:solidFill>
              <w14:schemeClr w14:val="tx1"/>
            </w14:solidFill>
          </w14:textFill>
        </w:rPr>
      </w:pPr>
      <w:r>
        <w:rPr>
          <w:rFonts w:ascii="Arial" w:hAnsi="Arial" w:eastAsia="Arial" w:cs="Arial"/>
          <w:color w:val="000000" w:themeColor="text1"/>
          <w:sz w:val="2"/>
          <w:szCs w:val="2"/>
          <w:highlight w:val="none"/>
          <w14:textFill>
            <w14:solidFill>
              <w14:schemeClr w14:val="tx1"/>
            </w14:solidFill>
          </w14:textFill>
        </w:rPr>
        <w:br w:type="column"/>
      </w:r>
    </w:p>
    <w:p>
      <w:pPr>
        <w:spacing w:before="54" w:line="229" w:lineRule="auto"/>
        <w:jc w:val="both"/>
        <w:outlineLvl w:val="0"/>
        <w:rPr>
          <w:rFonts w:ascii="黑体" w:hAnsi="黑体" w:eastAsia="黑体" w:cs="黑体"/>
          <w:color w:val="000000" w:themeColor="text1"/>
          <w:sz w:val="27"/>
          <w:szCs w:val="27"/>
          <w:highlight w:val="none"/>
          <w14:textFill>
            <w14:solidFill>
              <w14:schemeClr w14:val="tx1"/>
            </w14:solidFill>
          </w14:textFill>
        </w:rPr>
      </w:pPr>
      <w:r>
        <w:rPr>
          <w:rFonts w:ascii="黑体" w:hAnsi="黑体" w:eastAsia="黑体" w:cs="黑体"/>
          <w:color w:val="000000" w:themeColor="text1"/>
          <w:spacing w:val="4"/>
          <w:sz w:val="27"/>
          <w:szCs w:val="27"/>
          <w:highlight w:val="none"/>
          <w14:textFill>
            <w14:solidFill>
              <w14:schemeClr w14:val="tx1"/>
            </w14:solidFill>
          </w14:textFill>
        </w:rPr>
        <w:t xml:space="preserve">表 </w:t>
      </w:r>
      <w:r>
        <w:rPr>
          <w:rFonts w:hint="eastAsia" w:ascii="Times New Roman" w:hAnsi="Times New Roman" w:eastAsia="宋体" w:cs="Times New Roman"/>
          <w:b/>
          <w:bCs/>
          <w:color w:val="000000" w:themeColor="text1"/>
          <w:spacing w:val="2"/>
          <w:sz w:val="27"/>
          <w:szCs w:val="27"/>
          <w:highlight w:val="none"/>
          <w:lang w:val="en-US" w:eastAsia="zh-CN"/>
          <w14:textFill>
            <w14:solidFill>
              <w14:schemeClr w14:val="tx1"/>
            </w14:solidFill>
          </w14:textFill>
        </w:rPr>
        <w:t>3</w:t>
      </w:r>
      <w:r>
        <w:rPr>
          <w:rFonts w:ascii="Times New Roman" w:hAnsi="Times New Roman" w:eastAsia="Times New Roman" w:cs="Times New Roman"/>
          <w:color w:val="000000" w:themeColor="text1"/>
          <w:spacing w:val="2"/>
          <w:sz w:val="27"/>
          <w:szCs w:val="27"/>
          <w:highlight w:val="none"/>
          <w14:textFill>
            <w14:solidFill>
              <w14:schemeClr w14:val="tx1"/>
            </w14:solidFill>
          </w14:textFill>
        </w:rPr>
        <w:t xml:space="preserve">  </w:t>
      </w:r>
      <w:r>
        <w:rPr>
          <w:rFonts w:ascii="黑体" w:hAnsi="黑体" w:eastAsia="黑体" w:cs="黑体"/>
          <w:color w:val="000000" w:themeColor="text1"/>
          <w:spacing w:val="2"/>
          <w:sz w:val="27"/>
          <w:szCs w:val="27"/>
          <w:highlight w:val="none"/>
          <w14:textFill>
            <w14:solidFill>
              <w14:schemeClr w14:val="tx1"/>
            </w14:solidFill>
          </w14:textFill>
        </w:rPr>
        <w:t>污水收集率考核表</w:t>
      </w:r>
    </w:p>
    <w:p>
      <w:pPr>
        <w:spacing w:before="242" w:line="185" w:lineRule="auto"/>
        <w:ind w:left="117" w:firstLine="696" w:firstLineChars="300"/>
        <w:jc w:val="both"/>
        <w:rPr>
          <w:rFonts w:ascii="Times New Roman" w:hAnsi="Times New Roman" w:eastAsia="Times New Roman" w:cs="Times New Roman"/>
          <w:color w:val="000000" w:themeColor="text1"/>
          <w:spacing w:val="-4"/>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镇街名称：</w:t>
      </w:r>
    </w:p>
    <w:p>
      <w:pPr>
        <w:spacing w:before="242" w:line="185" w:lineRule="auto"/>
        <w:ind w:left="117" w:firstLine="696" w:firstLineChars="300"/>
        <w:jc w:val="both"/>
        <w:rPr>
          <w:rFonts w:ascii="Times New Roman" w:hAnsi="Times New Roman" w:eastAsia="Times New Roman" w:cs="Times New Roman"/>
          <w:color w:val="000000" w:themeColor="text1"/>
          <w:spacing w:val="-4"/>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监理单位：</w:t>
      </w:r>
    </w:p>
    <w:p>
      <w:pPr>
        <w:rPr>
          <w:color w:val="000000" w:themeColor="text1"/>
          <w:highlight w:val="none"/>
          <w14:textFill>
            <w14:solidFill>
              <w14:schemeClr w14:val="tx1"/>
            </w14:solidFill>
          </w14:textFill>
        </w:rPr>
        <w:sectPr>
          <w:pgSz w:w="11905" w:h="16840"/>
          <w:pgMar w:top="1431" w:right="1332" w:bottom="400" w:left="1502" w:header="0" w:footer="0" w:gutter="0"/>
          <w:pgNumType w:fmt="decimal"/>
          <w:cols w:equalWidth="0" w:num="2">
            <w:col w:w="3011" w:space="100"/>
            <w:col w:w="5960"/>
          </w:cols>
        </w:sectPr>
      </w:pPr>
    </w:p>
    <w:p>
      <w:pPr>
        <w:spacing w:line="158" w:lineRule="exact"/>
        <w:rPr>
          <w:color w:val="000000" w:themeColor="text1"/>
          <w:highlight w:val="none"/>
          <w14:textFill>
            <w14:solidFill>
              <w14:schemeClr w14:val="tx1"/>
            </w14:solidFill>
          </w14:textFill>
        </w:rPr>
      </w:pPr>
    </w:p>
    <w:tbl>
      <w:tblPr>
        <w:tblStyle w:val="78"/>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281"/>
        <w:gridCol w:w="2081"/>
        <w:gridCol w:w="1627"/>
        <w:gridCol w:w="1052"/>
        <w:gridCol w:w="1158"/>
        <w:gridCol w:w="11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696" w:type="dxa"/>
            <w:noWrap w:val="0"/>
            <w:textDirection w:val="tbRlV"/>
            <w:vAlign w:val="top"/>
          </w:tcPr>
          <w:p>
            <w:pPr>
              <w:spacing w:before="226" w:line="210" w:lineRule="auto"/>
              <w:ind w:left="6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8"/>
                <w:sz w:val="24"/>
                <w:szCs w:val="24"/>
                <w:highlight w:val="none"/>
                <w14:textFill>
                  <w14:solidFill>
                    <w14:schemeClr w14:val="tx1"/>
                  </w14:solidFill>
                </w14:textFill>
              </w:rPr>
              <w:t>序</w:t>
            </w:r>
            <w:r>
              <w:rPr>
                <w:rFonts w:ascii="宋体" w:hAnsi="宋体" w:eastAsia="宋体" w:cs="宋体"/>
                <w:color w:val="000000" w:themeColor="text1"/>
                <w:spacing w:val="-15"/>
                <w:sz w:val="24"/>
                <w:szCs w:val="24"/>
                <w:highlight w:val="none"/>
                <w14:textFill>
                  <w14:solidFill>
                    <w14:schemeClr w14:val="tx1"/>
                  </w14:solidFill>
                </w14:textFill>
              </w:rPr>
              <w:t xml:space="preserve"> 号</w:t>
            </w:r>
          </w:p>
        </w:tc>
        <w:tc>
          <w:tcPr>
            <w:tcW w:w="1281" w:type="dxa"/>
            <w:noWrap w:val="0"/>
            <w:vAlign w:val="top"/>
          </w:tcPr>
          <w:p>
            <w:pPr>
              <w:spacing w:before="219" w:line="220" w:lineRule="auto"/>
              <w:ind w:left="28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行政村</w:t>
            </w:r>
          </w:p>
        </w:tc>
        <w:tc>
          <w:tcPr>
            <w:tcW w:w="2081" w:type="dxa"/>
            <w:noWrap w:val="0"/>
            <w:vAlign w:val="top"/>
          </w:tcPr>
          <w:p>
            <w:pPr>
              <w:spacing w:before="63" w:line="220" w:lineRule="auto"/>
              <w:ind w:left="32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村居房</w:t>
            </w:r>
            <w:r>
              <w:rPr>
                <w:rFonts w:ascii="宋体" w:hAnsi="宋体" w:eastAsia="宋体" w:cs="宋体"/>
                <w:color w:val="000000" w:themeColor="text1"/>
                <w:spacing w:val="-1"/>
                <w:sz w:val="24"/>
                <w:szCs w:val="24"/>
                <w:highlight w:val="none"/>
                <w14:textFill>
                  <w14:solidFill>
                    <w14:schemeClr w14:val="tx1"/>
                  </w14:solidFill>
                </w14:textFill>
              </w:rPr>
              <w:t>屋总数</w:t>
            </w:r>
          </w:p>
          <w:p>
            <w:pPr>
              <w:spacing w:before="26" w:line="221" w:lineRule="auto"/>
              <w:ind w:left="69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0"/>
                <w:sz w:val="24"/>
                <w:szCs w:val="24"/>
                <w:highlight w:val="none"/>
                <w14:textFill>
                  <w14:solidFill>
                    <w14:schemeClr w14:val="tx1"/>
                  </w14:solidFill>
                </w14:textFill>
              </w:rPr>
              <w:t>(</w:t>
            </w:r>
            <w:r>
              <w:rPr>
                <w:rFonts w:ascii="宋体" w:hAnsi="宋体" w:eastAsia="宋体" w:cs="宋体"/>
                <w:color w:val="000000" w:themeColor="text1"/>
                <w:spacing w:val="29"/>
                <w:sz w:val="24"/>
                <w:szCs w:val="24"/>
                <w:highlight w:val="none"/>
                <w14:textFill>
                  <w14:solidFill>
                    <w14:schemeClr w14:val="tx1"/>
                  </w14:solidFill>
                </w14:textFill>
              </w:rPr>
              <w:t>户)</w:t>
            </w:r>
          </w:p>
        </w:tc>
        <w:tc>
          <w:tcPr>
            <w:tcW w:w="1627" w:type="dxa"/>
            <w:noWrap w:val="0"/>
            <w:vAlign w:val="top"/>
          </w:tcPr>
          <w:p>
            <w:pPr>
              <w:spacing w:before="64" w:line="237" w:lineRule="auto"/>
              <w:ind w:left="340" w:right="211" w:hanging="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已</w:t>
            </w:r>
            <w:r>
              <w:rPr>
                <w:rFonts w:ascii="宋体" w:hAnsi="宋体" w:eastAsia="宋体" w:cs="宋体"/>
                <w:color w:val="000000" w:themeColor="text1"/>
                <w:spacing w:val="-7"/>
                <w:sz w:val="24"/>
                <w:szCs w:val="24"/>
                <w:highlight w:val="none"/>
                <w14:textFill>
                  <w14:solidFill>
                    <w14:schemeClr w14:val="tx1"/>
                  </w14:solidFill>
                </w14:textFill>
              </w:rPr>
              <w:t>收集房屋</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color w:val="000000" w:themeColor="text1"/>
                <w:spacing w:val="23"/>
                <w:sz w:val="24"/>
                <w:szCs w:val="24"/>
                <w:highlight w:val="none"/>
                <w14:textFill>
                  <w14:solidFill>
                    <w14:schemeClr w14:val="tx1"/>
                  </w14:solidFill>
                </w14:textFill>
              </w:rPr>
              <w:t>数(户)</w:t>
            </w:r>
          </w:p>
        </w:tc>
        <w:tc>
          <w:tcPr>
            <w:tcW w:w="1052" w:type="dxa"/>
            <w:noWrap w:val="0"/>
            <w:vAlign w:val="top"/>
          </w:tcPr>
          <w:p>
            <w:pPr>
              <w:spacing w:before="219" w:line="220" w:lineRule="auto"/>
              <w:ind w:left="17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处</w:t>
            </w:r>
            <w:r>
              <w:rPr>
                <w:rFonts w:ascii="宋体" w:hAnsi="宋体" w:eastAsia="宋体" w:cs="宋体"/>
                <w:color w:val="000000" w:themeColor="text1"/>
                <w:spacing w:val="-3"/>
                <w:sz w:val="24"/>
                <w:szCs w:val="24"/>
                <w:highlight w:val="none"/>
                <w14:textFill>
                  <w14:solidFill>
                    <w14:schemeClr w14:val="tx1"/>
                  </w14:solidFill>
                </w14:textFill>
              </w:rPr>
              <w:t>理率</w:t>
            </w:r>
          </w:p>
        </w:tc>
        <w:tc>
          <w:tcPr>
            <w:tcW w:w="1158" w:type="dxa"/>
            <w:noWrap w:val="0"/>
            <w:vAlign w:val="top"/>
          </w:tcPr>
          <w:p>
            <w:pPr>
              <w:spacing w:before="219" w:line="220" w:lineRule="auto"/>
              <w:ind w:left="22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考</w:t>
            </w:r>
            <w:r>
              <w:rPr>
                <w:rFonts w:ascii="宋体" w:hAnsi="宋体" w:eastAsia="宋体" w:cs="宋体"/>
                <w:color w:val="000000" w:themeColor="text1"/>
                <w:spacing w:val="-2"/>
                <w:sz w:val="24"/>
                <w:szCs w:val="24"/>
                <w:highlight w:val="none"/>
                <w14:textFill>
                  <w14:solidFill>
                    <w14:schemeClr w14:val="tx1"/>
                  </w14:solidFill>
                </w14:textFill>
              </w:rPr>
              <w:t>核分</w:t>
            </w:r>
          </w:p>
        </w:tc>
        <w:tc>
          <w:tcPr>
            <w:tcW w:w="1169" w:type="dxa"/>
            <w:noWrap w:val="0"/>
            <w:vAlign w:val="top"/>
          </w:tcPr>
          <w:p>
            <w:pPr>
              <w:spacing w:before="64" w:line="237" w:lineRule="auto"/>
              <w:ind w:left="474" w:right="222" w:hanging="23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复</w:t>
            </w:r>
            <w:r>
              <w:rPr>
                <w:rFonts w:ascii="宋体" w:hAnsi="宋体" w:eastAsia="宋体" w:cs="宋体"/>
                <w:color w:val="000000" w:themeColor="text1"/>
                <w:spacing w:val="-5"/>
                <w:sz w:val="24"/>
                <w:szCs w:val="24"/>
                <w:highlight w:val="none"/>
                <w14:textFill>
                  <w14:solidFill>
                    <w14:schemeClr w14:val="tx1"/>
                  </w14:solidFill>
                </w14:textFill>
              </w:rPr>
              <w:t>核意</w:t>
            </w:r>
            <w:r>
              <w:rPr>
                <w:rFonts w:ascii="宋体" w:hAnsi="宋体" w:eastAsia="宋体" w:cs="宋体"/>
                <w:color w:val="000000" w:themeColor="text1"/>
                <w:sz w:val="24"/>
                <w:szCs w:val="24"/>
                <w:highlight w:val="none"/>
                <w14:textFill>
                  <w14:solidFill>
                    <w14:schemeClr w14:val="tx1"/>
                  </w14:solidFill>
                </w14:textFill>
              </w:rPr>
              <w:t xml:space="preserve"> 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96" w:type="dxa"/>
            <w:noWrap w:val="0"/>
            <w:vAlign w:val="top"/>
          </w:tcPr>
          <w:p>
            <w:pPr>
              <w:spacing w:before="126" w:line="187" w:lineRule="auto"/>
              <w:ind w:left="31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w:t>
            </w:r>
          </w:p>
        </w:tc>
        <w:tc>
          <w:tcPr>
            <w:tcW w:w="1281" w:type="dxa"/>
            <w:noWrap w:val="0"/>
            <w:vAlign w:val="top"/>
          </w:tcPr>
          <w:p>
            <w:pPr>
              <w:spacing w:before="89" w:line="220" w:lineRule="auto"/>
              <w:ind w:left="37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xx</w:t>
            </w:r>
            <w:r>
              <w:rPr>
                <w:rFonts w:ascii="宋体" w:hAnsi="宋体" w:eastAsia="宋体" w:cs="宋体"/>
                <w:color w:val="000000" w:themeColor="text1"/>
                <w:spacing w:val="-17"/>
                <w:sz w:val="24"/>
                <w:szCs w:val="24"/>
                <w:highlight w:val="none"/>
                <w14:textFill>
                  <w14:solidFill>
                    <w14:schemeClr w14:val="tx1"/>
                  </w14:solidFill>
                </w14:textFill>
              </w:rPr>
              <w:t xml:space="preserve"> </w:t>
            </w:r>
            <w:r>
              <w:rPr>
                <w:rFonts w:ascii="宋体" w:hAnsi="宋体" w:eastAsia="宋体" w:cs="宋体"/>
                <w:color w:val="000000" w:themeColor="text1"/>
                <w:spacing w:val="-14"/>
                <w:sz w:val="24"/>
                <w:szCs w:val="24"/>
                <w:highlight w:val="none"/>
                <w14:textFill>
                  <w14:solidFill>
                    <w14:schemeClr w14:val="tx1"/>
                  </w14:solidFill>
                </w14:textFill>
              </w:rPr>
              <w:t>村</w:t>
            </w:r>
          </w:p>
        </w:tc>
        <w:tc>
          <w:tcPr>
            <w:tcW w:w="2081" w:type="dxa"/>
            <w:noWrap w:val="0"/>
            <w:vAlign w:val="top"/>
          </w:tcPr>
          <w:p>
            <w:pPr>
              <w:spacing w:before="90" w:line="242" w:lineRule="auto"/>
              <w:ind w:left="92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x</w:t>
            </w:r>
            <w:r>
              <w:rPr>
                <w:rFonts w:ascii="宋体" w:hAnsi="宋体" w:eastAsia="宋体" w:cs="宋体"/>
                <w:color w:val="000000" w:themeColor="text1"/>
                <w:spacing w:val="-2"/>
                <w:sz w:val="24"/>
                <w:szCs w:val="24"/>
                <w:highlight w:val="none"/>
                <w14:textFill>
                  <w14:solidFill>
                    <w14:schemeClr w14:val="tx1"/>
                  </w14:solidFill>
                </w14:textFill>
              </w:rPr>
              <w:t>x</w:t>
            </w:r>
          </w:p>
        </w:tc>
        <w:tc>
          <w:tcPr>
            <w:tcW w:w="1627" w:type="dxa"/>
            <w:noWrap w:val="0"/>
            <w:vAlign w:val="top"/>
          </w:tcPr>
          <w:p>
            <w:pPr>
              <w:spacing w:before="90" w:line="242" w:lineRule="auto"/>
              <w:ind w:left="69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x</w:t>
            </w:r>
            <w:r>
              <w:rPr>
                <w:rFonts w:ascii="宋体" w:hAnsi="宋体" w:eastAsia="宋体" w:cs="宋体"/>
                <w:color w:val="000000" w:themeColor="text1"/>
                <w:spacing w:val="-2"/>
                <w:sz w:val="24"/>
                <w:szCs w:val="24"/>
                <w:highlight w:val="none"/>
                <w14:textFill>
                  <w14:solidFill>
                    <w14:schemeClr w14:val="tx1"/>
                  </w14:solidFill>
                </w14:textFill>
              </w:rPr>
              <w:t>x</w:t>
            </w:r>
          </w:p>
        </w:tc>
        <w:tc>
          <w:tcPr>
            <w:tcW w:w="1052" w:type="dxa"/>
            <w:noWrap w:val="0"/>
            <w:vAlign w:val="top"/>
          </w:tcPr>
          <w:p>
            <w:pPr>
              <w:spacing w:before="91"/>
              <w:ind w:left="35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xx</w:t>
            </w:r>
            <w:r>
              <w:rPr>
                <w:rFonts w:ascii="宋体" w:hAnsi="宋体" w:eastAsia="宋体" w:cs="宋体"/>
                <w:color w:val="000000" w:themeColor="text1"/>
                <w:spacing w:val="-2"/>
                <w:sz w:val="24"/>
                <w:szCs w:val="24"/>
                <w:highlight w:val="none"/>
                <w14:textFill>
                  <w14:solidFill>
                    <w14:schemeClr w14:val="tx1"/>
                  </w14:solidFill>
                </w14:textFill>
              </w:rPr>
              <w:t xml:space="preserve"> %</w:t>
            </w: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6" w:line="186" w:lineRule="auto"/>
              <w:ind w:left="29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6" w:line="185" w:lineRule="auto"/>
              <w:ind w:left="29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3</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96" w:type="dxa"/>
            <w:noWrap w:val="0"/>
            <w:vAlign w:val="top"/>
          </w:tcPr>
          <w:p>
            <w:pPr>
              <w:spacing w:before="129" w:line="186" w:lineRule="auto"/>
              <w:ind w:left="29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4</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9" w:line="183" w:lineRule="auto"/>
              <w:ind w:left="29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5</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7" w:line="185" w:lineRule="auto"/>
              <w:ind w:left="2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6</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96" w:type="dxa"/>
            <w:noWrap w:val="0"/>
            <w:vAlign w:val="top"/>
          </w:tcPr>
          <w:p>
            <w:pPr>
              <w:spacing w:before="132" w:line="183" w:lineRule="auto"/>
              <w:ind w:left="29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7</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8" w:line="185" w:lineRule="auto"/>
              <w:ind w:left="29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8</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96" w:type="dxa"/>
            <w:noWrap w:val="0"/>
            <w:vAlign w:val="top"/>
          </w:tcPr>
          <w:p>
            <w:pPr>
              <w:spacing w:before="128" w:line="185" w:lineRule="auto"/>
              <w:ind w:left="29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9</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96" w:type="dxa"/>
            <w:noWrap w:val="0"/>
            <w:vAlign w:val="top"/>
          </w:tcPr>
          <w:p>
            <w:pPr>
              <w:spacing w:before="130" w:line="185" w:lineRule="auto"/>
              <w:ind w:left="25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1</w:t>
            </w:r>
            <w:r>
              <w:rPr>
                <w:rFonts w:ascii="宋体" w:hAnsi="宋体" w:eastAsia="宋体" w:cs="宋体"/>
                <w:color w:val="000000" w:themeColor="text1"/>
                <w:spacing w:val="-6"/>
                <w:sz w:val="24"/>
                <w:szCs w:val="24"/>
                <w:highlight w:val="none"/>
                <w14:textFill>
                  <w14:solidFill>
                    <w14:schemeClr w14:val="tx1"/>
                  </w14:solidFill>
                </w14:textFill>
              </w:rPr>
              <w:t>0</w:t>
            </w:r>
          </w:p>
        </w:tc>
        <w:tc>
          <w:tcPr>
            <w:tcW w:w="1281" w:type="dxa"/>
            <w:noWrap w:val="0"/>
            <w:vAlign w:val="top"/>
          </w:tcPr>
          <w:p>
            <w:pPr>
              <w:rPr>
                <w:rFonts w:ascii="Arial"/>
                <w:color w:val="000000" w:themeColor="text1"/>
                <w:sz w:val="21"/>
                <w:highlight w:val="none"/>
                <w14:textFill>
                  <w14:solidFill>
                    <w14:schemeClr w14:val="tx1"/>
                  </w14:solidFill>
                </w14:textFill>
              </w:rPr>
            </w:pPr>
          </w:p>
        </w:tc>
        <w:tc>
          <w:tcPr>
            <w:tcW w:w="2081" w:type="dxa"/>
            <w:noWrap w:val="0"/>
            <w:vAlign w:val="top"/>
          </w:tcPr>
          <w:p>
            <w:pPr>
              <w:rPr>
                <w:rFonts w:ascii="Arial"/>
                <w:color w:val="000000" w:themeColor="text1"/>
                <w:sz w:val="21"/>
                <w:highlight w:val="none"/>
                <w14:textFill>
                  <w14:solidFill>
                    <w14:schemeClr w14:val="tx1"/>
                  </w14:solidFill>
                </w14:textFill>
              </w:rPr>
            </w:pPr>
          </w:p>
        </w:tc>
        <w:tc>
          <w:tcPr>
            <w:tcW w:w="1627" w:type="dxa"/>
            <w:noWrap w:val="0"/>
            <w:vAlign w:val="top"/>
          </w:tcPr>
          <w:p>
            <w:pPr>
              <w:rPr>
                <w:rFonts w:ascii="Arial"/>
                <w:color w:val="000000" w:themeColor="text1"/>
                <w:sz w:val="21"/>
                <w:highlight w:val="none"/>
                <w14:textFill>
                  <w14:solidFill>
                    <w14:schemeClr w14:val="tx1"/>
                  </w14:solidFill>
                </w14:textFill>
              </w:rPr>
            </w:pPr>
          </w:p>
        </w:tc>
        <w:tc>
          <w:tcPr>
            <w:tcW w:w="1052" w:type="dxa"/>
            <w:noWrap w:val="0"/>
            <w:vAlign w:val="top"/>
          </w:tcPr>
          <w:p>
            <w:pPr>
              <w:rPr>
                <w:rFonts w:ascii="Arial"/>
                <w:color w:val="000000" w:themeColor="text1"/>
                <w:sz w:val="21"/>
                <w:highlight w:val="none"/>
                <w14:textFill>
                  <w14:solidFill>
                    <w14:schemeClr w14:val="tx1"/>
                  </w14:solidFill>
                </w14:textFill>
              </w:rPr>
            </w:pPr>
          </w:p>
        </w:tc>
        <w:tc>
          <w:tcPr>
            <w:tcW w:w="1158" w:type="dxa"/>
            <w:noWrap w:val="0"/>
            <w:vAlign w:val="top"/>
          </w:tcPr>
          <w:p>
            <w:pPr>
              <w:rPr>
                <w:rFonts w:ascii="Arial"/>
                <w:color w:val="000000" w:themeColor="text1"/>
                <w:sz w:val="21"/>
                <w:highlight w:val="none"/>
                <w14:textFill>
                  <w14:solidFill>
                    <w14:schemeClr w14:val="tx1"/>
                  </w14:solidFill>
                </w14:textFill>
              </w:rPr>
            </w:pPr>
          </w:p>
        </w:tc>
        <w:tc>
          <w:tcPr>
            <w:tcW w:w="116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4058" w:type="dxa"/>
            <w:gridSpan w:val="3"/>
            <w:noWrap w:val="0"/>
            <w:vAlign w:val="top"/>
          </w:tcPr>
          <w:p>
            <w:pPr>
              <w:spacing w:before="36" w:line="221" w:lineRule="auto"/>
              <w:ind w:left="11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1"/>
                <w:sz w:val="24"/>
                <w:szCs w:val="24"/>
                <w:highlight w:val="none"/>
                <w14:textFill>
                  <w14:solidFill>
                    <w14:schemeClr w14:val="tx1"/>
                  </w14:solidFill>
                </w14:textFill>
              </w:rPr>
              <w:t>EPC</w:t>
            </w:r>
            <w:r>
              <w:rPr>
                <w:rFonts w:ascii="宋体" w:hAnsi="宋体" w:eastAsia="宋体" w:cs="宋体"/>
                <w:color w:val="000000" w:themeColor="text1"/>
                <w:spacing w:val="-12"/>
                <w:sz w:val="24"/>
                <w:szCs w:val="24"/>
                <w:highlight w:val="none"/>
                <w14:textFill>
                  <w14:solidFill>
                    <w14:schemeClr w14:val="tx1"/>
                  </w14:solidFill>
                </w14:textFill>
              </w:rPr>
              <w:t>-</w:t>
            </w:r>
            <w:r>
              <w:rPr>
                <w:rFonts w:ascii="宋体" w:hAnsi="宋体" w:eastAsia="宋体" w:cs="宋体"/>
                <w:color w:val="000000" w:themeColor="text1"/>
                <w:spacing w:val="-11"/>
                <w:sz w:val="24"/>
                <w:szCs w:val="24"/>
                <w:highlight w:val="none"/>
                <w14:textFill>
                  <w14:solidFill>
                    <w14:schemeClr w14:val="tx1"/>
                  </w14:solidFill>
                </w14:textFill>
              </w:rPr>
              <w:t>O 单位：</w:t>
            </w:r>
          </w:p>
          <w:p>
            <w:pPr>
              <w:spacing w:line="282" w:lineRule="auto"/>
              <w:rPr>
                <w:rFonts w:ascii="Arial"/>
                <w:color w:val="000000" w:themeColor="text1"/>
                <w:sz w:val="21"/>
                <w:highlight w:val="none"/>
                <w14:textFill>
                  <w14:solidFill>
                    <w14:schemeClr w14:val="tx1"/>
                  </w14:solidFill>
                </w14:textFill>
              </w:rPr>
            </w:pPr>
          </w:p>
          <w:p>
            <w:pPr>
              <w:spacing w:line="283" w:lineRule="auto"/>
              <w:rPr>
                <w:rFonts w:ascii="Arial"/>
                <w:color w:val="000000" w:themeColor="text1"/>
                <w:sz w:val="21"/>
                <w:highlight w:val="none"/>
                <w14:textFill>
                  <w14:solidFill>
                    <w14:schemeClr w14:val="tx1"/>
                  </w14:solidFill>
                </w14:textFill>
              </w:rPr>
            </w:pPr>
          </w:p>
          <w:p>
            <w:pPr>
              <w:spacing w:before="78" w:line="220" w:lineRule="auto"/>
              <w:ind w:left="12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82" w:lineRule="auto"/>
              <w:rPr>
                <w:rFonts w:ascii="Arial"/>
                <w:color w:val="000000" w:themeColor="text1"/>
                <w:sz w:val="21"/>
                <w:highlight w:val="none"/>
                <w14:textFill>
                  <w14:solidFill>
                    <w14:schemeClr w14:val="tx1"/>
                  </w14:solidFill>
                </w14:textFill>
              </w:rPr>
            </w:pPr>
          </w:p>
          <w:p>
            <w:pPr>
              <w:spacing w:line="283" w:lineRule="auto"/>
              <w:rPr>
                <w:rFonts w:ascii="Arial"/>
                <w:color w:val="000000" w:themeColor="text1"/>
                <w:sz w:val="21"/>
                <w:highlight w:val="none"/>
                <w14:textFill>
                  <w14:solidFill>
                    <w14:schemeClr w14:val="tx1"/>
                  </w14:solidFill>
                </w14:textFill>
              </w:rPr>
            </w:pPr>
          </w:p>
          <w:p>
            <w:pPr>
              <w:spacing w:before="78" w:line="220" w:lineRule="auto"/>
              <w:ind w:left="35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25" w:line="228" w:lineRule="auto"/>
              <w:ind w:right="526" w:firstLine="1888" w:firstLineChars="8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 xml:space="preserve">年  </w:t>
            </w:r>
            <w:r>
              <w:rPr>
                <w:rFonts w:ascii="宋体" w:hAnsi="宋体" w:eastAsia="宋体" w:cs="宋体"/>
                <w:color w:val="000000" w:themeColor="text1"/>
                <w:spacing w:val="-1"/>
                <w:sz w:val="24"/>
                <w:szCs w:val="24"/>
                <w:highlight w:val="none"/>
                <w14:textFill>
                  <w14:solidFill>
                    <w14:schemeClr w14:val="tx1"/>
                  </w14:solidFill>
                </w14:textFill>
              </w:rPr>
              <w:t xml:space="preserve"> 月</w:t>
            </w:r>
            <w:r>
              <w:rPr>
                <w:rFonts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ascii="宋体" w:hAnsi="宋体" w:eastAsia="宋体" w:cs="宋体"/>
                <w:color w:val="000000" w:themeColor="text1"/>
                <w:sz w:val="24"/>
                <w:szCs w:val="24"/>
                <w:highlight w:val="none"/>
                <w14:textFill>
                  <w14:solidFill>
                    <w14:schemeClr w14:val="tx1"/>
                  </w14:solidFill>
                </w14:textFill>
              </w:rPr>
              <w:t>日</w:t>
            </w:r>
          </w:p>
        </w:tc>
        <w:tc>
          <w:tcPr>
            <w:tcW w:w="5006" w:type="dxa"/>
            <w:gridSpan w:val="4"/>
            <w:noWrap w:val="0"/>
            <w:vAlign w:val="top"/>
          </w:tcPr>
          <w:p>
            <w:pPr>
              <w:spacing w:before="37" w:line="220" w:lineRule="auto"/>
              <w:ind w:left="11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1"/>
                <w:sz w:val="24"/>
                <w:szCs w:val="24"/>
                <w:highlight w:val="none"/>
                <w14:textFill>
                  <w14:solidFill>
                    <w14:schemeClr w14:val="tx1"/>
                  </w14:solidFill>
                </w14:textFill>
              </w:rPr>
              <w:t>项</w:t>
            </w:r>
            <w:r>
              <w:rPr>
                <w:rFonts w:ascii="宋体" w:hAnsi="宋体" w:eastAsia="宋体" w:cs="宋体"/>
                <w:color w:val="000000" w:themeColor="text1"/>
                <w:spacing w:val="-8"/>
                <w:sz w:val="24"/>
                <w:szCs w:val="24"/>
                <w:highlight w:val="none"/>
                <w14:textFill>
                  <w14:solidFill>
                    <w14:schemeClr w14:val="tx1"/>
                  </w14:solidFill>
                </w14:textFill>
              </w:rPr>
              <w:t>目管理单位：</w:t>
            </w:r>
          </w:p>
          <w:p>
            <w:pPr>
              <w:spacing w:line="283" w:lineRule="auto"/>
              <w:rPr>
                <w:rFonts w:ascii="Arial"/>
                <w:color w:val="000000" w:themeColor="text1"/>
                <w:sz w:val="21"/>
                <w:highlight w:val="none"/>
                <w14:textFill>
                  <w14:solidFill>
                    <w14:schemeClr w14:val="tx1"/>
                  </w14:solidFill>
                </w14:textFill>
              </w:rPr>
            </w:pPr>
          </w:p>
          <w:p>
            <w:pPr>
              <w:spacing w:line="283" w:lineRule="auto"/>
              <w:rPr>
                <w:rFonts w:ascii="Arial"/>
                <w:color w:val="000000" w:themeColor="text1"/>
                <w:sz w:val="21"/>
                <w:highlight w:val="none"/>
                <w14:textFill>
                  <w14:solidFill>
                    <w14:schemeClr w14:val="tx1"/>
                  </w14:solidFill>
                </w14:textFill>
              </w:rPr>
            </w:pPr>
          </w:p>
          <w:p>
            <w:pPr>
              <w:spacing w:before="78" w:line="220" w:lineRule="auto"/>
              <w:ind w:left="12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82" w:lineRule="auto"/>
              <w:rPr>
                <w:rFonts w:ascii="Arial"/>
                <w:color w:val="000000" w:themeColor="text1"/>
                <w:sz w:val="21"/>
                <w:highlight w:val="none"/>
                <w14:textFill>
                  <w14:solidFill>
                    <w14:schemeClr w14:val="tx1"/>
                  </w14:solidFill>
                </w14:textFill>
              </w:rPr>
            </w:pPr>
          </w:p>
          <w:p>
            <w:pPr>
              <w:spacing w:line="283" w:lineRule="auto"/>
              <w:rPr>
                <w:rFonts w:ascii="Arial"/>
                <w:color w:val="000000" w:themeColor="text1"/>
                <w:sz w:val="21"/>
                <w:highlight w:val="none"/>
                <w14:textFill>
                  <w14:solidFill>
                    <w14:schemeClr w14:val="tx1"/>
                  </w14:solidFill>
                </w14:textFill>
              </w:rPr>
            </w:pPr>
          </w:p>
          <w:p>
            <w:pPr>
              <w:spacing w:before="78" w:line="220" w:lineRule="auto"/>
              <w:ind w:left="35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25" w:line="220" w:lineRule="auto"/>
              <w:ind w:left="203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年</w:t>
            </w:r>
            <w:r>
              <w:rPr>
                <w:rFonts w:ascii="宋体" w:hAnsi="宋体" w:eastAsia="宋体" w:cs="宋体"/>
                <w:color w:val="000000" w:themeColor="text1"/>
                <w:spacing w:val="3"/>
                <w:sz w:val="24"/>
                <w:szCs w:val="24"/>
                <w:highlight w:val="none"/>
                <w14:textFill>
                  <w14:solidFill>
                    <w14:schemeClr w14:val="tx1"/>
                  </w14:solidFill>
                </w14:textFill>
              </w:rPr>
              <w:t xml:space="preserve">     月     日</w:t>
            </w:r>
          </w:p>
        </w:tc>
      </w:tr>
    </w:tbl>
    <w:p>
      <w:pPr>
        <w:spacing w:line="369" w:lineRule="auto"/>
        <w:rPr>
          <w:rFonts w:ascii="Arial"/>
          <w:color w:val="000000" w:themeColor="text1"/>
          <w:sz w:val="21"/>
          <w:highlight w:val="none"/>
          <w14:textFill>
            <w14:solidFill>
              <w14:schemeClr w14:val="tx1"/>
            </w14:solidFill>
          </w14:textFill>
        </w:rPr>
      </w:pPr>
    </w:p>
    <w:p>
      <w:pPr>
        <w:spacing w:before="69" w:line="360" w:lineRule="auto"/>
        <w:ind w:left="9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注：1、以</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村</w:t>
      </w:r>
      <w:r>
        <w:rPr>
          <w:rFonts w:ascii="宋体" w:hAnsi="宋体" w:eastAsia="宋体" w:cs="宋体"/>
          <w:color w:val="000000" w:themeColor="text1"/>
          <w:spacing w:val="-2"/>
          <w:sz w:val="24"/>
          <w:szCs w:val="24"/>
          <w:highlight w:val="none"/>
          <w14:textFill>
            <w14:solidFill>
              <w14:schemeClr w14:val="tx1"/>
            </w14:solidFill>
          </w14:textFill>
        </w:rPr>
        <w:t>为单位或根据工程进度需要分批填写此表</w:t>
      </w:r>
      <w:r>
        <w:rPr>
          <w:rFonts w:ascii="宋体" w:hAnsi="宋体" w:eastAsia="宋体" w:cs="宋体"/>
          <w:color w:val="000000" w:themeColor="text1"/>
          <w:sz w:val="24"/>
          <w:szCs w:val="24"/>
          <w:highlight w:val="none"/>
          <w14:textFill>
            <w14:solidFill>
              <w14:schemeClr w14:val="tx1"/>
            </w14:solidFill>
          </w14:textFill>
        </w:rPr>
        <w:t>格；</w:t>
      </w:r>
    </w:p>
    <w:p>
      <w:pPr>
        <w:numPr>
          <w:ilvl w:val="0"/>
          <w:numId w:val="5"/>
        </w:numPr>
        <w:spacing w:before="218" w:line="360" w:lineRule="auto"/>
        <w:ind w:left="515" w:right="3450" w:hanging="1"/>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本表需提供一村一图一表作为附件；</w:t>
      </w:r>
    </w:p>
    <w:p>
      <w:pPr>
        <w:spacing w:line="360" w:lineRule="auto"/>
        <w:ind w:left="511"/>
        <w:jc w:val="left"/>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3、对于</w:t>
      </w:r>
      <w:r>
        <w:rPr>
          <w:rFonts w:ascii="宋体" w:hAnsi="宋体" w:eastAsia="宋体" w:cs="宋体"/>
          <w:color w:val="000000" w:themeColor="text1"/>
          <w:spacing w:val="-1"/>
          <w:sz w:val="24"/>
          <w:szCs w:val="24"/>
          <w:highlight w:val="none"/>
          <w14:textFill>
            <w14:solidFill>
              <w14:schemeClr w14:val="tx1"/>
            </w14:solidFill>
          </w14:textFill>
        </w:rPr>
        <w:t>经批准采用截流制区域，可按工程范围内实际覆盖数量进行计算。</w:t>
      </w:r>
    </w:p>
    <w:p>
      <w:pPr>
        <w:spacing w:line="360" w:lineRule="auto"/>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rPr>
          <w:color w:val="000000" w:themeColor="text1"/>
          <w:highlight w:val="none"/>
          <w14:textFill>
            <w14:solidFill>
              <w14:schemeClr w14:val="tx1"/>
            </w14:solidFill>
          </w14:textFill>
        </w:rPr>
        <w:sectPr>
          <w:type w:val="continuous"/>
          <w:pgSz w:w="11905" w:h="16840"/>
          <w:pgMar w:top="1431" w:right="1027" w:bottom="400" w:left="1027" w:header="0" w:footer="0" w:gutter="0"/>
          <w:pgNumType w:fmt="decimal"/>
          <w:cols w:space="720" w:num="1"/>
        </w:sectPr>
      </w:pPr>
    </w:p>
    <w:p>
      <w:pPr>
        <w:spacing w:line="465" w:lineRule="auto"/>
        <w:rPr>
          <w:rFonts w:ascii="Arial"/>
          <w:color w:val="000000" w:themeColor="text1"/>
          <w:sz w:val="21"/>
          <w:highlight w:val="none"/>
          <w14:textFill>
            <w14:solidFill>
              <w14:schemeClr w14:val="tx1"/>
            </w14:solidFill>
          </w14:textFill>
        </w:rPr>
      </w:pPr>
    </w:p>
    <w:p>
      <w:pPr>
        <w:spacing w:before="78" w:line="240" w:lineRule="auto"/>
        <w:ind w:left="125"/>
        <w:jc w:val="left"/>
        <w:rPr>
          <w:rFonts w:ascii="宋体" w:hAnsi="宋体" w:eastAsia="宋体" w:cs="宋体"/>
          <w:color w:val="000000" w:themeColor="text1"/>
          <w:spacing w:val="-14"/>
          <w:sz w:val="24"/>
          <w:szCs w:val="24"/>
          <w:highlight w:val="none"/>
          <w14:textFill>
            <w14:solidFill>
              <w14:schemeClr w14:val="tx1"/>
            </w14:solidFill>
          </w14:textFill>
        </w:rPr>
      </w:pPr>
    </w:p>
    <w:p>
      <w:pPr>
        <w:spacing w:before="78" w:line="240" w:lineRule="auto"/>
        <w:jc w:val="left"/>
        <w:rPr>
          <w:rFonts w:ascii="宋体" w:hAnsi="宋体" w:eastAsia="宋体" w:cs="宋体"/>
          <w:color w:val="000000" w:themeColor="text1"/>
          <w:spacing w:val="-14"/>
          <w:sz w:val="24"/>
          <w:szCs w:val="24"/>
          <w:highlight w:val="none"/>
          <w14:textFill>
            <w14:solidFill>
              <w14:schemeClr w14:val="tx1"/>
            </w14:solidFill>
          </w14:textFill>
        </w:rPr>
      </w:pPr>
    </w:p>
    <w:p>
      <w:pPr>
        <w:spacing w:before="78" w:line="240" w:lineRule="auto"/>
        <w:ind w:firstLine="212" w:firstLineChars="100"/>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工</w:t>
      </w:r>
      <w:r>
        <w:rPr>
          <w:rFonts w:ascii="宋体" w:hAnsi="宋体" w:eastAsia="宋体" w:cs="宋体"/>
          <w:color w:val="000000" w:themeColor="text1"/>
          <w:spacing w:val="-10"/>
          <w:sz w:val="24"/>
          <w:szCs w:val="24"/>
          <w:highlight w:val="none"/>
          <w14:textFill>
            <w14:solidFill>
              <w14:schemeClr w14:val="tx1"/>
            </w14:solidFill>
          </w14:textFill>
        </w:rPr>
        <w:t>程名称：</w:t>
      </w:r>
    </w:p>
    <w:p>
      <w:pPr>
        <w:spacing w:before="242" w:line="240" w:lineRule="auto"/>
        <w:ind w:left="117" w:firstLine="232" w:firstLineChars="100"/>
        <w:jc w:val="left"/>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EPC</w:t>
      </w:r>
      <w:r>
        <w:rPr>
          <w:rFonts w:ascii="宋体" w:hAnsi="宋体" w:eastAsia="宋体" w:cs="宋体"/>
          <w:color w:val="000000" w:themeColor="text1"/>
          <w:spacing w:val="-4"/>
          <w:sz w:val="24"/>
          <w:szCs w:val="24"/>
          <w:highlight w:val="none"/>
          <w14:textFill>
            <w14:solidFill>
              <w14:schemeClr w14:val="tx1"/>
            </w14:solidFill>
          </w14:textFill>
        </w:rPr>
        <w:t>单位名称：</w:t>
      </w:r>
    </w:p>
    <w:p>
      <w:pPr>
        <w:spacing w:line="240" w:lineRule="auto"/>
        <w:jc w:val="left"/>
        <w:rPr>
          <w:rFonts w:ascii="Arial"/>
          <w:color w:val="000000" w:themeColor="text1"/>
          <w:sz w:val="2"/>
          <w:highlight w:val="none"/>
          <w14:textFill>
            <w14:solidFill>
              <w14:schemeClr w14:val="tx1"/>
            </w14:solidFill>
          </w14:textFill>
        </w:rPr>
      </w:pPr>
      <w:r>
        <w:rPr>
          <w:rFonts w:ascii="Arial" w:hAnsi="Arial" w:eastAsia="Arial" w:cs="Arial"/>
          <w:color w:val="000000" w:themeColor="text1"/>
          <w:sz w:val="2"/>
          <w:szCs w:val="2"/>
          <w:highlight w:val="none"/>
          <w14:textFill>
            <w14:solidFill>
              <w14:schemeClr w14:val="tx1"/>
            </w14:solidFill>
          </w14:textFill>
        </w:rPr>
        <w:br w:type="column"/>
      </w:r>
    </w:p>
    <w:p>
      <w:pPr>
        <w:spacing w:before="54" w:line="240" w:lineRule="auto"/>
        <w:jc w:val="left"/>
        <w:outlineLvl w:val="0"/>
        <w:rPr>
          <w:rFonts w:ascii="黑体" w:hAnsi="黑体" w:eastAsia="黑体" w:cs="黑体"/>
          <w:color w:val="000000" w:themeColor="text1"/>
          <w:sz w:val="27"/>
          <w:szCs w:val="27"/>
          <w:highlight w:val="none"/>
          <w14:textFill>
            <w14:solidFill>
              <w14:schemeClr w14:val="tx1"/>
            </w14:solidFill>
          </w14:textFill>
        </w:rPr>
      </w:pPr>
      <w:r>
        <w:rPr>
          <w:rFonts w:ascii="黑体" w:hAnsi="黑体" w:eastAsia="黑体" w:cs="黑体"/>
          <w:color w:val="000000" w:themeColor="text1"/>
          <w:spacing w:val="2"/>
          <w:sz w:val="27"/>
          <w:szCs w:val="27"/>
          <w:highlight w:val="none"/>
          <w14:textFill>
            <w14:solidFill>
              <w14:schemeClr w14:val="tx1"/>
            </w14:solidFill>
          </w14:textFill>
        </w:rPr>
        <w:t xml:space="preserve">表 </w:t>
      </w:r>
      <w:r>
        <w:rPr>
          <w:rFonts w:hint="eastAsia" w:ascii="Times New Roman" w:hAnsi="Times New Roman" w:eastAsia="宋体" w:cs="Times New Roman"/>
          <w:b/>
          <w:bCs/>
          <w:color w:val="000000" w:themeColor="text1"/>
          <w:spacing w:val="2"/>
          <w:sz w:val="27"/>
          <w:szCs w:val="27"/>
          <w:highlight w:val="none"/>
          <w:lang w:val="en-US" w:eastAsia="zh-CN"/>
          <w14:textFill>
            <w14:solidFill>
              <w14:schemeClr w14:val="tx1"/>
            </w14:solidFill>
          </w14:textFill>
        </w:rPr>
        <w:t>4</w:t>
      </w:r>
      <w:r>
        <w:rPr>
          <w:rFonts w:ascii="Times New Roman" w:hAnsi="Times New Roman" w:eastAsia="Times New Roman" w:cs="Times New Roman"/>
          <w:color w:val="000000" w:themeColor="text1"/>
          <w:spacing w:val="2"/>
          <w:sz w:val="27"/>
          <w:szCs w:val="27"/>
          <w:highlight w:val="none"/>
          <w14:textFill>
            <w14:solidFill>
              <w14:schemeClr w14:val="tx1"/>
            </w14:solidFill>
          </w14:textFill>
        </w:rPr>
        <w:t xml:space="preserve">    </w:t>
      </w:r>
      <w:r>
        <w:rPr>
          <w:rFonts w:ascii="黑体" w:hAnsi="黑体" w:eastAsia="黑体" w:cs="黑体"/>
          <w:color w:val="000000" w:themeColor="text1"/>
          <w:spacing w:val="2"/>
          <w:sz w:val="27"/>
          <w:szCs w:val="27"/>
          <w:highlight w:val="none"/>
          <w14:textFill>
            <w14:solidFill>
              <w14:schemeClr w14:val="tx1"/>
            </w14:solidFill>
          </w14:textFill>
        </w:rPr>
        <w:t>节</w:t>
      </w:r>
      <w:r>
        <w:rPr>
          <w:rFonts w:ascii="黑体" w:hAnsi="黑体" w:eastAsia="黑体" w:cs="黑体"/>
          <w:color w:val="000000" w:themeColor="text1"/>
          <w:spacing w:val="1"/>
          <w:sz w:val="27"/>
          <w:szCs w:val="27"/>
          <w:highlight w:val="none"/>
          <w14:textFill>
            <w14:solidFill>
              <w14:schemeClr w14:val="tx1"/>
            </w14:solidFill>
          </w14:textFill>
        </w:rPr>
        <w:t>点水质考核表</w:t>
      </w:r>
    </w:p>
    <w:p>
      <w:pPr>
        <w:spacing w:before="154" w:line="240" w:lineRule="auto"/>
        <w:ind w:firstLine="864" w:firstLineChars="400"/>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2"/>
          <w:position w:val="22"/>
          <w:sz w:val="24"/>
          <w:szCs w:val="24"/>
          <w:highlight w:val="none"/>
          <w14:textFill>
            <w14:solidFill>
              <w14:schemeClr w14:val="tx1"/>
            </w14:solidFill>
          </w14:textFill>
        </w:rPr>
        <w:t>镇</w:t>
      </w:r>
      <w:r>
        <w:rPr>
          <w:rFonts w:ascii="宋体" w:hAnsi="宋体" w:eastAsia="宋体" w:cs="宋体"/>
          <w:color w:val="000000" w:themeColor="text1"/>
          <w:spacing w:val="-10"/>
          <w:position w:val="22"/>
          <w:sz w:val="24"/>
          <w:szCs w:val="24"/>
          <w:highlight w:val="none"/>
          <w14:textFill>
            <w14:solidFill>
              <w14:schemeClr w14:val="tx1"/>
            </w14:solidFill>
          </w14:textFill>
        </w:rPr>
        <w:t>街名称：</w:t>
      </w:r>
    </w:p>
    <w:p>
      <w:pPr>
        <w:spacing w:line="240" w:lineRule="auto"/>
        <w:ind w:firstLine="856" w:firstLineChars="400"/>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监</w:t>
      </w:r>
      <w:r>
        <w:rPr>
          <w:rFonts w:ascii="宋体" w:hAnsi="宋体" w:eastAsia="宋体" w:cs="宋体"/>
          <w:color w:val="000000" w:themeColor="text1"/>
          <w:spacing w:val="-10"/>
          <w:sz w:val="24"/>
          <w:szCs w:val="24"/>
          <w:highlight w:val="none"/>
          <w14:textFill>
            <w14:solidFill>
              <w14:schemeClr w14:val="tx1"/>
            </w14:solidFill>
          </w14:textFill>
        </w:rPr>
        <w:t>理单位：</w:t>
      </w:r>
    </w:p>
    <w:p>
      <w:pPr>
        <w:rPr>
          <w:color w:val="000000" w:themeColor="text1"/>
          <w:highlight w:val="none"/>
          <w14:textFill>
            <w14:solidFill>
              <w14:schemeClr w14:val="tx1"/>
            </w14:solidFill>
          </w14:textFill>
        </w:rPr>
        <w:sectPr>
          <w:type w:val="continuous"/>
          <w:pgSz w:w="11905" w:h="16840"/>
          <w:pgMar w:top="1431" w:right="1027" w:bottom="400" w:left="1027" w:header="0" w:footer="0" w:gutter="0"/>
          <w:pgNumType w:fmt="decimal"/>
          <w:cols w:equalWidth="0" w:num="2">
            <w:col w:w="3472" w:space="100"/>
            <w:col w:w="6279"/>
          </w:cols>
        </w:sectPr>
      </w:pPr>
    </w:p>
    <w:p>
      <w:pPr>
        <w:rPr>
          <w:color w:val="000000" w:themeColor="text1"/>
          <w:highlight w:val="none"/>
          <w14:textFill>
            <w14:solidFill>
              <w14:schemeClr w14:val="tx1"/>
            </w14:solidFill>
          </w14:textFill>
        </w:rPr>
      </w:pPr>
    </w:p>
    <w:tbl>
      <w:tblPr>
        <w:tblStyle w:val="78"/>
        <w:tblW w:w="98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807"/>
        <w:gridCol w:w="1798"/>
        <w:gridCol w:w="2194"/>
        <w:gridCol w:w="945"/>
        <w:gridCol w:w="1132"/>
        <w:gridCol w:w="12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29" w:type="dxa"/>
            <w:noWrap w:val="0"/>
            <w:vAlign w:val="top"/>
          </w:tcPr>
          <w:p>
            <w:pPr>
              <w:spacing w:line="271" w:lineRule="auto"/>
              <w:rPr>
                <w:rFonts w:ascii="Arial"/>
                <w:color w:val="000000" w:themeColor="text1"/>
                <w:sz w:val="21"/>
                <w:highlight w:val="none"/>
                <w14:textFill>
                  <w14:solidFill>
                    <w14:schemeClr w14:val="tx1"/>
                  </w14:solidFill>
                </w14:textFill>
              </w:rPr>
            </w:pPr>
          </w:p>
          <w:p>
            <w:pPr>
              <w:spacing w:before="78" w:line="222" w:lineRule="auto"/>
              <w:ind w:left="13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序</w:t>
            </w:r>
            <w:r>
              <w:rPr>
                <w:rFonts w:ascii="宋体" w:hAnsi="宋体" w:eastAsia="宋体" w:cs="宋体"/>
                <w:color w:val="000000" w:themeColor="text1"/>
                <w:spacing w:val="-2"/>
                <w:sz w:val="24"/>
                <w:szCs w:val="24"/>
                <w:highlight w:val="none"/>
                <w14:textFill>
                  <w14:solidFill>
                    <w14:schemeClr w14:val="tx1"/>
                  </w14:solidFill>
                </w14:textFill>
              </w:rPr>
              <w:t>号</w:t>
            </w:r>
          </w:p>
        </w:tc>
        <w:tc>
          <w:tcPr>
            <w:tcW w:w="1807" w:type="dxa"/>
            <w:noWrap w:val="0"/>
            <w:vAlign w:val="top"/>
          </w:tcPr>
          <w:p>
            <w:pPr>
              <w:spacing w:line="271" w:lineRule="auto"/>
              <w:rPr>
                <w:rFonts w:ascii="Arial"/>
                <w:color w:val="000000" w:themeColor="text1"/>
                <w:sz w:val="21"/>
                <w:highlight w:val="none"/>
                <w14:textFill>
                  <w14:solidFill>
                    <w14:schemeClr w14:val="tx1"/>
                  </w14:solidFill>
                </w14:textFill>
              </w:rPr>
            </w:pPr>
          </w:p>
          <w:p>
            <w:pPr>
              <w:spacing w:before="78" w:line="221" w:lineRule="auto"/>
              <w:ind w:left="43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关</w:t>
            </w:r>
            <w:r>
              <w:rPr>
                <w:rFonts w:ascii="宋体" w:hAnsi="宋体" w:eastAsia="宋体" w:cs="宋体"/>
                <w:color w:val="000000" w:themeColor="text1"/>
                <w:spacing w:val="-2"/>
                <w:sz w:val="24"/>
                <w:szCs w:val="24"/>
                <w:highlight w:val="none"/>
                <w14:textFill>
                  <w14:solidFill>
                    <w14:schemeClr w14:val="tx1"/>
                  </w14:solidFill>
                </w14:textFill>
              </w:rPr>
              <w:t>键节点</w:t>
            </w:r>
          </w:p>
        </w:tc>
        <w:tc>
          <w:tcPr>
            <w:tcW w:w="1798" w:type="dxa"/>
            <w:noWrap w:val="0"/>
            <w:vAlign w:val="top"/>
          </w:tcPr>
          <w:p>
            <w:pPr>
              <w:spacing w:before="117" w:line="220" w:lineRule="auto"/>
              <w:ind w:left="17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标准进</w:t>
            </w:r>
            <w:r>
              <w:rPr>
                <w:rFonts w:ascii="宋体" w:hAnsi="宋体" w:eastAsia="宋体" w:cs="宋体"/>
                <w:color w:val="000000" w:themeColor="text1"/>
                <w:spacing w:val="-1"/>
                <w:sz w:val="24"/>
                <w:szCs w:val="24"/>
                <w:highlight w:val="none"/>
                <w14:textFill>
                  <w14:solidFill>
                    <w14:schemeClr w14:val="tx1"/>
                  </w14:solidFill>
                </w14:textFill>
              </w:rPr>
              <w:t>水浓度</w:t>
            </w:r>
          </w:p>
          <w:p>
            <w:pPr>
              <w:spacing w:before="182" w:line="214" w:lineRule="auto"/>
              <w:ind w:left="42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0"/>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mg</w:t>
            </w:r>
            <w:r>
              <w:rPr>
                <w:rFonts w:ascii="宋体" w:hAnsi="宋体" w:eastAsia="宋体" w:cs="宋体"/>
                <w:color w:val="000000" w:themeColor="text1"/>
                <w:spacing w:val="29"/>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L</w:t>
            </w:r>
            <w:r>
              <w:rPr>
                <w:rFonts w:ascii="宋体" w:hAnsi="宋体" w:eastAsia="宋体" w:cs="宋体"/>
                <w:color w:val="000000" w:themeColor="text1"/>
                <w:spacing w:val="29"/>
                <w:sz w:val="24"/>
                <w:szCs w:val="24"/>
                <w:highlight w:val="none"/>
                <w14:textFill>
                  <w14:solidFill>
                    <w14:schemeClr w14:val="tx1"/>
                  </w14:solidFill>
                </w14:textFill>
              </w:rPr>
              <w:t>)</w:t>
            </w:r>
          </w:p>
        </w:tc>
        <w:tc>
          <w:tcPr>
            <w:tcW w:w="2194" w:type="dxa"/>
            <w:noWrap w:val="0"/>
            <w:vAlign w:val="top"/>
          </w:tcPr>
          <w:p>
            <w:pPr>
              <w:spacing w:line="272" w:lineRule="auto"/>
              <w:rPr>
                <w:rFonts w:ascii="Arial"/>
                <w:color w:val="000000" w:themeColor="text1"/>
                <w:sz w:val="21"/>
                <w:highlight w:val="none"/>
                <w14:textFill>
                  <w14:solidFill>
                    <w14:schemeClr w14:val="tx1"/>
                  </w14:solidFill>
                </w14:textFill>
              </w:rPr>
            </w:pPr>
          </w:p>
          <w:p>
            <w:pPr>
              <w:spacing w:before="78" w:line="220" w:lineRule="auto"/>
              <w:ind w:left="16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lang w:eastAsia="zh-CN"/>
                <w14:textFill>
                  <w14:solidFill>
                    <w14:schemeClr w14:val="tx1"/>
                  </w14:solidFill>
                </w14:textFill>
              </w:rPr>
              <w:t>季度</w:t>
            </w:r>
            <w:r>
              <w:rPr>
                <w:rFonts w:ascii="宋体" w:hAnsi="宋体" w:eastAsia="宋体" w:cs="宋体"/>
                <w:color w:val="000000" w:themeColor="text1"/>
                <w:spacing w:val="-2"/>
                <w:sz w:val="24"/>
                <w:szCs w:val="24"/>
                <w:highlight w:val="none"/>
                <w14:textFill>
                  <w14:solidFill>
                    <w14:schemeClr w14:val="tx1"/>
                  </w14:solidFill>
                </w14:textFill>
              </w:rPr>
              <w:t>进水</w:t>
            </w:r>
            <w:r>
              <w:rPr>
                <w:rFonts w:ascii="宋体" w:hAnsi="宋体" w:eastAsia="宋体" w:cs="宋体"/>
                <w:color w:val="000000" w:themeColor="text1"/>
                <w:spacing w:val="-1"/>
                <w:sz w:val="24"/>
                <w:szCs w:val="24"/>
                <w:highlight w:val="none"/>
                <w14:textFill>
                  <w14:solidFill>
                    <w14:schemeClr w14:val="tx1"/>
                  </w14:solidFill>
                </w14:textFill>
              </w:rPr>
              <w:t>浓度</w:t>
            </w:r>
          </w:p>
        </w:tc>
        <w:tc>
          <w:tcPr>
            <w:tcW w:w="945" w:type="dxa"/>
            <w:noWrap w:val="0"/>
            <w:vAlign w:val="top"/>
          </w:tcPr>
          <w:p>
            <w:pPr>
              <w:spacing w:before="117" w:line="468" w:lineRule="exact"/>
              <w:ind w:left="11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position w:val="17"/>
                <w:sz w:val="24"/>
                <w:szCs w:val="24"/>
                <w:highlight w:val="none"/>
                <w14:textFill>
                  <w14:solidFill>
                    <w14:schemeClr w14:val="tx1"/>
                  </w14:solidFill>
                </w14:textFill>
              </w:rPr>
              <w:t>浓</w:t>
            </w:r>
            <w:r>
              <w:rPr>
                <w:rFonts w:ascii="宋体" w:hAnsi="宋体" w:eastAsia="宋体" w:cs="宋体"/>
                <w:color w:val="000000" w:themeColor="text1"/>
                <w:spacing w:val="-2"/>
                <w:position w:val="17"/>
                <w:sz w:val="24"/>
                <w:szCs w:val="24"/>
                <w:highlight w:val="none"/>
                <w14:textFill>
                  <w14:solidFill>
                    <w14:schemeClr w14:val="tx1"/>
                  </w14:solidFill>
                </w14:textFill>
              </w:rPr>
              <w:t>度比</w:t>
            </w:r>
          </w:p>
          <w:p>
            <w:pPr>
              <w:spacing w:line="220" w:lineRule="auto"/>
              <w:ind w:left="23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值</w:t>
            </w:r>
            <w:r>
              <w:rPr>
                <w:rFonts w:ascii="宋体" w:hAnsi="宋体" w:eastAsia="宋体" w:cs="宋体"/>
                <w:color w:val="000000" w:themeColor="text1"/>
                <w:spacing w:val="-2"/>
                <w:sz w:val="24"/>
                <w:szCs w:val="24"/>
                <w:highlight w:val="none"/>
                <w14:textFill>
                  <w14:solidFill>
                    <w14:schemeClr w14:val="tx1"/>
                  </w14:solidFill>
                </w14:textFill>
              </w:rPr>
              <w:t>率</w:t>
            </w:r>
          </w:p>
        </w:tc>
        <w:tc>
          <w:tcPr>
            <w:tcW w:w="1132" w:type="dxa"/>
            <w:noWrap w:val="0"/>
            <w:vAlign w:val="top"/>
          </w:tcPr>
          <w:p>
            <w:pPr>
              <w:spacing w:line="272" w:lineRule="auto"/>
              <w:rPr>
                <w:rFonts w:ascii="Arial"/>
                <w:color w:val="000000" w:themeColor="text1"/>
                <w:sz w:val="21"/>
                <w:highlight w:val="none"/>
                <w14:textFill>
                  <w14:solidFill>
                    <w14:schemeClr w14:val="tx1"/>
                  </w14:solidFill>
                </w14:textFill>
              </w:rPr>
            </w:pPr>
          </w:p>
          <w:p>
            <w:pPr>
              <w:spacing w:before="78" w:line="220" w:lineRule="auto"/>
              <w:ind w:left="21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考</w:t>
            </w:r>
            <w:r>
              <w:rPr>
                <w:rFonts w:ascii="宋体" w:hAnsi="宋体" w:eastAsia="宋体" w:cs="宋体"/>
                <w:color w:val="000000" w:themeColor="text1"/>
                <w:spacing w:val="-2"/>
                <w:sz w:val="24"/>
                <w:szCs w:val="24"/>
                <w:highlight w:val="none"/>
                <w14:textFill>
                  <w14:solidFill>
                    <w14:schemeClr w14:val="tx1"/>
                  </w14:solidFill>
                </w14:textFill>
              </w:rPr>
              <w:t>核分</w:t>
            </w:r>
          </w:p>
        </w:tc>
        <w:tc>
          <w:tcPr>
            <w:tcW w:w="1239" w:type="dxa"/>
            <w:noWrap w:val="0"/>
            <w:vAlign w:val="top"/>
          </w:tcPr>
          <w:p>
            <w:pPr>
              <w:spacing w:line="272" w:lineRule="auto"/>
              <w:rPr>
                <w:rFonts w:ascii="Arial"/>
                <w:color w:val="000000" w:themeColor="text1"/>
                <w:sz w:val="21"/>
                <w:highlight w:val="none"/>
                <w14:textFill>
                  <w14:solidFill>
                    <w14:schemeClr w14:val="tx1"/>
                  </w14:solidFill>
                </w14:textFill>
              </w:rPr>
            </w:pPr>
          </w:p>
          <w:p>
            <w:pPr>
              <w:spacing w:before="78" w:line="220" w:lineRule="auto"/>
              <w:ind w:left="15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复核意见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5" w:line="186" w:lineRule="auto"/>
              <w:ind w:left="330"/>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1</w:t>
            </w:r>
          </w:p>
        </w:tc>
        <w:tc>
          <w:tcPr>
            <w:tcW w:w="1807" w:type="dxa"/>
            <w:noWrap w:val="0"/>
            <w:vAlign w:val="top"/>
          </w:tcPr>
          <w:p>
            <w:pPr>
              <w:spacing w:before="142" w:line="220" w:lineRule="auto"/>
              <w:ind w:left="51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2"/>
                <w:sz w:val="24"/>
                <w:szCs w:val="24"/>
                <w:highlight w:val="none"/>
                <w14:textFill>
                  <w14:solidFill>
                    <w14:schemeClr w14:val="tx1"/>
                  </w14:solidFill>
                </w14:textFill>
              </w:rPr>
              <w:t>xx</w:t>
            </w:r>
            <w:r>
              <w:rPr>
                <w:rFonts w:ascii="宋体" w:hAnsi="宋体" w:eastAsia="宋体" w:cs="宋体"/>
                <w:color w:val="000000" w:themeColor="text1"/>
                <w:spacing w:val="-16"/>
                <w:sz w:val="24"/>
                <w:szCs w:val="24"/>
                <w:highlight w:val="none"/>
                <w14:textFill>
                  <w14:solidFill>
                    <w14:schemeClr w14:val="tx1"/>
                  </w14:solidFill>
                </w14:textFill>
              </w:rPr>
              <w:t xml:space="preserve"> </w:t>
            </w:r>
            <w:r>
              <w:rPr>
                <w:rFonts w:ascii="宋体" w:hAnsi="宋体" w:eastAsia="宋体" w:cs="宋体"/>
                <w:color w:val="000000" w:themeColor="text1"/>
                <w:spacing w:val="-12"/>
                <w:sz w:val="24"/>
                <w:szCs w:val="24"/>
                <w:highlight w:val="none"/>
                <w14:textFill>
                  <w14:solidFill>
                    <w14:schemeClr w14:val="tx1"/>
                  </w14:solidFill>
                </w14:textFill>
              </w:rPr>
              <w:t>泵站</w:t>
            </w:r>
          </w:p>
        </w:tc>
        <w:tc>
          <w:tcPr>
            <w:tcW w:w="1798" w:type="dxa"/>
            <w:noWrap w:val="0"/>
            <w:vAlign w:val="top"/>
          </w:tcPr>
          <w:p>
            <w:pPr>
              <w:spacing w:before="239" w:line="159" w:lineRule="exact"/>
              <w:ind w:left="769"/>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1"/>
                <w:position w:val="-1"/>
                <w:sz w:val="24"/>
                <w:szCs w:val="24"/>
                <w:highlight w:val="none"/>
                <w14:textFill>
                  <w14:solidFill>
                    <w14:schemeClr w14:val="tx1"/>
                  </w14:solidFill>
                </w14:textFill>
              </w:rPr>
              <w:t>xx</w:t>
            </w:r>
          </w:p>
        </w:tc>
        <w:tc>
          <w:tcPr>
            <w:tcW w:w="2194" w:type="dxa"/>
            <w:noWrap w:val="0"/>
            <w:vAlign w:val="top"/>
          </w:tcPr>
          <w:p>
            <w:pPr>
              <w:spacing w:before="239" w:line="159" w:lineRule="exact"/>
              <w:ind w:left="988"/>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1"/>
                <w:position w:val="-1"/>
                <w:sz w:val="24"/>
                <w:szCs w:val="24"/>
                <w:highlight w:val="none"/>
                <w14:textFill>
                  <w14:solidFill>
                    <w14:schemeClr w14:val="tx1"/>
                  </w14:solidFill>
                </w14:textFill>
              </w:rPr>
              <w:t>xx</w:t>
            </w:r>
          </w:p>
        </w:tc>
        <w:tc>
          <w:tcPr>
            <w:tcW w:w="945" w:type="dxa"/>
            <w:noWrap w:val="0"/>
            <w:vAlign w:val="top"/>
          </w:tcPr>
          <w:p>
            <w:pPr>
              <w:spacing w:before="105" w:line="315" w:lineRule="exact"/>
              <w:ind w:left="223"/>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position w:val="2"/>
                <w:sz w:val="24"/>
                <w:szCs w:val="24"/>
                <w:highlight w:val="none"/>
                <w14:textFill>
                  <w14:solidFill>
                    <w14:schemeClr w14:val="tx1"/>
                  </w14:solidFill>
                </w14:textFill>
              </w:rPr>
              <w:t>xx</w:t>
            </w:r>
            <w:r>
              <w:rPr>
                <w:rFonts w:ascii="Times New Roman" w:hAnsi="Times New Roman" w:eastAsia="Times New Roman" w:cs="Times New Roman"/>
                <w:color w:val="000000" w:themeColor="text1"/>
                <w:spacing w:val="3"/>
                <w:position w:val="2"/>
                <w:sz w:val="24"/>
                <w:szCs w:val="24"/>
                <w:highlight w:val="none"/>
                <w14:textFill>
                  <w14:solidFill>
                    <w14:schemeClr w14:val="tx1"/>
                  </w14:solidFill>
                </w14:textFill>
              </w:rPr>
              <w:t xml:space="preserve"> </w:t>
            </w:r>
            <w:r>
              <w:rPr>
                <w:rFonts w:ascii="Times New Roman" w:hAnsi="Times New Roman" w:eastAsia="Times New Roman" w:cs="Times New Roman"/>
                <w:color w:val="000000" w:themeColor="text1"/>
                <w:spacing w:val="2"/>
                <w:position w:val="2"/>
                <w:sz w:val="24"/>
                <w:szCs w:val="24"/>
                <w:highlight w:val="none"/>
                <w14:textFill>
                  <w14:solidFill>
                    <w14:schemeClr w14:val="tx1"/>
                  </w14:solidFill>
                </w14:textFill>
              </w:rPr>
              <w:t>%</w:t>
            </w: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29" w:type="dxa"/>
            <w:noWrap w:val="0"/>
            <w:vAlign w:val="top"/>
          </w:tcPr>
          <w:p>
            <w:pPr>
              <w:spacing w:line="320" w:lineRule="auto"/>
              <w:rPr>
                <w:rFonts w:ascii="Arial"/>
                <w:color w:val="000000" w:themeColor="text1"/>
                <w:sz w:val="21"/>
                <w:highlight w:val="none"/>
                <w14:textFill>
                  <w14:solidFill>
                    <w14:schemeClr w14:val="tx1"/>
                  </w14:solidFill>
                </w14:textFill>
              </w:rPr>
            </w:pPr>
          </w:p>
          <w:p>
            <w:pPr>
              <w:spacing w:before="69" w:line="186" w:lineRule="auto"/>
              <w:ind w:left="307"/>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2</w:t>
            </w:r>
          </w:p>
        </w:tc>
        <w:tc>
          <w:tcPr>
            <w:tcW w:w="1807" w:type="dxa"/>
            <w:noWrap w:val="0"/>
            <w:vAlign w:val="top"/>
          </w:tcPr>
          <w:p>
            <w:pPr>
              <w:spacing w:before="113" w:line="468" w:lineRule="exact"/>
              <w:ind w:left="10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9"/>
                <w:position w:val="17"/>
                <w:sz w:val="24"/>
                <w:szCs w:val="24"/>
                <w:highlight w:val="none"/>
                <w14:textFill>
                  <w14:solidFill>
                    <w14:schemeClr w14:val="tx1"/>
                  </w14:solidFill>
                </w14:textFill>
              </w:rPr>
              <w:t>XX</w:t>
            </w:r>
            <w:r>
              <w:rPr>
                <w:rFonts w:ascii="宋体" w:hAnsi="宋体" w:eastAsia="宋体" w:cs="宋体"/>
                <w:color w:val="000000" w:themeColor="text1"/>
                <w:spacing w:val="-20"/>
                <w:position w:val="17"/>
                <w:sz w:val="24"/>
                <w:szCs w:val="24"/>
                <w:highlight w:val="none"/>
                <w14:textFill>
                  <w14:solidFill>
                    <w14:schemeClr w14:val="tx1"/>
                  </w14:solidFill>
                </w14:textFill>
              </w:rPr>
              <w:t xml:space="preserve"> </w:t>
            </w:r>
            <w:r>
              <w:rPr>
                <w:rFonts w:ascii="宋体" w:hAnsi="宋体" w:eastAsia="宋体" w:cs="宋体"/>
                <w:color w:val="000000" w:themeColor="text1"/>
                <w:spacing w:val="-19"/>
                <w:position w:val="17"/>
                <w:sz w:val="24"/>
                <w:szCs w:val="24"/>
                <w:highlight w:val="none"/>
                <w14:textFill>
                  <w14:solidFill>
                    <w14:schemeClr w14:val="tx1"/>
                  </w14:solidFill>
                </w14:textFill>
              </w:rPr>
              <w:t>路 XX 段污水</w:t>
            </w:r>
          </w:p>
          <w:p>
            <w:pPr>
              <w:spacing w:line="220" w:lineRule="auto"/>
              <w:ind w:left="43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管</w:t>
            </w:r>
            <w:r>
              <w:rPr>
                <w:rFonts w:ascii="宋体" w:hAnsi="宋体" w:eastAsia="宋体" w:cs="宋体"/>
                <w:color w:val="000000" w:themeColor="text1"/>
                <w:spacing w:val="-3"/>
                <w:sz w:val="24"/>
                <w:szCs w:val="24"/>
                <w:highlight w:val="none"/>
                <w14:textFill>
                  <w14:solidFill>
                    <w14:schemeClr w14:val="tx1"/>
                  </w14:solidFill>
                </w14:textFill>
              </w:rPr>
              <w:t>网</w:t>
            </w:r>
            <w:r>
              <w:rPr>
                <w:rFonts w:ascii="宋体" w:hAnsi="宋体" w:eastAsia="宋体" w:cs="宋体"/>
                <w:color w:val="000000" w:themeColor="text1"/>
                <w:spacing w:val="-2"/>
                <w:sz w:val="24"/>
                <w:szCs w:val="24"/>
                <w:highlight w:val="none"/>
                <w14:textFill>
                  <w14:solidFill>
                    <w14:schemeClr w14:val="tx1"/>
                  </w14:solidFill>
                </w14:textFill>
              </w:rPr>
              <w:t>节点</w:t>
            </w: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5" w:line="186" w:lineRule="auto"/>
              <w:ind w:left="312"/>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3</w:t>
            </w:r>
          </w:p>
        </w:tc>
        <w:tc>
          <w:tcPr>
            <w:tcW w:w="1807" w:type="dxa"/>
            <w:noWrap w:val="0"/>
            <w:vAlign w:val="top"/>
          </w:tcPr>
          <w:p>
            <w:pPr>
              <w:spacing w:before="142" w:line="379" w:lineRule="exact"/>
              <w:ind w:left="803" w:leftChars="0"/>
              <w:rPr>
                <w:rFonts w:ascii="宋体" w:hAnsi="宋体" w:eastAsia="宋体" w:cs="宋体"/>
                <w:snapToGrid w:val="0"/>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7"/>
                <w:position w:val="3"/>
                <w:sz w:val="24"/>
                <w:szCs w:val="24"/>
                <w:highlight w:val="none"/>
                <w14:textFill>
                  <w14:solidFill>
                    <w14:schemeClr w14:val="tx1"/>
                  </w14:solidFill>
                </w14:textFill>
              </w:rPr>
              <w:t>…</w:t>
            </w:r>
            <w:r>
              <w:rPr>
                <w:rFonts w:ascii="宋体" w:hAnsi="宋体" w:eastAsia="宋体" w:cs="宋体"/>
                <w:color w:val="000000" w:themeColor="text1"/>
                <w:spacing w:val="-6"/>
                <w:position w:val="3"/>
                <w:sz w:val="24"/>
                <w:szCs w:val="24"/>
                <w:highlight w:val="none"/>
                <w14:textFill>
                  <w14:solidFill>
                    <w14:schemeClr w14:val="tx1"/>
                  </w14:solidFill>
                </w14:textFill>
              </w:rPr>
              <w:t>…</w:t>
            </w: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5" w:line="186" w:lineRule="auto"/>
              <w:ind w:left="306"/>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4</w:t>
            </w:r>
          </w:p>
        </w:tc>
        <w:tc>
          <w:tcPr>
            <w:tcW w:w="1807" w:type="dxa"/>
            <w:noWrap w:val="0"/>
            <w:vAlign w:val="top"/>
          </w:tcPr>
          <w:p>
            <w:pPr>
              <w:spacing w:before="142" w:line="220" w:lineRule="auto"/>
              <w:ind w:left="667" w:leftChars="0"/>
              <w:rPr>
                <w:rFonts w:ascii="宋体" w:hAnsi="宋体" w:eastAsia="宋体" w:cs="宋体"/>
                <w:snapToGrid w:val="0"/>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平均值</w:t>
            </w: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729" w:type="dxa"/>
            <w:noWrap w:val="0"/>
            <w:vAlign w:val="top"/>
          </w:tcPr>
          <w:p>
            <w:pPr>
              <w:spacing w:before="188" w:line="183" w:lineRule="auto"/>
              <w:ind w:left="313"/>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5</w:t>
            </w:r>
          </w:p>
        </w:tc>
        <w:tc>
          <w:tcPr>
            <w:tcW w:w="1807" w:type="dxa"/>
            <w:noWrap w:val="0"/>
            <w:vAlign w:val="top"/>
          </w:tcPr>
          <w:p>
            <w:pPr>
              <w:spacing w:before="142" w:line="220" w:lineRule="auto"/>
              <w:ind w:left="667"/>
              <w:rPr>
                <w:rFonts w:ascii="宋体" w:hAnsi="宋体" w:eastAsia="宋体" w:cs="宋体"/>
                <w:color w:val="000000" w:themeColor="text1"/>
                <w:sz w:val="24"/>
                <w:szCs w:val="24"/>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6" w:line="186" w:lineRule="auto"/>
              <w:ind w:left="312"/>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6</w:t>
            </w:r>
          </w:p>
        </w:tc>
        <w:tc>
          <w:tcPr>
            <w:tcW w:w="1807" w:type="dxa"/>
            <w:noWrap w:val="0"/>
            <w:vAlign w:val="top"/>
          </w:tcPr>
          <w:p>
            <w:pPr>
              <w:rPr>
                <w:rFonts w:ascii="Arial"/>
                <w:color w:val="000000" w:themeColor="text1"/>
                <w:sz w:val="21"/>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9" w:line="183" w:lineRule="auto"/>
              <w:ind w:left="311"/>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7</w:t>
            </w:r>
          </w:p>
        </w:tc>
        <w:tc>
          <w:tcPr>
            <w:tcW w:w="1807" w:type="dxa"/>
            <w:noWrap w:val="0"/>
            <w:vAlign w:val="top"/>
          </w:tcPr>
          <w:p>
            <w:pPr>
              <w:rPr>
                <w:rFonts w:ascii="Arial"/>
                <w:color w:val="000000" w:themeColor="text1"/>
                <w:sz w:val="21"/>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729" w:type="dxa"/>
            <w:noWrap w:val="0"/>
            <w:vAlign w:val="top"/>
          </w:tcPr>
          <w:p>
            <w:pPr>
              <w:spacing w:before="186" w:line="186" w:lineRule="auto"/>
              <w:ind w:left="316"/>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8</w:t>
            </w:r>
          </w:p>
        </w:tc>
        <w:tc>
          <w:tcPr>
            <w:tcW w:w="1807" w:type="dxa"/>
            <w:noWrap w:val="0"/>
            <w:vAlign w:val="top"/>
          </w:tcPr>
          <w:p>
            <w:pPr>
              <w:rPr>
                <w:rFonts w:ascii="Arial"/>
                <w:color w:val="000000" w:themeColor="text1"/>
                <w:sz w:val="21"/>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7" w:line="186" w:lineRule="auto"/>
              <w:ind w:left="311"/>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z w:val="24"/>
                <w:szCs w:val="24"/>
                <w:highlight w:val="none"/>
                <w14:textFill>
                  <w14:solidFill>
                    <w14:schemeClr w14:val="tx1"/>
                  </w14:solidFill>
                </w14:textFill>
              </w:rPr>
              <w:t>9</w:t>
            </w:r>
          </w:p>
        </w:tc>
        <w:tc>
          <w:tcPr>
            <w:tcW w:w="1807" w:type="dxa"/>
            <w:noWrap w:val="0"/>
            <w:vAlign w:val="top"/>
          </w:tcPr>
          <w:p>
            <w:pPr>
              <w:rPr>
                <w:rFonts w:ascii="Arial"/>
                <w:color w:val="000000" w:themeColor="text1"/>
                <w:sz w:val="21"/>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29" w:type="dxa"/>
            <w:noWrap w:val="0"/>
            <w:vAlign w:val="top"/>
          </w:tcPr>
          <w:p>
            <w:pPr>
              <w:spacing w:before="187" w:line="186" w:lineRule="auto"/>
              <w:ind w:left="270"/>
              <w:rPr>
                <w:rFonts w:ascii="Times New Roman" w:hAnsi="Times New Roman" w:eastAsia="Times New Roman" w:cs="Times New Roman"/>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8"/>
                <w:sz w:val="24"/>
                <w:szCs w:val="24"/>
                <w:highlight w:val="none"/>
                <w14:textFill>
                  <w14:solidFill>
                    <w14:schemeClr w14:val="tx1"/>
                  </w14:solidFill>
                </w14:textFill>
              </w:rPr>
              <w:t>1</w:t>
            </w:r>
            <w:r>
              <w:rPr>
                <w:rFonts w:ascii="Times New Roman" w:hAnsi="Times New Roman" w:eastAsia="Times New Roman" w:cs="Times New Roman"/>
                <w:color w:val="000000" w:themeColor="text1"/>
                <w:spacing w:val="-7"/>
                <w:sz w:val="24"/>
                <w:szCs w:val="24"/>
                <w:highlight w:val="none"/>
                <w14:textFill>
                  <w14:solidFill>
                    <w14:schemeClr w14:val="tx1"/>
                  </w14:solidFill>
                </w14:textFill>
              </w:rPr>
              <w:t>0</w:t>
            </w:r>
          </w:p>
        </w:tc>
        <w:tc>
          <w:tcPr>
            <w:tcW w:w="1807" w:type="dxa"/>
            <w:noWrap w:val="0"/>
            <w:vAlign w:val="top"/>
          </w:tcPr>
          <w:p>
            <w:pPr>
              <w:rPr>
                <w:rFonts w:ascii="Arial"/>
                <w:color w:val="000000" w:themeColor="text1"/>
                <w:sz w:val="21"/>
                <w:highlight w:val="none"/>
                <w14:textFill>
                  <w14:solidFill>
                    <w14:schemeClr w14:val="tx1"/>
                  </w14:solidFill>
                </w14:textFill>
              </w:rPr>
            </w:pPr>
          </w:p>
        </w:tc>
        <w:tc>
          <w:tcPr>
            <w:tcW w:w="1798" w:type="dxa"/>
            <w:noWrap w:val="0"/>
            <w:vAlign w:val="top"/>
          </w:tcPr>
          <w:p>
            <w:pPr>
              <w:rPr>
                <w:rFonts w:ascii="Arial"/>
                <w:color w:val="000000" w:themeColor="text1"/>
                <w:sz w:val="21"/>
                <w:highlight w:val="none"/>
                <w14:textFill>
                  <w14:solidFill>
                    <w14:schemeClr w14:val="tx1"/>
                  </w14:solidFill>
                </w14:textFill>
              </w:rPr>
            </w:pPr>
          </w:p>
        </w:tc>
        <w:tc>
          <w:tcPr>
            <w:tcW w:w="2194" w:type="dxa"/>
            <w:noWrap w:val="0"/>
            <w:vAlign w:val="top"/>
          </w:tcPr>
          <w:p>
            <w:pPr>
              <w:rPr>
                <w:rFonts w:ascii="Arial"/>
                <w:color w:val="000000" w:themeColor="text1"/>
                <w:sz w:val="21"/>
                <w:highlight w:val="none"/>
                <w14:textFill>
                  <w14:solidFill>
                    <w14:schemeClr w14:val="tx1"/>
                  </w14:solidFill>
                </w14:textFill>
              </w:rPr>
            </w:pPr>
          </w:p>
        </w:tc>
        <w:tc>
          <w:tcPr>
            <w:tcW w:w="945" w:type="dxa"/>
            <w:noWrap w:val="0"/>
            <w:vAlign w:val="top"/>
          </w:tcPr>
          <w:p>
            <w:pPr>
              <w:rPr>
                <w:rFonts w:ascii="Arial"/>
                <w:color w:val="000000" w:themeColor="text1"/>
                <w:sz w:val="21"/>
                <w:highlight w:val="none"/>
                <w14:textFill>
                  <w14:solidFill>
                    <w14:schemeClr w14:val="tx1"/>
                  </w14:solidFill>
                </w14:textFill>
              </w:rPr>
            </w:pPr>
          </w:p>
        </w:tc>
        <w:tc>
          <w:tcPr>
            <w:tcW w:w="1132" w:type="dxa"/>
            <w:noWrap w:val="0"/>
            <w:vAlign w:val="top"/>
          </w:tcPr>
          <w:p>
            <w:pPr>
              <w:rPr>
                <w:rFonts w:ascii="Arial"/>
                <w:color w:val="000000" w:themeColor="text1"/>
                <w:sz w:val="21"/>
                <w:highlight w:val="none"/>
                <w14:textFill>
                  <w14:solidFill>
                    <w14:schemeClr w14:val="tx1"/>
                  </w14:solidFill>
                </w14:textFill>
              </w:rPr>
            </w:pPr>
          </w:p>
        </w:tc>
        <w:tc>
          <w:tcPr>
            <w:tcW w:w="1239"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7" w:hRule="atLeast"/>
        </w:trPr>
        <w:tc>
          <w:tcPr>
            <w:tcW w:w="4334" w:type="dxa"/>
            <w:gridSpan w:val="3"/>
            <w:noWrap w:val="0"/>
            <w:vAlign w:val="top"/>
          </w:tcPr>
          <w:p>
            <w:pPr>
              <w:spacing w:before="37" w:line="221" w:lineRule="auto"/>
              <w:ind w:left="112"/>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 xml:space="preserve">EPC </w:t>
            </w:r>
            <w:r>
              <w:rPr>
                <w:rFonts w:ascii="宋体" w:hAnsi="宋体" w:eastAsia="宋体" w:cs="宋体"/>
                <w:color w:val="000000" w:themeColor="text1"/>
                <w:spacing w:val="-4"/>
                <w:sz w:val="24"/>
                <w:szCs w:val="24"/>
                <w:highlight w:val="none"/>
                <w14:textFill>
                  <w14:solidFill>
                    <w14:schemeClr w14:val="tx1"/>
                  </w14:solidFill>
                </w14:textFill>
              </w:rPr>
              <w:t>单位：</w:t>
            </w:r>
          </w:p>
          <w:p>
            <w:pPr>
              <w:spacing w:line="247" w:lineRule="auto"/>
              <w:rPr>
                <w:rFonts w:ascii="Arial"/>
                <w:color w:val="000000" w:themeColor="text1"/>
                <w:sz w:val="21"/>
                <w:highlight w:val="none"/>
                <w14:textFill>
                  <w14:solidFill>
                    <w14:schemeClr w14:val="tx1"/>
                  </w14:solidFill>
                </w14:textFill>
              </w:rPr>
            </w:pPr>
          </w:p>
          <w:p>
            <w:pPr>
              <w:spacing w:line="247" w:lineRule="auto"/>
              <w:rPr>
                <w:rFonts w:ascii="Arial"/>
                <w:color w:val="000000" w:themeColor="text1"/>
                <w:sz w:val="21"/>
                <w:highlight w:val="none"/>
                <w14:textFill>
                  <w14:solidFill>
                    <w14:schemeClr w14:val="tx1"/>
                  </w14:solidFill>
                </w14:textFill>
              </w:rPr>
            </w:pPr>
          </w:p>
          <w:p>
            <w:pPr>
              <w:spacing w:before="78" w:line="220" w:lineRule="auto"/>
              <w:ind w:left="12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47" w:lineRule="auto"/>
              <w:rPr>
                <w:rFonts w:ascii="Arial"/>
                <w:color w:val="000000" w:themeColor="text1"/>
                <w:sz w:val="21"/>
                <w:highlight w:val="none"/>
                <w14:textFill>
                  <w14:solidFill>
                    <w14:schemeClr w14:val="tx1"/>
                  </w14:solidFill>
                </w14:textFill>
              </w:rPr>
            </w:pPr>
          </w:p>
          <w:p>
            <w:pPr>
              <w:spacing w:line="247" w:lineRule="auto"/>
              <w:rPr>
                <w:rFonts w:ascii="Arial"/>
                <w:color w:val="000000" w:themeColor="text1"/>
                <w:sz w:val="21"/>
                <w:highlight w:val="none"/>
                <w14:textFill>
                  <w14:solidFill>
                    <w14:schemeClr w14:val="tx1"/>
                  </w14:solidFill>
                </w14:textFill>
              </w:rPr>
            </w:pPr>
          </w:p>
          <w:p>
            <w:pPr>
              <w:spacing w:before="78" w:line="220" w:lineRule="auto"/>
              <w:ind w:left="35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25" w:line="218" w:lineRule="auto"/>
              <w:ind w:right="192"/>
              <w:jc w:val="righ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年</w:t>
            </w:r>
            <w:r>
              <w:rPr>
                <w:rFonts w:ascii="宋体" w:hAnsi="宋体" w:eastAsia="宋体" w:cs="宋体"/>
                <w:color w:val="000000" w:themeColor="text1"/>
                <w:spacing w:val="3"/>
                <w:sz w:val="24"/>
                <w:szCs w:val="24"/>
                <w:highlight w:val="none"/>
                <w14:textFill>
                  <w14:solidFill>
                    <w14:schemeClr w14:val="tx1"/>
                  </w14:solidFill>
                </w14:textFill>
              </w:rPr>
              <w:t xml:space="preserve">     月     日</w:t>
            </w:r>
          </w:p>
        </w:tc>
        <w:tc>
          <w:tcPr>
            <w:tcW w:w="5510" w:type="dxa"/>
            <w:gridSpan w:val="4"/>
            <w:noWrap w:val="0"/>
            <w:vAlign w:val="top"/>
          </w:tcPr>
          <w:p>
            <w:pPr>
              <w:spacing w:before="38" w:line="220" w:lineRule="auto"/>
              <w:ind w:left="11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1"/>
                <w:sz w:val="24"/>
                <w:szCs w:val="24"/>
                <w:highlight w:val="none"/>
                <w14:textFill>
                  <w14:solidFill>
                    <w14:schemeClr w14:val="tx1"/>
                  </w14:solidFill>
                </w14:textFill>
              </w:rPr>
              <w:t>项</w:t>
            </w:r>
            <w:r>
              <w:rPr>
                <w:rFonts w:ascii="宋体" w:hAnsi="宋体" w:eastAsia="宋体" w:cs="宋体"/>
                <w:color w:val="000000" w:themeColor="text1"/>
                <w:spacing w:val="-8"/>
                <w:sz w:val="24"/>
                <w:szCs w:val="24"/>
                <w:highlight w:val="none"/>
                <w14:textFill>
                  <w14:solidFill>
                    <w14:schemeClr w14:val="tx1"/>
                  </w14:solidFill>
                </w14:textFill>
              </w:rPr>
              <w:t>目管理单位：</w:t>
            </w:r>
          </w:p>
          <w:p>
            <w:pPr>
              <w:spacing w:line="247" w:lineRule="auto"/>
              <w:rPr>
                <w:rFonts w:ascii="Arial"/>
                <w:color w:val="000000" w:themeColor="text1"/>
                <w:sz w:val="21"/>
                <w:highlight w:val="none"/>
                <w14:textFill>
                  <w14:solidFill>
                    <w14:schemeClr w14:val="tx1"/>
                  </w14:solidFill>
                </w14:textFill>
              </w:rPr>
            </w:pPr>
          </w:p>
          <w:p>
            <w:pPr>
              <w:spacing w:line="248" w:lineRule="auto"/>
              <w:rPr>
                <w:rFonts w:ascii="Arial"/>
                <w:color w:val="000000" w:themeColor="text1"/>
                <w:sz w:val="21"/>
                <w:highlight w:val="none"/>
                <w14:textFill>
                  <w14:solidFill>
                    <w14:schemeClr w14:val="tx1"/>
                  </w14:solidFill>
                </w14:textFill>
              </w:rPr>
            </w:pPr>
          </w:p>
          <w:p>
            <w:pPr>
              <w:spacing w:before="78" w:line="220" w:lineRule="auto"/>
              <w:ind w:left="12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47" w:lineRule="auto"/>
              <w:rPr>
                <w:rFonts w:ascii="Arial"/>
                <w:color w:val="000000" w:themeColor="text1"/>
                <w:sz w:val="21"/>
                <w:highlight w:val="none"/>
                <w14:textFill>
                  <w14:solidFill>
                    <w14:schemeClr w14:val="tx1"/>
                  </w14:solidFill>
                </w14:textFill>
              </w:rPr>
            </w:pPr>
          </w:p>
          <w:p>
            <w:pPr>
              <w:spacing w:line="247" w:lineRule="auto"/>
              <w:rPr>
                <w:rFonts w:ascii="Arial"/>
                <w:color w:val="000000" w:themeColor="text1"/>
                <w:sz w:val="21"/>
                <w:highlight w:val="none"/>
                <w14:textFill>
                  <w14:solidFill>
                    <w14:schemeClr w14:val="tx1"/>
                  </w14:solidFill>
                </w14:textFill>
              </w:rPr>
            </w:pPr>
          </w:p>
          <w:p>
            <w:pPr>
              <w:spacing w:before="78" w:line="220" w:lineRule="auto"/>
              <w:ind w:left="35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24" w:line="218" w:lineRule="auto"/>
              <w:ind w:left="203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年</w:t>
            </w:r>
            <w:r>
              <w:rPr>
                <w:rFonts w:ascii="宋体" w:hAnsi="宋体" w:eastAsia="宋体" w:cs="宋体"/>
                <w:color w:val="000000" w:themeColor="text1"/>
                <w:spacing w:val="3"/>
                <w:sz w:val="24"/>
                <w:szCs w:val="24"/>
                <w:highlight w:val="none"/>
                <w14:textFill>
                  <w14:solidFill>
                    <w14:schemeClr w14:val="tx1"/>
                  </w14:solidFill>
                </w14:textFill>
              </w:rPr>
              <w:t xml:space="preserve">     月     日</w:t>
            </w:r>
          </w:p>
        </w:tc>
      </w:tr>
    </w:tbl>
    <w:p>
      <w:pPr>
        <w:keepNext w:val="0"/>
        <w:keepLines w:val="0"/>
        <w:pageBreakBefore w:val="0"/>
        <w:widowControl/>
        <w:kinsoku w:val="0"/>
        <w:wordWrap/>
        <w:overflowPunct/>
        <w:topLinePunct w:val="0"/>
        <w:autoSpaceDE w:val="0"/>
        <w:autoSpaceDN w:val="0"/>
        <w:bidi w:val="0"/>
        <w:adjustRightInd w:val="0"/>
        <w:snapToGrid w:val="0"/>
        <w:spacing w:before="113" w:line="360" w:lineRule="auto"/>
        <w:ind w:right="703"/>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7"/>
          <w:sz w:val="24"/>
          <w:szCs w:val="24"/>
          <w:highlight w:val="none"/>
          <w14:textFill>
            <w14:solidFill>
              <w14:schemeClr w14:val="tx1"/>
            </w14:solidFill>
          </w14:textFill>
        </w:rPr>
        <w:t xml:space="preserve">注： </w:t>
      </w:r>
      <w:r>
        <w:rPr>
          <w:rFonts w:ascii="Times New Roman" w:hAnsi="Times New Roman" w:eastAsia="Times New Roman" w:cs="Times New Roman"/>
          <w:color w:val="000000" w:themeColor="text1"/>
          <w:spacing w:val="-7"/>
          <w:sz w:val="24"/>
          <w:szCs w:val="24"/>
          <w:highlight w:val="none"/>
          <w14:textFill>
            <w14:solidFill>
              <w14:schemeClr w14:val="tx1"/>
            </w14:solidFill>
          </w14:textFill>
        </w:rPr>
        <w:t xml:space="preserve">1 </w:t>
      </w:r>
      <w:r>
        <w:rPr>
          <w:rFonts w:ascii="宋体" w:hAnsi="宋体" w:eastAsia="宋体" w:cs="宋体"/>
          <w:color w:val="000000" w:themeColor="text1"/>
          <w:spacing w:val="-7"/>
          <w:sz w:val="24"/>
          <w:szCs w:val="24"/>
          <w:highlight w:val="none"/>
          <w14:textFill>
            <w14:solidFill>
              <w14:schemeClr w14:val="tx1"/>
            </w14:solidFill>
          </w14:textFill>
        </w:rPr>
        <w:t>、以</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村</w:t>
      </w:r>
      <w:r>
        <w:rPr>
          <w:rFonts w:ascii="宋体" w:hAnsi="宋体" w:eastAsia="宋体" w:cs="宋体"/>
          <w:color w:val="000000" w:themeColor="text1"/>
          <w:spacing w:val="-7"/>
          <w:sz w:val="24"/>
          <w:szCs w:val="24"/>
          <w:highlight w:val="none"/>
          <w14:textFill>
            <w14:solidFill>
              <w14:schemeClr w14:val="tx1"/>
            </w14:solidFill>
          </w14:textFill>
        </w:rPr>
        <w:t>为单位或根据工程进度需要分批填写此表格。</w:t>
      </w:r>
      <w:r>
        <w:rPr>
          <w:rFonts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13" w:line="360" w:lineRule="auto"/>
        <w:ind w:right="703" w:firstLine="600" w:firstLineChars="3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20"/>
          <w:sz w:val="24"/>
          <w:szCs w:val="24"/>
          <w:highlight w:val="none"/>
          <w14:textFill>
            <w14:solidFill>
              <w14:schemeClr w14:val="tx1"/>
            </w14:solidFill>
          </w14:textFill>
        </w:rPr>
        <w:t>2</w:t>
      </w:r>
      <w:r>
        <w:rPr>
          <w:rFonts w:ascii="宋体" w:hAnsi="宋体" w:eastAsia="宋体" w:cs="宋体"/>
          <w:color w:val="000000" w:themeColor="text1"/>
          <w:spacing w:val="-16"/>
          <w:sz w:val="24"/>
          <w:szCs w:val="24"/>
          <w:highlight w:val="none"/>
          <w14:textFill>
            <w14:solidFill>
              <w14:schemeClr w14:val="tx1"/>
            </w14:solidFill>
          </w14:textFill>
        </w:rPr>
        <w:t>、本表格完工考核， 在考核前，</w:t>
      </w:r>
      <w:r>
        <w:rPr>
          <w:rFonts w:ascii="Times New Roman" w:hAnsi="Times New Roman" w:eastAsia="Times New Roman" w:cs="Times New Roman"/>
          <w:color w:val="000000" w:themeColor="text1"/>
          <w:spacing w:val="-16"/>
          <w:sz w:val="24"/>
          <w:szCs w:val="24"/>
          <w:highlight w:val="none"/>
          <w14:textFill>
            <w14:solidFill>
              <w14:schemeClr w14:val="tx1"/>
            </w14:solidFill>
          </w14:textFill>
        </w:rPr>
        <w:t>EPC</w:t>
      </w:r>
      <w:r>
        <w:rPr>
          <w:rFonts w:ascii="宋体" w:hAnsi="宋体" w:eastAsia="宋体" w:cs="宋体"/>
          <w:color w:val="000000" w:themeColor="text1"/>
          <w:spacing w:val="-16"/>
          <w:sz w:val="24"/>
          <w:szCs w:val="24"/>
          <w:highlight w:val="none"/>
          <w14:textFill>
            <w14:solidFill>
              <w14:schemeClr w14:val="tx1"/>
            </w14:solidFill>
          </w14:textFill>
        </w:rPr>
        <w:t>方可进行过程自检，仅作为参考资料，</w:t>
      </w:r>
      <w:r>
        <w:rPr>
          <w:rFonts w:ascii="宋体" w:hAnsi="宋体" w:eastAsia="宋体" w:cs="宋体"/>
          <w:color w:val="000000" w:themeColor="text1"/>
          <w:spacing w:val="-4"/>
          <w:sz w:val="24"/>
          <w:szCs w:val="24"/>
          <w:highlight w:val="none"/>
          <w14:textFill>
            <w14:solidFill>
              <w14:schemeClr w14:val="tx1"/>
            </w14:solidFill>
          </w14:textFill>
        </w:rPr>
        <w:t>不作为判</w:t>
      </w:r>
      <w:r>
        <w:rPr>
          <w:rFonts w:ascii="宋体" w:hAnsi="宋体" w:eastAsia="宋体" w:cs="宋体"/>
          <w:color w:val="000000" w:themeColor="text1"/>
          <w:spacing w:val="-3"/>
          <w:sz w:val="24"/>
          <w:szCs w:val="24"/>
          <w:highlight w:val="none"/>
          <w14:textFill>
            <w14:solidFill>
              <w14:schemeClr w14:val="tx1"/>
            </w14:solidFill>
          </w14:textFill>
        </w:rPr>
        <w:t>定</w:t>
      </w:r>
      <w:r>
        <w:rPr>
          <w:rFonts w:ascii="宋体" w:hAnsi="宋体" w:eastAsia="宋体" w:cs="宋体"/>
          <w:color w:val="000000" w:themeColor="text1"/>
          <w:spacing w:val="-2"/>
          <w:sz w:val="24"/>
          <w:szCs w:val="24"/>
          <w:highlight w:val="none"/>
          <w14:textFill>
            <w14:solidFill>
              <w14:schemeClr w14:val="tx1"/>
            </w14:solidFill>
          </w14:textFill>
        </w:rPr>
        <w:t>达标或不达标的依据。</w:t>
      </w:r>
      <w:r>
        <w:rPr>
          <w:rFonts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13" w:line="360" w:lineRule="auto"/>
        <w:ind w:right="703" w:firstLine="476" w:firstLineChars="200"/>
        <w:jc w:val="both"/>
        <w:textAlignment w:val="baseline"/>
        <w:rPr>
          <w:rFonts w:ascii="宋体" w:hAnsi="宋体" w:eastAsia="宋体" w:cs="宋体"/>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3</w:t>
      </w:r>
      <w:r>
        <w:rPr>
          <w:rFonts w:ascii="宋体" w:hAnsi="宋体" w:eastAsia="宋体" w:cs="宋体"/>
          <w:color w:val="000000" w:themeColor="text1"/>
          <w:spacing w:val="-1"/>
          <w:sz w:val="24"/>
          <w:szCs w:val="24"/>
          <w:highlight w:val="none"/>
          <w14:textFill>
            <w14:solidFill>
              <w14:schemeClr w14:val="tx1"/>
            </w14:solidFill>
          </w14:textFill>
        </w:rPr>
        <w:t>、在考核后，原则上该节点应持续</w:t>
      </w:r>
      <w:r>
        <w:rPr>
          <w:rFonts w:ascii="宋体" w:hAnsi="宋体" w:eastAsia="宋体" w:cs="宋体"/>
          <w:color w:val="000000" w:themeColor="text1"/>
          <w:sz w:val="24"/>
          <w:szCs w:val="24"/>
          <w:highlight w:val="none"/>
          <w14:textFill>
            <w14:solidFill>
              <w14:schemeClr w14:val="tx1"/>
            </w14:solidFill>
          </w14:textFill>
        </w:rPr>
        <w:t>达标，业主方可组织抽检，抽检结果可</w:t>
      </w:r>
      <w:r>
        <w:rPr>
          <w:rFonts w:ascii="宋体" w:hAnsi="宋体" w:eastAsia="宋体" w:cs="宋体"/>
          <w:color w:val="000000" w:themeColor="text1"/>
          <w:spacing w:val="-3"/>
          <w:sz w:val="24"/>
          <w:szCs w:val="24"/>
          <w:highlight w:val="none"/>
          <w14:textFill>
            <w14:solidFill>
              <w14:schemeClr w14:val="tx1"/>
            </w14:solidFill>
          </w14:textFill>
        </w:rPr>
        <w:t xml:space="preserve">作为判定工程进度或质量的依据，业主方有权要求 </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EP</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C</w:t>
      </w:r>
      <w:r>
        <w:rPr>
          <w:rFonts w:ascii="宋体" w:hAnsi="宋体" w:eastAsia="宋体" w:cs="宋体"/>
          <w:color w:val="000000" w:themeColor="text1"/>
          <w:spacing w:val="-3"/>
          <w:sz w:val="24"/>
          <w:szCs w:val="24"/>
          <w:highlight w:val="none"/>
          <w14:textFill>
            <w14:solidFill>
              <w14:schemeClr w14:val="tx1"/>
            </w14:solidFill>
          </w14:textFill>
        </w:rPr>
        <w:t>方进行整改。</w:t>
      </w:r>
    </w:p>
    <w:p>
      <w:pPr>
        <w:spacing w:line="465" w:lineRule="auto"/>
        <w:rPr>
          <w:rFonts w:ascii="Arial"/>
          <w:color w:val="000000" w:themeColor="text1"/>
          <w:sz w:val="21"/>
          <w:highlight w:val="none"/>
          <w14:textFill>
            <w14:solidFill>
              <w14:schemeClr w14:val="tx1"/>
            </w14:solidFill>
          </w14:textFill>
        </w:rPr>
      </w:pPr>
    </w:p>
    <w:p>
      <w:pPr>
        <w:spacing w:line="463" w:lineRule="auto"/>
        <w:rPr>
          <w:rFonts w:ascii="Arial"/>
          <w:color w:val="000000" w:themeColor="text1"/>
          <w:sz w:val="21"/>
          <w:highlight w:val="none"/>
          <w14:textFill>
            <w14:solidFill>
              <w14:schemeClr w14:val="tx1"/>
            </w14:solidFill>
          </w14:textFill>
        </w:rPr>
      </w:pPr>
    </w:p>
    <w:p>
      <w:pPr>
        <w:rPr>
          <w:color w:val="000000" w:themeColor="text1"/>
          <w:highlight w:val="none"/>
          <w14:textFill>
            <w14:solidFill>
              <w14:schemeClr w14:val="tx1"/>
            </w14:solidFill>
          </w14:textFill>
        </w:rPr>
        <w:sectPr>
          <w:type w:val="continuous"/>
          <w:pgSz w:w="11905" w:h="16840"/>
          <w:pgMar w:top="1431" w:right="1027" w:bottom="400" w:left="1027" w:header="0" w:footer="0" w:gutter="0"/>
          <w:pgNumType w:fmt="decimal"/>
          <w:cols w:space="720" w:num="1"/>
        </w:sectPr>
      </w:pPr>
    </w:p>
    <w:p>
      <w:pPr>
        <w:spacing w:line="245" w:lineRule="auto"/>
        <w:rPr>
          <w:rFonts w:ascii="Arial"/>
          <w:color w:val="000000" w:themeColor="text1"/>
          <w:sz w:val="21"/>
          <w:highlight w:val="none"/>
          <w14:textFill>
            <w14:solidFill>
              <w14:schemeClr w14:val="tx1"/>
            </w14:solidFill>
          </w14:textFill>
        </w:rPr>
      </w:pPr>
    </w:p>
    <w:p>
      <w:pPr>
        <w:spacing w:line="246" w:lineRule="auto"/>
        <w:rPr>
          <w:rFonts w:ascii="Arial"/>
          <w:color w:val="000000" w:themeColor="text1"/>
          <w:sz w:val="21"/>
          <w:highlight w:val="none"/>
          <w14:textFill>
            <w14:solidFill>
              <w14:schemeClr w14:val="tx1"/>
            </w14:solidFill>
          </w14:textFill>
        </w:rPr>
      </w:pPr>
    </w:p>
    <w:p>
      <w:pPr>
        <w:spacing w:before="78"/>
        <w:ind w:left="12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工</w:t>
      </w:r>
      <w:r>
        <w:rPr>
          <w:rFonts w:ascii="宋体" w:hAnsi="宋体" w:eastAsia="宋体" w:cs="宋体"/>
          <w:color w:val="000000" w:themeColor="text1"/>
          <w:spacing w:val="-10"/>
          <w:sz w:val="24"/>
          <w:szCs w:val="24"/>
          <w:highlight w:val="none"/>
          <w14:textFill>
            <w14:solidFill>
              <w14:schemeClr w14:val="tx1"/>
            </w14:solidFill>
          </w14:textFill>
        </w:rPr>
        <w:t>程名称：</w:t>
      </w:r>
    </w:p>
    <w:p>
      <w:pPr>
        <w:spacing w:line="185" w:lineRule="auto"/>
        <w:ind w:left="11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EPC单位名称：</w:t>
      </w:r>
    </w:p>
    <w:p>
      <w:pPr>
        <w:spacing w:line="14" w:lineRule="auto"/>
        <w:rPr>
          <w:rFonts w:ascii="Arial"/>
          <w:color w:val="000000" w:themeColor="text1"/>
          <w:sz w:val="2"/>
          <w:highlight w:val="none"/>
          <w14:textFill>
            <w14:solidFill>
              <w14:schemeClr w14:val="tx1"/>
            </w14:solidFill>
          </w14:textFill>
        </w:rPr>
      </w:pPr>
      <w:r>
        <w:rPr>
          <w:rFonts w:ascii="Arial" w:hAnsi="Arial" w:eastAsia="Arial" w:cs="Arial"/>
          <w:color w:val="000000" w:themeColor="text1"/>
          <w:sz w:val="2"/>
          <w:szCs w:val="2"/>
          <w:highlight w:val="none"/>
          <w14:textFill>
            <w14:solidFill>
              <w14:schemeClr w14:val="tx1"/>
            </w14:solidFill>
          </w14:textFill>
        </w:rPr>
        <w:br w:type="column"/>
      </w:r>
    </w:p>
    <w:p>
      <w:pPr>
        <w:spacing w:before="62" w:line="228" w:lineRule="auto"/>
        <w:outlineLvl w:val="0"/>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1"/>
          <w:sz w:val="31"/>
          <w:szCs w:val="31"/>
          <w:highlight w:val="none"/>
          <w14:textFill>
            <w14:solidFill>
              <w14:schemeClr w14:val="tx1"/>
            </w14:solidFill>
          </w14:textFill>
        </w:rPr>
        <w:t xml:space="preserve">表 </w:t>
      </w:r>
      <w:r>
        <w:rPr>
          <w:rFonts w:hint="eastAsia" w:ascii="Times New Roman" w:hAnsi="Times New Roman" w:eastAsia="宋体" w:cs="Times New Roman"/>
          <w:b/>
          <w:bCs/>
          <w:color w:val="000000" w:themeColor="text1"/>
          <w:spacing w:val="1"/>
          <w:sz w:val="31"/>
          <w:szCs w:val="31"/>
          <w:highlight w:val="none"/>
          <w:lang w:val="en-US" w:eastAsia="zh-CN"/>
          <w14:textFill>
            <w14:solidFill>
              <w14:schemeClr w14:val="tx1"/>
            </w14:solidFill>
          </w14:textFill>
        </w:rPr>
        <w:t>5</w:t>
      </w:r>
      <w:r>
        <w:rPr>
          <w:rFonts w:ascii="Times New Roman" w:hAnsi="Times New Roman" w:eastAsia="Times New Roman" w:cs="Times New Roman"/>
          <w:color w:val="000000" w:themeColor="text1"/>
          <w:spacing w:val="1"/>
          <w:sz w:val="31"/>
          <w:szCs w:val="31"/>
          <w:highlight w:val="none"/>
          <w14:textFill>
            <w14:solidFill>
              <w14:schemeClr w14:val="tx1"/>
            </w14:solidFill>
          </w14:textFill>
        </w:rPr>
        <w:t xml:space="preserve">  </w:t>
      </w:r>
      <w:r>
        <w:rPr>
          <w:rFonts w:ascii="黑体" w:hAnsi="黑体" w:eastAsia="黑体" w:cs="黑体"/>
          <w:color w:val="000000" w:themeColor="text1"/>
          <w:sz w:val="31"/>
          <w:szCs w:val="31"/>
          <w:highlight w:val="none"/>
          <w14:textFill>
            <w14:solidFill>
              <w14:schemeClr w14:val="tx1"/>
            </w14:solidFill>
          </w14:textFill>
        </w:rPr>
        <w:t>节点水量考核表</w:t>
      </w:r>
    </w:p>
    <w:p>
      <w:pPr>
        <w:spacing w:before="125"/>
        <w:ind w:left="261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2"/>
          <w:sz w:val="24"/>
          <w:szCs w:val="24"/>
          <w:highlight w:val="none"/>
          <w14:textFill>
            <w14:solidFill>
              <w14:schemeClr w14:val="tx1"/>
            </w14:solidFill>
          </w14:textFill>
        </w:rPr>
        <w:t>镇</w:t>
      </w:r>
      <w:r>
        <w:rPr>
          <w:rFonts w:ascii="宋体" w:hAnsi="宋体" w:eastAsia="宋体" w:cs="宋体"/>
          <w:color w:val="000000" w:themeColor="text1"/>
          <w:spacing w:val="-10"/>
          <w:sz w:val="24"/>
          <w:szCs w:val="24"/>
          <w:highlight w:val="none"/>
          <w14:textFill>
            <w14:solidFill>
              <w14:schemeClr w14:val="tx1"/>
            </w14:solidFill>
          </w14:textFill>
        </w:rPr>
        <w:t>街名称：</w:t>
      </w:r>
    </w:p>
    <w:p>
      <w:pPr>
        <w:spacing w:before="1" w:line="185" w:lineRule="auto"/>
        <w:ind w:left="261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监</w:t>
      </w:r>
      <w:r>
        <w:rPr>
          <w:rFonts w:ascii="宋体" w:hAnsi="宋体" w:eastAsia="宋体" w:cs="宋体"/>
          <w:color w:val="000000" w:themeColor="text1"/>
          <w:spacing w:val="-10"/>
          <w:sz w:val="24"/>
          <w:szCs w:val="24"/>
          <w:highlight w:val="none"/>
          <w14:textFill>
            <w14:solidFill>
              <w14:schemeClr w14:val="tx1"/>
            </w14:solidFill>
          </w14:textFill>
        </w:rPr>
        <w:t>理单位：</w:t>
      </w:r>
    </w:p>
    <w:p>
      <w:pPr>
        <w:rPr>
          <w:color w:val="000000" w:themeColor="text1"/>
          <w:highlight w:val="none"/>
          <w14:textFill>
            <w14:solidFill>
              <w14:schemeClr w14:val="tx1"/>
            </w14:solidFill>
          </w14:textFill>
        </w:rPr>
        <w:sectPr>
          <w:pgSz w:w="11905" w:h="16840"/>
          <w:pgMar w:top="1431" w:right="1236" w:bottom="400" w:left="1779" w:header="0" w:footer="0" w:gutter="0"/>
          <w:pgNumType w:fmt="decimal"/>
          <w:cols w:equalWidth="0" w:num="2">
            <w:col w:w="2606" w:space="100"/>
            <w:col w:w="6183"/>
          </w:cols>
        </w:sectPr>
      </w:pPr>
    </w:p>
    <w:p>
      <w:pPr>
        <w:spacing w:line="34" w:lineRule="exact"/>
        <w:rPr>
          <w:color w:val="000000" w:themeColor="text1"/>
          <w:highlight w:val="none"/>
          <w14:textFill>
            <w14:solidFill>
              <w14:schemeClr w14:val="tx1"/>
            </w14:solidFill>
          </w14:textFill>
        </w:rPr>
      </w:pPr>
    </w:p>
    <w:tbl>
      <w:tblPr>
        <w:tblStyle w:val="78"/>
        <w:tblW w:w="88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4"/>
        <w:gridCol w:w="1903"/>
        <w:gridCol w:w="1141"/>
        <w:gridCol w:w="1606"/>
        <w:gridCol w:w="1770"/>
        <w:gridCol w:w="896"/>
        <w:gridCol w:w="1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554" w:type="dxa"/>
            <w:noWrap w:val="0"/>
            <w:textDirection w:val="tbRlV"/>
            <w:vAlign w:val="top"/>
          </w:tcPr>
          <w:p>
            <w:pPr>
              <w:spacing w:before="154" w:line="210" w:lineRule="auto"/>
              <w:ind w:left="35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6"/>
                <w:sz w:val="24"/>
                <w:szCs w:val="24"/>
                <w:highlight w:val="none"/>
                <w14:textFill>
                  <w14:solidFill>
                    <w14:schemeClr w14:val="tx1"/>
                  </w14:solidFill>
                </w14:textFill>
              </w:rPr>
              <w:t>序 号</w:t>
            </w:r>
          </w:p>
        </w:tc>
        <w:tc>
          <w:tcPr>
            <w:tcW w:w="1903" w:type="dxa"/>
            <w:noWrap w:val="0"/>
            <w:vAlign w:val="top"/>
          </w:tcPr>
          <w:p>
            <w:pPr>
              <w:spacing w:line="252" w:lineRule="auto"/>
              <w:rPr>
                <w:rFonts w:ascii="Arial"/>
                <w:color w:val="000000" w:themeColor="text1"/>
                <w:sz w:val="21"/>
                <w:highlight w:val="none"/>
                <w14:textFill>
                  <w14:solidFill>
                    <w14:schemeClr w14:val="tx1"/>
                  </w14:solidFill>
                </w14:textFill>
              </w:rPr>
            </w:pPr>
          </w:p>
          <w:p>
            <w:pPr>
              <w:spacing w:line="253" w:lineRule="auto"/>
              <w:rPr>
                <w:rFonts w:ascii="Arial"/>
                <w:color w:val="000000" w:themeColor="text1"/>
                <w:sz w:val="21"/>
                <w:highlight w:val="none"/>
                <w14:textFill>
                  <w14:solidFill>
                    <w14:schemeClr w14:val="tx1"/>
                  </w14:solidFill>
                </w14:textFill>
              </w:rPr>
            </w:pPr>
          </w:p>
          <w:p>
            <w:pPr>
              <w:spacing w:before="78" w:line="221" w:lineRule="auto"/>
              <w:ind w:left="48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关</w:t>
            </w:r>
            <w:r>
              <w:rPr>
                <w:rFonts w:ascii="宋体" w:hAnsi="宋体" w:eastAsia="宋体" w:cs="宋体"/>
                <w:color w:val="000000" w:themeColor="text1"/>
                <w:spacing w:val="-2"/>
                <w:sz w:val="24"/>
                <w:szCs w:val="24"/>
                <w:highlight w:val="none"/>
                <w14:textFill>
                  <w14:solidFill>
                    <w14:schemeClr w14:val="tx1"/>
                  </w14:solidFill>
                </w14:textFill>
              </w:rPr>
              <w:t>键节点</w:t>
            </w:r>
          </w:p>
        </w:tc>
        <w:tc>
          <w:tcPr>
            <w:tcW w:w="1141" w:type="dxa"/>
            <w:noWrap w:val="0"/>
            <w:vAlign w:val="top"/>
          </w:tcPr>
          <w:p>
            <w:pPr>
              <w:spacing w:before="118" w:line="221" w:lineRule="auto"/>
              <w:ind w:left="21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标</w:t>
            </w:r>
            <w:r>
              <w:rPr>
                <w:rFonts w:ascii="宋体" w:hAnsi="宋体" w:eastAsia="宋体" w:cs="宋体"/>
                <w:color w:val="000000" w:themeColor="text1"/>
                <w:spacing w:val="-2"/>
                <w:sz w:val="24"/>
                <w:szCs w:val="24"/>
                <w:highlight w:val="none"/>
                <w14:textFill>
                  <w14:solidFill>
                    <w14:schemeClr w14:val="tx1"/>
                  </w14:solidFill>
                </w14:textFill>
              </w:rPr>
              <w:t>准</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污（雨）</w:t>
            </w:r>
          </w:p>
          <w:p>
            <w:pPr>
              <w:spacing w:before="181" w:line="220" w:lineRule="auto"/>
              <w:ind w:left="33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水</w:t>
            </w:r>
            <w:r>
              <w:rPr>
                <w:rFonts w:ascii="宋体" w:hAnsi="宋体" w:eastAsia="宋体" w:cs="宋体"/>
                <w:color w:val="000000" w:themeColor="text1"/>
                <w:spacing w:val="-3"/>
                <w:sz w:val="24"/>
                <w:szCs w:val="24"/>
                <w:highlight w:val="none"/>
                <w14:textFill>
                  <w14:solidFill>
                    <w14:schemeClr w14:val="tx1"/>
                  </w14:solidFill>
                </w14:textFill>
              </w:rPr>
              <w:t>量</w:t>
            </w:r>
          </w:p>
          <w:p>
            <w:pPr>
              <w:spacing w:before="181" w:line="223" w:lineRule="auto"/>
              <w:ind w:left="16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m</w:t>
            </w:r>
            <w:r>
              <w:rPr>
                <w:rFonts w:ascii="宋体" w:hAnsi="宋体" w:eastAsia="宋体" w:cs="宋体"/>
                <w:color w:val="000000" w:themeColor="text1"/>
                <w:spacing w:val="13"/>
                <w:sz w:val="24"/>
                <w:szCs w:val="24"/>
                <w:highlight w:val="none"/>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d</w:t>
            </w:r>
            <w:r>
              <w:rPr>
                <w:rFonts w:ascii="宋体" w:hAnsi="宋体" w:eastAsia="宋体" w:cs="宋体"/>
                <w:color w:val="000000" w:themeColor="text1"/>
                <w:spacing w:val="12"/>
                <w:sz w:val="24"/>
                <w:szCs w:val="24"/>
                <w:highlight w:val="none"/>
                <w14:textFill>
                  <w14:solidFill>
                    <w14:schemeClr w14:val="tx1"/>
                  </w14:solidFill>
                </w14:textFill>
              </w:rPr>
              <w:t>)</w:t>
            </w:r>
          </w:p>
        </w:tc>
        <w:tc>
          <w:tcPr>
            <w:tcW w:w="1606" w:type="dxa"/>
            <w:noWrap w:val="0"/>
            <w:vAlign w:val="top"/>
          </w:tcPr>
          <w:p>
            <w:pPr>
              <w:spacing w:line="272" w:lineRule="auto"/>
              <w:rPr>
                <w:rFonts w:ascii="Arial"/>
                <w:color w:val="000000" w:themeColor="text1"/>
                <w:sz w:val="21"/>
                <w:highlight w:val="none"/>
                <w14:textFill>
                  <w14:solidFill>
                    <w14:schemeClr w14:val="tx1"/>
                  </w14:solidFill>
                </w14:textFill>
              </w:rPr>
            </w:pPr>
          </w:p>
          <w:p>
            <w:pPr>
              <w:spacing w:before="78" w:line="369" w:lineRule="auto"/>
              <w:ind w:left="116" w:right="105" w:firstLine="9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月</w:t>
            </w:r>
            <w:r>
              <w:rPr>
                <w:rFonts w:ascii="宋体" w:hAnsi="宋体" w:eastAsia="宋体" w:cs="宋体"/>
                <w:color w:val="000000" w:themeColor="text1"/>
                <w:spacing w:val="-3"/>
                <w:sz w:val="24"/>
                <w:szCs w:val="24"/>
                <w:highlight w:val="none"/>
                <w14:textFill>
                  <w14:solidFill>
                    <w14:schemeClr w14:val="tx1"/>
                  </w14:solidFill>
                </w14:textFill>
              </w:rPr>
              <w:t>均</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单日</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污</w:t>
            </w:r>
            <w:r>
              <w:rPr>
                <w:rFonts w:ascii="宋体" w:hAnsi="宋体" w:eastAsia="宋体" w:cs="宋体"/>
                <w:color w:val="000000" w:themeColor="text1"/>
                <w:sz w:val="24"/>
                <w:szCs w:val="24"/>
                <w:highlight w:val="none"/>
                <w14:textFill>
                  <w14:solidFill>
                    <w14:schemeClr w14:val="tx1"/>
                  </w14:solidFill>
                </w14:textFill>
              </w:rPr>
              <w:t xml:space="preserve"> </w:t>
            </w:r>
            <w:r>
              <w:rPr>
                <w:rFonts w:ascii="宋体" w:hAnsi="宋体" w:eastAsia="宋体" w:cs="宋体"/>
                <w:color w:val="000000" w:themeColor="text1"/>
                <w:spacing w:val="-1"/>
                <w:sz w:val="24"/>
                <w:szCs w:val="24"/>
                <w:highlight w:val="none"/>
                <w14:textFill>
                  <w14:solidFill>
                    <w14:schemeClr w14:val="tx1"/>
                  </w14:solidFill>
                </w14:textFill>
              </w:rPr>
              <w:t>水</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（雨水）</w:t>
            </w:r>
            <w:r>
              <w:rPr>
                <w:rFonts w:ascii="宋体" w:hAnsi="宋体" w:eastAsia="宋体" w:cs="宋体"/>
                <w:color w:val="000000" w:themeColor="text1"/>
                <w:sz w:val="24"/>
                <w:szCs w:val="24"/>
                <w:highlight w:val="none"/>
                <w14:textFill>
                  <w14:solidFill>
                    <w14:schemeClr w14:val="tx1"/>
                  </w14:solidFill>
                </w14:textFill>
              </w:rPr>
              <w:t>水量(m</w:t>
            </w:r>
            <w:r>
              <w:rPr>
                <w:rFonts w:ascii="宋体" w:hAnsi="宋体" w:eastAsia="宋体" w:cs="宋体"/>
                <w:color w:val="000000" w:themeColor="text1"/>
                <w:position w:val="11"/>
                <w:sz w:val="12"/>
                <w:szCs w:val="12"/>
                <w:highlight w:val="none"/>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/d)</w:t>
            </w:r>
          </w:p>
        </w:tc>
        <w:tc>
          <w:tcPr>
            <w:tcW w:w="1770" w:type="dxa"/>
            <w:noWrap w:val="0"/>
            <w:vAlign w:val="top"/>
          </w:tcPr>
          <w:p>
            <w:pPr>
              <w:spacing w:line="253" w:lineRule="auto"/>
              <w:rPr>
                <w:rFonts w:ascii="Arial"/>
                <w:color w:val="000000" w:themeColor="text1"/>
                <w:sz w:val="21"/>
                <w:highlight w:val="none"/>
                <w14:textFill>
                  <w14:solidFill>
                    <w14:schemeClr w14:val="tx1"/>
                  </w14:solidFill>
                </w14:textFill>
              </w:rPr>
            </w:pPr>
          </w:p>
          <w:p>
            <w:pPr>
              <w:spacing w:line="253" w:lineRule="auto"/>
              <w:rPr>
                <w:rFonts w:ascii="Arial"/>
                <w:color w:val="000000" w:themeColor="text1"/>
                <w:sz w:val="21"/>
                <w:highlight w:val="none"/>
                <w14:textFill>
                  <w14:solidFill>
                    <w14:schemeClr w14:val="tx1"/>
                  </w14:solidFill>
                </w14:textFill>
              </w:rPr>
            </w:pPr>
          </w:p>
          <w:p>
            <w:pPr>
              <w:spacing w:before="78" w:line="220" w:lineRule="auto"/>
              <w:ind w:left="29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流量比值</w:t>
            </w:r>
            <w:r>
              <w:rPr>
                <w:rFonts w:ascii="宋体" w:hAnsi="宋体" w:eastAsia="宋体" w:cs="宋体"/>
                <w:color w:val="000000" w:themeColor="text1"/>
                <w:spacing w:val="-1"/>
                <w:sz w:val="24"/>
                <w:szCs w:val="24"/>
                <w:highlight w:val="none"/>
                <w14:textFill>
                  <w14:solidFill>
                    <w14:schemeClr w14:val="tx1"/>
                  </w14:solidFill>
                </w14:textFill>
              </w:rPr>
              <w:t>率</w:t>
            </w:r>
          </w:p>
        </w:tc>
        <w:tc>
          <w:tcPr>
            <w:tcW w:w="896" w:type="dxa"/>
            <w:noWrap w:val="0"/>
            <w:vAlign w:val="top"/>
          </w:tcPr>
          <w:p>
            <w:pPr>
              <w:spacing w:line="273" w:lineRule="auto"/>
              <w:rPr>
                <w:rFonts w:ascii="Arial"/>
                <w:color w:val="000000" w:themeColor="text1"/>
                <w:sz w:val="21"/>
                <w:highlight w:val="none"/>
                <w14:textFill>
                  <w14:solidFill>
                    <w14:schemeClr w14:val="tx1"/>
                  </w14:solidFill>
                </w14:textFill>
              </w:rPr>
            </w:pPr>
          </w:p>
          <w:p>
            <w:pPr>
              <w:spacing w:before="78" w:line="468" w:lineRule="exact"/>
              <w:ind w:left="21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position w:val="17"/>
                <w:sz w:val="24"/>
                <w:szCs w:val="24"/>
                <w:highlight w:val="none"/>
                <w14:textFill>
                  <w14:solidFill>
                    <w14:schemeClr w14:val="tx1"/>
                  </w14:solidFill>
                </w14:textFill>
              </w:rPr>
              <w:t>考</w:t>
            </w:r>
            <w:r>
              <w:rPr>
                <w:rFonts w:ascii="宋体" w:hAnsi="宋体" w:eastAsia="宋体" w:cs="宋体"/>
                <w:color w:val="000000" w:themeColor="text1"/>
                <w:spacing w:val="-2"/>
                <w:position w:val="17"/>
                <w:sz w:val="24"/>
                <w:szCs w:val="24"/>
                <w:highlight w:val="none"/>
                <w14:textFill>
                  <w14:solidFill>
                    <w14:schemeClr w14:val="tx1"/>
                  </w14:solidFill>
                </w14:textFill>
              </w:rPr>
              <w:t>核</w:t>
            </w:r>
          </w:p>
          <w:p>
            <w:pPr>
              <w:spacing w:before="1" w:line="220" w:lineRule="auto"/>
              <w:ind w:left="33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分</w:t>
            </w:r>
          </w:p>
        </w:tc>
        <w:tc>
          <w:tcPr>
            <w:tcW w:w="1013" w:type="dxa"/>
            <w:noWrap w:val="0"/>
            <w:vAlign w:val="top"/>
          </w:tcPr>
          <w:p>
            <w:pPr>
              <w:spacing w:line="272" w:lineRule="auto"/>
              <w:rPr>
                <w:rFonts w:ascii="Arial"/>
                <w:color w:val="000000" w:themeColor="text1"/>
                <w:sz w:val="21"/>
                <w:highlight w:val="none"/>
                <w14:textFill>
                  <w14:solidFill>
                    <w14:schemeClr w14:val="tx1"/>
                  </w14:solidFill>
                </w14:textFill>
              </w:rPr>
            </w:pPr>
          </w:p>
          <w:p>
            <w:pPr>
              <w:spacing w:before="78" w:line="369" w:lineRule="auto"/>
              <w:ind w:left="396" w:right="144" w:hanging="237"/>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复</w:t>
            </w:r>
            <w:r>
              <w:rPr>
                <w:rFonts w:ascii="宋体" w:hAnsi="宋体" w:eastAsia="宋体" w:cs="宋体"/>
                <w:color w:val="000000" w:themeColor="text1"/>
                <w:spacing w:val="-5"/>
                <w:sz w:val="24"/>
                <w:szCs w:val="24"/>
                <w:highlight w:val="none"/>
                <w14:textFill>
                  <w14:solidFill>
                    <w14:schemeClr w14:val="tx1"/>
                  </w14:solidFill>
                </w14:textFill>
              </w:rPr>
              <w:t>核意</w:t>
            </w:r>
            <w:r>
              <w:rPr>
                <w:rFonts w:ascii="宋体" w:hAnsi="宋体" w:eastAsia="宋体" w:cs="宋体"/>
                <w:color w:val="000000" w:themeColor="text1"/>
                <w:sz w:val="24"/>
                <w:szCs w:val="24"/>
                <w:highlight w:val="none"/>
                <w14:textFill>
                  <w14:solidFill>
                    <w14:schemeClr w14:val="tx1"/>
                  </w14:solidFill>
                </w14:textFill>
              </w:rPr>
              <w:t xml:space="preserve"> 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4" w:type="dxa"/>
            <w:noWrap w:val="0"/>
            <w:vAlign w:val="top"/>
          </w:tcPr>
          <w:p>
            <w:pPr>
              <w:spacing w:before="149" w:line="187" w:lineRule="auto"/>
              <w:ind w:left="24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w:t>
            </w:r>
          </w:p>
        </w:tc>
        <w:tc>
          <w:tcPr>
            <w:tcW w:w="1903" w:type="dxa"/>
            <w:noWrap w:val="0"/>
            <w:vAlign w:val="top"/>
          </w:tcPr>
          <w:p>
            <w:pPr>
              <w:spacing w:before="113" w:line="220" w:lineRule="auto"/>
              <w:ind w:left="56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xx</w:t>
            </w:r>
            <w:r>
              <w:rPr>
                <w:rFonts w:ascii="宋体" w:hAnsi="宋体" w:eastAsia="宋体" w:cs="宋体"/>
                <w:color w:val="000000" w:themeColor="text1"/>
                <w:spacing w:val="-17"/>
                <w:sz w:val="24"/>
                <w:szCs w:val="24"/>
                <w:highlight w:val="none"/>
                <w14:textFill>
                  <w14:solidFill>
                    <w14:schemeClr w14:val="tx1"/>
                  </w14:solidFill>
                </w14:textFill>
              </w:rPr>
              <w:t xml:space="preserve"> </w:t>
            </w:r>
            <w:r>
              <w:rPr>
                <w:rFonts w:ascii="宋体" w:hAnsi="宋体" w:eastAsia="宋体" w:cs="宋体"/>
                <w:color w:val="000000" w:themeColor="text1"/>
                <w:spacing w:val="-13"/>
                <w:sz w:val="24"/>
                <w:szCs w:val="24"/>
                <w:highlight w:val="none"/>
                <w14:textFill>
                  <w14:solidFill>
                    <w14:schemeClr w14:val="tx1"/>
                  </w14:solidFill>
                </w14:textFill>
              </w:rPr>
              <w:t>泵站</w:t>
            </w: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spacing w:before="113" w:line="242" w:lineRule="auto"/>
              <w:ind w:left="68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5"/>
                <w:sz w:val="24"/>
                <w:szCs w:val="24"/>
                <w:highlight w:val="none"/>
                <w14:textFill>
                  <w14:solidFill>
                    <w14:schemeClr w14:val="tx1"/>
                  </w14:solidFill>
                </w14:textFill>
              </w:rPr>
              <w:t>x</w:t>
            </w:r>
            <w:r>
              <w:rPr>
                <w:rFonts w:ascii="宋体" w:hAnsi="宋体" w:eastAsia="宋体" w:cs="宋体"/>
                <w:color w:val="000000" w:themeColor="text1"/>
                <w:spacing w:val="-4"/>
                <w:sz w:val="24"/>
                <w:szCs w:val="24"/>
                <w:highlight w:val="none"/>
                <w14:textFill>
                  <w14:solidFill>
                    <w14:schemeClr w14:val="tx1"/>
                  </w14:solidFill>
                </w14:textFill>
              </w:rPr>
              <w:t>x</w:t>
            </w:r>
          </w:p>
        </w:tc>
        <w:tc>
          <w:tcPr>
            <w:tcW w:w="1770" w:type="dxa"/>
            <w:noWrap w:val="0"/>
            <w:vAlign w:val="top"/>
          </w:tcPr>
          <w:p>
            <w:pPr>
              <w:spacing w:before="114"/>
              <w:ind w:left="35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xx</w:t>
            </w:r>
            <w:r>
              <w:rPr>
                <w:rFonts w:ascii="宋体" w:hAnsi="宋体" w:eastAsia="宋体" w:cs="宋体"/>
                <w:color w:val="000000" w:themeColor="text1"/>
                <w:spacing w:val="-2"/>
                <w:sz w:val="24"/>
                <w:szCs w:val="24"/>
                <w:highlight w:val="none"/>
                <w14:textFill>
                  <w14:solidFill>
                    <w14:schemeClr w14:val="tx1"/>
                  </w14:solidFill>
                </w14:textFill>
              </w:rPr>
              <w:t xml:space="preserve"> %</w:t>
            </w: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4" w:type="dxa"/>
            <w:noWrap w:val="0"/>
            <w:vAlign w:val="top"/>
          </w:tcPr>
          <w:p>
            <w:pPr>
              <w:spacing w:line="307" w:lineRule="auto"/>
              <w:rPr>
                <w:rFonts w:ascii="Arial"/>
                <w:color w:val="000000" w:themeColor="text1"/>
                <w:sz w:val="21"/>
                <w:highlight w:val="none"/>
                <w14:textFill>
                  <w14:solidFill>
                    <w14:schemeClr w14:val="tx1"/>
                  </w14:solidFill>
                </w14:textFill>
              </w:rPr>
            </w:pPr>
          </w:p>
          <w:p>
            <w:pPr>
              <w:spacing w:before="78" w:line="186" w:lineRule="auto"/>
              <w:ind w:left="22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w:t>
            </w:r>
          </w:p>
        </w:tc>
        <w:tc>
          <w:tcPr>
            <w:tcW w:w="1903" w:type="dxa"/>
            <w:noWrap w:val="0"/>
            <w:vAlign w:val="top"/>
          </w:tcPr>
          <w:p>
            <w:pPr>
              <w:spacing w:before="115" w:line="468" w:lineRule="exact"/>
              <w:ind w:left="143"/>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pacing w:val="-17"/>
                <w:position w:val="17"/>
                <w:sz w:val="24"/>
                <w:szCs w:val="24"/>
                <w:highlight w:val="none"/>
                <w14:textFill>
                  <w14:solidFill>
                    <w14:schemeClr w14:val="tx1"/>
                  </w14:solidFill>
                </w14:textFill>
              </w:rPr>
              <w:t>XX 路 XX 段污水</w:t>
            </w:r>
            <w:r>
              <w:rPr>
                <w:rFonts w:hint="eastAsia" w:ascii="宋体" w:hAnsi="宋体" w:eastAsia="宋体" w:cs="宋体"/>
                <w:color w:val="000000" w:themeColor="text1"/>
                <w:spacing w:val="-17"/>
                <w:position w:val="17"/>
                <w:sz w:val="24"/>
                <w:szCs w:val="24"/>
                <w:highlight w:val="none"/>
                <w:lang w:val="en-US" w:eastAsia="zh-CN"/>
                <w14:textFill>
                  <w14:solidFill>
                    <w14:schemeClr w14:val="tx1"/>
                  </w14:solidFill>
                </w14:textFill>
              </w:rPr>
              <w:t>(雨水）</w:t>
            </w:r>
          </w:p>
          <w:p>
            <w:pPr>
              <w:spacing w:line="220" w:lineRule="auto"/>
              <w:ind w:left="48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管</w:t>
            </w:r>
            <w:r>
              <w:rPr>
                <w:rFonts w:ascii="宋体" w:hAnsi="宋体" w:eastAsia="宋体" w:cs="宋体"/>
                <w:color w:val="000000" w:themeColor="text1"/>
                <w:spacing w:val="-3"/>
                <w:sz w:val="24"/>
                <w:szCs w:val="24"/>
                <w:highlight w:val="none"/>
                <w14:textFill>
                  <w14:solidFill>
                    <w14:schemeClr w14:val="tx1"/>
                  </w14:solidFill>
                </w14:textFill>
              </w:rPr>
              <w:t>网</w:t>
            </w:r>
            <w:r>
              <w:rPr>
                <w:rFonts w:ascii="宋体" w:hAnsi="宋体" w:eastAsia="宋体" w:cs="宋体"/>
                <w:color w:val="000000" w:themeColor="text1"/>
                <w:spacing w:val="-2"/>
                <w:sz w:val="24"/>
                <w:szCs w:val="24"/>
                <w:highlight w:val="none"/>
                <w14:textFill>
                  <w14:solidFill>
                    <w14:schemeClr w14:val="tx1"/>
                  </w14:solidFill>
                </w14:textFill>
              </w:rPr>
              <w:t>节点</w:t>
            </w: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spacing w:line="269" w:lineRule="auto"/>
              <w:rPr>
                <w:rFonts w:ascii="Arial"/>
                <w:color w:val="000000" w:themeColor="text1"/>
                <w:sz w:val="21"/>
                <w:highlight w:val="none"/>
                <w14:textFill>
                  <w14:solidFill>
                    <w14:schemeClr w14:val="tx1"/>
                  </w14:solidFill>
                </w14:textFill>
              </w:rPr>
            </w:pPr>
          </w:p>
          <w:p>
            <w:pPr>
              <w:spacing w:before="78" w:line="242" w:lineRule="auto"/>
              <w:ind w:left="68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x</w:t>
            </w:r>
            <w:r>
              <w:rPr>
                <w:rFonts w:ascii="宋体" w:hAnsi="宋体" w:eastAsia="宋体" w:cs="宋体"/>
                <w:color w:val="000000" w:themeColor="text1"/>
                <w:spacing w:val="-2"/>
                <w:sz w:val="24"/>
                <w:szCs w:val="24"/>
                <w:highlight w:val="none"/>
                <w14:textFill>
                  <w14:solidFill>
                    <w14:schemeClr w14:val="tx1"/>
                  </w14:solidFill>
                </w14:textFill>
              </w:rPr>
              <w:t>x</w:t>
            </w:r>
          </w:p>
        </w:tc>
        <w:tc>
          <w:tcPr>
            <w:tcW w:w="1770" w:type="dxa"/>
            <w:noWrap w:val="0"/>
            <w:vAlign w:val="top"/>
          </w:tcPr>
          <w:p>
            <w:pPr>
              <w:rPr>
                <w:rFonts w:ascii="Arial"/>
                <w:color w:val="000000" w:themeColor="text1"/>
                <w:sz w:val="21"/>
                <w:highlight w:val="none"/>
                <w14:textFill>
                  <w14:solidFill>
                    <w14:schemeClr w14:val="tx1"/>
                  </w14:solidFill>
                </w14:textFill>
              </w:rPr>
            </w:pP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554" w:type="dxa"/>
            <w:noWrap w:val="0"/>
            <w:vAlign w:val="top"/>
          </w:tcPr>
          <w:p>
            <w:pPr>
              <w:spacing w:before="153" w:line="185" w:lineRule="auto"/>
              <w:ind w:left="22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3</w:t>
            </w:r>
          </w:p>
        </w:tc>
        <w:tc>
          <w:tcPr>
            <w:tcW w:w="1903" w:type="dxa"/>
            <w:noWrap w:val="0"/>
            <w:vAlign w:val="top"/>
          </w:tcPr>
          <w:p>
            <w:pPr>
              <w:spacing w:before="115" w:line="468" w:lineRule="exact"/>
              <w:ind w:left="143"/>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ascii="宋体" w:hAnsi="宋体" w:eastAsia="宋体" w:cs="宋体"/>
                <w:color w:val="000000" w:themeColor="text1"/>
                <w:spacing w:val="-17"/>
                <w:position w:val="17"/>
                <w:sz w:val="24"/>
                <w:szCs w:val="24"/>
                <w:highlight w:val="none"/>
                <w14:textFill>
                  <w14:solidFill>
                    <w14:schemeClr w14:val="tx1"/>
                  </w14:solidFill>
                </w14:textFill>
              </w:rPr>
              <w:t>XX 路 XX 段污水</w:t>
            </w:r>
            <w:r>
              <w:rPr>
                <w:rFonts w:hint="eastAsia" w:ascii="宋体" w:hAnsi="宋体" w:eastAsia="宋体" w:cs="宋体"/>
                <w:color w:val="000000" w:themeColor="text1"/>
                <w:spacing w:val="-17"/>
                <w:position w:val="17"/>
                <w:sz w:val="24"/>
                <w:szCs w:val="24"/>
                <w:highlight w:val="none"/>
                <w:lang w:val="en-US" w:eastAsia="zh-CN"/>
                <w14:textFill>
                  <w14:solidFill>
                    <w14:schemeClr w14:val="tx1"/>
                  </w14:solidFill>
                </w14:textFill>
              </w:rPr>
              <w:t>(雨水）</w:t>
            </w:r>
          </w:p>
          <w:p>
            <w:pPr>
              <w:spacing w:before="116" w:line="223" w:lineRule="auto"/>
              <w:ind w:left="443"/>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管</w:t>
            </w:r>
            <w:r>
              <w:rPr>
                <w:rFonts w:ascii="宋体" w:hAnsi="宋体" w:eastAsia="宋体" w:cs="宋体"/>
                <w:color w:val="000000" w:themeColor="text1"/>
                <w:spacing w:val="-3"/>
                <w:sz w:val="24"/>
                <w:szCs w:val="24"/>
                <w:highlight w:val="none"/>
                <w14:textFill>
                  <w14:solidFill>
                    <w14:schemeClr w14:val="tx1"/>
                  </w14:solidFill>
                </w14:textFill>
              </w:rPr>
              <w:t>网</w:t>
            </w:r>
            <w:r>
              <w:rPr>
                <w:rFonts w:ascii="宋体" w:hAnsi="宋体" w:eastAsia="宋体" w:cs="宋体"/>
                <w:color w:val="000000" w:themeColor="text1"/>
                <w:spacing w:val="-2"/>
                <w:sz w:val="24"/>
                <w:szCs w:val="24"/>
                <w:highlight w:val="none"/>
                <w14:textFill>
                  <w14:solidFill>
                    <w14:schemeClr w14:val="tx1"/>
                  </w14:solidFill>
                </w14:textFill>
              </w:rPr>
              <w:t>节点</w:t>
            </w: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rPr>
                <w:rFonts w:ascii="Arial"/>
                <w:color w:val="000000" w:themeColor="text1"/>
                <w:sz w:val="21"/>
                <w:highlight w:val="none"/>
                <w14:textFill>
                  <w14:solidFill>
                    <w14:schemeClr w14:val="tx1"/>
                  </w14:solidFill>
                </w14:textFill>
              </w:rPr>
            </w:pPr>
          </w:p>
        </w:tc>
        <w:tc>
          <w:tcPr>
            <w:tcW w:w="1770" w:type="dxa"/>
            <w:noWrap w:val="0"/>
            <w:vAlign w:val="top"/>
          </w:tcPr>
          <w:p>
            <w:pPr>
              <w:rPr>
                <w:rFonts w:ascii="Arial"/>
                <w:color w:val="000000" w:themeColor="text1"/>
                <w:sz w:val="21"/>
                <w:highlight w:val="none"/>
                <w14:textFill>
                  <w14:solidFill>
                    <w14:schemeClr w14:val="tx1"/>
                  </w14:solidFill>
                </w14:textFill>
              </w:rPr>
            </w:pP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4" w:type="dxa"/>
            <w:noWrap w:val="0"/>
            <w:vAlign w:val="top"/>
          </w:tcPr>
          <w:p>
            <w:pPr>
              <w:spacing w:before="152" w:line="186" w:lineRule="auto"/>
              <w:ind w:left="222"/>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4</w:t>
            </w:r>
          </w:p>
        </w:tc>
        <w:tc>
          <w:tcPr>
            <w:tcW w:w="1903" w:type="dxa"/>
            <w:noWrap w:val="0"/>
            <w:vAlign w:val="top"/>
          </w:tcPr>
          <w:p>
            <w:pPr>
              <w:spacing w:before="114" w:line="357" w:lineRule="exact"/>
              <w:ind w:left="85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position w:val="2"/>
                <w:sz w:val="24"/>
                <w:szCs w:val="24"/>
                <w:highlight w:val="none"/>
                <w14:textFill>
                  <w14:solidFill>
                    <w14:schemeClr w14:val="tx1"/>
                  </w14:solidFill>
                </w14:textFill>
              </w:rPr>
              <w:t>…</w:t>
            </w:r>
            <w:r>
              <w:rPr>
                <w:rFonts w:ascii="宋体" w:hAnsi="宋体" w:eastAsia="宋体" w:cs="宋体"/>
                <w:color w:val="000000" w:themeColor="text1"/>
                <w:spacing w:val="-12"/>
                <w:position w:val="2"/>
                <w:sz w:val="24"/>
                <w:szCs w:val="24"/>
                <w:highlight w:val="none"/>
                <w14:textFill>
                  <w14:solidFill>
                    <w14:schemeClr w14:val="tx1"/>
                  </w14:solidFill>
                </w14:textFill>
              </w:rPr>
              <w:t>…</w:t>
            </w: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spacing w:before="114" w:line="357" w:lineRule="exact"/>
              <w:ind w:left="58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position w:val="2"/>
                <w:sz w:val="24"/>
                <w:szCs w:val="24"/>
                <w:highlight w:val="none"/>
                <w14:textFill>
                  <w14:solidFill>
                    <w14:schemeClr w14:val="tx1"/>
                  </w14:solidFill>
                </w14:textFill>
              </w:rPr>
              <w:t>…</w:t>
            </w:r>
            <w:r>
              <w:rPr>
                <w:rFonts w:ascii="宋体" w:hAnsi="宋体" w:eastAsia="宋体" w:cs="宋体"/>
                <w:color w:val="000000" w:themeColor="text1"/>
                <w:spacing w:val="-12"/>
                <w:position w:val="2"/>
                <w:sz w:val="24"/>
                <w:szCs w:val="24"/>
                <w:highlight w:val="none"/>
                <w14:textFill>
                  <w14:solidFill>
                    <w14:schemeClr w14:val="tx1"/>
                  </w14:solidFill>
                </w14:textFill>
              </w:rPr>
              <w:t>…</w:t>
            </w:r>
          </w:p>
        </w:tc>
        <w:tc>
          <w:tcPr>
            <w:tcW w:w="1770" w:type="dxa"/>
            <w:noWrap w:val="0"/>
            <w:vAlign w:val="top"/>
          </w:tcPr>
          <w:p>
            <w:pPr>
              <w:spacing w:before="114" w:line="357" w:lineRule="exact"/>
              <w:ind w:left="78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position w:val="2"/>
                <w:sz w:val="24"/>
                <w:szCs w:val="24"/>
                <w:highlight w:val="none"/>
                <w14:textFill>
                  <w14:solidFill>
                    <w14:schemeClr w14:val="tx1"/>
                  </w14:solidFill>
                </w14:textFill>
              </w:rPr>
              <w:t>…</w:t>
            </w:r>
            <w:r>
              <w:rPr>
                <w:rFonts w:ascii="宋体" w:hAnsi="宋体" w:eastAsia="宋体" w:cs="宋体"/>
                <w:color w:val="000000" w:themeColor="text1"/>
                <w:spacing w:val="-12"/>
                <w:position w:val="2"/>
                <w:sz w:val="24"/>
                <w:szCs w:val="24"/>
                <w:highlight w:val="none"/>
                <w14:textFill>
                  <w14:solidFill>
                    <w14:schemeClr w14:val="tx1"/>
                  </w14:solidFill>
                </w14:textFill>
              </w:rPr>
              <w:t>…</w:t>
            </w: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4" w:type="dxa"/>
            <w:noWrap w:val="0"/>
            <w:vAlign w:val="top"/>
          </w:tcPr>
          <w:p>
            <w:pPr>
              <w:spacing w:before="156" w:line="183" w:lineRule="auto"/>
              <w:ind w:left="22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5</w:t>
            </w:r>
          </w:p>
        </w:tc>
        <w:tc>
          <w:tcPr>
            <w:tcW w:w="1903" w:type="dxa"/>
            <w:noWrap w:val="0"/>
            <w:vAlign w:val="top"/>
          </w:tcPr>
          <w:p>
            <w:pPr>
              <w:rPr>
                <w:rFonts w:ascii="Arial"/>
                <w:color w:val="000000" w:themeColor="text1"/>
                <w:sz w:val="21"/>
                <w:highlight w:val="none"/>
                <w14:textFill>
                  <w14:solidFill>
                    <w14:schemeClr w14:val="tx1"/>
                  </w14:solidFill>
                </w14:textFill>
              </w:rPr>
            </w:pP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rPr>
                <w:rFonts w:ascii="Arial"/>
                <w:color w:val="000000" w:themeColor="text1"/>
                <w:sz w:val="21"/>
                <w:highlight w:val="none"/>
                <w14:textFill>
                  <w14:solidFill>
                    <w14:schemeClr w14:val="tx1"/>
                  </w14:solidFill>
                </w14:textFill>
              </w:rPr>
            </w:pPr>
          </w:p>
        </w:tc>
        <w:tc>
          <w:tcPr>
            <w:tcW w:w="1770" w:type="dxa"/>
            <w:noWrap w:val="0"/>
            <w:vAlign w:val="top"/>
          </w:tcPr>
          <w:p>
            <w:pPr>
              <w:rPr>
                <w:rFonts w:ascii="Arial"/>
                <w:color w:val="000000" w:themeColor="text1"/>
                <w:sz w:val="21"/>
                <w:highlight w:val="none"/>
                <w14:textFill>
                  <w14:solidFill>
                    <w14:schemeClr w14:val="tx1"/>
                  </w14:solidFill>
                </w14:textFill>
              </w:rPr>
            </w:pP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554" w:type="dxa"/>
            <w:noWrap w:val="0"/>
            <w:vAlign w:val="top"/>
          </w:tcPr>
          <w:p>
            <w:pPr>
              <w:spacing w:before="154" w:line="185" w:lineRule="auto"/>
              <w:ind w:left="22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6</w:t>
            </w:r>
          </w:p>
        </w:tc>
        <w:tc>
          <w:tcPr>
            <w:tcW w:w="1903" w:type="dxa"/>
            <w:noWrap w:val="0"/>
            <w:vAlign w:val="top"/>
          </w:tcPr>
          <w:p>
            <w:pPr>
              <w:spacing w:before="117" w:line="220" w:lineRule="auto"/>
              <w:ind w:left="59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平均值</w:t>
            </w: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rPr>
                <w:rFonts w:ascii="Arial"/>
                <w:color w:val="000000" w:themeColor="text1"/>
                <w:sz w:val="21"/>
                <w:highlight w:val="none"/>
                <w14:textFill>
                  <w14:solidFill>
                    <w14:schemeClr w14:val="tx1"/>
                  </w14:solidFill>
                </w14:textFill>
              </w:rPr>
            </w:pPr>
          </w:p>
        </w:tc>
        <w:tc>
          <w:tcPr>
            <w:tcW w:w="1770" w:type="dxa"/>
            <w:noWrap w:val="0"/>
            <w:vAlign w:val="top"/>
          </w:tcPr>
          <w:p>
            <w:pPr>
              <w:rPr>
                <w:rFonts w:ascii="Arial"/>
                <w:color w:val="000000" w:themeColor="text1"/>
                <w:sz w:val="21"/>
                <w:highlight w:val="none"/>
                <w14:textFill>
                  <w14:solidFill>
                    <w14:schemeClr w14:val="tx1"/>
                  </w14:solidFill>
                </w14:textFill>
              </w:rPr>
            </w:pP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54" w:type="dxa"/>
            <w:noWrap w:val="0"/>
            <w:vAlign w:val="top"/>
          </w:tcPr>
          <w:p>
            <w:pPr>
              <w:spacing w:before="155" w:line="183" w:lineRule="auto"/>
              <w:ind w:left="22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7</w:t>
            </w:r>
          </w:p>
        </w:tc>
        <w:tc>
          <w:tcPr>
            <w:tcW w:w="1903" w:type="dxa"/>
            <w:noWrap w:val="0"/>
            <w:vAlign w:val="top"/>
          </w:tcPr>
          <w:p>
            <w:pPr>
              <w:rPr>
                <w:rFonts w:ascii="Arial"/>
                <w:color w:val="000000" w:themeColor="text1"/>
                <w:sz w:val="21"/>
                <w:highlight w:val="none"/>
                <w14:textFill>
                  <w14:solidFill>
                    <w14:schemeClr w14:val="tx1"/>
                  </w14:solidFill>
                </w14:textFill>
              </w:rPr>
            </w:pPr>
          </w:p>
        </w:tc>
        <w:tc>
          <w:tcPr>
            <w:tcW w:w="1141" w:type="dxa"/>
            <w:noWrap w:val="0"/>
            <w:vAlign w:val="top"/>
          </w:tcPr>
          <w:p>
            <w:pPr>
              <w:rPr>
                <w:rFonts w:ascii="Arial"/>
                <w:color w:val="000000" w:themeColor="text1"/>
                <w:sz w:val="21"/>
                <w:highlight w:val="none"/>
                <w14:textFill>
                  <w14:solidFill>
                    <w14:schemeClr w14:val="tx1"/>
                  </w14:solidFill>
                </w14:textFill>
              </w:rPr>
            </w:pPr>
          </w:p>
        </w:tc>
        <w:tc>
          <w:tcPr>
            <w:tcW w:w="1606" w:type="dxa"/>
            <w:noWrap w:val="0"/>
            <w:vAlign w:val="top"/>
          </w:tcPr>
          <w:p>
            <w:pPr>
              <w:rPr>
                <w:rFonts w:ascii="Arial"/>
                <w:color w:val="000000" w:themeColor="text1"/>
                <w:sz w:val="21"/>
                <w:highlight w:val="none"/>
                <w14:textFill>
                  <w14:solidFill>
                    <w14:schemeClr w14:val="tx1"/>
                  </w14:solidFill>
                </w14:textFill>
              </w:rPr>
            </w:pPr>
          </w:p>
        </w:tc>
        <w:tc>
          <w:tcPr>
            <w:tcW w:w="1770" w:type="dxa"/>
            <w:noWrap w:val="0"/>
            <w:vAlign w:val="top"/>
          </w:tcPr>
          <w:p>
            <w:pPr>
              <w:rPr>
                <w:rFonts w:ascii="Arial"/>
                <w:color w:val="000000" w:themeColor="text1"/>
                <w:sz w:val="21"/>
                <w:highlight w:val="none"/>
                <w14:textFill>
                  <w14:solidFill>
                    <w14:schemeClr w14:val="tx1"/>
                  </w14:solidFill>
                </w14:textFill>
              </w:rPr>
            </w:pPr>
          </w:p>
        </w:tc>
        <w:tc>
          <w:tcPr>
            <w:tcW w:w="896" w:type="dxa"/>
            <w:noWrap w:val="0"/>
            <w:vAlign w:val="top"/>
          </w:tcPr>
          <w:p>
            <w:pPr>
              <w:rPr>
                <w:rFonts w:ascii="Arial"/>
                <w:color w:val="000000" w:themeColor="text1"/>
                <w:sz w:val="21"/>
                <w:highlight w:val="none"/>
                <w14:textFill>
                  <w14:solidFill>
                    <w14:schemeClr w14:val="tx1"/>
                  </w14:solidFill>
                </w14:textFill>
              </w:rPr>
            </w:pPr>
          </w:p>
        </w:tc>
        <w:tc>
          <w:tcPr>
            <w:tcW w:w="1013"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3598" w:type="dxa"/>
            <w:gridSpan w:val="3"/>
            <w:tcBorders>
              <w:right w:val="nil"/>
            </w:tcBorders>
            <w:noWrap w:val="0"/>
            <w:vAlign w:val="top"/>
          </w:tcPr>
          <w:p>
            <w:pPr>
              <w:spacing w:before="118" w:line="221" w:lineRule="auto"/>
              <w:ind w:left="11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EPC</w:t>
            </w:r>
            <w:r>
              <w:rPr>
                <w:rFonts w:ascii="宋体" w:hAnsi="宋体" w:eastAsia="宋体" w:cs="宋体"/>
                <w:color w:val="000000" w:themeColor="text1"/>
                <w:spacing w:val="-16"/>
                <w:sz w:val="24"/>
                <w:szCs w:val="24"/>
                <w:highlight w:val="none"/>
                <w14:textFill>
                  <w14:solidFill>
                    <w14:schemeClr w14:val="tx1"/>
                  </w14:solidFill>
                </w14:textFill>
              </w:rPr>
              <w:t xml:space="preserve"> </w:t>
            </w:r>
            <w:r>
              <w:rPr>
                <w:rFonts w:ascii="宋体" w:hAnsi="宋体" w:eastAsia="宋体" w:cs="宋体"/>
                <w:color w:val="000000" w:themeColor="text1"/>
                <w:spacing w:val="-14"/>
                <w:sz w:val="24"/>
                <w:szCs w:val="24"/>
                <w:highlight w:val="none"/>
                <w14:textFill>
                  <w14:solidFill>
                    <w14:schemeClr w14:val="tx1"/>
                  </w14:solidFill>
                </w14:textFill>
              </w:rPr>
              <w:t>单位：</w:t>
            </w:r>
          </w:p>
          <w:p>
            <w:pPr>
              <w:spacing w:line="283" w:lineRule="auto"/>
              <w:rPr>
                <w:rFonts w:ascii="Arial"/>
                <w:color w:val="000000" w:themeColor="text1"/>
                <w:sz w:val="21"/>
                <w:highlight w:val="none"/>
                <w14:textFill>
                  <w14:solidFill>
                    <w14:schemeClr w14:val="tx1"/>
                  </w14:solidFill>
                </w14:textFill>
              </w:rPr>
            </w:pPr>
          </w:p>
          <w:p>
            <w:pPr>
              <w:spacing w:line="284" w:lineRule="auto"/>
              <w:rPr>
                <w:rFonts w:ascii="Arial"/>
                <w:color w:val="000000" w:themeColor="text1"/>
                <w:sz w:val="21"/>
                <w:highlight w:val="none"/>
                <w14:textFill>
                  <w14:solidFill>
                    <w14:schemeClr w14:val="tx1"/>
                  </w14:solidFill>
                </w14:textFill>
              </w:rPr>
            </w:pPr>
          </w:p>
          <w:p>
            <w:pPr>
              <w:spacing w:before="78" w:line="220" w:lineRule="auto"/>
              <w:ind w:left="12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83" w:lineRule="auto"/>
              <w:rPr>
                <w:rFonts w:ascii="Arial"/>
                <w:color w:val="000000" w:themeColor="text1"/>
                <w:sz w:val="21"/>
                <w:highlight w:val="none"/>
                <w14:textFill>
                  <w14:solidFill>
                    <w14:schemeClr w14:val="tx1"/>
                  </w14:solidFill>
                </w14:textFill>
              </w:rPr>
            </w:pPr>
          </w:p>
          <w:p>
            <w:pPr>
              <w:spacing w:line="284" w:lineRule="auto"/>
              <w:rPr>
                <w:rFonts w:ascii="Arial"/>
                <w:color w:val="000000" w:themeColor="text1"/>
                <w:sz w:val="21"/>
                <w:highlight w:val="none"/>
                <w14:textFill>
                  <w14:solidFill>
                    <w14:schemeClr w14:val="tx1"/>
                  </w14:solidFill>
                </w14:textFill>
              </w:rPr>
            </w:pPr>
          </w:p>
          <w:p>
            <w:pPr>
              <w:spacing w:before="78" w:line="220" w:lineRule="auto"/>
              <w:ind w:left="11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182" w:line="220" w:lineRule="auto"/>
              <w:ind w:left="107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年</w:t>
            </w:r>
            <w:r>
              <w:rPr>
                <w:rFonts w:ascii="宋体" w:hAnsi="宋体" w:eastAsia="宋体" w:cs="宋体"/>
                <w:color w:val="000000" w:themeColor="text1"/>
                <w:spacing w:val="4"/>
                <w:sz w:val="24"/>
                <w:szCs w:val="24"/>
                <w:highlight w:val="none"/>
                <w14:textFill>
                  <w14:solidFill>
                    <w14:schemeClr w14:val="tx1"/>
                  </w14:solidFill>
                </w14:textFill>
              </w:rPr>
              <w:t xml:space="preserve">   月   日</w:t>
            </w:r>
          </w:p>
        </w:tc>
        <w:tc>
          <w:tcPr>
            <w:tcW w:w="5285" w:type="dxa"/>
            <w:gridSpan w:val="4"/>
            <w:tcBorders>
              <w:left w:val="nil"/>
            </w:tcBorders>
            <w:noWrap w:val="0"/>
            <w:vAlign w:val="top"/>
          </w:tcPr>
          <w:p>
            <w:pPr>
              <w:spacing w:before="117" w:line="220" w:lineRule="auto"/>
              <w:ind w:left="119"/>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1"/>
                <w:sz w:val="24"/>
                <w:szCs w:val="24"/>
                <w:highlight w:val="none"/>
                <w14:textFill>
                  <w14:solidFill>
                    <w14:schemeClr w14:val="tx1"/>
                  </w14:solidFill>
                </w14:textFill>
              </w:rPr>
              <w:t>项</w:t>
            </w:r>
            <w:r>
              <w:rPr>
                <w:rFonts w:ascii="宋体" w:hAnsi="宋体" w:eastAsia="宋体" w:cs="宋体"/>
                <w:color w:val="000000" w:themeColor="text1"/>
                <w:spacing w:val="-8"/>
                <w:sz w:val="24"/>
                <w:szCs w:val="24"/>
                <w:highlight w:val="none"/>
                <w14:textFill>
                  <w14:solidFill>
                    <w14:schemeClr w14:val="tx1"/>
                  </w14:solidFill>
                </w14:textFill>
              </w:rPr>
              <w:t>目管理单位：</w:t>
            </w:r>
          </w:p>
          <w:p>
            <w:pPr>
              <w:spacing w:line="284" w:lineRule="auto"/>
              <w:rPr>
                <w:rFonts w:ascii="Arial"/>
                <w:color w:val="000000" w:themeColor="text1"/>
                <w:sz w:val="21"/>
                <w:highlight w:val="none"/>
                <w14:textFill>
                  <w14:solidFill>
                    <w14:schemeClr w14:val="tx1"/>
                  </w14:solidFill>
                </w14:textFill>
              </w:rPr>
            </w:pPr>
          </w:p>
          <w:p>
            <w:pPr>
              <w:spacing w:line="285" w:lineRule="auto"/>
              <w:rPr>
                <w:rFonts w:ascii="Arial"/>
                <w:color w:val="000000" w:themeColor="text1"/>
                <w:sz w:val="21"/>
                <w:highlight w:val="none"/>
                <w14:textFill>
                  <w14:solidFill>
                    <w14:schemeClr w14:val="tx1"/>
                  </w14:solidFill>
                </w14:textFill>
              </w:rPr>
            </w:pPr>
          </w:p>
          <w:p>
            <w:pPr>
              <w:spacing w:before="78" w:line="220" w:lineRule="auto"/>
              <w:ind w:left="12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4"/>
                <w:sz w:val="24"/>
                <w:szCs w:val="24"/>
                <w:highlight w:val="none"/>
                <w14:textFill>
                  <w14:solidFill>
                    <w14:schemeClr w14:val="tx1"/>
                  </w14:solidFill>
                </w14:textFill>
              </w:rPr>
              <w:t>负责人：</w:t>
            </w:r>
          </w:p>
          <w:p>
            <w:pPr>
              <w:spacing w:line="283" w:lineRule="auto"/>
              <w:rPr>
                <w:rFonts w:ascii="Arial"/>
                <w:color w:val="000000" w:themeColor="text1"/>
                <w:sz w:val="21"/>
                <w:highlight w:val="none"/>
                <w14:textFill>
                  <w14:solidFill>
                    <w14:schemeClr w14:val="tx1"/>
                  </w14:solidFill>
                </w14:textFill>
              </w:rPr>
            </w:pPr>
          </w:p>
          <w:p>
            <w:pPr>
              <w:spacing w:line="284" w:lineRule="auto"/>
              <w:rPr>
                <w:rFonts w:ascii="Arial"/>
                <w:color w:val="000000" w:themeColor="text1"/>
                <w:sz w:val="21"/>
                <w:highlight w:val="none"/>
                <w14:textFill>
                  <w14:solidFill>
                    <w14:schemeClr w14:val="tx1"/>
                  </w14:solidFill>
                </w14:textFill>
              </w:rPr>
            </w:pPr>
          </w:p>
          <w:p>
            <w:pPr>
              <w:spacing w:before="78" w:line="220" w:lineRule="auto"/>
              <w:ind w:left="11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盖</w:t>
            </w:r>
            <w:r>
              <w:rPr>
                <w:rFonts w:ascii="宋体" w:hAnsi="宋体" w:eastAsia="宋体" w:cs="宋体"/>
                <w:color w:val="000000" w:themeColor="text1"/>
                <w:spacing w:val="-14"/>
                <w:sz w:val="24"/>
                <w:szCs w:val="24"/>
                <w:highlight w:val="none"/>
                <w14:textFill>
                  <w14:solidFill>
                    <w14:schemeClr w14:val="tx1"/>
                  </w14:solidFill>
                </w14:textFill>
              </w:rPr>
              <w:t>章：</w:t>
            </w:r>
          </w:p>
          <w:p>
            <w:pPr>
              <w:spacing w:before="182" w:line="220" w:lineRule="auto"/>
              <w:ind w:left="716"/>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8"/>
                <w:sz w:val="24"/>
                <w:szCs w:val="24"/>
                <w:highlight w:val="none"/>
                <w14:textFill>
                  <w14:solidFill>
                    <w14:schemeClr w14:val="tx1"/>
                  </w14:solidFill>
                </w14:textFill>
              </w:rPr>
              <w:t>年</w:t>
            </w:r>
            <w:r>
              <w:rPr>
                <w:rFonts w:ascii="宋体" w:hAnsi="宋体" w:eastAsia="宋体" w:cs="宋体"/>
                <w:color w:val="000000" w:themeColor="text1"/>
                <w:spacing w:val="4"/>
                <w:sz w:val="24"/>
                <w:szCs w:val="24"/>
                <w:highlight w:val="none"/>
                <w14:textFill>
                  <w14:solidFill>
                    <w14:schemeClr w14:val="tx1"/>
                  </w14:solidFill>
                </w14:textFill>
              </w:rPr>
              <w:t xml:space="preserve">   月   日</w:t>
            </w:r>
          </w:p>
        </w:tc>
      </w:tr>
    </w:tbl>
    <w:p>
      <w:pPr>
        <w:spacing w:before="115" w:line="220" w:lineRule="auto"/>
        <w:ind w:left="28"/>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注</w:t>
      </w:r>
      <w:r>
        <w:rPr>
          <w:rFonts w:ascii="宋体" w:hAnsi="宋体" w:eastAsia="宋体" w:cs="宋体"/>
          <w:color w:val="000000" w:themeColor="text1"/>
          <w:spacing w:val="-3"/>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1、以</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村</w:t>
      </w:r>
      <w:r>
        <w:rPr>
          <w:rFonts w:ascii="宋体" w:hAnsi="宋体" w:eastAsia="宋体" w:cs="宋体"/>
          <w:color w:val="000000" w:themeColor="text1"/>
          <w:spacing w:val="-2"/>
          <w:sz w:val="24"/>
          <w:szCs w:val="24"/>
          <w:highlight w:val="none"/>
          <w14:textFill>
            <w14:solidFill>
              <w14:schemeClr w14:val="tx1"/>
            </w14:solidFill>
          </w14:textFill>
        </w:rPr>
        <w:t>为单位或根据工程进度需要各</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村</w:t>
      </w:r>
      <w:r>
        <w:rPr>
          <w:rFonts w:ascii="宋体" w:hAnsi="宋体" w:eastAsia="宋体" w:cs="宋体"/>
          <w:color w:val="000000" w:themeColor="text1"/>
          <w:spacing w:val="-2"/>
          <w:sz w:val="24"/>
          <w:szCs w:val="24"/>
          <w:highlight w:val="none"/>
          <w14:textFill>
            <w14:solidFill>
              <w14:schemeClr w14:val="tx1"/>
            </w14:solidFill>
          </w14:textFill>
        </w:rPr>
        <w:t>分批填写此表格；</w:t>
      </w:r>
    </w:p>
    <w:p>
      <w:pPr>
        <w:spacing w:before="182" w:line="220" w:lineRule="auto"/>
        <w:ind w:left="451"/>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2、标准污水量由设计单位</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核定</w:t>
      </w:r>
      <w:r>
        <w:rPr>
          <w:rFonts w:ascii="宋体" w:hAnsi="宋体" w:eastAsia="宋体" w:cs="宋体"/>
          <w:color w:val="000000" w:themeColor="text1"/>
          <w:spacing w:val="-3"/>
          <w:sz w:val="24"/>
          <w:szCs w:val="24"/>
          <w:highlight w:val="none"/>
          <w14:textFill>
            <w14:solidFill>
              <w14:schemeClr w14:val="tx1"/>
            </w14:solidFill>
          </w14:textFill>
        </w:rPr>
        <w:t>，业主单位审核</w:t>
      </w:r>
      <w:r>
        <w:rPr>
          <w:rFonts w:ascii="宋体" w:hAnsi="宋体" w:eastAsia="宋体" w:cs="宋体"/>
          <w:color w:val="000000" w:themeColor="text1"/>
          <w:spacing w:val="-2"/>
          <w:sz w:val="24"/>
          <w:szCs w:val="24"/>
          <w:highlight w:val="none"/>
          <w14:textFill>
            <w14:solidFill>
              <w14:schemeClr w14:val="tx1"/>
            </w14:solidFill>
          </w14:textFill>
        </w:rPr>
        <w:t>；</w:t>
      </w:r>
    </w:p>
    <w:p>
      <w:pPr>
        <w:spacing w:before="181" w:line="220" w:lineRule="auto"/>
        <w:ind w:left="453" w:right="0" w:firstLine="0"/>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6"/>
          <w:sz w:val="24"/>
          <w:szCs w:val="24"/>
          <w:highlight w:val="none"/>
          <w14:textFill>
            <w14:solidFill>
              <w14:schemeClr w14:val="tx1"/>
            </w14:solidFill>
          </w14:textFill>
        </w:rPr>
        <w:t>3</w:t>
      </w:r>
      <w:r>
        <w:rPr>
          <w:rFonts w:ascii="宋体" w:hAnsi="宋体" w:eastAsia="宋体" w:cs="宋体"/>
          <w:color w:val="000000" w:themeColor="text1"/>
          <w:spacing w:val="-3"/>
          <w:sz w:val="24"/>
          <w:szCs w:val="24"/>
          <w:highlight w:val="none"/>
          <w14:textFill>
            <w14:solidFill>
              <w14:schemeClr w14:val="tx1"/>
            </w14:solidFill>
          </w14:textFill>
        </w:rPr>
        <w:t>、</w:t>
      </w:r>
      <w:r>
        <w:rPr>
          <w:rFonts w:ascii="宋体" w:hAnsi="宋体" w:eastAsia="宋体" w:cs="宋体"/>
          <w:color w:val="000000" w:themeColor="text1"/>
          <w:spacing w:val="-13"/>
          <w:sz w:val="24"/>
          <w:szCs w:val="24"/>
          <w:highlight w:val="none"/>
          <w14:textFill>
            <w14:solidFill>
              <w14:schemeClr w14:val="tx1"/>
            </w14:solidFill>
          </w14:textFill>
        </w:rPr>
        <w:t>在节点考核前， EPC 方可进行过程自检， 仅作为参考资料， 不作为判定达</w:t>
      </w:r>
      <w:r>
        <w:rPr>
          <w:rFonts w:ascii="宋体" w:hAnsi="宋体" w:eastAsia="宋体" w:cs="宋体"/>
          <w:color w:val="000000" w:themeColor="text1"/>
          <w:spacing w:val="-8"/>
          <w:sz w:val="24"/>
          <w:szCs w:val="24"/>
          <w:highlight w:val="none"/>
          <w14:textFill>
            <w14:solidFill>
              <w14:schemeClr w14:val="tx1"/>
            </w14:solidFill>
          </w14:textFill>
        </w:rPr>
        <w:t>标</w:t>
      </w:r>
      <w:r>
        <w:rPr>
          <w:rFonts w:ascii="宋体" w:hAnsi="宋体" w:eastAsia="宋体" w:cs="宋体"/>
          <w:color w:val="000000" w:themeColor="text1"/>
          <w:spacing w:val="-4"/>
          <w:sz w:val="24"/>
          <w:szCs w:val="24"/>
          <w:highlight w:val="none"/>
          <w14:textFill>
            <w14:solidFill>
              <w14:schemeClr w14:val="tx1"/>
            </w14:solidFill>
          </w14:textFill>
        </w:rPr>
        <w:t>或不达标的依据。</w:t>
      </w:r>
    </w:p>
    <w:p>
      <w:pPr>
        <w:spacing w:before="181" w:line="220" w:lineRule="auto"/>
        <w:ind w:left="453" w:right="0" w:firstLine="0"/>
        <w:rPr>
          <w:rFonts w:ascii="宋体" w:hAnsi="宋体" w:eastAsia="宋体" w:cs="宋体"/>
          <w:color w:val="000000" w:themeColor="text1"/>
          <w:spacing w:val="-4"/>
          <w:sz w:val="24"/>
          <w:szCs w:val="24"/>
          <w:highlight w:val="none"/>
          <w14:textFill>
            <w14:solidFill>
              <w14:schemeClr w14:val="tx1"/>
            </w14:solidFill>
          </w14:textFill>
        </w:rPr>
      </w:pPr>
    </w:p>
    <w:p>
      <w:pPr>
        <w:spacing w:before="181" w:line="220" w:lineRule="auto"/>
        <w:ind w:left="453" w:right="0" w:firstLine="0"/>
        <w:rPr>
          <w:rFonts w:ascii="宋体" w:hAnsi="宋体" w:eastAsia="宋体" w:cs="宋体"/>
          <w:color w:val="000000" w:themeColor="text1"/>
          <w:spacing w:val="-4"/>
          <w:sz w:val="24"/>
          <w:szCs w:val="24"/>
          <w:highlight w:val="none"/>
          <w14:textFill>
            <w14:solidFill>
              <w14:schemeClr w14:val="tx1"/>
            </w14:solidFill>
          </w14:textFill>
        </w:rPr>
      </w:pPr>
    </w:p>
    <w:p>
      <w:pPr>
        <w:spacing w:before="181" w:line="220" w:lineRule="auto"/>
        <w:ind w:left="453" w:right="0" w:firstLine="0"/>
        <w:rPr>
          <w:rFonts w:ascii="宋体" w:hAnsi="宋体" w:eastAsia="宋体" w:cs="宋体"/>
          <w:color w:val="000000" w:themeColor="text1"/>
          <w:spacing w:val="-4"/>
          <w:sz w:val="24"/>
          <w:szCs w:val="24"/>
          <w:highlight w:val="none"/>
          <w14:textFill>
            <w14:solidFill>
              <w14:schemeClr w14:val="tx1"/>
            </w14:solidFill>
          </w14:textFill>
        </w:rPr>
      </w:pPr>
    </w:p>
    <w:p>
      <w:pPr>
        <w:rPr>
          <w:color w:val="000000" w:themeColor="text1"/>
          <w:highlight w:val="none"/>
          <w14:textFill>
            <w14:solidFill>
              <w14:schemeClr w14:val="tx1"/>
            </w14:solidFill>
          </w14:textFill>
        </w:rPr>
        <w:sectPr>
          <w:pgSz w:w="11905" w:h="16840"/>
          <w:pgMar w:top="1431" w:right="1249" w:bottom="400" w:left="1687" w:header="0" w:footer="0" w:gutter="0"/>
          <w:pgNumType w:fmt="decimal"/>
          <w:cols w:space="720" w:num="1"/>
        </w:sectPr>
      </w:pPr>
    </w:p>
    <w:p>
      <w:pPr>
        <w:spacing w:line="243" w:lineRule="auto"/>
        <w:rPr>
          <w:rFonts w:ascii="Arial"/>
          <w:color w:val="000000" w:themeColor="text1"/>
          <w:sz w:val="21"/>
          <w:highlight w:val="none"/>
          <w14:textFill>
            <w14:solidFill>
              <w14:schemeClr w14:val="tx1"/>
            </w14:solidFill>
          </w14:textFill>
        </w:rPr>
      </w:pPr>
    </w:p>
    <w:p>
      <w:pPr>
        <w:spacing w:line="243"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line="244" w:lineRule="auto"/>
        <w:rPr>
          <w:rFonts w:ascii="Arial"/>
          <w:color w:val="000000" w:themeColor="text1"/>
          <w:sz w:val="21"/>
          <w:highlight w:val="none"/>
          <w14:textFill>
            <w14:solidFill>
              <w14:schemeClr w14:val="tx1"/>
            </w14:solidFill>
          </w14:textFill>
        </w:rPr>
      </w:pPr>
    </w:p>
    <w:p>
      <w:pPr>
        <w:spacing w:before="68" w:line="240" w:lineRule="auto"/>
        <w:ind w:left="122"/>
        <w:rPr>
          <w:rFonts w:ascii="宋体" w:hAnsi="宋体" w:eastAsia="宋体" w:cs="宋体"/>
          <w:color w:val="000000" w:themeColor="text1"/>
          <w:spacing w:val="-12"/>
          <w:position w:val="13"/>
          <w:sz w:val="21"/>
          <w:szCs w:val="21"/>
          <w:highlight w:val="none"/>
          <w14:textFill>
            <w14:solidFill>
              <w14:schemeClr w14:val="tx1"/>
            </w14:solidFill>
          </w14:textFill>
        </w:rPr>
      </w:pPr>
    </w:p>
    <w:p>
      <w:pPr>
        <w:spacing w:before="68" w:line="240" w:lineRule="auto"/>
        <w:ind w:left="122"/>
        <w:rPr>
          <w:rFonts w:ascii="宋体" w:hAnsi="宋体" w:eastAsia="宋体" w:cs="宋体"/>
          <w:color w:val="000000" w:themeColor="text1"/>
          <w:spacing w:val="-12"/>
          <w:position w:val="13"/>
          <w:sz w:val="21"/>
          <w:szCs w:val="21"/>
          <w:highlight w:val="none"/>
          <w14:textFill>
            <w14:solidFill>
              <w14:schemeClr w14:val="tx1"/>
            </w14:solidFill>
          </w14:textFill>
        </w:rPr>
      </w:pPr>
    </w:p>
    <w:p>
      <w:pPr>
        <w:spacing w:before="68" w:line="240" w:lineRule="auto"/>
        <w:ind w:left="122"/>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2"/>
          <w:position w:val="13"/>
          <w:sz w:val="21"/>
          <w:szCs w:val="21"/>
          <w:highlight w:val="none"/>
          <w14:textFill>
            <w14:solidFill>
              <w14:schemeClr w14:val="tx1"/>
            </w14:solidFill>
          </w14:textFill>
        </w:rPr>
        <w:t>工</w:t>
      </w:r>
      <w:r>
        <w:rPr>
          <w:rFonts w:ascii="宋体" w:hAnsi="宋体" w:eastAsia="宋体" w:cs="宋体"/>
          <w:color w:val="000000" w:themeColor="text1"/>
          <w:spacing w:val="-9"/>
          <w:position w:val="13"/>
          <w:sz w:val="21"/>
          <w:szCs w:val="21"/>
          <w:highlight w:val="none"/>
          <w14:textFill>
            <w14:solidFill>
              <w14:schemeClr w14:val="tx1"/>
            </w14:solidFill>
          </w14:textFill>
        </w:rPr>
        <w:t>程名称：</w:t>
      </w:r>
    </w:p>
    <w:p>
      <w:pPr>
        <w:spacing w:line="240" w:lineRule="auto"/>
        <w:ind w:left="129"/>
        <w:rPr>
          <w:rFonts w:ascii="宋体" w:hAnsi="宋体" w:eastAsia="宋体" w:cs="宋体"/>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5"/>
          <w:sz w:val="21"/>
          <w:szCs w:val="21"/>
          <w:highlight w:val="none"/>
          <w14:textFill>
            <w14:solidFill>
              <w14:schemeClr w14:val="tx1"/>
            </w14:solidFill>
          </w14:textFill>
        </w:rPr>
        <w:t>EPC</w:t>
      </w:r>
      <w:r>
        <w:rPr>
          <w:rFonts w:ascii="Calibri" w:hAnsi="Calibri" w:eastAsia="Calibri" w:cs="Calibri"/>
          <w:color w:val="000000" w:themeColor="text1"/>
          <w:spacing w:val="-10"/>
          <w:sz w:val="21"/>
          <w:szCs w:val="21"/>
          <w:highlight w:val="none"/>
          <w14:textFill>
            <w14:solidFill>
              <w14:schemeClr w14:val="tx1"/>
            </w14:solidFill>
          </w14:textFill>
        </w:rPr>
        <w:t xml:space="preserve"> </w:t>
      </w:r>
      <w:r>
        <w:rPr>
          <w:rFonts w:ascii="宋体" w:hAnsi="宋体" w:eastAsia="宋体" w:cs="宋体"/>
          <w:color w:val="000000" w:themeColor="text1"/>
          <w:spacing w:val="-5"/>
          <w:sz w:val="21"/>
          <w:szCs w:val="21"/>
          <w:highlight w:val="none"/>
          <w14:textFill>
            <w14:solidFill>
              <w14:schemeClr w14:val="tx1"/>
            </w14:solidFill>
          </w14:textFill>
        </w:rPr>
        <w:t>单位名称：</w:t>
      </w:r>
    </w:p>
    <w:p>
      <w:pPr>
        <w:spacing w:line="240" w:lineRule="auto"/>
        <w:rPr>
          <w:rFonts w:ascii="Arial"/>
          <w:color w:val="000000" w:themeColor="text1"/>
          <w:sz w:val="2"/>
          <w:highlight w:val="none"/>
          <w14:textFill>
            <w14:solidFill>
              <w14:schemeClr w14:val="tx1"/>
            </w14:solidFill>
          </w14:textFill>
        </w:rPr>
      </w:pPr>
      <w:r>
        <w:rPr>
          <w:rFonts w:ascii="Arial" w:hAnsi="Arial" w:eastAsia="Arial" w:cs="Arial"/>
          <w:color w:val="000000" w:themeColor="text1"/>
          <w:sz w:val="2"/>
          <w:szCs w:val="2"/>
          <w:highlight w:val="none"/>
          <w14:textFill>
            <w14:solidFill>
              <w14:schemeClr w14:val="tx1"/>
            </w14:solidFill>
          </w14:textFill>
        </w:rPr>
        <w:br w:type="column"/>
      </w:r>
    </w:p>
    <w:p>
      <w:pPr>
        <w:spacing w:before="54" w:line="240" w:lineRule="auto"/>
        <w:outlineLvl w:val="0"/>
        <w:rPr>
          <w:rFonts w:ascii="黑体" w:hAnsi="黑体" w:eastAsia="黑体" w:cs="黑体"/>
          <w:color w:val="000000" w:themeColor="text1"/>
          <w:sz w:val="27"/>
          <w:szCs w:val="27"/>
          <w:highlight w:val="none"/>
          <w14:textFill>
            <w14:solidFill>
              <w14:schemeClr w14:val="tx1"/>
            </w14:solidFill>
          </w14:textFill>
        </w:rPr>
      </w:pPr>
      <w:r>
        <w:rPr>
          <w:rFonts w:ascii="黑体" w:hAnsi="黑体" w:eastAsia="黑体" w:cs="黑体"/>
          <w:color w:val="000000" w:themeColor="text1"/>
          <w:spacing w:val="6"/>
          <w:sz w:val="27"/>
          <w:szCs w:val="27"/>
          <w:highlight w:val="none"/>
          <w14:textFill>
            <w14:solidFill>
              <w14:schemeClr w14:val="tx1"/>
            </w14:solidFill>
          </w14:textFill>
        </w:rPr>
        <w:t>表</w:t>
      </w:r>
      <w:r>
        <w:rPr>
          <w:rFonts w:ascii="黑体" w:hAnsi="黑体" w:eastAsia="黑体" w:cs="黑体"/>
          <w:color w:val="000000" w:themeColor="text1"/>
          <w:spacing w:val="5"/>
          <w:sz w:val="27"/>
          <w:szCs w:val="27"/>
          <w:highlight w:val="none"/>
          <w14:textFill>
            <w14:solidFill>
              <w14:schemeClr w14:val="tx1"/>
            </w14:solidFill>
          </w14:textFill>
        </w:rPr>
        <w:t xml:space="preserve"> </w:t>
      </w:r>
      <w:r>
        <w:rPr>
          <w:rFonts w:hint="eastAsia" w:ascii="Times New Roman" w:hAnsi="Times New Roman" w:eastAsia="宋体" w:cs="Times New Roman"/>
          <w:b/>
          <w:bCs/>
          <w:color w:val="000000" w:themeColor="text1"/>
          <w:spacing w:val="3"/>
          <w:sz w:val="27"/>
          <w:szCs w:val="27"/>
          <w:highlight w:val="none"/>
          <w:lang w:val="en-US" w:eastAsia="zh-CN"/>
          <w14:textFill>
            <w14:solidFill>
              <w14:schemeClr w14:val="tx1"/>
            </w14:solidFill>
          </w14:textFill>
        </w:rPr>
        <w:t>6</w:t>
      </w:r>
      <w:r>
        <w:rPr>
          <w:rFonts w:ascii="Times New Roman" w:hAnsi="Times New Roman" w:eastAsia="Times New Roman" w:cs="Times New Roman"/>
          <w:color w:val="000000" w:themeColor="text1"/>
          <w:spacing w:val="3"/>
          <w:sz w:val="27"/>
          <w:szCs w:val="27"/>
          <w:highlight w:val="none"/>
          <w14:textFill>
            <w14:solidFill>
              <w14:schemeClr w14:val="tx1"/>
            </w14:solidFill>
          </w14:textFill>
        </w:rPr>
        <w:t xml:space="preserve">    </w:t>
      </w:r>
      <w:r>
        <w:rPr>
          <w:rFonts w:ascii="黑体" w:hAnsi="黑体" w:eastAsia="黑体" w:cs="黑体"/>
          <w:color w:val="000000" w:themeColor="text1"/>
          <w:spacing w:val="3"/>
          <w:sz w:val="27"/>
          <w:szCs w:val="27"/>
          <w:highlight w:val="none"/>
          <w14:textFill>
            <w14:solidFill>
              <w14:schemeClr w14:val="tx1"/>
            </w14:solidFill>
          </w14:textFill>
        </w:rPr>
        <w:t>信息化平台建设考核表</w:t>
      </w:r>
    </w:p>
    <w:p>
      <w:pPr>
        <w:spacing w:before="167" w:line="240" w:lineRule="auto"/>
        <w:ind w:left="1259"/>
        <w:rPr>
          <w:rFonts w:ascii="宋体" w:hAnsi="宋体" w:eastAsia="宋体" w:cs="宋体"/>
          <w:color w:val="000000" w:themeColor="text1"/>
          <w:spacing w:val="-10"/>
          <w:position w:val="13"/>
          <w:sz w:val="21"/>
          <w:szCs w:val="21"/>
          <w:highlight w:val="none"/>
          <w14:textFill>
            <w14:solidFill>
              <w14:schemeClr w14:val="tx1"/>
            </w14:solidFill>
          </w14:textFill>
        </w:rPr>
      </w:pPr>
    </w:p>
    <w:p>
      <w:pPr>
        <w:spacing w:before="167" w:line="240" w:lineRule="auto"/>
        <w:ind w:left="1259"/>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0"/>
          <w:position w:val="13"/>
          <w:sz w:val="21"/>
          <w:szCs w:val="21"/>
          <w:highlight w:val="none"/>
          <w14:textFill>
            <w14:solidFill>
              <w14:schemeClr w14:val="tx1"/>
            </w14:solidFill>
          </w14:textFill>
        </w:rPr>
        <w:t>镇</w:t>
      </w:r>
      <w:r>
        <w:rPr>
          <w:rFonts w:ascii="宋体" w:hAnsi="宋体" w:eastAsia="宋体" w:cs="宋体"/>
          <w:color w:val="000000" w:themeColor="text1"/>
          <w:spacing w:val="-9"/>
          <w:position w:val="13"/>
          <w:sz w:val="21"/>
          <w:szCs w:val="21"/>
          <w:highlight w:val="none"/>
          <w14:textFill>
            <w14:solidFill>
              <w14:schemeClr w14:val="tx1"/>
            </w14:solidFill>
          </w14:textFill>
        </w:rPr>
        <w:t>街名称：</w:t>
      </w:r>
    </w:p>
    <w:p>
      <w:pPr>
        <w:spacing w:line="240" w:lineRule="auto"/>
        <w:ind w:left="1260"/>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0"/>
          <w:sz w:val="21"/>
          <w:szCs w:val="21"/>
          <w:highlight w:val="none"/>
          <w14:textFill>
            <w14:solidFill>
              <w14:schemeClr w14:val="tx1"/>
            </w14:solidFill>
          </w14:textFill>
        </w:rPr>
        <w:t>监</w:t>
      </w:r>
      <w:r>
        <w:rPr>
          <w:rFonts w:ascii="宋体" w:hAnsi="宋体" w:eastAsia="宋体" w:cs="宋体"/>
          <w:color w:val="000000" w:themeColor="text1"/>
          <w:spacing w:val="-9"/>
          <w:sz w:val="21"/>
          <w:szCs w:val="21"/>
          <w:highlight w:val="none"/>
          <w14:textFill>
            <w14:solidFill>
              <w14:schemeClr w14:val="tx1"/>
            </w14:solidFill>
          </w14:textFill>
        </w:rPr>
        <w:t>理单位：</w:t>
      </w:r>
    </w:p>
    <w:p>
      <w:pPr>
        <w:rPr>
          <w:color w:val="000000" w:themeColor="text1"/>
          <w:highlight w:val="none"/>
          <w14:textFill>
            <w14:solidFill>
              <w14:schemeClr w14:val="tx1"/>
            </w14:solidFill>
          </w14:textFill>
        </w:rPr>
        <w:sectPr>
          <w:type w:val="continuous"/>
          <w:pgSz w:w="11905" w:h="16840"/>
          <w:pgMar w:top="1431" w:right="992" w:bottom="400" w:left="1162" w:header="0" w:footer="0" w:gutter="0"/>
          <w:pgNumType w:fmt="decimal"/>
          <w:cols w:equalWidth="0" w:num="2">
            <w:col w:w="2929" w:space="100"/>
            <w:col w:w="6721"/>
          </w:cols>
        </w:sectPr>
      </w:pPr>
    </w:p>
    <w:p>
      <w:pPr>
        <w:spacing w:line="142" w:lineRule="exact"/>
        <w:rPr>
          <w:color w:val="000000" w:themeColor="text1"/>
          <w:highlight w:val="none"/>
          <w14:textFill>
            <w14:solidFill>
              <w14:schemeClr w14:val="tx1"/>
            </w14:solidFill>
          </w14:textFill>
        </w:rPr>
      </w:pPr>
    </w:p>
    <w:tbl>
      <w:tblPr>
        <w:tblStyle w:val="78"/>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559"/>
        <w:gridCol w:w="1396"/>
        <w:gridCol w:w="491"/>
        <w:gridCol w:w="1210"/>
        <w:gridCol w:w="1655"/>
        <w:gridCol w:w="1470"/>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24" w:type="dxa"/>
            <w:noWrap w:val="0"/>
            <w:vAlign w:val="top"/>
          </w:tcPr>
          <w:p>
            <w:pPr>
              <w:spacing w:before="211" w:line="222" w:lineRule="auto"/>
              <w:ind w:left="155"/>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序号</w:t>
            </w:r>
          </w:p>
        </w:tc>
        <w:tc>
          <w:tcPr>
            <w:tcW w:w="1559" w:type="dxa"/>
            <w:noWrap w:val="0"/>
            <w:vAlign w:val="top"/>
          </w:tcPr>
          <w:p>
            <w:pPr>
              <w:spacing w:before="55" w:line="249" w:lineRule="auto"/>
              <w:ind w:left="676" w:right="149" w:hanging="524"/>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信息化</w:t>
            </w:r>
            <w:r>
              <w:rPr>
                <w:rFonts w:ascii="宋体" w:hAnsi="宋体" w:eastAsia="宋体" w:cs="宋体"/>
                <w:color w:val="000000" w:themeColor="text1"/>
                <w:spacing w:val="-1"/>
                <w:sz w:val="21"/>
                <w:szCs w:val="21"/>
                <w:highlight w:val="none"/>
                <w14:textFill>
                  <w14:solidFill>
                    <w14:schemeClr w14:val="tx1"/>
                  </w14:solidFill>
                </w14:textFill>
              </w:rPr>
              <w:t>平台措</w:t>
            </w:r>
            <w:r>
              <w:rPr>
                <w:rFonts w:ascii="宋体" w:hAnsi="宋体" w:eastAsia="宋体" w:cs="宋体"/>
                <w:color w:val="000000" w:themeColor="text1"/>
                <w:sz w:val="21"/>
                <w:szCs w:val="21"/>
                <w:highlight w:val="none"/>
                <w14:textFill>
                  <w14:solidFill>
                    <w14:schemeClr w14:val="tx1"/>
                  </w14:solidFill>
                </w14:textFill>
              </w:rPr>
              <w:t xml:space="preserve"> 施</w:t>
            </w:r>
          </w:p>
        </w:tc>
        <w:tc>
          <w:tcPr>
            <w:tcW w:w="1396" w:type="dxa"/>
            <w:noWrap w:val="0"/>
            <w:vAlign w:val="top"/>
          </w:tcPr>
          <w:p>
            <w:pPr>
              <w:spacing w:before="211" w:line="221" w:lineRule="auto"/>
              <w:ind w:left="114"/>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5"/>
                <w:sz w:val="21"/>
                <w:szCs w:val="21"/>
                <w:highlight w:val="none"/>
                <w14:textFill>
                  <w14:solidFill>
                    <w14:schemeClr w14:val="tx1"/>
                  </w14:solidFill>
                </w14:textFill>
              </w:rPr>
              <w:t>建</w:t>
            </w:r>
            <w:r>
              <w:rPr>
                <w:rFonts w:ascii="宋体" w:hAnsi="宋体" w:eastAsia="宋体" w:cs="宋体"/>
                <w:color w:val="000000" w:themeColor="text1"/>
                <w:spacing w:val="13"/>
                <w:sz w:val="21"/>
                <w:szCs w:val="21"/>
                <w:highlight w:val="none"/>
                <w14:textFill>
                  <w14:solidFill>
                    <w14:schemeClr w14:val="tx1"/>
                  </w14:solidFill>
                </w14:textFill>
              </w:rPr>
              <w:t>设量(套)</w:t>
            </w:r>
          </w:p>
        </w:tc>
        <w:tc>
          <w:tcPr>
            <w:tcW w:w="1701" w:type="dxa"/>
            <w:gridSpan w:val="2"/>
            <w:noWrap w:val="0"/>
            <w:vAlign w:val="top"/>
          </w:tcPr>
          <w:p>
            <w:pPr>
              <w:spacing w:before="212" w:line="220" w:lineRule="auto"/>
              <w:ind w:left="115"/>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数</w:t>
            </w:r>
            <w:r>
              <w:rPr>
                <w:rFonts w:ascii="宋体" w:hAnsi="宋体" w:eastAsia="宋体" w:cs="宋体"/>
                <w:color w:val="000000" w:themeColor="text1"/>
                <w:spacing w:val="-1"/>
                <w:sz w:val="21"/>
                <w:szCs w:val="21"/>
                <w:highlight w:val="none"/>
                <w14:textFill>
                  <w14:solidFill>
                    <w14:schemeClr w14:val="tx1"/>
                  </w14:solidFill>
                </w14:textFill>
              </w:rPr>
              <w:t>据失真量(套)</w:t>
            </w:r>
          </w:p>
        </w:tc>
        <w:tc>
          <w:tcPr>
            <w:tcW w:w="1655" w:type="dxa"/>
            <w:noWrap w:val="0"/>
            <w:vAlign w:val="top"/>
          </w:tcPr>
          <w:p>
            <w:pPr>
              <w:spacing w:before="212" w:line="220" w:lineRule="auto"/>
              <w:ind w:left="115"/>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9"/>
                <w:sz w:val="21"/>
                <w:szCs w:val="21"/>
                <w:highlight w:val="none"/>
                <w14:textFill>
                  <w14:solidFill>
                    <w14:schemeClr w14:val="tx1"/>
                  </w14:solidFill>
                </w14:textFill>
              </w:rPr>
              <w:t>数</w:t>
            </w:r>
            <w:r>
              <w:rPr>
                <w:rFonts w:ascii="宋体" w:hAnsi="宋体" w:eastAsia="宋体" w:cs="宋体"/>
                <w:color w:val="000000" w:themeColor="text1"/>
                <w:spacing w:val="6"/>
                <w:sz w:val="21"/>
                <w:szCs w:val="21"/>
                <w:highlight w:val="none"/>
                <w14:textFill>
                  <w14:solidFill>
                    <w14:schemeClr w14:val="tx1"/>
                  </w14:solidFill>
                </w14:textFill>
              </w:rPr>
              <w:t>据失真率(%)</w:t>
            </w:r>
          </w:p>
        </w:tc>
        <w:tc>
          <w:tcPr>
            <w:tcW w:w="1470" w:type="dxa"/>
            <w:noWrap w:val="0"/>
            <w:vAlign w:val="top"/>
          </w:tcPr>
          <w:p>
            <w:pPr>
              <w:spacing w:before="212" w:line="220" w:lineRule="auto"/>
              <w:ind w:left="427"/>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考核分</w:t>
            </w:r>
          </w:p>
        </w:tc>
        <w:tc>
          <w:tcPr>
            <w:tcW w:w="1238" w:type="dxa"/>
            <w:noWrap w:val="0"/>
            <w:vAlign w:val="top"/>
          </w:tcPr>
          <w:p>
            <w:pPr>
              <w:spacing w:before="212" w:line="220" w:lineRule="auto"/>
              <w:ind w:left="210"/>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复</w:t>
            </w:r>
            <w:r>
              <w:rPr>
                <w:rFonts w:ascii="宋体" w:hAnsi="宋体" w:eastAsia="宋体" w:cs="宋体"/>
                <w:color w:val="000000" w:themeColor="text1"/>
                <w:spacing w:val="-3"/>
                <w:sz w:val="21"/>
                <w:szCs w:val="21"/>
                <w:highlight w:val="none"/>
                <w14:textFill>
                  <w14:solidFill>
                    <w14:schemeClr w14:val="tx1"/>
                  </w14:solidFill>
                </w14:textFill>
              </w:rPr>
              <w:t>核</w:t>
            </w:r>
            <w:r>
              <w:rPr>
                <w:rFonts w:ascii="宋体" w:hAnsi="宋体" w:eastAsia="宋体" w:cs="宋体"/>
                <w:color w:val="000000" w:themeColor="text1"/>
                <w:spacing w:val="-2"/>
                <w:sz w:val="21"/>
                <w:szCs w:val="21"/>
                <w:highlight w:val="none"/>
                <w14:textFill>
                  <w14:solidFill>
                    <w14:schemeClr w14:val="tx1"/>
                  </w14:solidFill>
                </w14:textFill>
              </w:rPr>
              <w:t>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24" w:type="dxa"/>
            <w:noWrap w:val="0"/>
            <w:vAlign w:val="top"/>
          </w:tcPr>
          <w:p>
            <w:pPr>
              <w:spacing w:before="248" w:line="178" w:lineRule="auto"/>
              <w:ind w:left="323"/>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1</w:t>
            </w:r>
          </w:p>
        </w:tc>
        <w:tc>
          <w:tcPr>
            <w:tcW w:w="1559" w:type="dxa"/>
            <w:noWrap w:val="0"/>
            <w:vAlign w:val="top"/>
          </w:tcPr>
          <w:p>
            <w:pPr>
              <w:spacing w:before="50" w:line="247" w:lineRule="auto"/>
              <w:ind w:left="679" w:right="149" w:hanging="492"/>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8"/>
                <w:sz w:val="21"/>
                <w:szCs w:val="21"/>
                <w:highlight w:val="none"/>
                <w14:textFill>
                  <w14:solidFill>
                    <w14:schemeClr w14:val="tx1"/>
                  </w14:solidFill>
                </w14:textFill>
              </w:rPr>
              <w:t>自</w:t>
            </w:r>
            <w:r>
              <w:rPr>
                <w:rFonts w:ascii="宋体" w:hAnsi="宋体" w:eastAsia="宋体" w:cs="宋体"/>
                <w:color w:val="000000" w:themeColor="text1"/>
                <w:spacing w:val="-7"/>
                <w:sz w:val="21"/>
                <w:szCs w:val="21"/>
                <w:highlight w:val="none"/>
                <w14:textFill>
                  <w14:solidFill>
                    <w14:schemeClr w14:val="tx1"/>
                  </w14:solidFill>
                </w14:textFill>
              </w:rPr>
              <w:t>动水质监测</w:t>
            </w:r>
            <w:r>
              <w:rPr>
                <w:rFonts w:ascii="宋体" w:hAnsi="宋体" w:eastAsia="宋体" w:cs="宋体"/>
                <w:color w:val="000000" w:themeColor="text1"/>
                <w:sz w:val="21"/>
                <w:szCs w:val="21"/>
                <w:highlight w:val="none"/>
                <w14:textFill>
                  <w14:solidFill>
                    <w14:schemeClr w14:val="tx1"/>
                  </w14:solidFill>
                </w14:textFill>
              </w:rPr>
              <w:t xml:space="preserve"> 仪</w:t>
            </w:r>
          </w:p>
        </w:tc>
        <w:tc>
          <w:tcPr>
            <w:tcW w:w="1396" w:type="dxa"/>
            <w:noWrap w:val="0"/>
            <w:vAlign w:val="top"/>
          </w:tcPr>
          <w:p>
            <w:pPr>
              <w:spacing w:before="205" w:line="242" w:lineRule="auto"/>
              <w:ind w:left="59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xx</w:t>
            </w:r>
          </w:p>
        </w:tc>
        <w:tc>
          <w:tcPr>
            <w:tcW w:w="1701" w:type="dxa"/>
            <w:gridSpan w:val="2"/>
            <w:noWrap w:val="0"/>
            <w:vAlign w:val="top"/>
          </w:tcPr>
          <w:p>
            <w:pPr>
              <w:spacing w:before="175" w:line="279" w:lineRule="exact"/>
              <w:ind w:left="757"/>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655" w:type="dxa"/>
            <w:noWrap w:val="0"/>
            <w:vAlign w:val="top"/>
          </w:tcPr>
          <w:p>
            <w:pPr>
              <w:spacing w:before="175" w:line="279" w:lineRule="exact"/>
              <w:ind w:left="735"/>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4" w:type="dxa"/>
            <w:noWrap w:val="0"/>
            <w:vAlign w:val="top"/>
          </w:tcPr>
          <w:p>
            <w:pPr>
              <w:spacing w:before="248" w:line="179" w:lineRule="auto"/>
              <w:ind w:left="317"/>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2</w:t>
            </w:r>
          </w:p>
        </w:tc>
        <w:tc>
          <w:tcPr>
            <w:tcW w:w="1559" w:type="dxa"/>
            <w:noWrap w:val="0"/>
            <w:vAlign w:val="top"/>
          </w:tcPr>
          <w:p>
            <w:pPr>
              <w:spacing w:before="50" w:line="247" w:lineRule="auto"/>
              <w:ind w:left="573" w:right="149" w:hanging="419"/>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流</w:t>
            </w:r>
            <w:r>
              <w:rPr>
                <w:rFonts w:ascii="宋体" w:hAnsi="宋体" w:eastAsia="宋体" w:cs="宋体"/>
                <w:color w:val="000000" w:themeColor="text1"/>
                <w:spacing w:val="-1"/>
                <w:sz w:val="21"/>
                <w:szCs w:val="21"/>
                <w:highlight w:val="none"/>
                <w14:textFill>
                  <w14:solidFill>
                    <w14:schemeClr w14:val="tx1"/>
                  </w14:solidFill>
                </w14:textFill>
              </w:rPr>
              <w:t>量监</w:t>
            </w:r>
            <w:r>
              <w:rPr>
                <w:rFonts w:ascii="宋体" w:hAnsi="宋体" w:eastAsia="宋体" w:cs="宋体"/>
                <w:color w:val="000000" w:themeColor="text1"/>
                <w:sz w:val="21"/>
                <w:szCs w:val="21"/>
                <w:highlight w:val="none"/>
                <w14:textFill>
                  <w14:solidFill>
                    <w14:schemeClr w14:val="tx1"/>
                  </w14:solidFill>
                </w14:textFill>
              </w:rPr>
              <w:t xml:space="preserve"> </w:t>
            </w:r>
            <w:r>
              <w:rPr>
                <w:rFonts w:ascii="宋体" w:hAnsi="宋体" w:eastAsia="宋体" w:cs="宋体"/>
                <w:color w:val="000000" w:themeColor="text1"/>
                <w:spacing w:val="-2"/>
                <w:sz w:val="21"/>
                <w:szCs w:val="21"/>
                <w:highlight w:val="none"/>
                <w14:textFill>
                  <w14:solidFill>
                    <w14:schemeClr w14:val="tx1"/>
                  </w14:solidFill>
                </w14:textFill>
              </w:rPr>
              <w:t>仪</w:t>
            </w:r>
          </w:p>
        </w:tc>
        <w:tc>
          <w:tcPr>
            <w:tcW w:w="1396" w:type="dxa"/>
            <w:noWrap w:val="0"/>
            <w:vAlign w:val="top"/>
          </w:tcPr>
          <w:p>
            <w:pPr>
              <w:spacing w:before="205" w:line="242" w:lineRule="auto"/>
              <w:ind w:left="59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xx</w:t>
            </w:r>
          </w:p>
        </w:tc>
        <w:tc>
          <w:tcPr>
            <w:tcW w:w="1701" w:type="dxa"/>
            <w:gridSpan w:val="2"/>
            <w:noWrap w:val="0"/>
            <w:vAlign w:val="top"/>
          </w:tcPr>
          <w:p>
            <w:pPr>
              <w:spacing w:before="174" w:line="280" w:lineRule="exact"/>
              <w:ind w:left="757"/>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655" w:type="dxa"/>
            <w:noWrap w:val="0"/>
            <w:vAlign w:val="top"/>
          </w:tcPr>
          <w:p>
            <w:pPr>
              <w:spacing w:before="174" w:line="280" w:lineRule="exact"/>
              <w:ind w:left="735"/>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724" w:type="dxa"/>
            <w:noWrap w:val="0"/>
            <w:vAlign w:val="top"/>
          </w:tcPr>
          <w:p>
            <w:pPr>
              <w:spacing w:before="138" w:line="179" w:lineRule="auto"/>
              <w:ind w:left="316"/>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3</w:t>
            </w:r>
          </w:p>
        </w:tc>
        <w:tc>
          <w:tcPr>
            <w:tcW w:w="1559" w:type="dxa"/>
            <w:noWrap w:val="0"/>
            <w:vAlign w:val="top"/>
          </w:tcPr>
          <w:p>
            <w:pPr>
              <w:spacing w:before="95" w:line="221" w:lineRule="auto"/>
              <w:ind w:left="361"/>
              <w:rPr>
                <w:rFonts w:ascii="宋体" w:hAnsi="宋体" w:eastAsia="宋体" w:cs="宋体"/>
                <w:color w:val="000000" w:themeColor="text1"/>
                <w:sz w:val="21"/>
                <w:szCs w:val="21"/>
                <w:highlight w:val="none"/>
                <w14:textFill>
                  <w14:solidFill>
                    <w14:schemeClr w14:val="tx1"/>
                  </w14:solidFill>
                </w14:textFill>
              </w:rPr>
            </w:pPr>
          </w:p>
        </w:tc>
        <w:tc>
          <w:tcPr>
            <w:tcW w:w="1396" w:type="dxa"/>
            <w:noWrap w:val="0"/>
            <w:vAlign w:val="top"/>
          </w:tcPr>
          <w:p>
            <w:pPr>
              <w:spacing w:before="95" w:line="242" w:lineRule="auto"/>
              <w:ind w:left="597"/>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2"/>
                <w:sz w:val="21"/>
                <w:szCs w:val="21"/>
                <w:highlight w:val="none"/>
                <w14:textFill>
                  <w14:solidFill>
                    <w14:schemeClr w14:val="tx1"/>
                  </w14:solidFill>
                </w14:textFill>
              </w:rPr>
              <w:t>xx</w:t>
            </w:r>
          </w:p>
        </w:tc>
        <w:tc>
          <w:tcPr>
            <w:tcW w:w="1701" w:type="dxa"/>
            <w:gridSpan w:val="2"/>
            <w:noWrap w:val="0"/>
            <w:vAlign w:val="top"/>
          </w:tcPr>
          <w:p>
            <w:pPr>
              <w:spacing w:before="65" w:line="279" w:lineRule="exact"/>
              <w:ind w:left="757"/>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655" w:type="dxa"/>
            <w:noWrap w:val="0"/>
            <w:vAlign w:val="top"/>
          </w:tcPr>
          <w:p>
            <w:pPr>
              <w:spacing w:before="65" w:line="279" w:lineRule="exact"/>
              <w:ind w:left="735"/>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2"/>
                <w:position w:val="4"/>
                <w:sz w:val="21"/>
                <w:szCs w:val="21"/>
                <w:highlight w:val="none"/>
                <w14:textFill>
                  <w14:solidFill>
                    <w14:schemeClr w14:val="tx1"/>
                  </w14:solidFill>
                </w14:textFill>
              </w:rPr>
              <w:t>x</w:t>
            </w:r>
            <w:r>
              <w:rPr>
                <w:rFonts w:ascii="Calibri" w:hAnsi="Calibri" w:eastAsia="Calibri" w:cs="Calibri"/>
                <w:color w:val="000000" w:themeColor="text1"/>
                <w:spacing w:val="1"/>
                <w:position w:val="4"/>
                <w:sz w:val="21"/>
                <w:szCs w:val="21"/>
                <w:highlight w:val="none"/>
                <w14:textFill>
                  <w14:solidFill>
                    <w14:schemeClr w14:val="tx1"/>
                  </w14:solidFill>
                </w14:textFill>
              </w:rPr>
              <w:t>x</w:t>
            </w: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24" w:type="dxa"/>
            <w:noWrap w:val="0"/>
            <w:vAlign w:val="top"/>
          </w:tcPr>
          <w:p>
            <w:pPr>
              <w:spacing w:before="145" w:line="177" w:lineRule="auto"/>
              <w:ind w:left="310"/>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4</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24" w:type="dxa"/>
            <w:noWrap w:val="0"/>
            <w:vAlign w:val="top"/>
          </w:tcPr>
          <w:p>
            <w:pPr>
              <w:spacing w:before="136" w:line="177" w:lineRule="auto"/>
              <w:ind w:left="316"/>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5</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24" w:type="dxa"/>
            <w:noWrap w:val="0"/>
            <w:vAlign w:val="top"/>
          </w:tcPr>
          <w:p>
            <w:pPr>
              <w:spacing w:before="135" w:line="179" w:lineRule="auto"/>
              <w:ind w:left="316"/>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6</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24" w:type="dxa"/>
            <w:noWrap w:val="0"/>
            <w:vAlign w:val="top"/>
          </w:tcPr>
          <w:p>
            <w:pPr>
              <w:spacing w:before="137" w:line="177" w:lineRule="auto"/>
              <w:ind w:left="315"/>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7</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24" w:type="dxa"/>
            <w:noWrap w:val="0"/>
            <w:vAlign w:val="top"/>
          </w:tcPr>
          <w:p>
            <w:pPr>
              <w:spacing w:before="136" w:line="179" w:lineRule="auto"/>
              <w:ind w:left="314"/>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8</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24" w:type="dxa"/>
            <w:noWrap w:val="0"/>
            <w:vAlign w:val="top"/>
          </w:tcPr>
          <w:p>
            <w:pPr>
              <w:spacing w:before="135" w:line="179" w:lineRule="auto"/>
              <w:ind w:left="314"/>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z w:val="21"/>
                <w:szCs w:val="21"/>
                <w:highlight w:val="none"/>
                <w14:textFill>
                  <w14:solidFill>
                    <w14:schemeClr w14:val="tx1"/>
                  </w14:solidFill>
                </w14:textFill>
              </w:rPr>
              <w:t>9</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24" w:type="dxa"/>
            <w:noWrap w:val="0"/>
            <w:vAlign w:val="top"/>
          </w:tcPr>
          <w:p>
            <w:pPr>
              <w:spacing w:before="137" w:line="179" w:lineRule="auto"/>
              <w:ind w:left="270"/>
              <w:rPr>
                <w:rFonts w:ascii="Calibri" w:hAnsi="Calibri" w:eastAsia="Calibri" w:cs="Calibri"/>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5"/>
                <w:sz w:val="21"/>
                <w:szCs w:val="21"/>
                <w:highlight w:val="none"/>
                <w14:textFill>
                  <w14:solidFill>
                    <w14:schemeClr w14:val="tx1"/>
                  </w14:solidFill>
                </w14:textFill>
              </w:rPr>
              <w:t>1</w:t>
            </w:r>
            <w:r>
              <w:rPr>
                <w:rFonts w:ascii="Calibri" w:hAnsi="Calibri" w:eastAsia="Calibri" w:cs="Calibri"/>
                <w:color w:val="000000" w:themeColor="text1"/>
                <w:spacing w:val="-4"/>
                <w:sz w:val="21"/>
                <w:szCs w:val="21"/>
                <w:highlight w:val="none"/>
                <w14:textFill>
                  <w14:solidFill>
                    <w14:schemeClr w14:val="tx1"/>
                  </w14:solidFill>
                </w14:textFill>
              </w:rPr>
              <w:t>0</w:t>
            </w:r>
          </w:p>
        </w:tc>
        <w:tc>
          <w:tcPr>
            <w:tcW w:w="1559" w:type="dxa"/>
            <w:noWrap w:val="0"/>
            <w:vAlign w:val="top"/>
          </w:tcPr>
          <w:p>
            <w:pPr>
              <w:rPr>
                <w:rFonts w:ascii="Arial"/>
                <w:color w:val="000000" w:themeColor="text1"/>
                <w:sz w:val="21"/>
                <w:highlight w:val="none"/>
                <w14:textFill>
                  <w14:solidFill>
                    <w14:schemeClr w14:val="tx1"/>
                  </w14:solidFill>
                </w14:textFill>
              </w:rPr>
            </w:pPr>
          </w:p>
        </w:tc>
        <w:tc>
          <w:tcPr>
            <w:tcW w:w="1396" w:type="dxa"/>
            <w:noWrap w:val="0"/>
            <w:vAlign w:val="top"/>
          </w:tcPr>
          <w:p>
            <w:pPr>
              <w:rPr>
                <w:rFonts w:ascii="Arial"/>
                <w:color w:val="000000" w:themeColor="text1"/>
                <w:sz w:val="21"/>
                <w:highlight w:val="none"/>
                <w14:textFill>
                  <w14:solidFill>
                    <w14:schemeClr w14:val="tx1"/>
                  </w14:solidFill>
                </w14:textFill>
              </w:rPr>
            </w:pPr>
          </w:p>
        </w:tc>
        <w:tc>
          <w:tcPr>
            <w:tcW w:w="1701" w:type="dxa"/>
            <w:gridSpan w:val="2"/>
            <w:noWrap w:val="0"/>
            <w:vAlign w:val="top"/>
          </w:tcPr>
          <w:p>
            <w:pPr>
              <w:rPr>
                <w:rFonts w:ascii="Arial"/>
                <w:color w:val="000000" w:themeColor="text1"/>
                <w:sz w:val="21"/>
                <w:highlight w:val="none"/>
                <w14:textFill>
                  <w14:solidFill>
                    <w14:schemeClr w14:val="tx1"/>
                  </w14:solidFill>
                </w14:textFill>
              </w:rPr>
            </w:pPr>
          </w:p>
        </w:tc>
        <w:tc>
          <w:tcPr>
            <w:tcW w:w="1655" w:type="dxa"/>
            <w:noWrap w:val="0"/>
            <w:vAlign w:val="top"/>
          </w:tcPr>
          <w:p>
            <w:pPr>
              <w:rPr>
                <w:rFonts w:ascii="Arial"/>
                <w:color w:val="000000" w:themeColor="text1"/>
                <w:sz w:val="21"/>
                <w:highlight w:val="none"/>
                <w14:textFill>
                  <w14:solidFill>
                    <w14:schemeClr w14:val="tx1"/>
                  </w14:solidFill>
                </w14:textFill>
              </w:rPr>
            </w:pPr>
          </w:p>
        </w:tc>
        <w:tc>
          <w:tcPr>
            <w:tcW w:w="1470" w:type="dxa"/>
            <w:noWrap w:val="0"/>
            <w:vAlign w:val="top"/>
          </w:tcPr>
          <w:p>
            <w:pPr>
              <w:rPr>
                <w:rFonts w:ascii="Arial"/>
                <w:color w:val="000000" w:themeColor="text1"/>
                <w:sz w:val="21"/>
                <w:highlight w:val="none"/>
                <w14:textFill>
                  <w14:solidFill>
                    <w14:schemeClr w14:val="tx1"/>
                  </w14:solidFill>
                </w14:textFill>
              </w:rPr>
            </w:pPr>
          </w:p>
        </w:tc>
        <w:tc>
          <w:tcPr>
            <w:tcW w:w="1238" w:type="dxa"/>
            <w:noWrap w:val="0"/>
            <w:vAlign w:val="top"/>
          </w:tcPr>
          <w:p>
            <w:pPr>
              <w:rPr>
                <w:rFonts w:ascii="Arial"/>
                <w:color w:val="000000" w:themeColor="text1"/>
                <w:sz w:val="21"/>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4" w:hRule="atLeast"/>
        </w:trPr>
        <w:tc>
          <w:tcPr>
            <w:tcW w:w="4170" w:type="dxa"/>
            <w:gridSpan w:val="4"/>
            <w:noWrap w:val="0"/>
            <w:vAlign w:val="top"/>
          </w:tcPr>
          <w:p>
            <w:pPr>
              <w:spacing w:before="33" w:line="221" w:lineRule="auto"/>
              <w:ind w:left="124"/>
              <w:rPr>
                <w:rFonts w:ascii="宋体" w:hAnsi="宋体" w:eastAsia="宋体" w:cs="宋体"/>
                <w:color w:val="000000" w:themeColor="text1"/>
                <w:sz w:val="21"/>
                <w:szCs w:val="21"/>
                <w:highlight w:val="none"/>
                <w14:textFill>
                  <w14:solidFill>
                    <w14:schemeClr w14:val="tx1"/>
                  </w14:solidFill>
                </w14:textFill>
              </w:rPr>
            </w:pPr>
            <w:r>
              <w:rPr>
                <w:rFonts w:ascii="Calibri" w:hAnsi="Calibri" w:eastAsia="Calibri" w:cs="Calibri"/>
                <w:color w:val="000000" w:themeColor="text1"/>
                <w:spacing w:val="-6"/>
                <w:sz w:val="21"/>
                <w:szCs w:val="21"/>
                <w:highlight w:val="none"/>
                <w14:textFill>
                  <w14:solidFill>
                    <w14:schemeClr w14:val="tx1"/>
                  </w14:solidFill>
                </w14:textFill>
              </w:rPr>
              <w:t xml:space="preserve">EPC </w:t>
            </w:r>
            <w:r>
              <w:rPr>
                <w:rFonts w:ascii="宋体" w:hAnsi="宋体" w:eastAsia="宋体" w:cs="宋体"/>
                <w:color w:val="000000" w:themeColor="text1"/>
                <w:spacing w:val="-6"/>
                <w:sz w:val="21"/>
                <w:szCs w:val="21"/>
                <w:highlight w:val="none"/>
                <w14:textFill>
                  <w14:solidFill>
                    <w14:schemeClr w14:val="tx1"/>
                  </w14:solidFill>
                </w14:textFill>
              </w:rPr>
              <w:t>单位：</w:t>
            </w:r>
          </w:p>
          <w:p>
            <w:pPr>
              <w:spacing w:line="462" w:lineRule="auto"/>
              <w:rPr>
                <w:rFonts w:ascii="Arial"/>
                <w:color w:val="000000" w:themeColor="text1"/>
                <w:sz w:val="21"/>
                <w:highlight w:val="none"/>
                <w14:textFill>
                  <w14:solidFill>
                    <w14:schemeClr w14:val="tx1"/>
                  </w14:solidFill>
                </w14:textFill>
              </w:rPr>
            </w:pPr>
          </w:p>
          <w:p>
            <w:pPr>
              <w:spacing w:before="68" w:line="220" w:lineRule="auto"/>
              <w:ind w:left="122"/>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3"/>
                <w:sz w:val="21"/>
                <w:szCs w:val="21"/>
                <w:highlight w:val="none"/>
                <w14:textFill>
                  <w14:solidFill>
                    <w14:schemeClr w14:val="tx1"/>
                  </w14:solidFill>
                </w14:textFill>
              </w:rPr>
              <w:t>负</w:t>
            </w:r>
            <w:r>
              <w:rPr>
                <w:rFonts w:ascii="宋体" w:hAnsi="宋体" w:eastAsia="宋体" w:cs="宋体"/>
                <w:color w:val="000000" w:themeColor="text1"/>
                <w:spacing w:val="-12"/>
                <w:sz w:val="21"/>
                <w:szCs w:val="21"/>
                <w:highlight w:val="none"/>
                <w14:textFill>
                  <w14:solidFill>
                    <w14:schemeClr w14:val="tx1"/>
                  </w14:solidFill>
                </w14:textFill>
              </w:rPr>
              <w:t>责人：</w:t>
            </w:r>
          </w:p>
          <w:p>
            <w:pPr>
              <w:spacing w:line="462" w:lineRule="auto"/>
              <w:rPr>
                <w:rFonts w:ascii="Arial"/>
                <w:color w:val="000000" w:themeColor="text1"/>
                <w:sz w:val="21"/>
                <w:highlight w:val="none"/>
                <w14:textFill>
                  <w14:solidFill>
                    <w14:schemeClr w14:val="tx1"/>
                  </w14:solidFill>
                </w14:textFill>
              </w:rPr>
            </w:pPr>
          </w:p>
          <w:p>
            <w:pPr>
              <w:spacing w:before="68" w:line="220" w:lineRule="auto"/>
              <w:ind w:left="325"/>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5"/>
                <w:sz w:val="21"/>
                <w:szCs w:val="21"/>
                <w:highlight w:val="none"/>
                <w14:textFill>
                  <w14:solidFill>
                    <w14:schemeClr w14:val="tx1"/>
                  </w14:solidFill>
                </w14:textFill>
              </w:rPr>
              <w:t>盖</w:t>
            </w:r>
            <w:r>
              <w:rPr>
                <w:rFonts w:ascii="宋体" w:hAnsi="宋体" w:eastAsia="宋体" w:cs="宋体"/>
                <w:color w:val="000000" w:themeColor="text1"/>
                <w:spacing w:val="-12"/>
                <w:sz w:val="21"/>
                <w:szCs w:val="21"/>
                <w:highlight w:val="none"/>
                <w14:textFill>
                  <w14:solidFill>
                    <w14:schemeClr w14:val="tx1"/>
                  </w14:solidFill>
                </w14:textFill>
              </w:rPr>
              <w:t>章：</w:t>
            </w:r>
          </w:p>
          <w:p>
            <w:pPr>
              <w:spacing w:before="23" w:line="218" w:lineRule="auto"/>
              <w:ind w:left="2092"/>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 xml:space="preserve">年   </w:t>
            </w:r>
            <w:r>
              <w:rPr>
                <w:rFonts w:ascii="宋体" w:hAnsi="宋体" w:eastAsia="宋体" w:cs="宋体"/>
                <w:color w:val="000000" w:themeColor="text1"/>
                <w:spacing w:val="3"/>
                <w:sz w:val="21"/>
                <w:szCs w:val="21"/>
                <w:highlight w:val="none"/>
                <w14:textFill>
                  <w14:solidFill>
                    <w14:schemeClr w14:val="tx1"/>
                  </w14:solidFill>
                </w14:textFill>
              </w:rPr>
              <w:t xml:space="preserve"> </w:t>
            </w:r>
            <w:r>
              <w:rPr>
                <w:rFonts w:ascii="宋体" w:hAnsi="宋体" w:eastAsia="宋体" w:cs="宋体"/>
                <w:color w:val="000000" w:themeColor="text1"/>
                <w:spacing w:val="2"/>
                <w:sz w:val="21"/>
                <w:szCs w:val="21"/>
                <w:highlight w:val="none"/>
                <w14:textFill>
                  <w14:solidFill>
                    <w14:schemeClr w14:val="tx1"/>
                  </w14:solidFill>
                </w14:textFill>
              </w:rPr>
              <w:t xml:space="preserve"> 月     日</w:t>
            </w:r>
          </w:p>
        </w:tc>
        <w:tc>
          <w:tcPr>
            <w:tcW w:w="5573" w:type="dxa"/>
            <w:gridSpan w:val="4"/>
            <w:noWrap w:val="0"/>
            <w:vAlign w:val="top"/>
          </w:tcPr>
          <w:p>
            <w:pPr>
              <w:spacing w:before="34" w:line="220" w:lineRule="auto"/>
              <w:ind w:left="11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0"/>
                <w:sz w:val="21"/>
                <w:szCs w:val="21"/>
                <w:highlight w:val="none"/>
                <w14:textFill>
                  <w14:solidFill>
                    <w14:schemeClr w14:val="tx1"/>
                  </w14:solidFill>
                </w14:textFill>
              </w:rPr>
              <w:t>项</w:t>
            </w:r>
            <w:r>
              <w:rPr>
                <w:rFonts w:ascii="宋体" w:hAnsi="宋体" w:eastAsia="宋体" w:cs="宋体"/>
                <w:color w:val="000000" w:themeColor="text1"/>
                <w:spacing w:val="-7"/>
                <w:sz w:val="21"/>
                <w:szCs w:val="21"/>
                <w:highlight w:val="none"/>
                <w14:textFill>
                  <w14:solidFill>
                    <w14:schemeClr w14:val="tx1"/>
                  </w14:solidFill>
                </w14:textFill>
              </w:rPr>
              <w:t>目管理单位：</w:t>
            </w:r>
          </w:p>
          <w:p>
            <w:pPr>
              <w:spacing w:line="463" w:lineRule="auto"/>
              <w:rPr>
                <w:rFonts w:ascii="Arial"/>
                <w:color w:val="000000" w:themeColor="text1"/>
                <w:sz w:val="21"/>
                <w:highlight w:val="none"/>
                <w14:textFill>
                  <w14:solidFill>
                    <w14:schemeClr w14:val="tx1"/>
                  </w14:solidFill>
                </w14:textFill>
              </w:rPr>
            </w:pPr>
          </w:p>
          <w:p>
            <w:pPr>
              <w:spacing w:before="68" w:line="220" w:lineRule="auto"/>
              <w:ind w:left="121"/>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3"/>
                <w:sz w:val="21"/>
                <w:szCs w:val="21"/>
                <w:highlight w:val="none"/>
                <w14:textFill>
                  <w14:solidFill>
                    <w14:schemeClr w14:val="tx1"/>
                  </w14:solidFill>
                </w14:textFill>
              </w:rPr>
              <w:t>负</w:t>
            </w:r>
            <w:r>
              <w:rPr>
                <w:rFonts w:ascii="宋体" w:hAnsi="宋体" w:eastAsia="宋体" w:cs="宋体"/>
                <w:color w:val="000000" w:themeColor="text1"/>
                <w:spacing w:val="-12"/>
                <w:sz w:val="21"/>
                <w:szCs w:val="21"/>
                <w:highlight w:val="none"/>
                <w14:textFill>
                  <w14:solidFill>
                    <w14:schemeClr w14:val="tx1"/>
                  </w14:solidFill>
                </w14:textFill>
              </w:rPr>
              <w:t>责人：</w:t>
            </w:r>
          </w:p>
          <w:p>
            <w:pPr>
              <w:spacing w:line="462" w:lineRule="auto"/>
              <w:rPr>
                <w:rFonts w:ascii="Arial"/>
                <w:color w:val="000000" w:themeColor="text1"/>
                <w:sz w:val="21"/>
                <w:highlight w:val="none"/>
                <w14:textFill>
                  <w14:solidFill>
                    <w14:schemeClr w14:val="tx1"/>
                  </w14:solidFill>
                </w14:textFill>
              </w:rPr>
            </w:pPr>
          </w:p>
          <w:p>
            <w:pPr>
              <w:spacing w:before="68" w:line="220" w:lineRule="auto"/>
              <w:ind w:left="324"/>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15"/>
                <w:sz w:val="21"/>
                <w:szCs w:val="21"/>
                <w:highlight w:val="none"/>
                <w14:textFill>
                  <w14:solidFill>
                    <w14:schemeClr w14:val="tx1"/>
                  </w14:solidFill>
                </w14:textFill>
              </w:rPr>
              <w:t>盖</w:t>
            </w:r>
            <w:r>
              <w:rPr>
                <w:rFonts w:ascii="宋体" w:hAnsi="宋体" w:eastAsia="宋体" w:cs="宋体"/>
                <w:color w:val="000000" w:themeColor="text1"/>
                <w:spacing w:val="-12"/>
                <w:sz w:val="21"/>
                <w:szCs w:val="21"/>
                <w:highlight w:val="none"/>
                <w14:textFill>
                  <w14:solidFill>
                    <w14:schemeClr w14:val="tx1"/>
                  </w14:solidFill>
                </w14:textFill>
              </w:rPr>
              <w:t>章：</w:t>
            </w:r>
          </w:p>
          <w:p>
            <w:pPr>
              <w:spacing w:before="22" w:line="218" w:lineRule="auto"/>
              <w:ind w:left="1794"/>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 xml:space="preserve">年   </w:t>
            </w:r>
            <w:r>
              <w:rPr>
                <w:rFonts w:ascii="宋体" w:hAnsi="宋体" w:eastAsia="宋体" w:cs="宋体"/>
                <w:color w:val="000000" w:themeColor="text1"/>
                <w:spacing w:val="3"/>
                <w:sz w:val="21"/>
                <w:szCs w:val="21"/>
                <w:highlight w:val="none"/>
                <w14:textFill>
                  <w14:solidFill>
                    <w14:schemeClr w14:val="tx1"/>
                  </w14:solidFill>
                </w14:textFill>
              </w:rPr>
              <w:t xml:space="preserve"> </w:t>
            </w:r>
            <w:r>
              <w:rPr>
                <w:rFonts w:ascii="宋体" w:hAnsi="宋体" w:eastAsia="宋体" w:cs="宋体"/>
                <w:color w:val="000000" w:themeColor="text1"/>
                <w:spacing w:val="2"/>
                <w:sz w:val="21"/>
                <w:szCs w:val="21"/>
                <w:highlight w:val="none"/>
                <w14:textFill>
                  <w14:solidFill>
                    <w14:schemeClr w14:val="tx1"/>
                  </w14:solidFill>
                </w14:textFill>
              </w:rPr>
              <w:t xml:space="preserve"> 月     日</w:t>
            </w:r>
          </w:p>
        </w:tc>
      </w:tr>
    </w:tbl>
    <w:p>
      <w:pPr>
        <w:keepNext w:val="0"/>
        <w:keepLines w:val="0"/>
        <w:pageBreakBefore w:val="0"/>
        <w:widowControl/>
        <w:kinsoku w:val="0"/>
        <w:wordWrap/>
        <w:overflowPunct/>
        <w:topLinePunct w:val="0"/>
        <w:autoSpaceDE w:val="0"/>
        <w:autoSpaceDN w:val="0"/>
        <w:bidi w:val="0"/>
        <w:adjustRightInd w:val="0"/>
        <w:snapToGrid w:val="0"/>
        <w:spacing w:before="113" w:line="360" w:lineRule="auto"/>
        <w:ind w:right="703" w:firstLine="468" w:firstLineChars="200"/>
        <w:jc w:val="both"/>
        <w:textAlignment w:val="baseline"/>
        <w:rPr>
          <w:rFonts w:ascii="宋体" w:hAnsi="宋体" w:eastAsia="宋体" w:cs="宋体"/>
          <w:color w:val="000000" w:themeColor="text1"/>
          <w:spacing w:val="-3"/>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注： 1 、以</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村</w:t>
      </w:r>
      <w:r>
        <w:rPr>
          <w:rFonts w:ascii="宋体" w:hAnsi="宋体" w:eastAsia="宋体" w:cs="宋体"/>
          <w:color w:val="000000" w:themeColor="text1"/>
          <w:spacing w:val="-3"/>
          <w:sz w:val="24"/>
          <w:szCs w:val="24"/>
          <w:highlight w:val="none"/>
          <w14:textFill>
            <w14:solidFill>
              <w14:schemeClr w14:val="tx1"/>
            </w14:solidFill>
          </w14:textFill>
        </w:rPr>
        <w:t>为单位或根据工程进度需要分批填写此表格。</w:t>
      </w:r>
    </w:p>
    <w:p>
      <w:pPr>
        <w:keepNext w:val="0"/>
        <w:keepLines w:val="0"/>
        <w:pageBreakBefore w:val="0"/>
        <w:widowControl/>
        <w:kinsoku w:val="0"/>
        <w:wordWrap/>
        <w:overflowPunct/>
        <w:topLinePunct w:val="0"/>
        <w:autoSpaceDE w:val="0"/>
        <w:autoSpaceDN w:val="0"/>
        <w:bidi w:val="0"/>
        <w:adjustRightInd w:val="0"/>
        <w:snapToGrid w:val="0"/>
        <w:spacing w:before="113" w:line="360" w:lineRule="auto"/>
        <w:ind w:right="703" w:firstLine="468" w:firstLineChars="200"/>
        <w:jc w:val="both"/>
        <w:textAlignment w:val="baseline"/>
        <w:rPr>
          <w:rFonts w:ascii="宋体" w:hAnsi="宋体" w:eastAsia="宋体" w:cs="宋体"/>
          <w:color w:val="000000" w:themeColor="text1"/>
          <w:spacing w:val="-3"/>
          <w:sz w:val="24"/>
          <w:szCs w:val="24"/>
          <w:highlight w:val="none"/>
          <w14:textFill>
            <w14:solidFill>
              <w14:schemeClr w14:val="tx1"/>
            </w14:solidFill>
          </w14:textFill>
        </w:rPr>
        <w:sectPr>
          <w:type w:val="continuous"/>
          <w:pgSz w:w="11905" w:h="16840"/>
          <w:pgMar w:top="1431" w:right="992" w:bottom="400" w:left="1162" w:header="0" w:footer="0" w:gutter="0"/>
          <w:pgNumType w:fmt="decimal"/>
          <w:cols w:space="720" w:num="1"/>
        </w:sectPr>
      </w:pPr>
    </w:p>
    <w:p>
      <w:pPr>
        <w:spacing w:before="62" w:line="185" w:lineRule="auto"/>
        <w:ind w:left="450"/>
        <w:rPr>
          <w:rFonts w:ascii="宋体" w:hAnsi="宋体" w:eastAsia="宋体" w:cs="宋体"/>
          <w:color w:val="000000" w:themeColor="text1"/>
          <w:sz w:val="21"/>
          <w:szCs w:val="21"/>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ind w:left="511"/>
        <w:rPr>
          <w:rFonts w:ascii="宋体" w:hAnsi="宋体" w:eastAsia="宋体" w:cs="宋体"/>
          <w:color w:val="000000" w:themeColor="text1"/>
          <w:spacing w:val="-1"/>
          <w:sz w:val="24"/>
          <w:szCs w:val="24"/>
          <w:highlight w:val="none"/>
          <w14:textFill>
            <w14:solidFill>
              <w14:schemeClr w14:val="tx1"/>
            </w14:solidFill>
          </w14:textFill>
        </w:rPr>
      </w:pPr>
    </w:p>
    <w:p>
      <w:pPr>
        <w:spacing w:line="360" w:lineRule="auto"/>
        <w:rPr>
          <w:rFonts w:ascii="宋体" w:hAnsi="宋体" w:eastAsia="宋体" w:cs="宋体"/>
          <w:color w:val="000000" w:themeColor="text1"/>
          <w:spacing w:val="-1"/>
          <w:sz w:val="24"/>
          <w:szCs w:val="24"/>
          <w:highlight w:val="none"/>
          <w14:textFill>
            <w14:solidFill>
              <w14:schemeClr w14:val="tx1"/>
            </w14:solidFill>
          </w14:textFill>
        </w:rPr>
        <w:sectPr>
          <w:type w:val="continuous"/>
          <w:pgSz w:w="11905" w:h="16840"/>
          <w:pgMar w:top="1431" w:right="1332" w:bottom="400" w:left="1502" w:header="0" w:footer="0" w:gutter="0"/>
          <w:pgNumType w:fmt="decimal"/>
          <w:cols w:space="720" w:num="1"/>
        </w:sectPr>
      </w:pPr>
    </w:p>
    <w:p>
      <w:pPr>
        <w:rPr>
          <w:color w:val="000000" w:themeColor="text1"/>
          <w:highlight w:val="none"/>
          <w14:textFill>
            <w14:solidFill>
              <w14:schemeClr w14:val="tx1"/>
            </w14:solidFill>
          </w14:textFill>
        </w:rPr>
      </w:pPr>
    </w:p>
    <w:bookmarkEnd w:id="2036"/>
    <w:p>
      <w:pPr>
        <w:spacing w:line="360" w:lineRule="auto"/>
        <w:rPr>
          <w:rFonts w:hint="eastAsia" w:ascii="宋体" w:hAnsi="宋体"/>
          <w:color w:val="000000" w:themeColor="text1"/>
          <w:sz w:val="24"/>
          <w:highlight w:val="none"/>
          <w14:textFill>
            <w14:solidFill>
              <w14:schemeClr w14:val="tx1"/>
            </w14:solidFill>
          </w14:textFill>
        </w:rPr>
      </w:pPr>
    </w:p>
    <w:sectPr>
      <w:footerReference r:id="rId14" w:type="default"/>
      <w:pgSz w:w="11899" w:h="16840"/>
      <w:pgMar w:top="1440" w:right="1797" w:bottom="1276" w:left="1797" w:header="720" w:footer="75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宋体-PUA">
    <w:altName w:val="宋体"/>
    <w:panose1 w:val="02010600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2000000000000000000"/>
    <w:charset w:val="86"/>
    <w:family w:val="script"/>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231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231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2"/>
      </w:rPr>
    </w:pPr>
    <w:r>
      <w:fldChar w:fldCharType="begin"/>
    </w:r>
    <w:r>
      <w:rPr>
        <w:rStyle w:val="42"/>
      </w:rPr>
      <w:instrText xml:space="preserve">PAGE  </w:instrText>
    </w:r>
    <w:r>
      <w:fldChar w:fldCharType="end"/>
    </w:r>
  </w:p>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130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140</w:t>
    </w:r>
    <w:r>
      <w:rPr>
        <w:b/>
        <w:sz w:val="24"/>
        <w:szCs w:val="24"/>
      </w:rPr>
      <w:fldChar w:fldCharType="end"/>
    </w:r>
  </w:p>
  <w:p>
    <w:pPr>
      <w:pStyle w:val="2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140</w:t>
    </w:r>
    <w:r>
      <w:rPr>
        <w:b/>
        <w:sz w:val="24"/>
        <w:szCs w:val="24"/>
      </w:rPr>
      <w:fldChar w:fldCharType="end"/>
    </w:r>
  </w:p>
  <w:p>
    <w:pPr>
      <w:pStyle w:val="2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591"/>
      <w:rPr>
        <w:rFonts w:ascii="宋体" w:hAnsi="宋体" w:eastAsia="宋体" w:cs="宋体"/>
        <w:spacing w:val="1"/>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posOffset>2146300</wp:posOffset>
              </wp:positionH>
              <wp:positionV relativeFrom="paragraph">
                <wp:posOffset>116840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9pt;margin-top:9.2pt;height:144pt;width:144pt;mso-position-horizontal-relative:margin;mso-wrap-style:none;z-index:251664384;mso-width-relative:page;mso-height-relative:page;" filled="f" stroked="f" coordsize="21600,21600" o:gfxdata="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4IkTJ1gAAAAoBAAAPAAAAAAAAAAEAIAAAACIAAABkcnMvZG93bnJldi54bWxQ&#10;SwECFAAUAAAACACHTuJAJ0wnyN0CAAAkBgAADgAAAAAAAAABACAAAAAlAQAAZHJzL2Uyb0RvYy54&#10;bWxQSwUGAAAAAAYABgBZAQAAdAY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p>
    <w:pPr>
      <w:spacing w:line="220" w:lineRule="auto"/>
      <w:ind w:left="3591"/>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219</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219</w:t>
                    </w:r>
                    <w:r>
                      <w:fldChar w:fldCharType="end"/>
                    </w:r>
                    <w:r>
                      <w:t xml:space="preserve"> 页 共 </w:t>
                    </w:r>
                    <w:r>
                      <w:fldChar w:fldCharType="begin"/>
                    </w:r>
                    <w:r>
                      <w:instrText xml:space="preserve"> NUMPAGES  \* MERGEFORMAT </w:instrText>
                    </w:r>
                    <w:r>
                      <w:fldChar w:fldCharType="separate"/>
                    </w:r>
                    <w:r>
                      <w:t>231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899CEB"/>
    <w:multiLevelType w:val="singleLevel"/>
    <w:tmpl w:val="D5899CEB"/>
    <w:lvl w:ilvl="0" w:tentative="0">
      <w:start w:val="2"/>
      <w:numFmt w:val="chineseCounting"/>
      <w:suff w:val="space"/>
      <w:lvlText w:val="第%1部分"/>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618"/>
        </w:tabs>
        <w:ind w:left="618" w:hanging="420"/>
      </w:pPr>
    </w:lvl>
    <w:lvl w:ilvl="1" w:tentative="0">
      <w:start w:val="1"/>
      <w:numFmt w:val="lowerLetter"/>
      <w:lvlText w:val="%2)"/>
      <w:lvlJc w:val="left"/>
      <w:pPr>
        <w:tabs>
          <w:tab w:val="left" w:pos="1038"/>
        </w:tabs>
        <w:ind w:left="1038" w:hanging="420"/>
      </w:pPr>
    </w:lvl>
    <w:lvl w:ilvl="2" w:tentative="0">
      <w:start w:val="1"/>
      <w:numFmt w:val="lowerRoman"/>
      <w:lvlText w:val="%3."/>
      <w:lvlJc w:val="right"/>
      <w:pPr>
        <w:tabs>
          <w:tab w:val="left" w:pos="1458"/>
        </w:tabs>
        <w:ind w:left="1458" w:hanging="420"/>
      </w:pPr>
    </w:lvl>
    <w:lvl w:ilvl="3" w:tentative="0">
      <w:start w:val="1"/>
      <w:numFmt w:val="decimal"/>
      <w:lvlText w:val="%4."/>
      <w:lvlJc w:val="left"/>
      <w:pPr>
        <w:tabs>
          <w:tab w:val="left" w:pos="1878"/>
        </w:tabs>
        <w:ind w:left="1878" w:hanging="420"/>
      </w:pPr>
    </w:lvl>
    <w:lvl w:ilvl="4" w:tentative="0">
      <w:start w:val="1"/>
      <w:numFmt w:val="lowerLetter"/>
      <w:lvlText w:val="%5)"/>
      <w:lvlJc w:val="left"/>
      <w:pPr>
        <w:tabs>
          <w:tab w:val="left" w:pos="2298"/>
        </w:tabs>
        <w:ind w:left="2298" w:hanging="420"/>
      </w:pPr>
    </w:lvl>
    <w:lvl w:ilvl="5" w:tentative="0">
      <w:start w:val="1"/>
      <w:numFmt w:val="lowerRoman"/>
      <w:lvlText w:val="%6."/>
      <w:lvlJc w:val="right"/>
      <w:pPr>
        <w:tabs>
          <w:tab w:val="left" w:pos="2718"/>
        </w:tabs>
        <w:ind w:left="2718" w:hanging="420"/>
      </w:pPr>
    </w:lvl>
    <w:lvl w:ilvl="6" w:tentative="0">
      <w:start w:val="1"/>
      <w:numFmt w:val="decimal"/>
      <w:lvlText w:val="%7."/>
      <w:lvlJc w:val="left"/>
      <w:pPr>
        <w:tabs>
          <w:tab w:val="left" w:pos="3138"/>
        </w:tabs>
        <w:ind w:left="3138" w:hanging="420"/>
      </w:pPr>
    </w:lvl>
    <w:lvl w:ilvl="7" w:tentative="0">
      <w:start w:val="1"/>
      <w:numFmt w:val="lowerLetter"/>
      <w:lvlText w:val="%8)"/>
      <w:lvlJc w:val="left"/>
      <w:pPr>
        <w:tabs>
          <w:tab w:val="left" w:pos="3558"/>
        </w:tabs>
        <w:ind w:left="3558" w:hanging="420"/>
      </w:pPr>
    </w:lvl>
    <w:lvl w:ilvl="8" w:tentative="0">
      <w:start w:val="1"/>
      <w:numFmt w:val="lowerRoman"/>
      <w:lvlText w:val="%9."/>
      <w:lvlJc w:val="right"/>
      <w:pPr>
        <w:tabs>
          <w:tab w:val="left" w:pos="3978"/>
        </w:tabs>
        <w:ind w:left="3978" w:hanging="420"/>
      </w:pPr>
    </w:lvl>
  </w:abstractNum>
  <w:abstractNum w:abstractNumId="2">
    <w:nsid w:val="4B9021DA"/>
    <w:multiLevelType w:val="multilevel"/>
    <w:tmpl w:val="4B9021D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6AF4790"/>
    <w:multiLevelType w:val="singleLevel"/>
    <w:tmpl w:val="56AF4790"/>
    <w:lvl w:ilvl="0" w:tentative="0">
      <w:start w:val="2"/>
      <w:numFmt w:val="decimal"/>
      <w:suff w:val="nothing"/>
      <w:lvlText w:val="%1、"/>
      <w:lvlJc w:val="left"/>
    </w:lvl>
  </w:abstractNum>
  <w:abstractNum w:abstractNumId="4">
    <w:nsid w:val="73BC4D4F"/>
    <w:multiLevelType w:val="multilevel"/>
    <w:tmpl w:val="73BC4D4F"/>
    <w:lvl w:ilvl="0" w:tentative="0">
      <w:start w:val="1"/>
      <w:numFmt w:val="japaneseCounting"/>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ZGYzMjhiNDFjYzNiYTAzYzU2MWQzMzQ4NDU2YjcifQ=="/>
  </w:docVars>
  <w:rsids>
    <w:rsidRoot w:val="00561A36"/>
    <w:rsid w:val="000002DF"/>
    <w:rsid w:val="0000033C"/>
    <w:rsid w:val="00000594"/>
    <w:rsid w:val="000009DD"/>
    <w:rsid w:val="000015C0"/>
    <w:rsid w:val="00001FB9"/>
    <w:rsid w:val="000023F4"/>
    <w:rsid w:val="000027BE"/>
    <w:rsid w:val="00002862"/>
    <w:rsid w:val="000039B5"/>
    <w:rsid w:val="000045F5"/>
    <w:rsid w:val="00004730"/>
    <w:rsid w:val="00005812"/>
    <w:rsid w:val="00005AEA"/>
    <w:rsid w:val="0000695F"/>
    <w:rsid w:val="00006E48"/>
    <w:rsid w:val="00007139"/>
    <w:rsid w:val="000077C4"/>
    <w:rsid w:val="000079CA"/>
    <w:rsid w:val="00007A0B"/>
    <w:rsid w:val="00010CB0"/>
    <w:rsid w:val="00010F61"/>
    <w:rsid w:val="00011480"/>
    <w:rsid w:val="000119B9"/>
    <w:rsid w:val="00011EF1"/>
    <w:rsid w:val="000122E3"/>
    <w:rsid w:val="000126BC"/>
    <w:rsid w:val="00013620"/>
    <w:rsid w:val="00013A0D"/>
    <w:rsid w:val="00013C58"/>
    <w:rsid w:val="0001480E"/>
    <w:rsid w:val="00014A6D"/>
    <w:rsid w:val="00015257"/>
    <w:rsid w:val="0001593F"/>
    <w:rsid w:val="00015A30"/>
    <w:rsid w:val="0001676D"/>
    <w:rsid w:val="000167E7"/>
    <w:rsid w:val="00016C01"/>
    <w:rsid w:val="00016DF4"/>
    <w:rsid w:val="00016FB4"/>
    <w:rsid w:val="0001774E"/>
    <w:rsid w:val="00020FE0"/>
    <w:rsid w:val="00021401"/>
    <w:rsid w:val="00021DBB"/>
    <w:rsid w:val="00021EF3"/>
    <w:rsid w:val="000222EA"/>
    <w:rsid w:val="00022B49"/>
    <w:rsid w:val="00022E8B"/>
    <w:rsid w:val="00023000"/>
    <w:rsid w:val="000234C5"/>
    <w:rsid w:val="0002385A"/>
    <w:rsid w:val="00023A4B"/>
    <w:rsid w:val="0002444D"/>
    <w:rsid w:val="00024558"/>
    <w:rsid w:val="00024AFB"/>
    <w:rsid w:val="000254B4"/>
    <w:rsid w:val="00025A9C"/>
    <w:rsid w:val="00026210"/>
    <w:rsid w:val="00026B4C"/>
    <w:rsid w:val="00027FA1"/>
    <w:rsid w:val="0003036F"/>
    <w:rsid w:val="00030672"/>
    <w:rsid w:val="00031EE6"/>
    <w:rsid w:val="00032298"/>
    <w:rsid w:val="0003279F"/>
    <w:rsid w:val="00032882"/>
    <w:rsid w:val="0003302E"/>
    <w:rsid w:val="00033B63"/>
    <w:rsid w:val="00033CEB"/>
    <w:rsid w:val="0003431B"/>
    <w:rsid w:val="00034BFC"/>
    <w:rsid w:val="00034C1D"/>
    <w:rsid w:val="00035B38"/>
    <w:rsid w:val="000362DE"/>
    <w:rsid w:val="0003642F"/>
    <w:rsid w:val="00036905"/>
    <w:rsid w:val="00036A39"/>
    <w:rsid w:val="00037C45"/>
    <w:rsid w:val="00037F03"/>
    <w:rsid w:val="000413F6"/>
    <w:rsid w:val="00042B33"/>
    <w:rsid w:val="00042B62"/>
    <w:rsid w:val="0004339F"/>
    <w:rsid w:val="000434C2"/>
    <w:rsid w:val="00043657"/>
    <w:rsid w:val="00043783"/>
    <w:rsid w:val="00044082"/>
    <w:rsid w:val="000443D4"/>
    <w:rsid w:val="0004476A"/>
    <w:rsid w:val="00044883"/>
    <w:rsid w:val="00044A61"/>
    <w:rsid w:val="00045805"/>
    <w:rsid w:val="00045B4A"/>
    <w:rsid w:val="00046F32"/>
    <w:rsid w:val="00047C15"/>
    <w:rsid w:val="00051176"/>
    <w:rsid w:val="00051478"/>
    <w:rsid w:val="0005179A"/>
    <w:rsid w:val="000527BB"/>
    <w:rsid w:val="00052B33"/>
    <w:rsid w:val="00052D8F"/>
    <w:rsid w:val="0005321C"/>
    <w:rsid w:val="000539C1"/>
    <w:rsid w:val="000548F9"/>
    <w:rsid w:val="000559A6"/>
    <w:rsid w:val="00055F34"/>
    <w:rsid w:val="00055FA8"/>
    <w:rsid w:val="00056170"/>
    <w:rsid w:val="00057031"/>
    <w:rsid w:val="00057631"/>
    <w:rsid w:val="00060A47"/>
    <w:rsid w:val="00060F96"/>
    <w:rsid w:val="00062C5C"/>
    <w:rsid w:val="0006365E"/>
    <w:rsid w:val="00063822"/>
    <w:rsid w:val="00064DC9"/>
    <w:rsid w:val="00066486"/>
    <w:rsid w:val="00067145"/>
    <w:rsid w:val="00067BF5"/>
    <w:rsid w:val="000714BF"/>
    <w:rsid w:val="000717EC"/>
    <w:rsid w:val="00071C10"/>
    <w:rsid w:val="00072011"/>
    <w:rsid w:val="0007204C"/>
    <w:rsid w:val="000724C5"/>
    <w:rsid w:val="00072A05"/>
    <w:rsid w:val="00073065"/>
    <w:rsid w:val="00073F2E"/>
    <w:rsid w:val="00075632"/>
    <w:rsid w:val="0007653A"/>
    <w:rsid w:val="00076DD6"/>
    <w:rsid w:val="000770D0"/>
    <w:rsid w:val="00077779"/>
    <w:rsid w:val="00077A28"/>
    <w:rsid w:val="00077BD0"/>
    <w:rsid w:val="00081020"/>
    <w:rsid w:val="00081164"/>
    <w:rsid w:val="00081E10"/>
    <w:rsid w:val="000827EA"/>
    <w:rsid w:val="00082B3E"/>
    <w:rsid w:val="00082CD6"/>
    <w:rsid w:val="000836C5"/>
    <w:rsid w:val="000837AE"/>
    <w:rsid w:val="00084215"/>
    <w:rsid w:val="00084816"/>
    <w:rsid w:val="00084899"/>
    <w:rsid w:val="00084D0C"/>
    <w:rsid w:val="00084F0D"/>
    <w:rsid w:val="000856D5"/>
    <w:rsid w:val="000856F3"/>
    <w:rsid w:val="000859EA"/>
    <w:rsid w:val="000867B1"/>
    <w:rsid w:val="00086B27"/>
    <w:rsid w:val="00086BED"/>
    <w:rsid w:val="000872FD"/>
    <w:rsid w:val="00087AB7"/>
    <w:rsid w:val="00087B66"/>
    <w:rsid w:val="00090EA1"/>
    <w:rsid w:val="00091792"/>
    <w:rsid w:val="00091F50"/>
    <w:rsid w:val="000931D5"/>
    <w:rsid w:val="00094553"/>
    <w:rsid w:val="00095120"/>
    <w:rsid w:val="00095494"/>
    <w:rsid w:val="00096CBA"/>
    <w:rsid w:val="00096CEF"/>
    <w:rsid w:val="0009743F"/>
    <w:rsid w:val="000A0423"/>
    <w:rsid w:val="000A04EC"/>
    <w:rsid w:val="000A0BC1"/>
    <w:rsid w:val="000A0D39"/>
    <w:rsid w:val="000A16C4"/>
    <w:rsid w:val="000A1A57"/>
    <w:rsid w:val="000A1F92"/>
    <w:rsid w:val="000A2245"/>
    <w:rsid w:val="000A26DB"/>
    <w:rsid w:val="000A2DDF"/>
    <w:rsid w:val="000A31C6"/>
    <w:rsid w:val="000A3AD9"/>
    <w:rsid w:val="000A5008"/>
    <w:rsid w:val="000A650E"/>
    <w:rsid w:val="000A6F90"/>
    <w:rsid w:val="000A721D"/>
    <w:rsid w:val="000A72E8"/>
    <w:rsid w:val="000A7749"/>
    <w:rsid w:val="000A7E8C"/>
    <w:rsid w:val="000B051B"/>
    <w:rsid w:val="000B1A13"/>
    <w:rsid w:val="000B204B"/>
    <w:rsid w:val="000B2267"/>
    <w:rsid w:val="000B2BB7"/>
    <w:rsid w:val="000B2E10"/>
    <w:rsid w:val="000B2E30"/>
    <w:rsid w:val="000B2E31"/>
    <w:rsid w:val="000B3366"/>
    <w:rsid w:val="000B3C28"/>
    <w:rsid w:val="000B3E43"/>
    <w:rsid w:val="000B40AB"/>
    <w:rsid w:val="000B59C0"/>
    <w:rsid w:val="000B5F7C"/>
    <w:rsid w:val="000B643D"/>
    <w:rsid w:val="000B6CE2"/>
    <w:rsid w:val="000C0CDD"/>
    <w:rsid w:val="000C0E71"/>
    <w:rsid w:val="000C21DF"/>
    <w:rsid w:val="000C3C07"/>
    <w:rsid w:val="000C3CC4"/>
    <w:rsid w:val="000C454A"/>
    <w:rsid w:val="000C5456"/>
    <w:rsid w:val="000C7865"/>
    <w:rsid w:val="000C7E64"/>
    <w:rsid w:val="000D01AB"/>
    <w:rsid w:val="000D0531"/>
    <w:rsid w:val="000D0E65"/>
    <w:rsid w:val="000D13C5"/>
    <w:rsid w:val="000D1B19"/>
    <w:rsid w:val="000D1D6A"/>
    <w:rsid w:val="000D1FF4"/>
    <w:rsid w:val="000D247B"/>
    <w:rsid w:val="000D283B"/>
    <w:rsid w:val="000D36A9"/>
    <w:rsid w:val="000D3CD0"/>
    <w:rsid w:val="000D4AD9"/>
    <w:rsid w:val="000D549D"/>
    <w:rsid w:val="000D622A"/>
    <w:rsid w:val="000D6CF5"/>
    <w:rsid w:val="000D6DDA"/>
    <w:rsid w:val="000D721F"/>
    <w:rsid w:val="000D7332"/>
    <w:rsid w:val="000D7751"/>
    <w:rsid w:val="000D7C9F"/>
    <w:rsid w:val="000D7EA1"/>
    <w:rsid w:val="000E173B"/>
    <w:rsid w:val="000E1BBD"/>
    <w:rsid w:val="000E250F"/>
    <w:rsid w:val="000E26EF"/>
    <w:rsid w:val="000E36E9"/>
    <w:rsid w:val="000E54D6"/>
    <w:rsid w:val="000E5604"/>
    <w:rsid w:val="000E5832"/>
    <w:rsid w:val="000E5A1D"/>
    <w:rsid w:val="000E5ED3"/>
    <w:rsid w:val="000E687E"/>
    <w:rsid w:val="000E724A"/>
    <w:rsid w:val="000E739C"/>
    <w:rsid w:val="000E7759"/>
    <w:rsid w:val="000F0327"/>
    <w:rsid w:val="000F04D9"/>
    <w:rsid w:val="000F0FE3"/>
    <w:rsid w:val="000F1B9E"/>
    <w:rsid w:val="000F1CD7"/>
    <w:rsid w:val="000F2242"/>
    <w:rsid w:val="000F2366"/>
    <w:rsid w:val="000F3466"/>
    <w:rsid w:val="000F3B6A"/>
    <w:rsid w:val="000F4D30"/>
    <w:rsid w:val="000F596A"/>
    <w:rsid w:val="000F5A16"/>
    <w:rsid w:val="000F5A18"/>
    <w:rsid w:val="000F5BC3"/>
    <w:rsid w:val="000F6DF0"/>
    <w:rsid w:val="000F7453"/>
    <w:rsid w:val="000F792D"/>
    <w:rsid w:val="000F7A46"/>
    <w:rsid w:val="0010021B"/>
    <w:rsid w:val="001003B6"/>
    <w:rsid w:val="00100566"/>
    <w:rsid w:val="00100C80"/>
    <w:rsid w:val="00100F3A"/>
    <w:rsid w:val="0010126A"/>
    <w:rsid w:val="001014DE"/>
    <w:rsid w:val="00101B15"/>
    <w:rsid w:val="001021F6"/>
    <w:rsid w:val="001024FE"/>
    <w:rsid w:val="00102682"/>
    <w:rsid w:val="00102EEF"/>
    <w:rsid w:val="0010347D"/>
    <w:rsid w:val="00103D76"/>
    <w:rsid w:val="00103E69"/>
    <w:rsid w:val="00104BE1"/>
    <w:rsid w:val="001053D0"/>
    <w:rsid w:val="00105566"/>
    <w:rsid w:val="0010670D"/>
    <w:rsid w:val="00106785"/>
    <w:rsid w:val="00106841"/>
    <w:rsid w:val="00106926"/>
    <w:rsid w:val="00107821"/>
    <w:rsid w:val="00107D43"/>
    <w:rsid w:val="00107F5F"/>
    <w:rsid w:val="001109D2"/>
    <w:rsid w:val="00110AB2"/>
    <w:rsid w:val="00110C91"/>
    <w:rsid w:val="00110E28"/>
    <w:rsid w:val="00111039"/>
    <w:rsid w:val="001110A9"/>
    <w:rsid w:val="00111C02"/>
    <w:rsid w:val="00111C18"/>
    <w:rsid w:val="00111F9E"/>
    <w:rsid w:val="00112C1C"/>
    <w:rsid w:val="00112CC3"/>
    <w:rsid w:val="001138C4"/>
    <w:rsid w:val="0011447B"/>
    <w:rsid w:val="00114937"/>
    <w:rsid w:val="00114D75"/>
    <w:rsid w:val="00114E0C"/>
    <w:rsid w:val="00115494"/>
    <w:rsid w:val="00115657"/>
    <w:rsid w:val="001156C8"/>
    <w:rsid w:val="001162CA"/>
    <w:rsid w:val="00116AB4"/>
    <w:rsid w:val="00116DF4"/>
    <w:rsid w:val="00117487"/>
    <w:rsid w:val="001176FC"/>
    <w:rsid w:val="00117A2C"/>
    <w:rsid w:val="0012031F"/>
    <w:rsid w:val="00120528"/>
    <w:rsid w:val="00120C06"/>
    <w:rsid w:val="001214B3"/>
    <w:rsid w:val="00121501"/>
    <w:rsid w:val="001216CC"/>
    <w:rsid w:val="001217F1"/>
    <w:rsid w:val="00121922"/>
    <w:rsid w:val="00121B64"/>
    <w:rsid w:val="00121B75"/>
    <w:rsid w:val="00121EE9"/>
    <w:rsid w:val="00121FE3"/>
    <w:rsid w:val="001223BA"/>
    <w:rsid w:val="00123C17"/>
    <w:rsid w:val="00123D44"/>
    <w:rsid w:val="00124A04"/>
    <w:rsid w:val="00125397"/>
    <w:rsid w:val="00125410"/>
    <w:rsid w:val="0012608A"/>
    <w:rsid w:val="001261DA"/>
    <w:rsid w:val="00126CD8"/>
    <w:rsid w:val="00127E86"/>
    <w:rsid w:val="001307F9"/>
    <w:rsid w:val="00130BAD"/>
    <w:rsid w:val="001314CE"/>
    <w:rsid w:val="00131A81"/>
    <w:rsid w:val="00131B0B"/>
    <w:rsid w:val="00131B9F"/>
    <w:rsid w:val="00131D7F"/>
    <w:rsid w:val="0013203B"/>
    <w:rsid w:val="00132108"/>
    <w:rsid w:val="00132170"/>
    <w:rsid w:val="001322A0"/>
    <w:rsid w:val="00132548"/>
    <w:rsid w:val="00133322"/>
    <w:rsid w:val="0013393F"/>
    <w:rsid w:val="00134183"/>
    <w:rsid w:val="001342DD"/>
    <w:rsid w:val="001350B6"/>
    <w:rsid w:val="0013578D"/>
    <w:rsid w:val="00135D2E"/>
    <w:rsid w:val="00135DED"/>
    <w:rsid w:val="001368A5"/>
    <w:rsid w:val="00137309"/>
    <w:rsid w:val="00140370"/>
    <w:rsid w:val="00140928"/>
    <w:rsid w:val="00140DF8"/>
    <w:rsid w:val="001413AA"/>
    <w:rsid w:val="00141A06"/>
    <w:rsid w:val="001426D4"/>
    <w:rsid w:val="0014289F"/>
    <w:rsid w:val="001428C8"/>
    <w:rsid w:val="001439D6"/>
    <w:rsid w:val="00144548"/>
    <w:rsid w:val="001450F1"/>
    <w:rsid w:val="00145280"/>
    <w:rsid w:val="001452C2"/>
    <w:rsid w:val="00145A87"/>
    <w:rsid w:val="00145C8E"/>
    <w:rsid w:val="00145C9A"/>
    <w:rsid w:val="001466BA"/>
    <w:rsid w:val="00146C4B"/>
    <w:rsid w:val="001475F2"/>
    <w:rsid w:val="00147B93"/>
    <w:rsid w:val="00147D51"/>
    <w:rsid w:val="00150135"/>
    <w:rsid w:val="00151235"/>
    <w:rsid w:val="00151AF4"/>
    <w:rsid w:val="00152DAC"/>
    <w:rsid w:val="001535C8"/>
    <w:rsid w:val="0015487E"/>
    <w:rsid w:val="00155C38"/>
    <w:rsid w:val="00156533"/>
    <w:rsid w:val="00156C60"/>
    <w:rsid w:val="0016048B"/>
    <w:rsid w:val="00160E2C"/>
    <w:rsid w:val="001614DD"/>
    <w:rsid w:val="00161513"/>
    <w:rsid w:val="00163574"/>
    <w:rsid w:val="00163EF7"/>
    <w:rsid w:val="00164B18"/>
    <w:rsid w:val="00164D1A"/>
    <w:rsid w:val="00165235"/>
    <w:rsid w:val="0016555C"/>
    <w:rsid w:val="00165761"/>
    <w:rsid w:val="00165C9B"/>
    <w:rsid w:val="00165ECD"/>
    <w:rsid w:val="00166E87"/>
    <w:rsid w:val="001678EE"/>
    <w:rsid w:val="001702CE"/>
    <w:rsid w:val="001703A5"/>
    <w:rsid w:val="00170F38"/>
    <w:rsid w:val="00171547"/>
    <w:rsid w:val="00171A59"/>
    <w:rsid w:val="00171A8C"/>
    <w:rsid w:val="00172268"/>
    <w:rsid w:val="0017324C"/>
    <w:rsid w:val="00173C53"/>
    <w:rsid w:val="00173E83"/>
    <w:rsid w:val="00175098"/>
    <w:rsid w:val="00175A2D"/>
    <w:rsid w:val="00176D50"/>
    <w:rsid w:val="001773C6"/>
    <w:rsid w:val="00177632"/>
    <w:rsid w:val="00177B6F"/>
    <w:rsid w:val="0018031A"/>
    <w:rsid w:val="00180787"/>
    <w:rsid w:val="00180C49"/>
    <w:rsid w:val="00181D64"/>
    <w:rsid w:val="00181F06"/>
    <w:rsid w:val="00183887"/>
    <w:rsid w:val="00184011"/>
    <w:rsid w:val="00184245"/>
    <w:rsid w:val="00184377"/>
    <w:rsid w:val="001847A9"/>
    <w:rsid w:val="00184E90"/>
    <w:rsid w:val="001869DB"/>
    <w:rsid w:val="001872F3"/>
    <w:rsid w:val="00187982"/>
    <w:rsid w:val="001904F1"/>
    <w:rsid w:val="001907E9"/>
    <w:rsid w:val="0019152F"/>
    <w:rsid w:val="00191783"/>
    <w:rsid w:val="0019209A"/>
    <w:rsid w:val="001930EB"/>
    <w:rsid w:val="001934D1"/>
    <w:rsid w:val="00193C4F"/>
    <w:rsid w:val="00193F02"/>
    <w:rsid w:val="00194CDD"/>
    <w:rsid w:val="001952F2"/>
    <w:rsid w:val="00195505"/>
    <w:rsid w:val="001955DB"/>
    <w:rsid w:val="001959E5"/>
    <w:rsid w:val="00195ADC"/>
    <w:rsid w:val="00195AE4"/>
    <w:rsid w:val="00195E6E"/>
    <w:rsid w:val="00197C5C"/>
    <w:rsid w:val="001A0444"/>
    <w:rsid w:val="001A0E4C"/>
    <w:rsid w:val="001A1873"/>
    <w:rsid w:val="001A20F6"/>
    <w:rsid w:val="001A2D51"/>
    <w:rsid w:val="001A2E51"/>
    <w:rsid w:val="001A4594"/>
    <w:rsid w:val="001A4E00"/>
    <w:rsid w:val="001A4F28"/>
    <w:rsid w:val="001A606B"/>
    <w:rsid w:val="001A62E9"/>
    <w:rsid w:val="001A62FA"/>
    <w:rsid w:val="001A633A"/>
    <w:rsid w:val="001A69E3"/>
    <w:rsid w:val="001A730D"/>
    <w:rsid w:val="001A750D"/>
    <w:rsid w:val="001A77A2"/>
    <w:rsid w:val="001A78B5"/>
    <w:rsid w:val="001A794E"/>
    <w:rsid w:val="001A7D94"/>
    <w:rsid w:val="001B05F3"/>
    <w:rsid w:val="001B0612"/>
    <w:rsid w:val="001B0A04"/>
    <w:rsid w:val="001B1FC0"/>
    <w:rsid w:val="001B3208"/>
    <w:rsid w:val="001B37FE"/>
    <w:rsid w:val="001B3D68"/>
    <w:rsid w:val="001B3DF7"/>
    <w:rsid w:val="001B476F"/>
    <w:rsid w:val="001B5031"/>
    <w:rsid w:val="001B5088"/>
    <w:rsid w:val="001B50E6"/>
    <w:rsid w:val="001B53B2"/>
    <w:rsid w:val="001B60E5"/>
    <w:rsid w:val="001B75F2"/>
    <w:rsid w:val="001B7C69"/>
    <w:rsid w:val="001C0271"/>
    <w:rsid w:val="001C0C1C"/>
    <w:rsid w:val="001C0D10"/>
    <w:rsid w:val="001C146D"/>
    <w:rsid w:val="001C18BC"/>
    <w:rsid w:val="001C18EB"/>
    <w:rsid w:val="001C1C5B"/>
    <w:rsid w:val="001C2177"/>
    <w:rsid w:val="001C2337"/>
    <w:rsid w:val="001C3EFB"/>
    <w:rsid w:val="001C4ED9"/>
    <w:rsid w:val="001C559A"/>
    <w:rsid w:val="001C5D2F"/>
    <w:rsid w:val="001C6131"/>
    <w:rsid w:val="001C690D"/>
    <w:rsid w:val="001C6A48"/>
    <w:rsid w:val="001C6B73"/>
    <w:rsid w:val="001C7144"/>
    <w:rsid w:val="001D0145"/>
    <w:rsid w:val="001D10E2"/>
    <w:rsid w:val="001D12CD"/>
    <w:rsid w:val="001D132C"/>
    <w:rsid w:val="001D142A"/>
    <w:rsid w:val="001D152A"/>
    <w:rsid w:val="001D178C"/>
    <w:rsid w:val="001D1CF4"/>
    <w:rsid w:val="001D2167"/>
    <w:rsid w:val="001D2900"/>
    <w:rsid w:val="001D2EDB"/>
    <w:rsid w:val="001D328F"/>
    <w:rsid w:val="001D4119"/>
    <w:rsid w:val="001D4667"/>
    <w:rsid w:val="001D4B62"/>
    <w:rsid w:val="001D5624"/>
    <w:rsid w:val="001D5B55"/>
    <w:rsid w:val="001D5CE8"/>
    <w:rsid w:val="001D661D"/>
    <w:rsid w:val="001D7595"/>
    <w:rsid w:val="001E0774"/>
    <w:rsid w:val="001E10C1"/>
    <w:rsid w:val="001E116E"/>
    <w:rsid w:val="001E21DE"/>
    <w:rsid w:val="001E36E2"/>
    <w:rsid w:val="001E39D3"/>
    <w:rsid w:val="001E3EBC"/>
    <w:rsid w:val="001E45BA"/>
    <w:rsid w:val="001E5C4F"/>
    <w:rsid w:val="001E6213"/>
    <w:rsid w:val="001E74EC"/>
    <w:rsid w:val="001F0201"/>
    <w:rsid w:val="001F0D12"/>
    <w:rsid w:val="001F10E8"/>
    <w:rsid w:val="001F1588"/>
    <w:rsid w:val="001F22B3"/>
    <w:rsid w:val="001F37F1"/>
    <w:rsid w:val="001F4616"/>
    <w:rsid w:val="001F4DA4"/>
    <w:rsid w:val="001F58DE"/>
    <w:rsid w:val="001F606B"/>
    <w:rsid w:val="001F663E"/>
    <w:rsid w:val="001F73E2"/>
    <w:rsid w:val="001F7A91"/>
    <w:rsid w:val="001F7FF9"/>
    <w:rsid w:val="00200074"/>
    <w:rsid w:val="002009B7"/>
    <w:rsid w:val="00201711"/>
    <w:rsid w:val="00201997"/>
    <w:rsid w:val="00201FD8"/>
    <w:rsid w:val="002025FC"/>
    <w:rsid w:val="00202B0B"/>
    <w:rsid w:val="00202F58"/>
    <w:rsid w:val="00203046"/>
    <w:rsid w:val="00203A6F"/>
    <w:rsid w:val="0020414E"/>
    <w:rsid w:val="002041E6"/>
    <w:rsid w:val="00204A05"/>
    <w:rsid w:val="00204A96"/>
    <w:rsid w:val="00204FEB"/>
    <w:rsid w:val="00205219"/>
    <w:rsid w:val="00205440"/>
    <w:rsid w:val="00206810"/>
    <w:rsid w:val="00206D80"/>
    <w:rsid w:val="00206E7D"/>
    <w:rsid w:val="002078CF"/>
    <w:rsid w:val="00207EAA"/>
    <w:rsid w:val="0021031D"/>
    <w:rsid w:val="00210829"/>
    <w:rsid w:val="00210A3D"/>
    <w:rsid w:val="00210AB1"/>
    <w:rsid w:val="00211103"/>
    <w:rsid w:val="002114B4"/>
    <w:rsid w:val="00213EDB"/>
    <w:rsid w:val="00213F38"/>
    <w:rsid w:val="0021467F"/>
    <w:rsid w:val="00215085"/>
    <w:rsid w:val="0021559A"/>
    <w:rsid w:val="0021560C"/>
    <w:rsid w:val="00215ECB"/>
    <w:rsid w:val="00215F73"/>
    <w:rsid w:val="00216E9A"/>
    <w:rsid w:val="0021780F"/>
    <w:rsid w:val="00217F3A"/>
    <w:rsid w:val="0022009E"/>
    <w:rsid w:val="00220943"/>
    <w:rsid w:val="00221C3B"/>
    <w:rsid w:val="00224442"/>
    <w:rsid w:val="00224C1A"/>
    <w:rsid w:val="00224E19"/>
    <w:rsid w:val="00225F46"/>
    <w:rsid w:val="002262A9"/>
    <w:rsid w:val="00226340"/>
    <w:rsid w:val="00226E9F"/>
    <w:rsid w:val="002276DE"/>
    <w:rsid w:val="002277C0"/>
    <w:rsid w:val="00227855"/>
    <w:rsid w:val="002278E1"/>
    <w:rsid w:val="00227C7E"/>
    <w:rsid w:val="00230C60"/>
    <w:rsid w:val="00231483"/>
    <w:rsid w:val="002314D2"/>
    <w:rsid w:val="0023315D"/>
    <w:rsid w:val="00233174"/>
    <w:rsid w:val="0023372E"/>
    <w:rsid w:val="00233A8E"/>
    <w:rsid w:val="0023409F"/>
    <w:rsid w:val="00235D60"/>
    <w:rsid w:val="00236C53"/>
    <w:rsid w:val="002372CC"/>
    <w:rsid w:val="00237728"/>
    <w:rsid w:val="002379C6"/>
    <w:rsid w:val="00237E0E"/>
    <w:rsid w:val="0024035B"/>
    <w:rsid w:val="002405FF"/>
    <w:rsid w:val="002406D8"/>
    <w:rsid w:val="0024161E"/>
    <w:rsid w:val="002423DE"/>
    <w:rsid w:val="00242C14"/>
    <w:rsid w:val="00242E44"/>
    <w:rsid w:val="002431E8"/>
    <w:rsid w:val="00245C73"/>
    <w:rsid w:val="00247D65"/>
    <w:rsid w:val="00247FBE"/>
    <w:rsid w:val="002502BD"/>
    <w:rsid w:val="00250EAF"/>
    <w:rsid w:val="00250EF2"/>
    <w:rsid w:val="00251EFC"/>
    <w:rsid w:val="002526C5"/>
    <w:rsid w:val="002530D8"/>
    <w:rsid w:val="00253776"/>
    <w:rsid w:val="00253810"/>
    <w:rsid w:val="00253C0F"/>
    <w:rsid w:val="0025422E"/>
    <w:rsid w:val="00254630"/>
    <w:rsid w:val="00254C3C"/>
    <w:rsid w:val="00255AAE"/>
    <w:rsid w:val="00255DE0"/>
    <w:rsid w:val="002563E1"/>
    <w:rsid w:val="002564F0"/>
    <w:rsid w:val="00256629"/>
    <w:rsid w:val="00257024"/>
    <w:rsid w:val="002571D7"/>
    <w:rsid w:val="002571E4"/>
    <w:rsid w:val="00257A6F"/>
    <w:rsid w:val="00257EBD"/>
    <w:rsid w:val="002601A2"/>
    <w:rsid w:val="002620A7"/>
    <w:rsid w:val="00262824"/>
    <w:rsid w:val="002631CB"/>
    <w:rsid w:val="002632DE"/>
    <w:rsid w:val="002634CF"/>
    <w:rsid w:val="00263BA1"/>
    <w:rsid w:val="00263F0E"/>
    <w:rsid w:val="00264EB1"/>
    <w:rsid w:val="002653D7"/>
    <w:rsid w:val="0026554A"/>
    <w:rsid w:val="00266390"/>
    <w:rsid w:val="002667D3"/>
    <w:rsid w:val="002669C4"/>
    <w:rsid w:val="00266D3A"/>
    <w:rsid w:val="00266E39"/>
    <w:rsid w:val="00267559"/>
    <w:rsid w:val="002677B3"/>
    <w:rsid w:val="002700C8"/>
    <w:rsid w:val="002708DF"/>
    <w:rsid w:val="00270CAC"/>
    <w:rsid w:val="00270CB9"/>
    <w:rsid w:val="00270D76"/>
    <w:rsid w:val="00273775"/>
    <w:rsid w:val="00273820"/>
    <w:rsid w:val="00273A2F"/>
    <w:rsid w:val="0027482F"/>
    <w:rsid w:val="002753EB"/>
    <w:rsid w:val="002754B3"/>
    <w:rsid w:val="00276802"/>
    <w:rsid w:val="00276CB6"/>
    <w:rsid w:val="0027779A"/>
    <w:rsid w:val="00277A7C"/>
    <w:rsid w:val="00277AC0"/>
    <w:rsid w:val="00277C57"/>
    <w:rsid w:val="00277EE8"/>
    <w:rsid w:val="002806CA"/>
    <w:rsid w:val="00281B15"/>
    <w:rsid w:val="0028250F"/>
    <w:rsid w:val="00282580"/>
    <w:rsid w:val="00282F8B"/>
    <w:rsid w:val="00283D25"/>
    <w:rsid w:val="00284258"/>
    <w:rsid w:val="0028468F"/>
    <w:rsid w:val="0028487A"/>
    <w:rsid w:val="00284E13"/>
    <w:rsid w:val="00286FAB"/>
    <w:rsid w:val="00287075"/>
    <w:rsid w:val="00287709"/>
    <w:rsid w:val="0029037E"/>
    <w:rsid w:val="0029079E"/>
    <w:rsid w:val="00290D6E"/>
    <w:rsid w:val="00290ECF"/>
    <w:rsid w:val="002915DF"/>
    <w:rsid w:val="0029192A"/>
    <w:rsid w:val="00292F6F"/>
    <w:rsid w:val="00293159"/>
    <w:rsid w:val="00293CF1"/>
    <w:rsid w:val="00293D47"/>
    <w:rsid w:val="00294268"/>
    <w:rsid w:val="00294798"/>
    <w:rsid w:val="002947BC"/>
    <w:rsid w:val="002952E4"/>
    <w:rsid w:val="00295742"/>
    <w:rsid w:val="002959E1"/>
    <w:rsid w:val="002960B9"/>
    <w:rsid w:val="0029619A"/>
    <w:rsid w:val="00296566"/>
    <w:rsid w:val="00297AD8"/>
    <w:rsid w:val="002A0114"/>
    <w:rsid w:val="002A02A2"/>
    <w:rsid w:val="002A148F"/>
    <w:rsid w:val="002A14DB"/>
    <w:rsid w:val="002A167E"/>
    <w:rsid w:val="002A1E6C"/>
    <w:rsid w:val="002A2B1D"/>
    <w:rsid w:val="002A2F25"/>
    <w:rsid w:val="002A32D3"/>
    <w:rsid w:val="002A3330"/>
    <w:rsid w:val="002A4944"/>
    <w:rsid w:val="002A5C0A"/>
    <w:rsid w:val="002A5CAE"/>
    <w:rsid w:val="002A61A0"/>
    <w:rsid w:val="002A7804"/>
    <w:rsid w:val="002B06EF"/>
    <w:rsid w:val="002B0CC3"/>
    <w:rsid w:val="002B0DEE"/>
    <w:rsid w:val="002B1B66"/>
    <w:rsid w:val="002B1D9D"/>
    <w:rsid w:val="002B2779"/>
    <w:rsid w:val="002B2B09"/>
    <w:rsid w:val="002B2C33"/>
    <w:rsid w:val="002B35CB"/>
    <w:rsid w:val="002B3E1F"/>
    <w:rsid w:val="002B4453"/>
    <w:rsid w:val="002B4BB9"/>
    <w:rsid w:val="002B4FC5"/>
    <w:rsid w:val="002B5A5A"/>
    <w:rsid w:val="002B6461"/>
    <w:rsid w:val="002B65C0"/>
    <w:rsid w:val="002B671D"/>
    <w:rsid w:val="002B6E4E"/>
    <w:rsid w:val="002B714B"/>
    <w:rsid w:val="002B719B"/>
    <w:rsid w:val="002B77CD"/>
    <w:rsid w:val="002B78CC"/>
    <w:rsid w:val="002B7CC2"/>
    <w:rsid w:val="002C12AE"/>
    <w:rsid w:val="002C12EE"/>
    <w:rsid w:val="002C1811"/>
    <w:rsid w:val="002C18DC"/>
    <w:rsid w:val="002C232F"/>
    <w:rsid w:val="002C2DA1"/>
    <w:rsid w:val="002C30A9"/>
    <w:rsid w:val="002C36BF"/>
    <w:rsid w:val="002C377F"/>
    <w:rsid w:val="002C3954"/>
    <w:rsid w:val="002C3E7F"/>
    <w:rsid w:val="002C4A81"/>
    <w:rsid w:val="002C5373"/>
    <w:rsid w:val="002C6481"/>
    <w:rsid w:val="002C65B5"/>
    <w:rsid w:val="002C66A5"/>
    <w:rsid w:val="002C6F61"/>
    <w:rsid w:val="002C7244"/>
    <w:rsid w:val="002C7503"/>
    <w:rsid w:val="002D0AD6"/>
    <w:rsid w:val="002D177B"/>
    <w:rsid w:val="002D2F53"/>
    <w:rsid w:val="002D3EA3"/>
    <w:rsid w:val="002D3F78"/>
    <w:rsid w:val="002D4AC4"/>
    <w:rsid w:val="002D78BA"/>
    <w:rsid w:val="002D7A8C"/>
    <w:rsid w:val="002D7F32"/>
    <w:rsid w:val="002E0960"/>
    <w:rsid w:val="002E0D0E"/>
    <w:rsid w:val="002E0E55"/>
    <w:rsid w:val="002E15DD"/>
    <w:rsid w:val="002E1BBD"/>
    <w:rsid w:val="002E2237"/>
    <w:rsid w:val="002E2843"/>
    <w:rsid w:val="002E4F2E"/>
    <w:rsid w:val="002E5CFA"/>
    <w:rsid w:val="002E6890"/>
    <w:rsid w:val="002F00CF"/>
    <w:rsid w:val="002F01D6"/>
    <w:rsid w:val="002F0428"/>
    <w:rsid w:val="002F04ED"/>
    <w:rsid w:val="002F07D8"/>
    <w:rsid w:val="002F0FA0"/>
    <w:rsid w:val="002F110E"/>
    <w:rsid w:val="002F1BFC"/>
    <w:rsid w:val="002F2921"/>
    <w:rsid w:val="002F31DF"/>
    <w:rsid w:val="002F3A01"/>
    <w:rsid w:val="002F4001"/>
    <w:rsid w:val="002F405A"/>
    <w:rsid w:val="002F4308"/>
    <w:rsid w:val="002F4F52"/>
    <w:rsid w:val="002F5DE4"/>
    <w:rsid w:val="002F683E"/>
    <w:rsid w:val="002F6A6B"/>
    <w:rsid w:val="002F74B3"/>
    <w:rsid w:val="002F7681"/>
    <w:rsid w:val="00301189"/>
    <w:rsid w:val="003022DD"/>
    <w:rsid w:val="00303258"/>
    <w:rsid w:val="0030389B"/>
    <w:rsid w:val="00303C7E"/>
    <w:rsid w:val="00304DF3"/>
    <w:rsid w:val="00304E79"/>
    <w:rsid w:val="0030561C"/>
    <w:rsid w:val="00306F63"/>
    <w:rsid w:val="003101D0"/>
    <w:rsid w:val="00310C72"/>
    <w:rsid w:val="003112FC"/>
    <w:rsid w:val="003113C4"/>
    <w:rsid w:val="00311D0F"/>
    <w:rsid w:val="0031216F"/>
    <w:rsid w:val="00312F3F"/>
    <w:rsid w:val="00313047"/>
    <w:rsid w:val="003145E1"/>
    <w:rsid w:val="003148DE"/>
    <w:rsid w:val="00315365"/>
    <w:rsid w:val="00315BEF"/>
    <w:rsid w:val="00315ED4"/>
    <w:rsid w:val="00316AEE"/>
    <w:rsid w:val="00316B43"/>
    <w:rsid w:val="00316C8E"/>
    <w:rsid w:val="00320807"/>
    <w:rsid w:val="003213A1"/>
    <w:rsid w:val="00321AA8"/>
    <w:rsid w:val="00321BFB"/>
    <w:rsid w:val="00322408"/>
    <w:rsid w:val="00322CE7"/>
    <w:rsid w:val="00322E5C"/>
    <w:rsid w:val="0032309E"/>
    <w:rsid w:val="00324620"/>
    <w:rsid w:val="003246DD"/>
    <w:rsid w:val="003249D7"/>
    <w:rsid w:val="00324F0B"/>
    <w:rsid w:val="00324F39"/>
    <w:rsid w:val="00324FAD"/>
    <w:rsid w:val="00325968"/>
    <w:rsid w:val="0032607D"/>
    <w:rsid w:val="00326933"/>
    <w:rsid w:val="00327526"/>
    <w:rsid w:val="003308DB"/>
    <w:rsid w:val="00331C20"/>
    <w:rsid w:val="00331F7C"/>
    <w:rsid w:val="00331FC2"/>
    <w:rsid w:val="00332E8D"/>
    <w:rsid w:val="0033358F"/>
    <w:rsid w:val="003336AA"/>
    <w:rsid w:val="003339A5"/>
    <w:rsid w:val="00333EA2"/>
    <w:rsid w:val="003358B8"/>
    <w:rsid w:val="0033685A"/>
    <w:rsid w:val="00340093"/>
    <w:rsid w:val="00340A42"/>
    <w:rsid w:val="00340AF1"/>
    <w:rsid w:val="00341202"/>
    <w:rsid w:val="0034133E"/>
    <w:rsid w:val="00341F1C"/>
    <w:rsid w:val="00342249"/>
    <w:rsid w:val="00342253"/>
    <w:rsid w:val="00342661"/>
    <w:rsid w:val="00343C20"/>
    <w:rsid w:val="00343D1D"/>
    <w:rsid w:val="00343EFF"/>
    <w:rsid w:val="0034596D"/>
    <w:rsid w:val="00345B7C"/>
    <w:rsid w:val="00345BD6"/>
    <w:rsid w:val="003462E6"/>
    <w:rsid w:val="00346533"/>
    <w:rsid w:val="003467FC"/>
    <w:rsid w:val="00346868"/>
    <w:rsid w:val="00346FD8"/>
    <w:rsid w:val="00350212"/>
    <w:rsid w:val="00350B48"/>
    <w:rsid w:val="0035191D"/>
    <w:rsid w:val="00352163"/>
    <w:rsid w:val="00352CF9"/>
    <w:rsid w:val="0035399A"/>
    <w:rsid w:val="00353F6B"/>
    <w:rsid w:val="003546A6"/>
    <w:rsid w:val="0035483B"/>
    <w:rsid w:val="00354A8F"/>
    <w:rsid w:val="00354D20"/>
    <w:rsid w:val="003551D4"/>
    <w:rsid w:val="003555B4"/>
    <w:rsid w:val="00355C86"/>
    <w:rsid w:val="003569AB"/>
    <w:rsid w:val="00357318"/>
    <w:rsid w:val="00357955"/>
    <w:rsid w:val="00357BB5"/>
    <w:rsid w:val="00357C02"/>
    <w:rsid w:val="00360711"/>
    <w:rsid w:val="003610F3"/>
    <w:rsid w:val="00361247"/>
    <w:rsid w:val="003612C8"/>
    <w:rsid w:val="00361D14"/>
    <w:rsid w:val="00362653"/>
    <w:rsid w:val="00362BA1"/>
    <w:rsid w:val="0036373B"/>
    <w:rsid w:val="00364559"/>
    <w:rsid w:val="00365079"/>
    <w:rsid w:val="0036579E"/>
    <w:rsid w:val="00365E87"/>
    <w:rsid w:val="00366370"/>
    <w:rsid w:val="003666C0"/>
    <w:rsid w:val="00366B49"/>
    <w:rsid w:val="00366B8A"/>
    <w:rsid w:val="0036749D"/>
    <w:rsid w:val="00367C52"/>
    <w:rsid w:val="00370697"/>
    <w:rsid w:val="00370956"/>
    <w:rsid w:val="00371611"/>
    <w:rsid w:val="00371DE4"/>
    <w:rsid w:val="00371F77"/>
    <w:rsid w:val="003720A6"/>
    <w:rsid w:val="0037229A"/>
    <w:rsid w:val="003726A8"/>
    <w:rsid w:val="00372D97"/>
    <w:rsid w:val="00373B32"/>
    <w:rsid w:val="0037438D"/>
    <w:rsid w:val="00374E80"/>
    <w:rsid w:val="0037566B"/>
    <w:rsid w:val="00376CA4"/>
    <w:rsid w:val="00376CE8"/>
    <w:rsid w:val="003779E4"/>
    <w:rsid w:val="00380039"/>
    <w:rsid w:val="00380408"/>
    <w:rsid w:val="003808F3"/>
    <w:rsid w:val="00380C59"/>
    <w:rsid w:val="003814AA"/>
    <w:rsid w:val="0038156F"/>
    <w:rsid w:val="00381957"/>
    <w:rsid w:val="0038296F"/>
    <w:rsid w:val="00383699"/>
    <w:rsid w:val="003837C6"/>
    <w:rsid w:val="00383C18"/>
    <w:rsid w:val="00383F2F"/>
    <w:rsid w:val="003845D2"/>
    <w:rsid w:val="00384B0C"/>
    <w:rsid w:val="00384DC4"/>
    <w:rsid w:val="00385589"/>
    <w:rsid w:val="0038588A"/>
    <w:rsid w:val="00386578"/>
    <w:rsid w:val="00386E48"/>
    <w:rsid w:val="003871BF"/>
    <w:rsid w:val="00387510"/>
    <w:rsid w:val="003900B0"/>
    <w:rsid w:val="00390952"/>
    <w:rsid w:val="00391441"/>
    <w:rsid w:val="00391F95"/>
    <w:rsid w:val="003928FE"/>
    <w:rsid w:val="00392B24"/>
    <w:rsid w:val="00392C46"/>
    <w:rsid w:val="00394A1E"/>
    <w:rsid w:val="00395A3A"/>
    <w:rsid w:val="00395B93"/>
    <w:rsid w:val="00396943"/>
    <w:rsid w:val="00396F2A"/>
    <w:rsid w:val="00397544"/>
    <w:rsid w:val="00397C10"/>
    <w:rsid w:val="00397FE4"/>
    <w:rsid w:val="003A0DF2"/>
    <w:rsid w:val="003A2EB4"/>
    <w:rsid w:val="003A3B40"/>
    <w:rsid w:val="003A3DE9"/>
    <w:rsid w:val="003A4380"/>
    <w:rsid w:val="003A45E0"/>
    <w:rsid w:val="003A46E3"/>
    <w:rsid w:val="003A4BD4"/>
    <w:rsid w:val="003A587A"/>
    <w:rsid w:val="003A6AB6"/>
    <w:rsid w:val="003A6D2E"/>
    <w:rsid w:val="003A6E13"/>
    <w:rsid w:val="003A76BC"/>
    <w:rsid w:val="003A7BE9"/>
    <w:rsid w:val="003B0272"/>
    <w:rsid w:val="003B0A7E"/>
    <w:rsid w:val="003B0B29"/>
    <w:rsid w:val="003B1A72"/>
    <w:rsid w:val="003B1B7E"/>
    <w:rsid w:val="003B2AED"/>
    <w:rsid w:val="003B3086"/>
    <w:rsid w:val="003B3274"/>
    <w:rsid w:val="003B350D"/>
    <w:rsid w:val="003B3C8D"/>
    <w:rsid w:val="003B3F07"/>
    <w:rsid w:val="003B43C3"/>
    <w:rsid w:val="003B4937"/>
    <w:rsid w:val="003B5331"/>
    <w:rsid w:val="003B5A03"/>
    <w:rsid w:val="003B6290"/>
    <w:rsid w:val="003B6DCB"/>
    <w:rsid w:val="003B749C"/>
    <w:rsid w:val="003B756F"/>
    <w:rsid w:val="003B7F17"/>
    <w:rsid w:val="003C029F"/>
    <w:rsid w:val="003C0371"/>
    <w:rsid w:val="003C16C6"/>
    <w:rsid w:val="003C1DA8"/>
    <w:rsid w:val="003C2267"/>
    <w:rsid w:val="003C3029"/>
    <w:rsid w:val="003C3545"/>
    <w:rsid w:val="003C3B93"/>
    <w:rsid w:val="003C4B64"/>
    <w:rsid w:val="003C507B"/>
    <w:rsid w:val="003C5916"/>
    <w:rsid w:val="003C6493"/>
    <w:rsid w:val="003C6B6B"/>
    <w:rsid w:val="003C74E0"/>
    <w:rsid w:val="003C7ADB"/>
    <w:rsid w:val="003D0E4F"/>
    <w:rsid w:val="003D11C5"/>
    <w:rsid w:val="003D12B5"/>
    <w:rsid w:val="003D1C30"/>
    <w:rsid w:val="003D217A"/>
    <w:rsid w:val="003D2DFC"/>
    <w:rsid w:val="003D2EC9"/>
    <w:rsid w:val="003D32C8"/>
    <w:rsid w:val="003D3988"/>
    <w:rsid w:val="003D3AE7"/>
    <w:rsid w:val="003D42F4"/>
    <w:rsid w:val="003D49E4"/>
    <w:rsid w:val="003D4E95"/>
    <w:rsid w:val="003D50D1"/>
    <w:rsid w:val="003D545C"/>
    <w:rsid w:val="003D5C0D"/>
    <w:rsid w:val="003D6839"/>
    <w:rsid w:val="003D68B0"/>
    <w:rsid w:val="003D69CB"/>
    <w:rsid w:val="003D6C9D"/>
    <w:rsid w:val="003D7C60"/>
    <w:rsid w:val="003E0303"/>
    <w:rsid w:val="003E0353"/>
    <w:rsid w:val="003E066D"/>
    <w:rsid w:val="003E143F"/>
    <w:rsid w:val="003E21EB"/>
    <w:rsid w:val="003E2961"/>
    <w:rsid w:val="003E2CBD"/>
    <w:rsid w:val="003E352B"/>
    <w:rsid w:val="003E4254"/>
    <w:rsid w:val="003E4373"/>
    <w:rsid w:val="003E4A8F"/>
    <w:rsid w:val="003E4C5F"/>
    <w:rsid w:val="003E4CE3"/>
    <w:rsid w:val="003E4E9F"/>
    <w:rsid w:val="003E4F42"/>
    <w:rsid w:val="003E572B"/>
    <w:rsid w:val="003E5F3B"/>
    <w:rsid w:val="003E6070"/>
    <w:rsid w:val="003E619E"/>
    <w:rsid w:val="003E6982"/>
    <w:rsid w:val="003E6FD0"/>
    <w:rsid w:val="003E72ED"/>
    <w:rsid w:val="003F052D"/>
    <w:rsid w:val="003F0DEE"/>
    <w:rsid w:val="003F15BB"/>
    <w:rsid w:val="003F16B8"/>
    <w:rsid w:val="003F17B5"/>
    <w:rsid w:val="003F1892"/>
    <w:rsid w:val="003F1A9C"/>
    <w:rsid w:val="003F1ED6"/>
    <w:rsid w:val="003F2CC5"/>
    <w:rsid w:val="003F2F88"/>
    <w:rsid w:val="003F4165"/>
    <w:rsid w:val="003F4378"/>
    <w:rsid w:val="003F6551"/>
    <w:rsid w:val="003F7480"/>
    <w:rsid w:val="003F75E3"/>
    <w:rsid w:val="003F7B54"/>
    <w:rsid w:val="004001CD"/>
    <w:rsid w:val="00400F2D"/>
    <w:rsid w:val="0040296F"/>
    <w:rsid w:val="00402FC3"/>
    <w:rsid w:val="00403DC7"/>
    <w:rsid w:val="00404E9A"/>
    <w:rsid w:val="00405562"/>
    <w:rsid w:val="00405B61"/>
    <w:rsid w:val="00405DCE"/>
    <w:rsid w:val="0040633D"/>
    <w:rsid w:val="004065DE"/>
    <w:rsid w:val="00406805"/>
    <w:rsid w:val="0040710E"/>
    <w:rsid w:val="0040716D"/>
    <w:rsid w:val="00410149"/>
    <w:rsid w:val="004107F9"/>
    <w:rsid w:val="00410E72"/>
    <w:rsid w:val="004112C3"/>
    <w:rsid w:val="0041425E"/>
    <w:rsid w:val="00414884"/>
    <w:rsid w:val="00415AB5"/>
    <w:rsid w:val="00415C28"/>
    <w:rsid w:val="00417538"/>
    <w:rsid w:val="004177DF"/>
    <w:rsid w:val="00417D35"/>
    <w:rsid w:val="004206A2"/>
    <w:rsid w:val="00420C41"/>
    <w:rsid w:val="0042119A"/>
    <w:rsid w:val="00421925"/>
    <w:rsid w:val="00421C8D"/>
    <w:rsid w:val="00422377"/>
    <w:rsid w:val="00422DBE"/>
    <w:rsid w:val="004234CB"/>
    <w:rsid w:val="00423F53"/>
    <w:rsid w:val="0042574F"/>
    <w:rsid w:val="004258E9"/>
    <w:rsid w:val="00426ADD"/>
    <w:rsid w:val="00426DFE"/>
    <w:rsid w:val="00426E09"/>
    <w:rsid w:val="00426E19"/>
    <w:rsid w:val="0042766C"/>
    <w:rsid w:val="00430C6F"/>
    <w:rsid w:val="00431069"/>
    <w:rsid w:val="0043132A"/>
    <w:rsid w:val="00432185"/>
    <w:rsid w:val="004326FA"/>
    <w:rsid w:val="0043287D"/>
    <w:rsid w:val="004329EA"/>
    <w:rsid w:val="00432ABC"/>
    <w:rsid w:val="00432DC1"/>
    <w:rsid w:val="00433068"/>
    <w:rsid w:val="004344FB"/>
    <w:rsid w:val="00434E12"/>
    <w:rsid w:val="004352F1"/>
    <w:rsid w:val="0043642A"/>
    <w:rsid w:val="0043659F"/>
    <w:rsid w:val="00436A54"/>
    <w:rsid w:val="00437AAD"/>
    <w:rsid w:val="00437C21"/>
    <w:rsid w:val="00440D70"/>
    <w:rsid w:val="00440F4A"/>
    <w:rsid w:val="00441599"/>
    <w:rsid w:val="00441E0D"/>
    <w:rsid w:val="00441F38"/>
    <w:rsid w:val="00442F13"/>
    <w:rsid w:val="00443244"/>
    <w:rsid w:val="00443267"/>
    <w:rsid w:val="004436E9"/>
    <w:rsid w:val="00443B4B"/>
    <w:rsid w:val="0044493B"/>
    <w:rsid w:val="00445603"/>
    <w:rsid w:val="00445EB5"/>
    <w:rsid w:val="004465CD"/>
    <w:rsid w:val="004467D2"/>
    <w:rsid w:val="00447058"/>
    <w:rsid w:val="004470F9"/>
    <w:rsid w:val="00447D74"/>
    <w:rsid w:val="00450541"/>
    <w:rsid w:val="0045078C"/>
    <w:rsid w:val="00450DB5"/>
    <w:rsid w:val="00451007"/>
    <w:rsid w:val="0045154D"/>
    <w:rsid w:val="004517B9"/>
    <w:rsid w:val="00452699"/>
    <w:rsid w:val="00452A50"/>
    <w:rsid w:val="00452DBA"/>
    <w:rsid w:val="00452ED7"/>
    <w:rsid w:val="00454061"/>
    <w:rsid w:val="00454D09"/>
    <w:rsid w:val="0045507F"/>
    <w:rsid w:val="00455B90"/>
    <w:rsid w:val="00456287"/>
    <w:rsid w:val="00456AC6"/>
    <w:rsid w:val="004573ED"/>
    <w:rsid w:val="004579B6"/>
    <w:rsid w:val="00457EEF"/>
    <w:rsid w:val="0046085B"/>
    <w:rsid w:val="00460B77"/>
    <w:rsid w:val="00460FF1"/>
    <w:rsid w:val="004618D4"/>
    <w:rsid w:val="00461ECD"/>
    <w:rsid w:val="00462246"/>
    <w:rsid w:val="00462679"/>
    <w:rsid w:val="00462C57"/>
    <w:rsid w:val="00463247"/>
    <w:rsid w:val="004635DD"/>
    <w:rsid w:val="00464162"/>
    <w:rsid w:val="00464174"/>
    <w:rsid w:val="004645E9"/>
    <w:rsid w:val="0046473F"/>
    <w:rsid w:val="00464AAD"/>
    <w:rsid w:val="00464B06"/>
    <w:rsid w:val="00465479"/>
    <w:rsid w:val="00465C56"/>
    <w:rsid w:val="00465D8B"/>
    <w:rsid w:val="00465F77"/>
    <w:rsid w:val="00467172"/>
    <w:rsid w:val="004673CA"/>
    <w:rsid w:val="00467D0B"/>
    <w:rsid w:val="00467D5A"/>
    <w:rsid w:val="00470228"/>
    <w:rsid w:val="004714D9"/>
    <w:rsid w:val="004717EF"/>
    <w:rsid w:val="00471FFC"/>
    <w:rsid w:val="0047293E"/>
    <w:rsid w:val="004730B1"/>
    <w:rsid w:val="004731B7"/>
    <w:rsid w:val="00473C3C"/>
    <w:rsid w:val="0047402F"/>
    <w:rsid w:val="0047546E"/>
    <w:rsid w:val="004759FC"/>
    <w:rsid w:val="00475AE0"/>
    <w:rsid w:val="00476022"/>
    <w:rsid w:val="004764AA"/>
    <w:rsid w:val="00476601"/>
    <w:rsid w:val="00476741"/>
    <w:rsid w:val="00476936"/>
    <w:rsid w:val="004769FB"/>
    <w:rsid w:val="00477275"/>
    <w:rsid w:val="004804C3"/>
    <w:rsid w:val="0048096A"/>
    <w:rsid w:val="00480F47"/>
    <w:rsid w:val="004812A5"/>
    <w:rsid w:val="00481588"/>
    <w:rsid w:val="004829BE"/>
    <w:rsid w:val="00483C4B"/>
    <w:rsid w:val="004846AB"/>
    <w:rsid w:val="00484DFB"/>
    <w:rsid w:val="004852D8"/>
    <w:rsid w:val="00485BAC"/>
    <w:rsid w:val="00485CD9"/>
    <w:rsid w:val="0048678C"/>
    <w:rsid w:val="004873C2"/>
    <w:rsid w:val="00487C94"/>
    <w:rsid w:val="00487D83"/>
    <w:rsid w:val="00491187"/>
    <w:rsid w:val="00491D66"/>
    <w:rsid w:val="00492DE0"/>
    <w:rsid w:val="00492F3A"/>
    <w:rsid w:val="00493336"/>
    <w:rsid w:val="00493A25"/>
    <w:rsid w:val="00493C10"/>
    <w:rsid w:val="00494CB7"/>
    <w:rsid w:val="00495AD9"/>
    <w:rsid w:val="00495DF8"/>
    <w:rsid w:val="00497625"/>
    <w:rsid w:val="004A056F"/>
    <w:rsid w:val="004A0A13"/>
    <w:rsid w:val="004A0F3F"/>
    <w:rsid w:val="004A14E3"/>
    <w:rsid w:val="004A1DD2"/>
    <w:rsid w:val="004A1DDF"/>
    <w:rsid w:val="004A1E36"/>
    <w:rsid w:val="004A22AF"/>
    <w:rsid w:val="004A38C7"/>
    <w:rsid w:val="004A3B27"/>
    <w:rsid w:val="004A42D5"/>
    <w:rsid w:val="004A44F2"/>
    <w:rsid w:val="004A472F"/>
    <w:rsid w:val="004A48EC"/>
    <w:rsid w:val="004A4CCF"/>
    <w:rsid w:val="004A5BF4"/>
    <w:rsid w:val="004A5C50"/>
    <w:rsid w:val="004A645F"/>
    <w:rsid w:val="004A6A24"/>
    <w:rsid w:val="004B0A1C"/>
    <w:rsid w:val="004B0AEC"/>
    <w:rsid w:val="004B34E7"/>
    <w:rsid w:val="004B39DC"/>
    <w:rsid w:val="004B495D"/>
    <w:rsid w:val="004B498F"/>
    <w:rsid w:val="004B5277"/>
    <w:rsid w:val="004B5398"/>
    <w:rsid w:val="004B54EB"/>
    <w:rsid w:val="004B5564"/>
    <w:rsid w:val="004B58B7"/>
    <w:rsid w:val="004B5B16"/>
    <w:rsid w:val="004B6B2C"/>
    <w:rsid w:val="004B7002"/>
    <w:rsid w:val="004B74A3"/>
    <w:rsid w:val="004C00E3"/>
    <w:rsid w:val="004C0CC3"/>
    <w:rsid w:val="004C195F"/>
    <w:rsid w:val="004C1F65"/>
    <w:rsid w:val="004C26B3"/>
    <w:rsid w:val="004C2C51"/>
    <w:rsid w:val="004C2DA1"/>
    <w:rsid w:val="004C34A5"/>
    <w:rsid w:val="004C371C"/>
    <w:rsid w:val="004C3B38"/>
    <w:rsid w:val="004C44DE"/>
    <w:rsid w:val="004C4B0B"/>
    <w:rsid w:val="004C4ECA"/>
    <w:rsid w:val="004C636B"/>
    <w:rsid w:val="004C6A1B"/>
    <w:rsid w:val="004C70EF"/>
    <w:rsid w:val="004C7425"/>
    <w:rsid w:val="004C748A"/>
    <w:rsid w:val="004C79C2"/>
    <w:rsid w:val="004D2D2A"/>
    <w:rsid w:val="004D2EA6"/>
    <w:rsid w:val="004D38FE"/>
    <w:rsid w:val="004D54FA"/>
    <w:rsid w:val="004D5E64"/>
    <w:rsid w:val="004D634A"/>
    <w:rsid w:val="004D64A3"/>
    <w:rsid w:val="004D6531"/>
    <w:rsid w:val="004D6B7E"/>
    <w:rsid w:val="004E174B"/>
    <w:rsid w:val="004E1F2B"/>
    <w:rsid w:val="004E22E8"/>
    <w:rsid w:val="004E37B1"/>
    <w:rsid w:val="004E3CDA"/>
    <w:rsid w:val="004E4959"/>
    <w:rsid w:val="004E4BA4"/>
    <w:rsid w:val="004E4D92"/>
    <w:rsid w:val="004E5718"/>
    <w:rsid w:val="004E78CE"/>
    <w:rsid w:val="004E7901"/>
    <w:rsid w:val="004E7DDF"/>
    <w:rsid w:val="004E7FA0"/>
    <w:rsid w:val="004F0F31"/>
    <w:rsid w:val="004F11BF"/>
    <w:rsid w:val="004F13B3"/>
    <w:rsid w:val="004F2157"/>
    <w:rsid w:val="004F3804"/>
    <w:rsid w:val="004F3A92"/>
    <w:rsid w:val="004F3C70"/>
    <w:rsid w:val="004F50DC"/>
    <w:rsid w:val="004F5D30"/>
    <w:rsid w:val="004F64DE"/>
    <w:rsid w:val="004F6FB2"/>
    <w:rsid w:val="004F757B"/>
    <w:rsid w:val="004F7A7C"/>
    <w:rsid w:val="004F7F84"/>
    <w:rsid w:val="00500561"/>
    <w:rsid w:val="005009AD"/>
    <w:rsid w:val="00500B44"/>
    <w:rsid w:val="00500CB9"/>
    <w:rsid w:val="005010E0"/>
    <w:rsid w:val="005014B6"/>
    <w:rsid w:val="005020CC"/>
    <w:rsid w:val="0050244A"/>
    <w:rsid w:val="00502532"/>
    <w:rsid w:val="00502728"/>
    <w:rsid w:val="005043B9"/>
    <w:rsid w:val="0050492A"/>
    <w:rsid w:val="00504AB1"/>
    <w:rsid w:val="00504ACF"/>
    <w:rsid w:val="00504BB6"/>
    <w:rsid w:val="00506332"/>
    <w:rsid w:val="00506E22"/>
    <w:rsid w:val="0050759F"/>
    <w:rsid w:val="00510454"/>
    <w:rsid w:val="005110A9"/>
    <w:rsid w:val="00511685"/>
    <w:rsid w:val="00511ACD"/>
    <w:rsid w:val="005122E9"/>
    <w:rsid w:val="0051281B"/>
    <w:rsid w:val="005135A3"/>
    <w:rsid w:val="00513682"/>
    <w:rsid w:val="00514156"/>
    <w:rsid w:val="00515E65"/>
    <w:rsid w:val="00516085"/>
    <w:rsid w:val="005160F9"/>
    <w:rsid w:val="00516304"/>
    <w:rsid w:val="00516995"/>
    <w:rsid w:val="00517009"/>
    <w:rsid w:val="005173C8"/>
    <w:rsid w:val="00520CF0"/>
    <w:rsid w:val="00520D9F"/>
    <w:rsid w:val="00521141"/>
    <w:rsid w:val="00521FF8"/>
    <w:rsid w:val="00522371"/>
    <w:rsid w:val="00523C8D"/>
    <w:rsid w:val="00524156"/>
    <w:rsid w:val="00524417"/>
    <w:rsid w:val="0052448C"/>
    <w:rsid w:val="00525236"/>
    <w:rsid w:val="00526266"/>
    <w:rsid w:val="00526355"/>
    <w:rsid w:val="00527203"/>
    <w:rsid w:val="00527371"/>
    <w:rsid w:val="00527646"/>
    <w:rsid w:val="00527C11"/>
    <w:rsid w:val="00527F44"/>
    <w:rsid w:val="00530523"/>
    <w:rsid w:val="00530930"/>
    <w:rsid w:val="00530BAA"/>
    <w:rsid w:val="00530DAE"/>
    <w:rsid w:val="00531CAD"/>
    <w:rsid w:val="0053236D"/>
    <w:rsid w:val="00532910"/>
    <w:rsid w:val="00532BC8"/>
    <w:rsid w:val="00532FED"/>
    <w:rsid w:val="005330FA"/>
    <w:rsid w:val="00533AC7"/>
    <w:rsid w:val="00533F67"/>
    <w:rsid w:val="005345F2"/>
    <w:rsid w:val="00535233"/>
    <w:rsid w:val="00535CA5"/>
    <w:rsid w:val="005363F0"/>
    <w:rsid w:val="005366C9"/>
    <w:rsid w:val="0053709C"/>
    <w:rsid w:val="00537175"/>
    <w:rsid w:val="00540827"/>
    <w:rsid w:val="005409A7"/>
    <w:rsid w:val="00540E60"/>
    <w:rsid w:val="0054109D"/>
    <w:rsid w:val="00541552"/>
    <w:rsid w:val="0054198B"/>
    <w:rsid w:val="00542863"/>
    <w:rsid w:val="00543388"/>
    <w:rsid w:val="005434DB"/>
    <w:rsid w:val="005439CA"/>
    <w:rsid w:val="00543B6A"/>
    <w:rsid w:val="00543C79"/>
    <w:rsid w:val="0054421D"/>
    <w:rsid w:val="005447BF"/>
    <w:rsid w:val="0054530F"/>
    <w:rsid w:val="00545514"/>
    <w:rsid w:val="00545925"/>
    <w:rsid w:val="00546691"/>
    <w:rsid w:val="005468CB"/>
    <w:rsid w:val="00546B12"/>
    <w:rsid w:val="00546C34"/>
    <w:rsid w:val="00546F73"/>
    <w:rsid w:val="0054706B"/>
    <w:rsid w:val="005472D9"/>
    <w:rsid w:val="00547A7A"/>
    <w:rsid w:val="00547D87"/>
    <w:rsid w:val="005502DB"/>
    <w:rsid w:val="00550591"/>
    <w:rsid w:val="005508E7"/>
    <w:rsid w:val="00550A0D"/>
    <w:rsid w:val="00552195"/>
    <w:rsid w:val="005522AD"/>
    <w:rsid w:val="00552A10"/>
    <w:rsid w:val="00554091"/>
    <w:rsid w:val="005543D0"/>
    <w:rsid w:val="0055511B"/>
    <w:rsid w:val="0055574E"/>
    <w:rsid w:val="00556072"/>
    <w:rsid w:val="005560E9"/>
    <w:rsid w:val="00556313"/>
    <w:rsid w:val="00556F4C"/>
    <w:rsid w:val="00557305"/>
    <w:rsid w:val="005574B2"/>
    <w:rsid w:val="00557BF5"/>
    <w:rsid w:val="00557F1C"/>
    <w:rsid w:val="005606BE"/>
    <w:rsid w:val="00560BB2"/>
    <w:rsid w:val="00560F79"/>
    <w:rsid w:val="00561243"/>
    <w:rsid w:val="005616B0"/>
    <w:rsid w:val="00561A36"/>
    <w:rsid w:val="00562119"/>
    <w:rsid w:val="005621EF"/>
    <w:rsid w:val="00562A4B"/>
    <w:rsid w:val="00562E48"/>
    <w:rsid w:val="005634AC"/>
    <w:rsid w:val="005638D2"/>
    <w:rsid w:val="00563D55"/>
    <w:rsid w:val="005645A8"/>
    <w:rsid w:val="00564E0B"/>
    <w:rsid w:val="00565A92"/>
    <w:rsid w:val="00565F33"/>
    <w:rsid w:val="005662C4"/>
    <w:rsid w:val="00566E39"/>
    <w:rsid w:val="005673E7"/>
    <w:rsid w:val="00567778"/>
    <w:rsid w:val="00567DA6"/>
    <w:rsid w:val="00567E0F"/>
    <w:rsid w:val="00570BBC"/>
    <w:rsid w:val="00570CA0"/>
    <w:rsid w:val="00571BC5"/>
    <w:rsid w:val="00571F3F"/>
    <w:rsid w:val="0057321D"/>
    <w:rsid w:val="00573CF0"/>
    <w:rsid w:val="0057415F"/>
    <w:rsid w:val="00575005"/>
    <w:rsid w:val="005752A7"/>
    <w:rsid w:val="00575842"/>
    <w:rsid w:val="00577FD7"/>
    <w:rsid w:val="0058056A"/>
    <w:rsid w:val="00580A23"/>
    <w:rsid w:val="00580F85"/>
    <w:rsid w:val="00581268"/>
    <w:rsid w:val="00582D54"/>
    <w:rsid w:val="005831AD"/>
    <w:rsid w:val="00583CBE"/>
    <w:rsid w:val="005841F9"/>
    <w:rsid w:val="0058505E"/>
    <w:rsid w:val="00585081"/>
    <w:rsid w:val="0058559B"/>
    <w:rsid w:val="00585B7D"/>
    <w:rsid w:val="0058601B"/>
    <w:rsid w:val="00586726"/>
    <w:rsid w:val="00586828"/>
    <w:rsid w:val="00587065"/>
    <w:rsid w:val="005879A6"/>
    <w:rsid w:val="0059047C"/>
    <w:rsid w:val="005906B2"/>
    <w:rsid w:val="005907AD"/>
    <w:rsid w:val="00590974"/>
    <w:rsid w:val="00590BC3"/>
    <w:rsid w:val="00590BE5"/>
    <w:rsid w:val="005914E9"/>
    <w:rsid w:val="005924D6"/>
    <w:rsid w:val="00592A46"/>
    <w:rsid w:val="00592A66"/>
    <w:rsid w:val="005937F3"/>
    <w:rsid w:val="00593F3A"/>
    <w:rsid w:val="00594219"/>
    <w:rsid w:val="00594352"/>
    <w:rsid w:val="0059484B"/>
    <w:rsid w:val="0059554F"/>
    <w:rsid w:val="0059690E"/>
    <w:rsid w:val="00596A69"/>
    <w:rsid w:val="00596CCC"/>
    <w:rsid w:val="00596E20"/>
    <w:rsid w:val="00596E9C"/>
    <w:rsid w:val="00596EB9"/>
    <w:rsid w:val="0059701B"/>
    <w:rsid w:val="00597BA0"/>
    <w:rsid w:val="005A04A8"/>
    <w:rsid w:val="005A0952"/>
    <w:rsid w:val="005A0D40"/>
    <w:rsid w:val="005A12A2"/>
    <w:rsid w:val="005A1FA0"/>
    <w:rsid w:val="005A2133"/>
    <w:rsid w:val="005A2C52"/>
    <w:rsid w:val="005A3105"/>
    <w:rsid w:val="005A3277"/>
    <w:rsid w:val="005A3469"/>
    <w:rsid w:val="005A37AB"/>
    <w:rsid w:val="005A3E7B"/>
    <w:rsid w:val="005A4457"/>
    <w:rsid w:val="005A4836"/>
    <w:rsid w:val="005A5520"/>
    <w:rsid w:val="005A68CC"/>
    <w:rsid w:val="005A720D"/>
    <w:rsid w:val="005A7C61"/>
    <w:rsid w:val="005B0045"/>
    <w:rsid w:val="005B10E8"/>
    <w:rsid w:val="005B11A3"/>
    <w:rsid w:val="005B1BF7"/>
    <w:rsid w:val="005B29F7"/>
    <w:rsid w:val="005B2EC0"/>
    <w:rsid w:val="005B3261"/>
    <w:rsid w:val="005B3E4B"/>
    <w:rsid w:val="005B422A"/>
    <w:rsid w:val="005B4751"/>
    <w:rsid w:val="005B52F8"/>
    <w:rsid w:val="005B5A39"/>
    <w:rsid w:val="005B5C95"/>
    <w:rsid w:val="005B6D2A"/>
    <w:rsid w:val="005B7B90"/>
    <w:rsid w:val="005C0929"/>
    <w:rsid w:val="005C0BAC"/>
    <w:rsid w:val="005C13BC"/>
    <w:rsid w:val="005C202D"/>
    <w:rsid w:val="005C2EAC"/>
    <w:rsid w:val="005C3032"/>
    <w:rsid w:val="005C3845"/>
    <w:rsid w:val="005C3E9C"/>
    <w:rsid w:val="005C4946"/>
    <w:rsid w:val="005C52BB"/>
    <w:rsid w:val="005C535C"/>
    <w:rsid w:val="005C5A83"/>
    <w:rsid w:val="005C5B88"/>
    <w:rsid w:val="005C6B0B"/>
    <w:rsid w:val="005C6CC1"/>
    <w:rsid w:val="005C76AC"/>
    <w:rsid w:val="005C7BC1"/>
    <w:rsid w:val="005D03C3"/>
    <w:rsid w:val="005D0B6D"/>
    <w:rsid w:val="005D2596"/>
    <w:rsid w:val="005D279F"/>
    <w:rsid w:val="005D28F2"/>
    <w:rsid w:val="005D3E2D"/>
    <w:rsid w:val="005D463B"/>
    <w:rsid w:val="005D5DC8"/>
    <w:rsid w:val="005D61A8"/>
    <w:rsid w:val="005D78FA"/>
    <w:rsid w:val="005D7B85"/>
    <w:rsid w:val="005D7B9C"/>
    <w:rsid w:val="005E0545"/>
    <w:rsid w:val="005E12AC"/>
    <w:rsid w:val="005E1B7B"/>
    <w:rsid w:val="005E2206"/>
    <w:rsid w:val="005E26A8"/>
    <w:rsid w:val="005E2A1A"/>
    <w:rsid w:val="005E30ED"/>
    <w:rsid w:val="005E346B"/>
    <w:rsid w:val="005E35C7"/>
    <w:rsid w:val="005E4183"/>
    <w:rsid w:val="005E47DE"/>
    <w:rsid w:val="005E48D8"/>
    <w:rsid w:val="005E4A22"/>
    <w:rsid w:val="005E5DF4"/>
    <w:rsid w:val="005E627B"/>
    <w:rsid w:val="005E6D57"/>
    <w:rsid w:val="005E6DCB"/>
    <w:rsid w:val="005E7602"/>
    <w:rsid w:val="005E7E48"/>
    <w:rsid w:val="005F17E7"/>
    <w:rsid w:val="005F1B44"/>
    <w:rsid w:val="005F2837"/>
    <w:rsid w:val="005F31F0"/>
    <w:rsid w:val="005F3CC4"/>
    <w:rsid w:val="005F62CB"/>
    <w:rsid w:val="005F6624"/>
    <w:rsid w:val="005F66FA"/>
    <w:rsid w:val="005F6C4D"/>
    <w:rsid w:val="005F6F64"/>
    <w:rsid w:val="006009B5"/>
    <w:rsid w:val="00600CB1"/>
    <w:rsid w:val="00600DE0"/>
    <w:rsid w:val="00601556"/>
    <w:rsid w:val="006017CF"/>
    <w:rsid w:val="00601997"/>
    <w:rsid w:val="00601DE5"/>
    <w:rsid w:val="00601EA5"/>
    <w:rsid w:val="006031BC"/>
    <w:rsid w:val="00603FDF"/>
    <w:rsid w:val="006048F0"/>
    <w:rsid w:val="006051E0"/>
    <w:rsid w:val="006058A8"/>
    <w:rsid w:val="006060D1"/>
    <w:rsid w:val="00606315"/>
    <w:rsid w:val="00606E03"/>
    <w:rsid w:val="00606F47"/>
    <w:rsid w:val="0060734E"/>
    <w:rsid w:val="00607352"/>
    <w:rsid w:val="00607AA7"/>
    <w:rsid w:val="0061036B"/>
    <w:rsid w:val="006103E1"/>
    <w:rsid w:val="00610DB3"/>
    <w:rsid w:val="0061121E"/>
    <w:rsid w:val="00611428"/>
    <w:rsid w:val="006119B3"/>
    <w:rsid w:val="0061275B"/>
    <w:rsid w:val="0061300B"/>
    <w:rsid w:val="00613CB2"/>
    <w:rsid w:val="00614652"/>
    <w:rsid w:val="00614F11"/>
    <w:rsid w:val="006154F0"/>
    <w:rsid w:val="006156A3"/>
    <w:rsid w:val="00615FF2"/>
    <w:rsid w:val="00620412"/>
    <w:rsid w:val="00621250"/>
    <w:rsid w:val="00621A3A"/>
    <w:rsid w:val="00621AF9"/>
    <w:rsid w:val="00622F25"/>
    <w:rsid w:val="0062397A"/>
    <w:rsid w:val="006240F7"/>
    <w:rsid w:val="006249EA"/>
    <w:rsid w:val="00625BB1"/>
    <w:rsid w:val="00626950"/>
    <w:rsid w:val="00626971"/>
    <w:rsid w:val="00626E7F"/>
    <w:rsid w:val="00627F6A"/>
    <w:rsid w:val="006307C9"/>
    <w:rsid w:val="00630C3A"/>
    <w:rsid w:val="00630C69"/>
    <w:rsid w:val="006311B7"/>
    <w:rsid w:val="0063144E"/>
    <w:rsid w:val="006315A3"/>
    <w:rsid w:val="00632E4D"/>
    <w:rsid w:val="00633EA7"/>
    <w:rsid w:val="00633F9C"/>
    <w:rsid w:val="00634543"/>
    <w:rsid w:val="00634686"/>
    <w:rsid w:val="00634D47"/>
    <w:rsid w:val="00635AF0"/>
    <w:rsid w:val="00637FBD"/>
    <w:rsid w:val="0064016D"/>
    <w:rsid w:val="0064053B"/>
    <w:rsid w:val="00640B08"/>
    <w:rsid w:val="00640EB1"/>
    <w:rsid w:val="00641350"/>
    <w:rsid w:val="00641891"/>
    <w:rsid w:val="00641E85"/>
    <w:rsid w:val="00642231"/>
    <w:rsid w:val="00642395"/>
    <w:rsid w:val="00642981"/>
    <w:rsid w:val="00642BF5"/>
    <w:rsid w:val="00643451"/>
    <w:rsid w:val="00643C94"/>
    <w:rsid w:val="00644735"/>
    <w:rsid w:val="00644B8D"/>
    <w:rsid w:val="00644BCF"/>
    <w:rsid w:val="00645243"/>
    <w:rsid w:val="006459C5"/>
    <w:rsid w:val="00646C99"/>
    <w:rsid w:val="00647156"/>
    <w:rsid w:val="00647A50"/>
    <w:rsid w:val="00647EC3"/>
    <w:rsid w:val="00651C30"/>
    <w:rsid w:val="00653220"/>
    <w:rsid w:val="0065550D"/>
    <w:rsid w:val="00655560"/>
    <w:rsid w:val="00655FE1"/>
    <w:rsid w:val="00656408"/>
    <w:rsid w:val="006575A3"/>
    <w:rsid w:val="0066065F"/>
    <w:rsid w:val="00660F6A"/>
    <w:rsid w:val="006615EC"/>
    <w:rsid w:val="00661665"/>
    <w:rsid w:val="006622F0"/>
    <w:rsid w:val="006627B7"/>
    <w:rsid w:val="00663048"/>
    <w:rsid w:val="00663191"/>
    <w:rsid w:val="00663580"/>
    <w:rsid w:val="0066373E"/>
    <w:rsid w:val="00663805"/>
    <w:rsid w:val="00663BCF"/>
    <w:rsid w:val="006641C0"/>
    <w:rsid w:val="006663E4"/>
    <w:rsid w:val="00666405"/>
    <w:rsid w:val="006679B1"/>
    <w:rsid w:val="00667B47"/>
    <w:rsid w:val="00670DE4"/>
    <w:rsid w:val="00670DEB"/>
    <w:rsid w:val="006712C2"/>
    <w:rsid w:val="00672605"/>
    <w:rsid w:val="00672C7E"/>
    <w:rsid w:val="0067357C"/>
    <w:rsid w:val="00673B12"/>
    <w:rsid w:val="00673BCE"/>
    <w:rsid w:val="006741F2"/>
    <w:rsid w:val="006743FF"/>
    <w:rsid w:val="00674D32"/>
    <w:rsid w:val="00675306"/>
    <w:rsid w:val="0067532F"/>
    <w:rsid w:val="00675895"/>
    <w:rsid w:val="00675A9B"/>
    <w:rsid w:val="00675B01"/>
    <w:rsid w:val="006764EC"/>
    <w:rsid w:val="00676782"/>
    <w:rsid w:val="00676F86"/>
    <w:rsid w:val="0067700B"/>
    <w:rsid w:val="0068037B"/>
    <w:rsid w:val="00681234"/>
    <w:rsid w:val="006816E5"/>
    <w:rsid w:val="00681A72"/>
    <w:rsid w:val="00682013"/>
    <w:rsid w:val="006820C9"/>
    <w:rsid w:val="006825B9"/>
    <w:rsid w:val="00682DAB"/>
    <w:rsid w:val="00683819"/>
    <w:rsid w:val="00684529"/>
    <w:rsid w:val="00684C5C"/>
    <w:rsid w:val="00685263"/>
    <w:rsid w:val="00685643"/>
    <w:rsid w:val="00685EE3"/>
    <w:rsid w:val="006862EA"/>
    <w:rsid w:val="00687793"/>
    <w:rsid w:val="00687EA1"/>
    <w:rsid w:val="006905C4"/>
    <w:rsid w:val="00690DAA"/>
    <w:rsid w:val="0069149B"/>
    <w:rsid w:val="00692132"/>
    <w:rsid w:val="006926F9"/>
    <w:rsid w:val="006928CA"/>
    <w:rsid w:val="00693AA0"/>
    <w:rsid w:val="00694E2D"/>
    <w:rsid w:val="00694F12"/>
    <w:rsid w:val="00695201"/>
    <w:rsid w:val="00695381"/>
    <w:rsid w:val="006969FF"/>
    <w:rsid w:val="00696E1E"/>
    <w:rsid w:val="0069734A"/>
    <w:rsid w:val="0069784F"/>
    <w:rsid w:val="006A0355"/>
    <w:rsid w:val="006A138C"/>
    <w:rsid w:val="006A1C8D"/>
    <w:rsid w:val="006A25CB"/>
    <w:rsid w:val="006A32D4"/>
    <w:rsid w:val="006A4C68"/>
    <w:rsid w:val="006A4C87"/>
    <w:rsid w:val="006A5A9B"/>
    <w:rsid w:val="006A5B25"/>
    <w:rsid w:val="006A602C"/>
    <w:rsid w:val="006A686A"/>
    <w:rsid w:val="006A6EA9"/>
    <w:rsid w:val="006A70D7"/>
    <w:rsid w:val="006B00A5"/>
    <w:rsid w:val="006B0B6B"/>
    <w:rsid w:val="006B0C4B"/>
    <w:rsid w:val="006B2318"/>
    <w:rsid w:val="006B252B"/>
    <w:rsid w:val="006B3E8F"/>
    <w:rsid w:val="006B437A"/>
    <w:rsid w:val="006B57F1"/>
    <w:rsid w:val="006B591C"/>
    <w:rsid w:val="006B5D43"/>
    <w:rsid w:val="006B627B"/>
    <w:rsid w:val="006B6641"/>
    <w:rsid w:val="006B6A1A"/>
    <w:rsid w:val="006B7238"/>
    <w:rsid w:val="006B7748"/>
    <w:rsid w:val="006B7FDC"/>
    <w:rsid w:val="006C081F"/>
    <w:rsid w:val="006C0DFA"/>
    <w:rsid w:val="006C103F"/>
    <w:rsid w:val="006C16B0"/>
    <w:rsid w:val="006C1D64"/>
    <w:rsid w:val="006C2000"/>
    <w:rsid w:val="006C2334"/>
    <w:rsid w:val="006C2579"/>
    <w:rsid w:val="006C2EC1"/>
    <w:rsid w:val="006C2FD0"/>
    <w:rsid w:val="006C3494"/>
    <w:rsid w:val="006C3982"/>
    <w:rsid w:val="006C3A1C"/>
    <w:rsid w:val="006C3F32"/>
    <w:rsid w:val="006C4110"/>
    <w:rsid w:val="006C4465"/>
    <w:rsid w:val="006C44CD"/>
    <w:rsid w:val="006C4929"/>
    <w:rsid w:val="006C58CC"/>
    <w:rsid w:val="006C6D6A"/>
    <w:rsid w:val="006C70A8"/>
    <w:rsid w:val="006C70AC"/>
    <w:rsid w:val="006C76FB"/>
    <w:rsid w:val="006D04AF"/>
    <w:rsid w:val="006D0F51"/>
    <w:rsid w:val="006D1382"/>
    <w:rsid w:val="006D13EC"/>
    <w:rsid w:val="006D1A81"/>
    <w:rsid w:val="006D2E82"/>
    <w:rsid w:val="006D38FA"/>
    <w:rsid w:val="006D39DE"/>
    <w:rsid w:val="006D39E0"/>
    <w:rsid w:val="006D4BAB"/>
    <w:rsid w:val="006D516E"/>
    <w:rsid w:val="006D540E"/>
    <w:rsid w:val="006D585E"/>
    <w:rsid w:val="006D5CBF"/>
    <w:rsid w:val="006D62E4"/>
    <w:rsid w:val="006D63AD"/>
    <w:rsid w:val="006D75C4"/>
    <w:rsid w:val="006E0196"/>
    <w:rsid w:val="006E024D"/>
    <w:rsid w:val="006E1A15"/>
    <w:rsid w:val="006E25FD"/>
    <w:rsid w:val="006E2A12"/>
    <w:rsid w:val="006E3E24"/>
    <w:rsid w:val="006E51CF"/>
    <w:rsid w:val="006E60DB"/>
    <w:rsid w:val="006E67BC"/>
    <w:rsid w:val="006E6CAB"/>
    <w:rsid w:val="006E710A"/>
    <w:rsid w:val="006E7B87"/>
    <w:rsid w:val="006F1D0B"/>
    <w:rsid w:val="006F1E9B"/>
    <w:rsid w:val="006F22D6"/>
    <w:rsid w:val="006F28DA"/>
    <w:rsid w:val="006F54B8"/>
    <w:rsid w:val="006F54D7"/>
    <w:rsid w:val="006F54EF"/>
    <w:rsid w:val="006F5B06"/>
    <w:rsid w:val="006F63E2"/>
    <w:rsid w:val="006F681E"/>
    <w:rsid w:val="006F69BE"/>
    <w:rsid w:val="006F6AFF"/>
    <w:rsid w:val="006F7B84"/>
    <w:rsid w:val="006F7FDF"/>
    <w:rsid w:val="0070131A"/>
    <w:rsid w:val="007015E3"/>
    <w:rsid w:val="007015F1"/>
    <w:rsid w:val="00701970"/>
    <w:rsid w:val="00701AAE"/>
    <w:rsid w:val="00701F80"/>
    <w:rsid w:val="0070207A"/>
    <w:rsid w:val="0070250B"/>
    <w:rsid w:val="00702670"/>
    <w:rsid w:val="00702C75"/>
    <w:rsid w:val="00702F87"/>
    <w:rsid w:val="0070347C"/>
    <w:rsid w:val="00703EC1"/>
    <w:rsid w:val="007040A9"/>
    <w:rsid w:val="00705063"/>
    <w:rsid w:val="00705B48"/>
    <w:rsid w:val="00706719"/>
    <w:rsid w:val="00706B4C"/>
    <w:rsid w:val="00706CBF"/>
    <w:rsid w:val="00706D03"/>
    <w:rsid w:val="0070724D"/>
    <w:rsid w:val="00707416"/>
    <w:rsid w:val="00707582"/>
    <w:rsid w:val="007077A4"/>
    <w:rsid w:val="00707AA5"/>
    <w:rsid w:val="0071062C"/>
    <w:rsid w:val="00710DEC"/>
    <w:rsid w:val="00711790"/>
    <w:rsid w:val="007119E6"/>
    <w:rsid w:val="00711D7E"/>
    <w:rsid w:val="0071233F"/>
    <w:rsid w:val="00712B14"/>
    <w:rsid w:val="00712F5B"/>
    <w:rsid w:val="0071365C"/>
    <w:rsid w:val="007139BD"/>
    <w:rsid w:val="00713C5B"/>
    <w:rsid w:val="007141C6"/>
    <w:rsid w:val="007151D4"/>
    <w:rsid w:val="007154A1"/>
    <w:rsid w:val="007200A6"/>
    <w:rsid w:val="007210EF"/>
    <w:rsid w:val="007213DC"/>
    <w:rsid w:val="00721566"/>
    <w:rsid w:val="00721A85"/>
    <w:rsid w:val="00721B71"/>
    <w:rsid w:val="00721F8E"/>
    <w:rsid w:val="00722913"/>
    <w:rsid w:val="0072366A"/>
    <w:rsid w:val="00723992"/>
    <w:rsid w:val="00723BD1"/>
    <w:rsid w:val="00723CB4"/>
    <w:rsid w:val="007246E0"/>
    <w:rsid w:val="007248E8"/>
    <w:rsid w:val="00724F6E"/>
    <w:rsid w:val="0072562C"/>
    <w:rsid w:val="00725B2F"/>
    <w:rsid w:val="007260DA"/>
    <w:rsid w:val="007269ED"/>
    <w:rsid w:val="00726B98"/>
    <w:rsid w:val="00726E71"/>
    <w:rsid w:val="00727A36"/>
    <w:rsid w:val="00730DBB"/>
    <w:rsid w:val="00731376"/>
    <w:rsid w:val="007313E2"/>
    <w:rsid w:val="0073164F"/>
    <w:rsid w:val="007317BF"/>
    <w:rsid w:val="007318D7"/>
    <w:rsid w:val="0073239B"/>
    <w:rsid w:val="00732AE0"/>
    <w:rsid w:val="00732E74"/>
    <w:rsid w:val="007343A2"/>
    <w:rsid w:val="007348C9"/>
    <w:rsid w:val="00734C58"/>
    <w:rsid w:val="00735289"/>
    <w:rsid w:val="0073571B"/>
    <w:rsid w:val="00735B16"/>
    <w:rsid w:val="00735D3F"/>
    <w:rsid w:val="0073600B"/>
    <w:rsid w:val="00736213"/>
    <w:rsid w:val="00736649"/>
    <w:rsid w:val="007368F4"/>
    <w:rsid w:val="00736AC2"/>
    <w:rsid w:val="00737836"/>
    <w:rsid w:val="00740D31"/>
    <w:rsid w:val="0074202F"/>
    <w:rsid w:val="007432CB"/>
    <w:rsid w:val="00745206"/>
    <w:rsid w:val="007452B7"/>
    <w:rsid w:val="007458BB"/>
    <w:rsid w:val="00745901"/>
    <w:rsid w:val="00745AFC"/>
    <w:rsid w:val="00746997"/>
    <w:rsid w:val="007469B1"/>
    <w:rsid w:val="00747E14"/>
    <w:rsid w:val="00747EE9"/>
    <w:rsid w:val="007510E6"/>
    <w:rsid w:val="00752377"/>
    <w:rsid w:val="00752692"/>
    <w:rsid w:val="00752745"/>
    <w:rsid w:val="00752807"/>
    <w:rsid w:val="00752EA9"/>
    <w:rsid w:val="0075357D"/>
    <w:rsid w:val="00753C4B"/>
    <w:rsid w:val="00755BEC"/>
    <w:rsid w:val="007564CA"/>
    <w:rsid w:val="007564FE"/>
    <w:rsid w:val="00756961"/>
    <w:rsid w:val="00756E8B"/>
    <w:rsid w:val="00757815"/>
    <w:rsid w:val="007610A7"/>
    <w:rsid w:val="00761FF8"/>
    <w:rsid w:val="007630D3"/>
    <w:rsid w:val="0076348A"/>
    <w:rsid w:val="00763D79"/>
    <w:rsid w:val="00764815"/>
    <w:rsid w:val="00764989"/>
    <w:rsid w:val="007650C4"/>
    <w:rsid w:val="00765DAC"/>
    <w:rsid w:val="00766219"/>
    <w:rsid w:val="007665FE"/>
    <w:rsid w:val="00766791"/>
    <w:rsid w:val="007667BA"/>
    <w:rsid w:val="00766FBB"/>
    <w:rsid w:val="007679B5"/>
    <w:rsid w:val="00767E3A"/>
    <w:rsid w:val="00767F52"/>
    <w:rsid w:val="00770B5A"/>
    <w:rsid w:val="007717E7"/>
    <w:rsid w:val="00771980"/>
    <w:rsid w:val="00771D82"/>
    <w:rsid w:val="00772179"/>
    <w:rsid w:val="00772536"/>
    <w:rsid w:val="00772D36"/>
    <w:rsid w:val="007731B9"/>
    <w:rsid w:val="00773241"/>
    <w:rsid w:val="007739B7"/>
    <w:rsid w:val="00774964"/>
    <w:rsid w:val="00774B3E"/>
    <w:rsid w:val="007752F2"/>
    <w:rsid w:val="00775959"/>
    <w:rsid w:val="00776411"/>
    <w:rsid w:val="0077663E"/>
    <w:rsid w:val="007775EA"/>
    <w:rsid w:val="00777C83"/>
    <w:rsid w:val="00781374"/>
    <w:rsid w:val="007814E2"/>
    <w:rsid w:val="00781C0B"/>
    <w:rsid w:val="00781DA0"/>
    <w:rsid w:val="00781E04"/>
    <w:rsid w:val="0078264D"/>
    <w:rsid w:val="00782DA2"/>
    <w:rsid w:val="00783421"/>
    <w:rsid w:val="00783698"/>
    <w:rsid w:val="00783EE4"/>
    <w:rsid w:val="007842CA"/>
    <w:rsid w:val="00784646"/>
    <w:rsid w:val="0078522C"/>
    <w:rsid w:val="00785558"/>
    <w:rsid w:val="00785ACD"/>
    <w:rsid w:val="0078650C"/>
    <w:rsid w:val="00786580"/>
    <w:rsid w:val="00787344"/>
    <w:rsid w:val="00787498"/>
    <w:rsid w:val="00787970"/>
    <w:rsid w:val="0079026B"/>
    <w:rsid w:val="00790480"/>
    <w:rsid w:val="00790AE5"/>
    <w:rsid w:val="00791343"/>
    <w:rsid w:val="00791558"/>
    <w:rsid w:val="0079277B"/>
    <w:rsid w:val="00792EED"/>
    <w:rsid w:val="00793353"/>
    <w:rsid w:val="007934A2"/>
    <w:rsid w:val="00793A0D"/>
    <w:rsid w:val="00793D62"/>
    <w:rsid w:val="0079417E"/>
    <w:rsid w:val="007942D6"/>
    <w:rsid w:val="00794A02"/>
    <w:rsid w:val="0079561C"/>
    <w:rsid w:val="007959DD"/>
    <w:rsid w:val="00795E59"/>
    <w:rsid w:val="00796E97"/>
    <w:rsid w:val="00797924"/>
    <w:rsid w:val="00797DAE"/>
    <w:rsid w:val="007A0DED"/>
    <w:rsid w:val="007A109C"/>
    <w:rsid w:val="007A163A"/>
    <w:rsid w:val="007A3099"/>
    <w:rsid w:val="007A3D7B"/>
    <w:rsid w:val="007A3DA4"/>
    <w:rsid w:val="007A47EA"/>
    <w:rsid w:val="007A6360"/>
    <w:rsid w:val="007A6784"/>
    <w:rsid w:val="007A687C"/>
    <w:rsid w:val="007A7EAF"/>
    <w:rsid w:val="007B0F35"/>
    <w:rsid w:val="007B11BE"/>
    <w:rsid w:val="007B18C1"/>
    <w:rsid w:val="007B2D94"/>
    <w:rsid w:val="007B30FF"/>
    <w:rsid w:val="007B4CF8"/>
    <w:rsid w:val="007B4FE5"/>
    <w:rsid w:val="007B557A"/>
    <w:rsid w:val="007B633F"/>
    <w:rsid w:val="007B6355"/>
    <w:rsid w:val="007B6D76"/>
    <w:rsid w:val="007B6EE4"/>
    <w:rsid w:val="007B72DC"/>
    <w:rsid w:val="007C0AC0"/>
    <w:rsid w:val="007C3680"/>
    <w:rsid w:val="007C4163"/>
    <w:rsid w:val="007C4CAE"/>
    <w:rsid w:val="007C4DA3"/>
    <w:rsid w:val="007C51B0"/>
    <w:rsid w:val="007C5B95"/>
    <w:rsid w:val="007C6448"/>
    <w:rsid w:val="007C69B1"/>
    <w:rsid w:val="007C792D"/>
    <w:rsid w:val="007D0786"/>
    <w:rsid w:val="007D11B3"/>
    <w:rsid w:val="007D19B4"/>
    <w:rsid w:val="007D1FE5"/>
    <w:rsid w:val="007D29D8"/>
    <w:rsid w:val="007D3B00"/>
    <w:rsid w:val="007D3F5C"/>
    <w:rsid w:val="007D406B"/>
    <w:rsid w:val="007D52C4"/>
    <w:rsid w:val="007D531A"/>
    <w:rsid w:val="007D6EE5"/>
    <w:rsid w:val="007E008A"/>
    <w:rsid w:val="007E02EF"/>
    <w:rsid w:val="007E06BC"/>
    <w:rsid w:val="007E1995"/>
    <w:rsid w:val="007E1DF8"/>
    <w:rsid w:val="007E2384"/>
    <w:rsid w:val="007E2943"/>
    <w:rsid w:val="007E39C1"/>
    <w:rsid w:val="007E3D1B"/>
    <w:rsid w:val="007E4413"/>
    <w:rsid w:val="007E487D"/>
    <w:rsid w:val="007E499E"/>
    <w:rsid w:val="007E4E5A"/>
    <w:rsid w:val="007E5019"/>
    <w:rsid w:val="007E5ACE"/>
    <w:rsid w:val="007E5BB6"/>
    <w:rsid w:val="007E6B43"/>
    <w:rsid w:val="007E6C74"/>
    <w:rsid w:val="007E706E"/>
    <w:rsid w:val="007E72BC"/>
    <w:rsid w:val="007E75D4"/>
    <w:rsid w:val="007E783D"/>
    <w:rsid w:val="007F0232"/>
    <w:rsid w:val="007F0B35"/>
    <w:rsid w:val="007F1C84"/>
    <w:rsid w:val="007F1E2E"/>
    <w:rsid w:val="007F22C0"/>
    <w:rsid w:val="007F2584"/>
    <w:rsid w:val="007F3293"/>
    <w:rsid w:val="007F398A"/>
    <w:rsid w:val="007F400C"/>
    <w:rsid w:val="007F41A4"/>
    <w:rsid w:val="007F5734"/>
    <w:rsid w:val="007F5987"/>
    <w:rsid w:val="007F68A9"/>
    <w:rsid w:val="007F6FF6"/>
    <w:rsid w:val="007F7DFB"/>
    <w:rsid w:val="008018B7"/>
    <w:rsid w:val="00801EE2"/>
    <w:rsid w:val="008024BE"/>
    <w:rsid w:val="00802E80"/>
    <w:rsid w:val="008030C5"/>
    <w:rsid w:val="00805488"/>
    <w:rsid w:val="00805FBC"/>
    <w:rsid w:val="00806298"/>
    <w:rsid w:val="0080679E"/>
    <w:rsid w:val="00807E7A"/>
    <w:rsid w:val="00810B22"/>
    <w:rsid w:val="00810D2B"/>
    <w:rsid w:val="008114D4"/>
    <w:rsid w:val="00811F99"/>
    <w:rsid w:val="00812977"/>
    <w:rsid w:val="00813494"/>
    <w:rsid w:val="00813602"/>
    <w:rsid w:val="00813701"/>
    <w:rsid w:val="008138C1"/>
    <w:rsid w:val="008150E5"/>
    <w:rsid w:val="00815121"/>
    <w:rsid w:val="00815380"/>
    <w:rsid w:val="00815F89"/>
    <w:rsid w:val="008160DE"/>
    <w:rsid w:val="008205AB"/>
    <w:rsid w:val="0082064B"/>
    <w:rsid w:val="008208D5"/>
    <w:rsid w:val="00820A87"/>
    <w:rsid w:val="00821000"/>
    <w:rsid w:val="00821492"/>
    <w:rsid w:val="00821FB5"/>
    <w:rsid w:val="008223A4"/>
    <w:rsid w:val="00822AA8"/>
    <w:rsid w:val="00823741"/>
    <w:rsid w:val="00823ADB"/>
    <w:rsid w:val="00823EB0"/>
    <w:rsid w:val="008240E6"/>
    <w:rsid w:val="008247BF"/>
    <w:rsid w:val="00824CBD"/>
    <w:rsid w:val="0082539E"/>
    <w:rsid w:val="008276AC"/>
    <w:rsid w:val="00830815"/>
    <w:rsid w:val="00830A19"/>
    <w:rsid w:val="0083136C"/>
    <w:rsid w:val="00831539"/>
    <w:rsid w:val="0083193E"/>
    <w:rsid w:val="00831A28"/>
    <w:rsid w:val="00832315"/>
    <w:rsid w:val="00832CA8"/>
    <w:rsid w:val="008331D1"/>
    <w:rsid w:val="008332C6"/>
    <w:rsid w:val="00833714"/>
    <w:rsid w:val="00834948"/>
    <w:rsid w:val="008351E6"/>
    <w:rsid w:val="00835F03"/>
    <w:rsid w:val="00836FFF"/>
    <w:rsid w:val="008373D3"/>
    <w:rsid w:val="00837AAC"/>
    <w:rsid w:val="008403B3"/>
    <w:rsid w:val="00840927"/>
    <w:rsid w:val="0084175B"/>
    <w:rsid w:val="00841889"/>
    <w:rsid w:val="00842027"/>
    <w:rsid w:val="00842A0F"/>
    <w:rsid w:val="008434A4"/>
    <w:rsid w:val="008435FC"/>
    <w:rsid w:val="00843CF5"/>
    <w:rsid w:val="00843FA6"/>
    <w:rsid w:val="00844822"/>
    <w:rsid w:val="0084490A"/>
    <w:rsid w:val="00844A73"/>
    <w:rsid w:val="00844BBB"/>
    <w:rsid w:val="00845949"/>
    <w:rsid w:val="008477B4"/>
    <w:rsid w:val="008477CD"/>
    <w:rsid w:val="00847809"/>
    <w:rsid w:val="00850939"/>
    <w:rsid w:val="00850FCC"/>
    <w:rsid w:val="00851353"/>
    <w:rsid w:val="00851D40"/>
    <w:rsid w:val="008526B6"/>
    <w:rsid w:val="00852934"/>
    <w:rsid w:val="00852BFF"/>
    <w:rsid w:val="008532C0"/>
    <w:rsid w:val="0085341E"/>
    <w:rsid w:val="00853CEF"/>
    <w:rsid w:val="00853EBA"/>
    <w:rsid w:val="00854584"/>
    <w:rsid w:val="00854A89"/>
    <w:rsid w:val="0085508B"/>
    <w:rsid w:val="0085587E"/>
    <w:rsid w:val="0085679B"/>
    <w:rsid w:val="00856969"/>
    <w:rsid w:val="00857410"/>
    <w:rsid w:val="00857628"/>
    <w:rsid w:val="0085785E"/>
    <w:rsid w:val="008579D4"/>
    <w:rsid w:val="00857ED2"/>
    <w:rsid w:val="0086005F"/>
    <w:rsid w:val="00861915"/>
    <w:rsid w:val="00861A95"/>
    <w:rsid w:val="008622A2"/>
    <w:rsid w:val="008627D9"/>
    <w:rsid w:val="00862AAD"/>
    <w:rsid w:val="00863502"/>
    <w:rsid w:val="00863983"/>
    <w:rsid w:val="00863E5B"/>
    <w:rsid w:val="008642D1"/>
    <w:rsid w:val="008649DD"/>
    <w:rsid w:val="00864B4F"/>
    <w:rsid w:val="00864C28"/>
    <w:rsid w:val="008659B8"/>
    <w:rsid w:val="008669D5"/>
    <w:rsid w:val="00866DC0"/>
    <w:rsid w:val="00866EBD"/>
    <w:rsid w:val="00870362"/>
    <w:rsid w:val="00870609"/>
    <w:rsid w:val="00870666"/>
    <w:rsid w:val="00871618"/>
    <w:rsid w:val="00873422"/>
    <w:rsid w:val="00873D8B"/>
    <w:rsid w:val="00874606"/>
    <w:rsid w:val="008746A3"/>
    <w:rsid w:val="00875C5C"/>
    <w:rsid w:val="00875D86"/>
    <w:rsid w:val="00875EB8"/>
    <w:rsid w:val="00876039"/>
    <w:rsid w:val="00876305"/>
    <w:rsid w:val="00876596"/>
    <w:rsid w:val="008773CF"/>
    <w:rsid w:val="00877762"/>
    <w:rsid w:val="00880C3D"/>
    <w:rsid w:val="00880CAF"/>
    <w:rsid w:val="00881DC6"/>
    <w:rsid w:val="00883990"/>
    <w:rsid w:val="00884E16"/>
    <w:rsid w:val="00884EC4"/>
    <w:rsid w:val="00885B54"/>
    <w:rsid w:val="00885E87"/>
    <w:rsid w:val="00886290"/>
    <w:rsid w:val="00886503"/>
    <w:rsid w:val="0088668B"/>
    <w:rsid w:val="008867AF"/>
    <w:rsid w:val="00887BB3"/>
    <w:rsid w:val="008900BD"/>
    <w:rsid w:val="00890159"/>
    <w:rsid w:val="0089045D"/>
    <w:rsid w:val="00890983"/>
    <w:rsid w:val="00890C40"/>
    <w:rsid w:val="00890C94"/>
    <w:rsid w:val="00891513"/>
    <w:rsid w:val="0089299C"/>
    <w:rsid w:val="00892C94"/>
    <w:rsid w:val="0089326B"/>
    <w:rsid w:val="00893BC6"/>
    <w:rsid w:val="00893DD3"/>
    <w:rsid w:val="00894EEA"/>
    <w:rsid w:val="00896268"/>
    <w:rsid w:val="008966C6"/>
    <w:rsid w:val="00896AF4"/>
    <w:rsid w:val="00897627"/>
    <w:rsid w:val="008A0176"/>
    <w:rsid w:val="008A0CAE"/>
    <w:rsid w:val="008A0D9A"/>
    <w:rsid w:val="008A223D"/>
    <w:rsid w:val="008A23AB"/>
    <w:rsid w:val="008A23B4"/>
    <w:rsid w:val="008A44BF"/>
    <w:rsid w:val="008A469B"/>
    <w:rsid w:val="008A48E7"/>
    <w:rsid w:val="008A5940"/>
    <w:rsid w:val="008A5CE1"/>
    <w:rsid w:val="008A6B5D"/>
    <w:rsid w:val="008A6EC2"/>
    <w:rsid w:val="008A7786"/>
    <w:rsid w:val="008A7C25"/>
    <w:rsid w:val="008B05B6"/>
    <w:rsid w:val="008B100E"/>
    <w:rsid w:val="008B11D2"/>
    <w:rsid w:val="008B19DB"/>
    <w:rsid w:val="008B1FF6"/>
    <w:rsid w:val="008B314C"/>
    <w:rsid w:val="008B4358"/>
    <w:rsid w:val="008B46E5"/>
    <w:rsid w:val="008B4E95"/>
    <w:rsid w:val="008B5108"/>
    <w:rsid w:val="008B7009"/>
    <w:rsid w:val="008B7306"/>
    <w:rsid w:val="008B758A"/>
    <w:rsid w:val="008C0650"/>
    <w:rsid w:val="008C07EF"/>
    <w:rsid w:val="008C112D"/>
    <w:rsid w:val="008C1500"/>
    <w:rsid w:val="008C184C"/>
    <w:rsid w:val="008C22D7"/>
    <w:rsid w:val="008C26A8"/>
    <w:rsid w:val="008C2DD2"/>
    <w:rsid w:val="008C2E93"/>
    <w:rsid w:val="008C2FE1"/>
    <w:rsid w:val="008C3054"/>
    <w:rsid w:val="008C3240"/>
    <w:rsid w:val="008C3B99"/>
    <w:rsid w:val="008C4356"/>
    <w:rsid w:val="008C44A8"/>
    <w:rsid w:val="008C5957"/>
    <w:rsid w:val="008C598D"/>
    <w:rsid w:val="008C674C"/>
    <w:rsid w:val="008D0C19"/>
    <w:rsid w:val="008D1411"/>
    <w:rsid w:val="008D1620"/>
    <w:rsid w:val="008D2B18"/>
    <w:rsid w:val="008D2C17"/>
    <w:rsid w:val="008D39E3"/>
    <w:rsid w:val="008D3EE7"/>
    <w:rsid w:val="008D4221"/>
    <w:rsid w:val="008D55A9"/>
    <w:rsid w:val="008D588E"/>
    <w:rsid w:val="008D59C4"/>
    <w:rsid w:val="008D5A03"/>
    <w:rsid w:val="008D618C"/>
    <w:rsid w:val="008D634F"/>
    <w:rsid w:val="008D6999"/>
    <w:rsid w:val="008D7844"/>
    <w:rsid w:val="008D79B7"/>
    <w:rsid w:val="008D7CDD"/>
    <w:rsid w:val="008E08A7"/>
    <w:rsid w:val="008E1893"/>
    <w:rsid w:val="008E18B5"/>
    <w:rsid w:val="008E2019"/>
    <w:rsid w:val="008E27A6"/>
    <w:rsid w:val="008E3029"/>
    <w:rsid w:val="008E3078"/>
    <w:rsid w:val="008E367C"/>
    <w:rsid w:val="008E3D08"/>
    <w:rsid w:val="008E4C25"/>
    <w:rsid w:val="008E4DA8"/>
    <w:rsid w:val="008E4F98"/>
    <w:rsid w:val="008E56BC"/>
    <w:rsid w:val="008E6624"/>
    <w:rsid w:val="008E670D"/>
    <w:rsid w:val="008E6A16"/>
    <w:rsid w:val="008E72E9"/>
    <w:rsid w:val="008E7313"/>
    <w:rsid w:val="008E74FA"/>
    <w:rsid w:val="008F000F"/>
    <w:rsid w:val="008F2CBB"/>
    <w:rsid w:val="008F41B0"/>
    <w:rsid w:val="008F45C3"/>
    <w:rsid w:val="008F5833"/>
    <w:rsid w:val="008F6593"/>
    <w:rsid w:val="008F6CB3"/>
    <w:rsid w:val="008F71FB"/>
    <w:rsid w:val="008F7B2C"/>
    <w:rsid w:val="008F7CC1"/>
    <w:rsid w:val="009007DC"/>
    <w:rsid w:val="00900BC5"/>
    <w:rsid w:val="009010E7"/>
    <w:rsid w:val="00901722"/>
    <w:rsid w:val="009020A6"/>
    <w:rsid w:val="00902CF3"/>
    <w:rsid w:val="00903258"/>
    <w:rsid w:val="00903D52"/>
    <w:rsid w:val="009040E7"/>
    <w:rsid w:val="0090467B"/>
    <w:rsid w:val="009056B9"/>
    <w:rsid w:val="00907CA9"/>
    <w:rsid w:val="0091064D"/>
    <w:rsid w:val="0091140D"/>
    <w:rsid w:val="00911509"/>
    <w:rsid w:val="00911E58"/>
    <w:rsid w:val="00912D0B"/>
    <w:rsid w:val="00913282"/>
    <w:rsid w:val="0091353B"/>
    <w:rsid w:val="00913EA4"/>
    <w:rsid w:val="00914DCE"/>
    <w:rsid w:val="00914F03"/>
    <w:rsid w:val="00916420"/>
    <w:rsid w:val="00916A50"/>
    <w:rsid w:val="00916A6B"/>
    <w:rsid w:val="00916E1C"/>
    <w:rsid w:val="00917016"/>
    <w:rsid w:val="00917649"/>
    <w:rsid w:val="00917C98"/>
    <w:rsid w:val="00920959"/>
    <w:rsid w:val="009211E8"/>
    <w:rsid w:val="009214C0"/>
    <w:rsid w:val="00921B8F"/>
    <w:rsid w:val="00921E44"/>
    <w:rsid w:val="009221A8"/>
    <w:rsid w:val="00922A39"/>
    <w:rsid w:val="0092302A"/>
    <w:rsid w:val="0092338D"/>
    <w:rsid w:val="009233E2"/>
    <w:rsid w:val="00923BCB"/>
    <w:rsid w:val="00923F75"/>
    <w:rsid w:val="009246A9"/>
    <w:rsid w:val="009247CD"/>
    <w:rsid w:val="00924D9C"/>
    <w:rsid w:val="009252AB"/>
    <w:rsid w:val="00926D75"/>
    <w:rsid w:val="00930026"/>
    <w:rsid w:val="009304E6"/>
    <w:rsid w:val="00930AF9"/>
    <w:rsid w:val="00930F1B"/>
    <w:rsid w:val="009316E6"/>
    <w:rsid w:val="009318F6"/>
    <w:rsid w:val="00932165"/>
    <w:rsid w:val="00932827"/>
    <w:rsid w:val="009345B4"/>
    <w:rsid w:val="009345E1"/>
    <w:rsid w:val="0093472B"/>
    <w:rsid w:val="00934939"/>
    <w:rsid w:val="00936318"/>
    <w:rsid w:val="009364A5"/>
    <w:rsid w:val="009372EF"/>
    <w:rsid w:val="00940CAF"/>
    <w:rsid w:val="00940D6F"/>
    <w:rsid w:val="00942074"/>
    <w:rsid w:val="00943B35"/>
    <w:rsid w:val="00944295"/>
    <w:rsid w:val="00944D16"/>
    <w:rsid w:val="0094558C"/>
    <w:rsid w:val="0094589B"/>
    <w:rsid w:val="009461C6"/>
    <w:rsid w:val="009469F3"/>
    <w:rsid w:val="00946A0D"/>
    <w:rsid w:val="00946A94"/>
    <w:rsid w:val="0094753D"/>
    <w:rsid w:val="00947CDD"/>
    <w:rsid w:val="00947E9B"/>
    <w:rsid w:val="00950096"/>
    <w:rsid w:val="009501D6"/>
    <w:rsid w:val="009502B5"/>
    <w:rsid w:val="009503B4"/>
    <w:rsid w:val="00950405"/>
    <w:rsid w:val="009507BA"/>
    <w:rsid w:val="00950D77"/>
    <w:rsid w:val="00950E08"/>
    <w:rsid w:val="009510BD"/>
    <w:rsid w:val="009512A9"/>
    <w:rsid w:val="00951FFD"/>
    <w:rsid w:val="009520F1"/>
    <w:rsid w:val="009523E9"/>
    <w:rsid w:val="00952679"/>
    <w:rsid w:val="00952BD1"/>
    <w:rsid w:val="00952C23"/>
    <w:rsid w:val="00952D42"/>
    <w:rsid w:val="009538AE"/>
    <w:rsid w:val="009539C8"/>
    <w:rsid w:val="00953BE0"/>
    <w:rsid w:val="00954753"/>
    <w:rsid w:val="009549CC"/>
    <w:rsid w:val="00954A30"/>
    <w:rsid w:val="00954B26"/>
    <w:rsid w:val="009556B6"/>
    <w:rsid w:val="00955807"/>
    <w:rsid w:val="009560B6"/>
    <w:rsid w:val="009565B1"/>
    <w:rsid w:val="009569BF"/>
    <w:rsid w:val="00956CA5"/>
    <w:rsid w:val="0096000C"/>
    <w:rsid w:val="0096144F"/>
    <w:rsid w:val="00961DA1"/>
    <w:rsid w:val="0096236D"/>
    <w:rsid w:val="00962396"/>
    <w:rsid w:val="0096272A"/>
    <w:rsid w:val="00962840"/>
    <w:rsid w:val="00962E84"/>
    <w:rsid w:val="00962ECD"/>
    <w:rsid w:val="00963C41"/>
    <w:rsid w:val="00964346"/>
    <w:rsid w:val="0096442B"/>
    <w:rsid w:val="009651A8"/>
    <w:rsid w:val="0096590E"/>
    <w:rsid w:val="00966616"/>
    <w:rsid w:val="0096729A"/>
    <w:rsid w:val="00967636"/>
    <w:rsid w:val="0096772A"/>
    <w:rsid w:val="00967AF4"/>
    <w:rsid w:val="00970624"/>
    <w:rsid w:val="009706BC"/>
    <w:rsid w:val="00970881"/>
    <w:rsid w:val="00970EEE"/>
    <w:rsid w:val="0097166B"/>
    <w:rsid w:val="00971B53"/>
    <w:rsid w:val="00971CB5"/>
    <w:rsid w:val="009728ED"/>
    <w:rsid w:val="00972E61"/>
    <w:rsid w:val="00973649"/>
    <w:rsid w:val="00973D05"/>
    <w:rsid w:val="00974276"/>
    <w:rsid w:val="009747D9"/>
    <w:rsid w:val="00974D2E"/>
    <w:rsid w:val="0097564C"/>
    <w:rsid w:val="00976D95"/>
    <w:rsid w:val="009771ED"/>
    <w:rsid w:val="009776CF"/>
    <w:rsid w:val="00977760"/>
    <w:rsid w:val="009803DA"/>
    <w:rsid w:val="009807AA"/>
    <w:rsid w:val="009807F0"/>
    <w:rsid w:val="00980CC5"/>
    <w:rsid w:val="00980FB9"/>
    <w:rsid w:val="009816A9"/>
    <w:rsid w:val="00982A75"/>
    <w:rsid w:val="009831CD"/>
    <w:rsid w:val="009858D2"/>
    <w:rsid w:val="00985A75"/>
    <w:rsid w:val="00985B69"/>
    <w:rsid w:val="00985EA6"/>
    <w:rsid w:val="009862CE"/>
    <w:rsid w:val="00987DA6"/>
    <w:rsid w:val="009902EB"/>
    <w:rsid w:val="0099088F"/>
    <w:rsid w:val="00991239"/>
    <w:rsid w:val="009912F2"/>
    <w:rsid w:val="0099190B"/>
    <w:rsid w:val="00991EA2"/>
    <w:rsid w:val="00992C7A"/>
    <w:rsid w:val="00994007"/>
    <w:rsid w:val="009957BC"/>
    <w:rsid w:val="00995CB7"/>
    <w:rsid w:val="00995D88"/>
    <w:rsid w:val="00995DE4"/>
    <w:rsid w:val="00996126"/>
    <w:rsid w:val="009963B0"/>
    <w:rsid w:val="00996D77"/>
    <w:rsid w:val="0099786B"/>
    <w:rsid w:val="00997ED4"/>
    <w:rsid w:val="009A0442"/>
    <w:rsid w:val="009A0745"/>
    <w:rsid w:val="009A0B65"/>
    <w:rsid w:val="009A12BA"/>
    <w:rsid w:val="009A166A"/>
    <w:rsid w:val="009A1A69"/>
    <w:rsid w:val="009A277F"/>
    <w:rsid w:val="009A3069"/>
    <w:rsid w:val="009A3508"/>
    <w:rsid w:val="009A397C"/>
    <w:rsid w:val="009A3C75"/>
    <w:rsid w:val="009A4FD3"/>
    <w:rsid w:val="009A588B"/>
    <w:rsid w:val="009A5B55"/>
    <w:rsid w:val="009A5EA6"/>
    <w:rsid w:val="009A5FA4"/>
    <w:rsid w:val="009A703D"/>
    <w:rsid w:val="009A7280"/>
    <w:rsid w:val="009A7750"/>
    <w:rsid w:val="009A796B"/>
    <w:rsid w:val="009B0017"/>
    <w:rsid w:val="009B02AE"/>
    <w:rsid w:val="009B19B3"/>
    <w:rsid w:val="009B1D4A"/>
    <w:rsid w:val="009B24BC"/>
    <w:rsid w:val="009B2AF7"/>
    <w:rsid w:val="009B2CD7"/>
    <w:rsid w:val="009B3054"/>
    <w:rsid w:val="009B3BD9"/>
    <w:rsid w:val="009B5A28"/>
    <w:rsid w:val="009B5DB6"/>
    <w:rsid w:val="009B60BB"/>
    <w:rsid w:val="009B6391"/>
    <w:rsid w:val="009B6E71"/>
    <w:rsid w:val="009B6F9B"/>
    <w:rsid w:val="009B78D1"/>
    <w:rsid w:val="009B7B60"/>
    <w:rsid w:val="009C04B4"/>
    <w:rsid w:val="009C08EB"/>
    <w:rsid w:val="009C0F64"/>
    <w:rsid w:val="009C11B8"/>
    <w:rsid w:val="009C245A"/>
    <w:rsid w:val="009C27D0"/>
    <w:rsid w:val="009C28B1"/>
    <w:rsid w:val="009C2B24"/>
    <w:rsid w:val="009C34BA"/>
    <w:rsid w:val="009C51D8"/>
    <w:rsid w:val="009C5A1A"/>
    <w:rsid w:val="009C5ED6"/>
    <w:rsid w:val="009C6B0D"/>
    <w:rsid w:val="009C7B69"/>
    <w:rsid w:val="009D00D1"/>
    <w:rsid w:val="009D034F"/>
    <w:rsid w:val="009D0FE4"/>
    <w:rsid w:val="009D1003"/>
    <w:rsid w:val="009D1486"/>
    <w:rsid w:val="009D18D1"/>
    <w:rsid w:val="009D2492"/>
    <w:rsid w:val="009D24CB"/>
    <w:rsid w:val="009D26ED"/>
    <w:rsid w:val="009D29E9"/>
    <w:rsid w:val="009D337A"/>
    <w:rsid w:val="009D38E1"/>
    <w:rsid w:val="009D481B"/>
    <w:rsid w:val="009D5127"/>
    <w:rsid w:val="009D5600"/>
    <w:rsid w:val="009D6D23"/>
    <w:rsid w:val="009D7733"/>
    <w:rsid w:val="009D77FC"/>
    <w:rsid w:val="009E060E"/>
    <w:rsid w:val="009E0797"/>
    <w:rsid w:val="009E1295"/>
    <w:rsid w:val="009E129B"/>
    <w:rsid w:val="009E1833"/>
    <w:rsid w:val="009E18EB"/>
    <w:rsid w:val="009E1E82"/>
    <w:rsid w:val="009E28D2"/>
    <w:rsid w:val="009E2A5A"/>
    <w:rsid w:val="009E362E"/>
    <w:rsid w:val="009E390E"/>
    <w:rsid w:val="009E3DB9"/>
    <w:rsid w:val="009E45E4"/>
    <w:rsid w:val="009E4C4C"/>
    <w:rsid w:val="009E4C70"/>
    <w:rsid w:val="009E636E"/>
    <w:rsid w:val="009E6937"/>
    <w:rsid w:val="009E79E8"/>
    <w:rsid w:val="009E7C02"/>
    <w:rsid w:val="009F0083"/>
    <w:rsid w:val="009F01D0"/>
    <w:rsid w:val="009F0525"/>
    <w:rsid w:val="009F0755"/>
    <w:rsid w:val="009F0A92"/>
    <w:rsid w:val="009F2679"/>
    <w:rsid w:val="009F289B"/>
    <w:rsid w:val="009F2C73"/>
    <w:rsid w:val="009F2CE8"/>
    <w:rsid w:val="009F40DB"/>
    <w:rsid w:val="009F464F"/>
    <w:rsid w:val="009F52E2"/>
    <w:rsid w:val="009F616C"/>
    <w:rsid w:val="009F68EB"/>
    <w:rsid w:val="009F7FE5"/>
    <w:rsid w:val="00A005A7"/>
    <w:rsid w:val="00A00BFB"/>
    <w:rsid w:val="00A0135A"/>
    <w:rsid w:val="00A016DF"/>
    <w:rsid w:val="00A0244C"/>
    <w:rsid w:val="00A02594"/>
    <w:rsid w:val="00A0263D"/>
    <w:rsid w:val="00A02C2B"/>
    <w:rsid w:val="00A02CF2"/>
    <w:rsid w:val="00A02DD6"/>
    <w:rsid w:val="00A0318D"/>
    <w:rsid w:val="00A034FF"/>
    <w:rsid w:val="00A0357A"/>
    <w:rsid w:val="00A048F0"/>
    <w:rsid w:val="00A04E35"/>
    <w:rsid w:val="00A05A1A"/>
    <w:rsid w:val="00A05C43"/>
    <w:rsid w:val="00A06363"/>
    <w:rsid w:val="00A06A38"/>
    <w:rsid w:val="00A072FE"/>
    <w:rsid w:val="00A07655"/>
    <w:rsid w:val="00A07C1D"/>
    <w:rsid w:val="00A10051"/>
    <w:rsid w:val="00A10929"/>
    <w:rsid w:val="00A10965"/>
    <w:rsid w:val="00A10EEF"/>
    <w:rsid w:val="00A117A2"/>
    <w:rsid w:val="00A11DA1"/>
    <w:rsid w:val="00A124AE"/>
    <w:rsid w:val="00A127E5"/>
    <w:rsid w:val="00A12FD4"/>
    <w:rsid w:val="00A1408E"/>
    <w:rsid w:val="00A14153"/>
    <w:rsid w:val="00A14286"/>
    <w:rsid w:val="00A145BF"/>
    <w:rsid w:val="00A14F1F"/>
    <w:rsid w:val="00A15221"/>
    <w:rsid w:val="00A169C7"/>
    <w:rsid w:val="00A16DB8"/>
    <w:rsid w:val="00A1756C"/>
    <w:rsid w:val="00A17919"/>
    <w:rsid w:val="00A207C7"/>
    <w:rsid w:val="00A2104D"/>
    <w:rsid w:val="00A21959"/>
    <w:rsid w:val="00A21D27"/>
    <w:rsid w:val="00A22630"/>
    <w:rsid w:val="00A22773"/>
    <w:rsid w:val="00A22B34"/>
    <w:rsid w:val="00A23F26"/>
    <w:rsid w:val="00A23F97"/>
    <w:rsid w:val="00A24E12"/>
    <w:rsid w:val="00A25B0A"/>
    <w:rsid w:val="00A26742"/>
    <w:rsid w:val="00A26B2B"/>
    <w:rsid w:val="00A26E94"/>
    <w:rsid w:val="00A270B0"/>
    <w:rsid w:val="00A271B9"/>
    <w:rsid w:val="00A2735F"/>
    <w:rsid w:val="00A275DF"/>
    <w:rsid w:val="00A27B40"/>
    <w:rsid w:val="00A27CF1"/>
    <w:rsid w:val="00A30259"/>
    <w:rsid w:val="00A30C98"/>
    <w:rsid w:val="00A31D5E"/>
    <w:rsid w:val="00A333AC"/>
    <w:rsid w:val="00A33C17"/>
    <w:rsid w:val="00A33E1A"/>
    <w:rsid w:val="00A33E5B"/>
    <w:rsid w:val="00A34550"/>
    <w:rsid w:val="00A352EB"/>
    <w:rsid w:val="00A357C9"/>
    <w:rsid w:val="00A372BB"/>
    <w:rsid w:val="00A37D7F"/>
    <w:rsid w:val="00A4009C"/>
    <w:rsid w:val="00A4042C"/>
    <w:rsid w:val="00A41043"/>
    <w:rsid w:val="00A4183B"/>
    <w:rsid w:val="00A41944"/>
    <w:rsid w:val="00A41E04"/>
    <w:rsid w:val="00A42415"/>
    <w:rsid w:val="00A445C4"/>
    <w:rsid w:val="00A44637"/>
    <w:rsid w:val="00A447F2"/>
    <w:rsid w:val="00A46FDD"/>
    <w:rsid w:val="00A471B3"/>
    <w:rsid w:val="00A50E13"/>
    <w:rsid w:val="00A528F3"/>
    <w:rsid w:val="00A53146"/>
    <w:rsid w:val="00A5347E"/>
    <w:rsid w:val="00A54E19"/>
    <w:rsid w:val="00A5559A"/>
    <w:rsid w:val="00A555F6"/>
    <w:rsid w:val="00A55C66"/>
    <w:rsid w:val="00A5688B"/>
    <w:rsid w:val="00A56E3F"/>
    <w:rsid w:val="00A56F52"/>
    <w:rsid w:val="00A57EF3"/>
    <w:rsid w:val="00A6111B"/>
    <w:rsid w:val="00A61154"/>
    <w:rsid w:val="00A61F95"/>
    <w:rsid w:val="00A6206F"/>
    <w:rsid w:val="00A6231C"/>
    <w:rsid w:val="00A627FC"/>
    <w:rsid w:val="00A629FE"/>
    <w:rsid w:val="00A62D82"/>
    <w:rsid w:val="00A64B18"/>
    <w:rsid w:val="00A653AF"/>
    <w:rsid w:val="00A656A7"/>
    <w:rsid w:val="00A66677"/>
    <w:rsid w:val="00A669A6"/>
    <w:rsid w:val="00A669F0"/>
    <w:rsid w:val="00A67014"/>
    <w:rsid w:val="00A672F8"/>
    <w:rsid w:val="00A67A81"/>
    <w:rsid w:val="00A700AB"/>
    <w:rsid w:val="00A7017F"/>
    <w:rsid w:val="00A71FCD"/>
    <w:rsid w:val="00A727EA"/>
    <w:rsid w:val="00A73299"/>
    <w:rsid w:val="00A73822"/>
    <w:rsid w:val="00A7512D"/>
    <w:rsid w:val="00A75A0B"/>
    <w:rsid w:val="00A75C05"/>
    <w:rsid w:val="00A76183"/>
    <w:rsid w:val="00A76226"/>
    <w:rsid w:val="00A76B78"/>
    <w:rsid w:val="00A801BB"/>
    <w:rsid w:val="00A80531"/>
    <w:rsid w:val="00A80621"/>
    <w:rsid w:val="00A80E6F"/>
    <w:rsid w:val="00A828C9"/>
    <w:rsid w:val="00A83DB0"/>
    <w:rsid w:val="00A84074"/>
    <w:rsid w:val="00A840BC"/>
    <w:rsid w:val="00A842B5"/>
    <w:rsid w:val="00A8484C"/>
    <w:rsid w:val="00A84AD9"/>
    <w:rsid w:val="00A84BD2"/>
    <w:rsid w:val="00A85C64"/>
    <w:rsid w:val="00A866AD"/>
    <w:rsid w:val="00A86DE2"/>
    <w:rsid w:val="00A873D5"/>
    <w:rsid w:val="00A87E89"/>
    <w:rsid w:val="00A9000B"/>
    <w:rsid w:val="00A905A0"/>
    <w:rsid w:val="00A90FCB"/>
    <w:rsid w:val="00A91177"/>
    <w:rsid w:val="00A9151C"/>
    <w:rsid w:val="00A92181"/>
    <w:rsid w:val="00A927F9"/>
    <w:rsid w:val="00A9295E"/>
    <w:rsid w:val="00A93C39"/>
    <w:rsid w:val="00A93C57"/>
    <w:rsid w:val="00A942AE"/>
    <w:rsid w:val="00A94462"/>
    <w:rsid w:val="00A9464E"/>
    <w:rsid w:val="00A949D6"/>
    <w:rsid w:val="00A94DF3"/>
    <w:rsid w:val="00A95311"/>
    <w:rsid w:val="00A9561B"/>
    <w:rsid w:val="00A95A70"/>
    <w:rsid w:val="00A96033"/>
    <w:rsid w:val="00A96C2E"/>
    <w:rsid w:val="00A97B77"/>
    <w:rsid w:val="00AA0055"/>
    <w:rsid w:val="00AA0249"/>
    <w:rsid w:val="00AA0269"/>
    <w:rsid w:val="00AA0DE6"/>
    <w:rsid w:val="00AA1A9D"/>
    <w:rsid w:val="00AA2177"/>
    <w:rsid w:val="00AA233F"/>
    <w:rsid w:val="00AA2362"/>
    <w:rsid w:val="00AA2998"/>
    <w:rsid w:val="00AA2A39"/>
    <w:rsid w:val="00AA2B52"/>
    <w:rsid w:val="00AA33EC"/>
    <w:rsid w:val="00AA3489"/>
    <w:rsid w:val="00AA4C89"/>
    <w:rsid w:val="00AA4FD8"/>
    <w:rsid w:val="00AA5DF1"/>
    <w:rsid w:val="00AA61A3"/>
    <w:rsid w:val="00AA6205"/>
    <w:rsid w:val="00AB03EA"/>
    <w:rsid w:val="00AB0484"/>
    <w:rsid w:val="00AB0B5F"/>
    <w:rsid w:val="00AB0FEA"/>
    <w:rsid w:val="00AB12CB"/>
    <w:rsid w:val="00AB16A5"/>
    <w:rsid w:val="00AB286F"/>
    <w:rsid w:val="00AB2889"/>
    <w:rsid w:val="00AB2F79"/>
    <w:rsid w:val="00AB2FD8"/>
    <w:rsid w:val="00AB3EB5"/>
    <w:rsid w:val="00AB5011"/>
    <w:rsid w:val="00AB5625"/>
    <w:rsid w:val="00AB5E8F"/>
    <w:rsid w:val="00AB6DA2"/>
    <w:rsid w:val="00AB6F7C"/>
    <w:rsid w:val="00AB74AC"/>
    <w:rsid w:val="00AB776B"/>
    <w:rsid w:val="00AB7AF4"/>
    <w:rsid w:val="00AB7D0A"/>
    <w:rsid w:val="00AC059C"/>
    <w:rsid w:val="00AC16D9"/>
    <w:rsid w:val="00AC1CB0"/>
    <w:rsid w:val="00AC33E4"/>
    <w:rsid w:val="00AC3680"/>
    <w:rsid w:val="00AC3A10"/>
    <w:rsid w:val="00AC3A41"/>
    <w:rsid w:val="00AC3FBC"/>
    <w:rsid w:val="00AC4B30"/>
    <w:rsid w:val="00AC4B7F"/>
    <w:rsid w:val="00AC76A9"/>
    <w:rsid w:val="00AC7854"/>
    <w:rsid w:val="00AD07EC"/>
    <w:rsid w:val="00AD0A11"/>
    <w:rsid w:val="00AD0A91"/>
    <w:rsid w:val="00AD0C43"/>
    <w:rsid w:val="00AD1359"/>
    <w:rsid w:val="00AD13AA"/>
    <w:rsid w:val="00AD1623"/>
    <w:rsid w:val="00AD2D70"/>
    <w:rsid w:val="00AD3AF9"/>
    <w:rsid w:val="00AD43D6"/>
    <w:rsid w:val="00AD4621"/>
    <w:rsid w:val="00AD5516"/>
    <w:rsid w:val="00AD55B0"/>
    <w:rsid w:val="00AD59F0"/>
    <w:rsid w:val="00AD6C82"/>
    <w:rsid w:val="00AD6CCC"/>
    <w:rsid w:val="00AD7E46"/>
    <w:rsid w:val="00AE2022"/>
    <w:rsid w:val="00AE20CE"/>
    <w:rsid w:val="00AE2497"/>
    <w:rsid w:val="00AE2F04"/>
    <w:rsid w:val="00AE314D"/>
    <w:rsid w:val="00AE3881"/>
    <w:rsid w:val="00AE4240"/>
    <w:rsid w:val="00AE495E"/>
    <w:rsid w:val="00AE4A74"/>
    <w:rsid w:val="00AE4B73"/>
    <w:rsid w:val="00AE5660"/>
    <w:rsid w:val="00AE5B9F"/>
    <w:rsid w:val="00AE5F23"/>
    <w:rsid w:val="00AE6B85"/>
    <w:rsid w:val="00AE7054"/>
    <w:rsid w:val="00AE7179"/>
    <w:rsid w:val="00AE76DC"/>
    <w:rsid w:val="00AF003A"/>
    <w:rsid w:val="00AF0DD9"/>
    <w:rsid w:val="00AF11CD"/>
    <w:rsid w:val="00AF13AC"/>
    <w:rsid w:val="00AF1BB5"/>
    <w:rsid w:val="00AF272B"/>
    <w:rsid w:val="00AF2BA8"/>
    <w:rsid w:val="00AF3208"/>
    <w:rsid w:val="00AF368A"/>
    <w:rsid w:val="00AF457E"/>
    <w:rsid w:val="00AF4F76"/>
    <w:rsid w:val="00AF5884"/>
    <w:rsid w:val="00AF5DD4"/>
    <w:rsid w:val="00AF68F4"/>
    <w:rsid w:val="00AF6A73"/>
    <w:rsid w:val="00AF6E8F"/>
    <w:rsid w:val="00AF740E"/>
    <w:rsid w:val="00AF7573"/>
    <w:rsid w:val="00AF7DDE"/>
    <w:rsid w:val="00B005FC"/>
    <w:rsid w:val="00B0096A"/>
    <w:rsid w:val="00B00E4D"/>
    <w:rsid w:val="00B012A6"/>
    <w:rsid w:val="00B01CC4"/>
    <w:rsid w:val="00B0288B"/>
    <w:rsid w:val="00B02CE8"/>
    <w:rsid w:val="00B02F5D"/>
    <w:rsid w:val="00B0412A"/>
    <w:rsid w:val="00B049E5"/>
    <w:rsid w:val="00B04E00"/>
    <w:rsid w:val="00B05734"/>
    <w:rsid w:val="00B0663A"/>
    <w:rsid w:val="00B06B44"/>
    <w:rsid w:val="00B06FD6"/>
    <w:rsid w:val="00B0775F"/>
    <w:rsid w:val="00B10186"/>
    <w:rsid w:val="00B101B8"/>
    <w:rsid w:val="00B10246"/>
    <w:rsid w:val="00B10722"/>
    <w:rsid w:val="00B10927"/>
    <w:rsid w:val="00B10979"/>
    <w:rsid w:val="00B10E1D"/>
    <w:rsid w:val="00B1103D"/>
    <w:rsid w:val="00B11649"/>
    <w:rsid w:val="00B11A1E"/>
    <w:rsid w:val="00B11C94"/>
    <w:rsid w:val="00B1223D"/>
    <w:rsid w:val="00B12D41"/>
    <w:rsid w:val="00B12DC2"/>
    <w:rsid w:val="00B135EC"/>
    <w:rsid w:val="00B141F8"/>
    <w:rsid w:val="00B14946"/>
    <w:rsid w:val="00B15229"/>
    <w:rsid w:val="00B15489"/>
    <w:rsid w:val="00B15D9D"/>
    <w:rsid w:val="00B160BF"/>
    <w:rsid w:val="00B166EB"/>
    <w:rsid w:val="00B16D0E"/>
    <w:rsid w:val="00B16E02"/>
    <w:rsid w:val="00B1769B"/>
    <w:rsid w:val="00B2003A"/>
    <w:rsid w:val="00B20674"/>
    <w:rsid w:val="00B20C9A"/>
    <w:rsid w:val="00B21053"/>
    <w:rsid w:val="00B21B54"/>
    <w:rsid w:val="00B21CD4"/>
    <w:rsid w:val="00B21F01"/>
    <w:rsid w:val="00B2221B"/>
    <w:rsid w:val="00B223C4"/>
    <w:rsid w:val="00B2244A"/>
    <w:rsid w:val="00B22A48"/>
    <w:rsid w:val="00B22CEF"/>
    <w:rsid w:val="00B235A3"/>
    <w:rsid w:val="00B235E9"/>
    <w:rsid w:val="00B23687"/>
    <w:rsid w:val="00B23C03"/>
    <w:rsid w:val="00B23E3E"/>
    <w:rsid w:val="00B24601"/>
    <w:rsid w:val="00B24EEA"/>
    <w:rsid w:val="00B250D9"/>
    <w:rsid w:val="00B254AC"/>
    <w:rsid w:val="00B2582A"/>
    <w:rsid w:val="00B25D28"/>
    <w:rsid w:val="00B25D5E"/>
    <w:rsid w:val="00B2624A"/>
    <w:rsid w:val="00B26780"/>
    <w:rsid w:val="00B26E7E"/>
    <w:rsid w:val="00B27760"/>
    <w:rsid w:val="00B27AC4"/>
    <w:rsid w:val="00B27C13"/>
    <w:rsid w:val="00B307DE"/>
    <w:rsid w:val="00B30D35"/>
    <w:rsid w:val="00B31CEF"/>
    <w:rsid w:val="00B32B34"/>
    <w:rsid w:val="00B32E30"/>
    <w:rsid w:val="00B3397C"/>
    <w:rsid w:val="00B339E6"/>
    <w:rsid w:val="00B34608"/>
    <w:rsid w:val="00B34EFD"/>
    <w:rsid w:val="00B353B4"/>
    <w:rsid w:val="00B35854"/>
    <w:rsid w:val="00B35F0B"/>
    <w:rsid w:val="00B3609E"/>
    <w:rsid w:val="00B36458"/>
    <w:rsid w:val="00B36AFD"/>
    <w:rsid w:val="00B36B52"/>
    <w:rsid w:val="00B3739E"/>
    <w:rsid w:val="00B402D7"/>
    <w:rsid w:val="00B40896"/>
    <w:rsid w:val="00B4094B"/>
    <w:rsid w:val="00B4094F"/>
    <w:rsid w:val="00B40A1B"/>
    <w:rsid w:val="00B40D56"/>
    <w:rsid w:val="00B41106"/>
    <w:rsid w:val="00B41165"/>
    <w:rsid w:val="00B41A60"/>
    <w:rsid w:val="00B4270A"/>
    <w:rsid w:val="00B43277"/>
    <w:rsid w:val="00B434D5"/>
    <w:rsid w:val="00B43FFC"/>
    <w:rsid w:val="00B44862"/>
    <w:rsid w:val="00B4498C"/>
    <w:rsid w:val="00B45337"/>
    <w:rsid w:val="00B4586F"/>
    <w:rsid w:val="00B45ACF"/>
    <w:rsid w:val="00B45B91"/>
    <w:rsid w:val="00B45BDB"/>
    <w:rsid w:val="00B45CF4"/>
    <w:rsid w:val="00B45E4E"/>
    <w:rsid w:val="00B46790"/>
    <w:rsid w:val="00B46853"/>
    <w:rsid w:val="00B46C0B"/>
    <w:rsid w:val="00B47471"/>
    <w:rsid w:val="00B47B80"/>
    <w:rsid w:val="00B47C8C"/>
    <w:rsid w:val="00B50410"/>
    <w:rsid w:val="00B51CDE"/>
    <w:rsid w:val="00B52861"/>
    <w:rsid w:val="00B53757"/>
    <w:rsid w:val="00B53F1B"/>
    <w:rsid w:val="00B54C0B"/>
    <w:rsid w:val="00B54E6F"/>
    <w:rsid w:val="00B5522B"/>
    <w:rsid w:val="00B557BF"/>
    <w:rsid w:val="00B55ECC"/>
    <w:rsid w:val="00B56C2C"/>
    <w:rsid w:val="00B57395"/>
    <w:rsid w:val="00B578A6"/>
    <w:rsid w:val="00B578BF"/>
    <w:rsid w:val="00B60273"/>
    <w:rsid w:val="00B60C73"/>
    <w:rsid w:val="00B60D54"/>
    <w:rsid w:val="00B613CD"/>
    <w:rsid w:val="00B6221E"/>
    <w:rsid w:val="00B6390B"/>
    <w:rsid w:val="00B644EA"/>
    <w:rsid w:val="00B64510"/>
    <w:rsid w:val="00B6523F"/>
    <w:rsid w:val="00B66019"/>
    <w:rsid w:val="00B666BF"/>
    <w:rsid w:val="00B66CBC"/>
    <w:rsid w:val="00B672CC"/>
    <w:rsid w:val="00B67E34"/>
    <w:rsid w:val="00B7017B"/>
    <w:rsid w:val="00B70C70"/>
    <w:rsid w:val="00B73B43"/>
    <w:rsid w:val="00B7415B"/>
    <w:rsid w:val="00B74646"/>
    <w:rsid w:val="00B75645"/>
    <w:rsid w:val="00B75B2A"/>
    <w:rsid w:val="00B75E14"/>
    <w:rsid w:val="00B761A2"/>
    <w:rsid w:val="00B76A71"/>
    <w:rsid w:val="00B77471"/>
    <w:rsid w:val="00B777A3"/>
    <w:rsid w:val="00B77A64"/>
    <w:rsid w:val="00B808FD"/>
    <w:rsid w:val="00B80E01"/>
    <w:rsid w:val="00B80ED3"/>
    <w:rsid w:val="00B81F8D"/>
    <w:rsid w:val="00B81F93"/>
    <w:rsid w:val="00B82519"/>
    <w:rsid w:val="00B85930"/>
    <w:rsid w:val="00B85B1D"/>
    <w:rsid w:val="00B861A5"/>
    <w:rsid w:val="00B8766A"/>
    <w:rsid w:val="00B87702"/>
    <w:rsid w:val="00B87AAD"/>
    <w:rsid w:val="00B901EF"/>
    <w:rsid w:val="00B91B2A"/>
    <w:rsid w:val="00B922CB"/>
    <w:rsid w:val="00B93E1E"/>
    <w:rsid w:val="00B949CB"/>
    <w:rsid w:val="00B9594A"/>
    <w:rsid w:val="00B962DC"/>
    <w:rsid w:val="00B96A19"/>
    <w:rsid w:val="00B97A59"/>
    <w:rsid w:val="00BA02D5"/>
    <w:rsid w:val="00BA02FB"/>
    <w:rsid w:val="00BA0551"/>
    <w:rsid w:val="00BA066E"/>
    <w:rsid w:val="00BA0B09"/>
    <w:rsid w:val="00BA2276"/>
    <w:rsid w:val="00BA2482"/>
    <w:rsid w:val="00BA2C0C"/>
    <w:rsid w:val="00BA31EC"/>
    <w:rsid w:val="00BA3F87"/>
    <w:rsid w:val="00BA423D"/>
    <w:rsid w:val="00BA4A2F"/>
    <w:rsid w:val="00BA4AAB"/>
    <w:rsid w:val="00BA5508"/>
    <w:rsid w:val="00BA680C"/>
    <w:rsid w:val="00BA6D33"/>
    <w:rsid w:val="00BA7E0C"/>
    <w:rsid w:val="00BA7F50"/>
    <w:rsid w:val="00BB1133"/>
    <w:rsid w:val="00BB14DD"/>
    <w:rsid w:val="00BB18D2"/>
    <w:rsid w:val="00BB1BEF"/>
    <w:rsid w:val="00BB207B"/>
    <w:rsid w:val="00BB2129"/>
    <w:rsid w:val="00BB30BD"/>
    <w:rsid w:val="00BB31F1"/>
    <w:rsid w:val="00BB3240"/>
    <w:rsid w:val="00BB44A2"/>
    <w:rsid w:val="00BB4577"/>
    <w:rsid w:val="00BB5100"/>
    <w:rsid w:val="00BB5BC4"/>
    <w:rsid w:val="00BB5E0C"/>
    <w:rsid w:val="00BB65C1"/>
    <w:rsid w:val="00BB7A7A"/>
    <w:rsid w:val="00BC0572"/>
    <w:rsid w:val="00BC0905"/>
    <w:rsid w:val="00BC0982"/>
    <w:rsid w:val="00BC1A1F"/>
    <w:rsid w:val="00BC1C8B"/>
    <w:rsid w:val="00BC1FFE"/>
    <w:rsid w:val="00BC3044"/>
    <w:rsid w:val="00BC31E2"/>
    <w:rsid w:val="00BC3967"/>
    <w:rsid w:val="00BC3D70"/>
    <w:rsid w:val="00BC46F2"/>
    <w:rsid w:val="00BC4DDC"/>
    <w:rsid w:val="00BC51D7"/>
    <w:rsid w:val="00BC5490"/>
    <w:rsid w:val="00BC57B7"/>
    <w:rsid w:val="00BC61BF"/>
    <w:rsid w:val="00BC67DD"/>
    <w:rsid w:val="00BD0380"/>
    <w:rsid w:val="00BD26C3"/>
    <w:rsid w:val="00BD2CA8"/>
    <w:rsid w:val="00BD3C64"/>
    <w:rsid w:val="00BD40AA"/>
    <w:rsid w:val="00BD4195"/>
    <w:rsid w:val="00BD44D8"/>
    <w:rsid w:val="00BD5AD7"/>
    <w:rsid w:val="00BD5D0B"/>
    <w:rsid w:val="00BD6002"/>
    <w:rsid w:val="00BD6560"/>
    <w:rsid w:val="00BD7074"/>
    <w:rsid w:val="00BD712E"/>
    <w:rsid w:val="00BD73E4"/>
    <w:rsid w:val="00BE0376"/>
    <w:rsid w:val="00BE0441"/>
    <w:rsid w:val="00BE10F0"/>
    <w:rsid w:val="00BE1991"/>
    <w:rsid w:val="00BE30F1"/>
    <w:rsid w:val="00BE3747"/>
    <w:rsid w:val="00BE37E8"/>
    <w:rsid w:val="00BE396C"/>
    <w:rsid w:val="00BE4C07"/>
    <w:rsid w:val="00BE507F"/>
    <w:rsid w:val="00BE59C0"/>
    <w:rsid w:val="00BE603B"/>
    <w:rsid w:val="00BE69B2"/>
    <w:rsid w:val="00BE6D73"/>
    <w:rsid w:val="00BE6D9C"/>
    <w:rsid w:val="00BE719D"/>
    <w:rsid w:val="00BF0875"/>
    <w:rsid w:val="00BF27B4"/>
    <w:rsid w:val="00BF2F88"/>
    <w:rsid w:val="00BF3253"/>
    <w:rsid w:val="00BF32C5"/>
    <w:rsid w:val="00BF46E2"/>
    <w:rsid w:val="00BF4E19"/>
    <w:rsid w:val="00BF51ED"/>
    <w:rsid w:val="00BF55BE"/>
    <w:rsid w:val="00BF572F"/>
    <w:rsid w:val="00BF5B20"/>
    <w:rsid w:val="00BF5EC1"/>
    <w:rsid w:val="00BF6CB3"/>
    <w:rsid w:val="00BF6DB2"/>
    <w:rsid w:val="00BF6DD7"/>
    <w:rsid w:val="00BF758E"/>
    <w:rsid w:val="00BF7D9C"/>
    <w:rsid w:val="00C00331"/>
    <w:rsid w:val="00C0151B"/>
    <w:rsid w:val="00C016F0"/>
    <w:rsid w:val="00C01A9D"/>
    <w:rsid w:val="00C01AEE"/>
    <w:rsid w:val="00C01F81"/>
    <w:rsid w:val="00C02A8F"/>
    <w:rsid w:val="00C02FE6"/>
    <w:rsid w:val="00C03228"/>
    <w:rsid w:val="00C0326C"/>
    <w:rsid w:val="00C03D41"/>
    <w:rsid w:val="00C0451C"/>
    <w:rsid w:val="00C046B6"/>
    <w:rsid w:val="00C04D77"/>
    <w:rsid w:val="00C05FA3"/>
    <w:rsid w:val="00C06019"/>
    <w:rsid w:val="00C06A3F"/>
    <w:rsid w:val="00C06FCB"/>
    <w:rsid w:val="00C07864"/>
    <w:rsid w:val="00C106AD"/>
    <w:rsid w:val="00C117ED"/>
    <w:rsid w:val="00C126F5"/>
    <w:rsid w:val="00C12AB5"/>
    <w:rsid w:val="00C12D19"/>
    <w:rsid w:val="00C13331"/>
    <w:rsid w:val="00C14E6D"/>
    <w:rsid w:val="00C15137"/>
    <w:rsid w:val="00C161D8"/>
    <w:rsid w:val="00C1633A"/>
    <w:rsid w:val="00C16601"/>
    <w:rsid w:val="00C17AB1"/>
    <w:rsid w:val="00C2057B"/>
    <w:rsid w:val="00C206DC"/>
    <w:rsid w:val="00C208E1"/>
    <w:rsid w:val="00C20CFF"/>
    <w:rsid w:val="00C22335"/>
    <w:rsid w:val="00C223E5"/>
    <w:rsid w:val="00C23E4C"/>
    <w:rsid w:val="00C24A1F"/>
    <w:rsid w:val="00C24FBF"/>
    <w:rsid w:val="00C25902"/>
    <w:rsid w:val="00C267D7"/>
    <w:rsid w:val="00C26965"/>
    <w:rsid w:val="00C27003"/>
    <w:rsid w:val="00C30871"/>
    <w:rsid w:val="00C30876"/>
    <w:rsid w:val="00C32AA2"/>
    <w:rsid w:val="00C337F1"/>
    <w:rsid w:val="00C348EE"/>
    <w:rsid w:val="00C3494F"/>
    <w:rsid w:val="00C3537B"/>
    <w:rsid w:val="00C35EE8"/>
    <w:rsid w:val="00C35F10"/>
    <w:rsid w:val="00C35FAF"/>
    <w:rsid w:val="00C36247"/>
    <w:rsid w:val="00C3693E"/>
    <w:rsid w:val="00C37438"/>
    <w:rsid w:val="00C402D0"/>
    <w:rsid w:val="00C40C15"/>
    <w:rsid w:val="00C41B5A"/>
    <w:rsid w:val="00C41C45"/>
    <w:rsid w:val="00C42852"/>
    <w:rsid w:val="00C42BA0"/>
    <w:rsid w:val="00C43046"/>
    <w:rsid w:val="00C43094"/>
    <w:rsid w:val="00C4309A"/>
    <w:rsid w:val="00C44439"/>
    <w:rsid w:val="00C4459C"/>
    <w:rsid w:val="00C44658"/>
    <w:rsid w:val="00C4488A"/>
    <w:rsid w:val="00C448AC"/>
    <w:rsid w:val="00C457BA"/>
    <w:rsid w:val="00C46DE8"/>
    <w:rsid w:val="00C47915"/>
    <w:rsid w:val="00C50DAD"/>
    <w:rsid w:val="00C50DDE"/>
    <w:rsid w:val="00C50F47"/>
    <w:rsid w:val="00C511E1"/>
    <w:rsid w:val="00C51F42"/>
    <w:rsid w:val="00C52899"/>
    <w:rsid w:val="00C5290F"/>
    <w:rsid w:val="00C531F0"/>
    <w:rsid w:val="00C5343B"/>
    <w:rsid w:val="00C53804"/>
    <w:rsid w:val="00C54D96"/>
    <w:rsid w:val="00C5523E"/>
    <w:rsid w:val="00C55B7A"/>
    <w:rsid w:val="00C55F32"/>
    <w:rsid w:val="00C5622A"/>
    <w:rsid w:val="00C566BF"/>
    <w:rsid w:val="00C56A6E"/>
    <w:rsid w:val="00C56C27"/>
    <w:rsid w:val="00C56FBC"/>
    <w:rsid w:val="00C57241"/>
    <w:rsid w:val="00C57595"/>
    <w:rsid w:val="00C60F4A"/>
    <w:rsid w:val="00C625BC"/>
    <w:rsid w:val="00C62725"/>
    <w:rsid w:val="00C628DC"/>
    <w:rsid w:val="00C62E45"/>
    <w:rsid w:val="00C63084"/>
    <w:rsid w:val="00C63350"/>
    <w:rsid w:val="00C63C44"/>
    <w:rsid w:val="00C64609"/>
    <w:rsid w:val="00C65508"/>
    <w:rsid w:val="00C66A2E"/>
    <w:rsid w:val="00C66C01"/>
    <w:rsid w:val="00C67788"/>
    <w:rsid w:val="00C67A9A"/>
    <w:rsid w:val="00C7053B"/>
    <w:rsid w:val="00C71D45"/>
    <w:rsid w:val="00C72D94"/>
    <w:rsid w:val="00C72E27"/>
    <w:rsid w:val="00C7435A"/>
    <w:rsid w:val="00C745F2"/>
    <w:rsid w:val="00C7512A"/>
    <w:rsid w:val="00C754EA"/>
    <w:rsid w:val="00C75605"/>
    <w:rsid w:val="00C763D5"/>
    <w:rsid w:val="00C7702B"/>
    <w:rsid w:val="00C7718D"/>
    <w:rsid w:val="00C77C2A"/>
    <w:rsid w:val="00C77E48"/>
    <w:rsid w:val="00C81628"/>
    <w:rsid w:val="00C81AD3"/>
    <w:rsid w:val="00C826BC"/>
    <w:rsid w:val="00C826C9"/>
    <w:rsid w:val="00C828E5"/>
    <w:rsid w:val="00C82CD2"/>
    <w:rsid w:val="00C82F65"/>
    <w:rsid w:val="00C83240"/>
    <w:rsid w:val="00C8383A"/>
    <w:rsid w:val="00C83F57"/>
    <w:rsid w:val="00C8439B"/>
    <w:rsid w:val="00C848AA"/>
    <w:rsid w:val="00C84A08"/>
    <w:rsid w:val="00C84C90"/>
    <w:rsid w:val="00C85D5A"/>
    <w:rsid w:val="00C863BF"/>
    <w:rsid w:val="00C86697"/>
    <w:rsid w:val="00C87ADF"/>
    <w:rsid w:val="00C87CEE"/>
    <w:rsid w:val="00C905A6"/>
    <w:rsid w:val="00C90699"/>
    <w:rsid w:val="00C9077C"/>
    <w:rsid w:val="00C90F86"/>
    <w:rsid w:val="00C9190C"/>
    <w:rsid w:val="00C91996"/>
    <w:rsid w:val="00C920AE"/>
    <w:rsid w:val="00C92CEF"/>
    <w:rsid w:val="00C958FE"/>
    <w:rsid w:val="00C96859"/>
    <w:rsid w:val="00C97D9A"/>
    <w:rsid w:val="00CA062B"/>
    <w:rsid w:val="00CA0910"/>
    <w:rsid w:val="00CA1465"/>
    <w:rsid w:val="00CA1724"/>
    <w:rsid w:val="00CA20AB"/>
    <w:rsid w:val="00CA24DF"/>
    <w:rsid w:val="00CA29BC"/>
    <w:rsid w:val="00CA2D6B"/>
    <w:rsid w:val="00CA4120"/>
    <w:rsid w:val="00CA43E9"/>
    <w:rsid w:val="00CA5BE2"/>
    <w:rsid w:val="00CA6C79"/>
    <w:rsid w:val="00CA72A4"/>
    <w:rsid w:val="00CA7FB7"/>
    <w:rsid w:val="00CB0183"/>
    <w:rsid w:val="00CB0C13"/>
    <w:rsid w:val="00CB0D8C"/>
    <w:rsid w:val="00CB1880"/>
    <w:rsid w:val="00CB1B1F"/>
    <w:rsid w:val="00CB24FD"/>
    <w:rsid w:val="00CB255F"/>
    <w:rsid w:val="00CB26B7"/>
    <w:rsid w:val="00CB2717"/>
    <w:rsid w:val="00CB2890"/>
    <w:rsid w:val="00CB29AC"/>
    <w:rsid w:val="00CB39E6"/>
    <w:rsid w:val="00CB3AEA"/>
    <w:rsid w:val="00CB6E5A"/>
    <w:rsid w:val="00CB73A5"/>
    <w:rsid w:val="00CB7896"/>
    <w:rsid w:val="00CB7FA7"/>
    <w:rsid w:val="00CC0EC0"/>
    <w:rsid w:val="00CC153F"/>
    <w:rsid w:val="00CC1A64"/>
    <w:rsid w:val="00CC1D0E"/>
    <w:rsid w:val="00CC2026"/>
    <w:rsid w:val="00CC2057"/>
    <w:rsid w:val="00CC270E"/>
    <w:rsid w:val="00CC29CB"/>
    <w:rsid w:val="00CC2FC8"/>
    <w:rsid w:val="00CC3022"/>
    <w:rsid w:val="00CC36C5"/>
    <w:rsid w:val="00CC5021"/>
    <w:rsid w:val="00CC547B"/>
    <w:rsid w:val="00CC5A36"/>
    <w:rsid w:val="00CC715B"/>
    <w:rsid w:val="00CC77C1"/>
    <w:rsid w:val="00CD0364"/>
    <w:rsid w:val="00CD04C7"/>
    <w:rsid w:val="00CD07D9"/>
    <w:rsid w:val="00CD12D8"/>
    <w:rsid w:val="00CD29DD"/>
    <w:rsid w:val="00CD2AAF"/>
    <w:rsid w:val="00CD2DB2"/>
    <w:rsid w:val="00CD3CFF"/>
    <w:rsid w:val="00CD535D"/>
    <w:rsid w:val="00CD548A"/>
    <w:rsid w:val="00CD5704"/>
    <w:rsid w:val="00CD6564"/>
    <w:rsid w:val="00CD757B"/>
    <w:rsid w:val="00CE0231"/>
    <w:rsid w:val="00CE0392"/>
    <w:rsid w:val="00CE04E0"/>
    <w:rsid w:val="00CE05C8"/>
    <w:rsid w:val="00CE0A6F"/>
    <w:rsid w:val="00CE0F86"/>
    <w:rsid w:val="00CE1564"/>
    <w:rsid w:val="00CE1B61"/>
    <w:rsid w:val="00CE1C28"/>
    <w:rsid w:val="00CE2FB9"/>
    <w:rsid w:val="00CE38F0"/>
    <w:rsid w:val="00CE41C0"/>
    <w:rsid w:val="00CE4C8B"/>
    <w:rsid w:val="00CE550B"/>
    <w:rsid w:val="00CE57CA"/>
    <w:rsid w:val="00CE61B3"/>
    <w:rsid w:val="00CE64E5"/>
    <w:rsid w:val="00CE6743"/>
    <w:rsid w:val="00CE6931"/>
    <w:rsid w:val="00CF05A2"/>
    <w:rsid w:val="00CF05F7"/>
    <w:rsid w:val="00CF0CE3"/>
    <w:rsid w:val="00CF0D2A"/>
    <w:rsid w:val="00CF1359"/>
    <w:rsid w:val="00CF1A04"/>
    <w:rsid w:val="00CF1D5D"/>
    <w:rsid w:val="00CF201B"/>
    <w:rsid w:val="00CF2124"/>
    <w:rsid w:val="00CF23D6"/>
    <w:rsid w:val="00CF2B6D"/>
    <w:rsid w:val="00CF2FF3"/>
    <w:rsid w:val="00CF3310"/>
    <w:rsid w:val="00CF3444"/>
    <w:rsid w:val="00CF5281"/>
    <w:rsid w:val="00CF6F8D"/>
    <w:rsid w:val="00D00124"/>
    <w:rsid w:val="00D00533"/>
    <w:rsid w:val="00D007A8"/>
    <w:rsid w:val="00D00D8F"/>
    <w:rsid w:val="00D0112A"/>
    <w:rsid w:val="00D0120C"/>
    <w:rsid w:val="00D014DC"/>
    <w:rsid w:val="00D01F67"/>
    <w:rsid w:val="00D034F3"/>
    <w:rsid w:val="00D038E9"/>
    <w:rsid w:val="00D04E25"/>
    <w:rsid w:val="00D04E8A"/>
    <w:rsid w:val="00D04EAA"/>
    <w:rsid w:val="00D0558B"/>
    <w:rsid w:val="00D067A2"/>
    <w:rsid w:val="00D1061E"/>
    <w:rsid w:val="00D107C6"/>
    <w:rsid w:val="00D108E4"/>
    <w:rsid w:val="00D1132B"/>
    <w:rsid w:val="00D1137E"/>
    <w:rsid w:val="00D116EA"/>
    <w:rsid w:val="00D11FF7"/>
    <w:rsid w:val="00D127FE"/>
    <w:rsid w:val="00D12DEF"/>
    <w:rsid w:val="00D12E80"/>
    <w:rsid w:val="00D12F9A"/>
    <w:rsid w:val="00D13942"/>
    <w:rsid w:val="00D14993"/>
    <w:rsid w:val="00D15AB7"/>
    <w:rsid w:val="00D162CF"/>
    <w:rsid w:val="00D16ADF"/>
    <w:rsid w:val="00D16AF6"/>
    <w:rsid w:val="00D16F09"/>
    <w:rsid w:val="00D170D3"/>
    <w:rsid w:val="00D17949"/>
    <w:rsid w:val="00D210C4"/>
    <w:rsid w:val="00D21720"/>
    <w:rsid w:val="00D21A74"/>
    <w:rsid w:val="00D223CE"/>
    <w:rsid w:val="00D22BBC"/>
    <w:rsid w:val="00D23623"/>
    <w:rsid w:val="00D23F80"/>
    <w:rsid w:val="00D24322"/>
    <w:rsid w:val="00D2470A"/>
    <w:rsid w:val="00D2483A"/>
    <w:rsid w:val="00D2498B"/>
    <w:rsid w:val="00D25755"/>
    <w:rsid w:val="00D25B93"/>
    <w:rsid w:val="00D25BD6"/>
    <w:rsid w:val="00D26B60"/>
    <w:rsid w:val="00D2747B"/>
    <w:rsid w:val="00D27D26"/>
    <w:rsid w:val="00D30696"/>
    <w:rsid w:val="00D306C1"/>
    <w:rsid w:val="00D3102D"/>
    <w:rsid w:val="00D310DC"/>
    <w:rsid w:val="00D32A1E"/>
    <w:rsid w:val="00D32D27"/>
    <w:rsid w:val="00D337B5"/>
    <w:rsid w:val="00D33BAF"/>
    <w:rsid w:val="00D33E1F"/>
    <w:rsid w:val="00D3444D"/>
    <w:rsid w:val="00D3556E"/>
    <w:rsid w:val="00D35AC9"/>
    <w:rsid w:val="00D35C43"/>
    <w:rsid w:val="00D35CCD"/>
    <w:rsid w:val="00D36CDE"/>
    <w:rsid w:val="00D373A1"/>
    <w:rsid w:val="00D379DA"/>
    <w:rsid w:val="00D402BE"/>
    <w:rsid w:val="00D408C6"/>
    <w:rsid w:val="00D41805"/>
    <w:rsid w:val="00D4187C"/>
    <w:rsid w:val="00D428E8"/>
    <w:rsid w:val="00D42EC4"/>
    <w:rsid w:val="00D42EEE"/>
    <w:rsid w:val="00D43A90"/>
    <w:rsid w:val="00D43AFE"/>
    <w:rsid w:val="00D441FB"/>
    <w:rsid w:val="00D44C62"/>
    <w:rsid w:val="00D44D9E"/>
    <w:rsid w:val="00D45D8F"/>
    <w:rsid w:val="00D463ED"/>
    <w:rsid w:val="00D464A1"/>
    <w:rsid w:val="00D464F5"/>
    <w:rsid w:val="00D475A1"/>
    <w:rsid w:val="00D479F0"/>
    <w:rsid w:val="00D47DCD"/>
    <w:rsid w:val="00D5025B"/>
    <w:rsid w:val="00D50F0C"/>
    <w:rsid w:val="00D5113F"/>
    <w:rsid w:val="00D51311"/>
    <w:rsid w:val="00D51393"/>
    <w:rsid w:val="00D5200E"/>
    <w:rsid w:val="00D5223A"/>
    <w:rsid w:val="00D52465"/>
    <w:rsid w:val="00D52609"/>
    <w:rsid w:val="00D529BF"/>
    <w:rsid w:val="00D52A0F"/>
    <w:rsid w:val="00D52A2C"/>
    <w:rsid w:val="00D52C02"/>
    <w:rsid w:val="00D52CD4"/>
    <w:rsid w:val="00D52FF5"/>
    <w:rsid w:val="00D53744"/>
    <w:rsid w:val="00D55B39"/>
    <w:rsid w:val="00D56981"/>
    <w:rsid w:val="00D5758B"/>
    <w:rsid w:val="00D601CB"/>
    <w:rsid w:val="00D606C5"/>
    <w:rsid w:val="00D607AE"/>
    <w:rsid w:val="00D60B11"/>
    <w:rsid w:val="00D6113D"/>
    <w:rsid w:val="00D62098"/>
    <w:rsid w:val="00D622B7"/>
    <w:rsid w:val="00D622FF"/>
    <w:rsid w:val="00D62721"/>
    <w:rsid w:val="00D63226"/>
    <w:rsid w:val="00D63DEA"/>
    <w:rsid w:val="00D649F7"/>
    <w:rsid w:val="00D66202"/>
    <w:rsid w:val="00D679C1"/>
    <w:rsid w:val="00D67A30"/>
    <w:rsid w:val="00D703D9"/>
    <w:rsid w:val="00D7057B"/>
    <w:rsid w:val="00D705E1"/>
    <w:rsid w:val="00D7091E"/>
    <w:rsid w:val="00D70A66"/>
    <w:rsid w:val="00D71506"/>
    <w:rsid w:val="00D721DE"/>
    <w:rsid w:val="00D723BC"/>
    <w:rsid w:val="00D72687"/>
    <w:rsid w:val="00D72AD2"/>
    <w:rsid w:val="00D730F9"/>
    <w:rsid w:val="00D731AE"/>
    <w:rsid w:val="00D73EF4"/>
    <w:rsid w:val="00D7460E"/>
    <w:rsid w:val="00D7530F"/>
    <w:rsid w:val="00D7539D"/>
    <w:rsid w:val="00D7543A"/>
    <w:rsid w:val="00D7560B"/>
    <w:rsid w:val="00D75BB3"/>
    <w:rsid w:val="00D75D71"/>
    <w:rsid w:val="00D76667"/>
    <w:rsid w:val="00D77F1B"/>
    <w:rsid w:val="00D8013B"/>
    <w:rsid w:val="00D8029C"/>
    <w:rsid w:val="00D80B4C"/>
    <w:rsid w:val="00D81417"/>
    <w:rsid w:val="00D81555"/>
    <w:rsid w:val="00D823B3"/>
    <w:rsid w:val="00D8253D"/>
    <w:rsid w:val="00D8263A"/>
    <w:rsid w:val="00D82F00"/>
    <w:rsid w:val="00D83917"/>
    <w:rsid w:val="00D83D34"/>
    <w:rsid w:val="00D84950"/>
    <w:rsid w:val="00D8521D"/>
    <w:rsid w:val="00D85533"/>
    <w:rsid w:val="00D85A6B"/>
    <w:rsid w:val="00D86980"/>
    <w:rsid w:val="00D86BE4"/>
    <w:rsid w:val="00D87685"/>
    <w:rsid w:val="00D91B09"/>
    <w:rsid w:val="00D91C6A"/>
    <w:rsid w:val="00D91DA5"/>
    <w:rsid w:val="00D93882"/>
    <w:rsid w:val="00D939F5"/>
    <w:rsid w:val="00D945D1"/>
    <w:rsid w:val="00D94948"/>
    <w:rsid w:val="00D95058"/>
    <w:rsid w:val="00D950A9"/>
    <w:rsid w:val="00D952DC"/>
    <w:rsid w:val="00D95776"/>
    <w:rsid w:val="00D9605B"/>
    <w:rsid w:val="00D96275"/>
    <w:rsid w:val="00D96A07"/>
    <w:rsid w:val="00D96B9A"/>
    <w:rsid w:val="00D97AB9"/>
    <w:rsid w:val="00DA0519"/>
    <w:rsid w:val="00DA1029"/>
    <w:rsid w:val="00DA19FB"/>
    <w:rsid w:val="00DA1ED0"/>
    <w:rsid w:val="00DA23BD"/>
    <w:rsid w:val="00DA2893"/>
    <w:rsid w:val="00DA28BA"/>
    <w:rsid w:val="00DA293B"/>
    <w:rsid w:val="00DA404E"/>
    <w:rsid w:val="00DA46AC"/>
    <w:rsid w:val="00DA570D"/>
    <w:rsid w:val="00DA5FF8"/>
    <w:rsid w:val="00DA62B9"/>
    <w:rsid w:val="00DA637A"/>
    <w:rsid w:val="00DA64FE"/>
    <w:rsid w:val="00DA6C43"/>
    <w:rsid w:val="00DA7C3A"/>
    <w:rsid w:val="00DB003A"/>
    <w:rsid w:val="00DB0666"/>
    <w:rsid w:val="00DB091A"/>
    <w:rsid w:val="00DB0C41"/>
    <w:rsid w:val="00DB15B0"/>
    <w:rsid w:val="00DB1CD5"/>
    <w:rsid w:val="00DB28C3"/>
    <w:rsid w:val="00DB2A15"/>
    <w:rsid w:val="00DB2F12"/>
    <w:rsid w:val="00DB4BD2"/>
    <w:rsid w:val="00DB4E15"/>
    <w:rsid w:val="00DB5D80"/>
    <w:rsid w:val="00DB67C9"/>
    <w:rsid w:val="00DB6B9C"/>
    <w:rsid w:val="00DB6D10"/>
    <w:rsid w:val="00DB71AB"/>
    <w:rsid w:val="00DB72C6"/>
    <w:rsid w:val="00DB74BB"/>
    <w:rsid w:val="00DB7E07"/>
    <w:rsid w:val="00DC00BD"/>
    <w:rsid w:val="00DC0567"/>
    <w:rsid w:val="00DC0F21"/>
    <w:rsid w:val="00DC12DD"/>
    <w:rsid w:val="00DC2503"/>
    <w:rsid w:val="00DC27DD"/>
    <w:rsid w:val="00DC395E"/>
    <w:rsid w:val="00DC45A4"/>
    <w:rsid w:val="00DC4B5C"/>
    <w:rsid w:val="00DC617C"/>
    <w:rsid w:val="00DC6450"/>
    <w:rsid w:val="00DC6CB3"/>
    <w:rsid w:val="00DC6D6C"/>
    <w:rsid w:val="00DC7ADC"/>
    <w:rsid w:val="00DD0652"/>
    <w:rsid w:val="00DD0A52"/>
    <w:rsid w:val="00DD1074"/>
    <w:rsid w:val="00DD1752"/>
    <w:rsid w:val="00DD295F"/>
    <w:rsid w:val="00DD2C78"/>
    <w:rsid w:val="00DD2C99"/>
    <w:rsid w:val="00DD3005"/>
    <w:rsid w:val="00DD3E08"/>
    <w:rsid w:val="00DD4272"/>
    <w:rsid w:val="00DD436B"/>
    <w:rsid w:val="00DD43B0"/>
    <w:rsid w:val="00DD46B7"/>
    <w:rsid w:val="00DD4AC0"/>
    <w:rsid w:val="00DD51D9"/>
    <w:rsid w:val="00DD587D"/>
    <w:rsid w:val="00DD5C91"/>
    <w:rsid w:val="00DD66B1"/>
    <w:rsid w:val="00DD779D"/>
    <w:rsid w:val="00DE056A"/>
    <w:rsid w:val="00DE0886"/>
    <w:rsid w:val="00DE0DDE"/>
    <w:rsid w:val="00DE10DD"/>
    <w:rsid w:val="00DE2CDC"/>
    <w:rsid w:val="00DE3239"/>
    <w:rsid w:val="00DE39DE"/>
    <w:rsid w:val="00DE3BF7"/>
    <w:rsid w:val="00DE544B"/>
    <w:rsid w:val="00DE6566"/>
    <w:rsid w:val="00DE660E"/>
    <w:rsid w:val="00DE6B50"/>
    <w:rsid w:val="00DE6F1C"/>
    <w:rsid w:val="00DF2024"/>
    <w:rsid w:val="00DF348D"/>
    <w:rsid w:val="00DF3BAA"/>
    <w:rsid w:val="00DF46A9"/>
    <w:rsid w:val="00DF47B3"/>
    <w:rsid w:val="00DF48AF"/>
    <w:rsid w:val="00DF4C2C"/>
    <w:rsid w:val="00DF5050"/>
    <w:rsid w:val="00DF5C66"/>
    <w:rsid w:val="00DF61A1"/>
    <w:rsid w:val="00DF6795"/>
    <w:rsid w:val="00DF6B12"/>
    <w:rsid w:val="00DF6B9D"/>
    <w:rsid w:val="00DF711F"/>
    <w:rsid w:val="00DF74E2"/>
    <w:rsid w:val="00DF752B"/>
    <w:rsid w:val="00DF75ED"/>
    <w:rsid w:val="00E00011"/>
    <w:rsid w:val="00E00351"/>
    <w:rsid w:val="00E00A45"/>
    <w:rsid w:val="00E00DF2"/>
    <w:rsid w:val="00E00E58"/>
    <w:rsid w:val="00E0195A"/>
    <w:rsid w:val="00E019A3"/>
    <w:rsid w:val="00E01BD3"/>
    <w:rsid w:val="00E01C15"/>
    <w:rsid w:val="00E02366"/>
    <w:rsid w:val="00E02F39"/>
    <w:rsid w:val="00E03C47"/>
    <w:rsid w:val="00E041A4"/>
    <w:rsid w:val="00E04AD3"/>
    <w:rsid w:val="00E053E6"/>
    <w:rsid w:val="00E05A20"/>
    <w:rsid w:val="00E05DDD"/>
    <w:rsid w:val="00E05DEB"/>
    <w:rsid w:val="00E05FAD"/>
    <w:rsid w:val="00E0659D"/>
    <w:rsid w:val="00E079DD"/>
    <w:rsid w:val="00E10485"/>
    <w:rsid w:val="00E11FB3"/>
    <w:rsid w:val="00E12DC2"/>
    <w:rsid w:val="00E136FA"/>
    <w:rsid w:val="00E1390C"/>
    <w:rsid w:val="00E13FDB"/>
    <w:rsid w:val="00E15E6E"/>
    <w:rsid w:val="00E16286"/>
    <w:rsid w:val="00E16BC9"/>
    <w:rsid w:val="00E175E2"/>
    <w:rsid w:val="00E17F94"/>
    <w:rsid w:val="00E21D98"/>
    <w:rsid w:val="00E2215D"/>
    <w:rsid w:val="00E2266D"/>
    <w:rsid w:val="00E22A71"/>
    <w:rsid w:val="00E22C83"/>
    <w:rsid w:val="00E23191"/>
    <w:rsid w:val="00E2375E"/>
    <w:rsid w:val="00E24C9D"/>
    <w:rsid w:val="00E25054"/>
    <w:rsid w:val="00E25629"/>
    <w:rsid w:val="00E257CD"/>
    <w:rsid w:val="00E25818"/>
    <w:rsid w:val="00E27EC9"/>
    <w:rsid w:val="00E27FEA"/>
    <w:rsid w:val="00E30A2A"/>
    <w:rsid w:val="00E30C7B"/>
    <w:rsid w:val="00E31135"/>
    <w:rsid w:val="00E31C97"/>
    <w:rsid w:val="00E31E21"/>
    <w:rsid w:val="00E3232C"/>
    <w:rsid w:val="00E32B96"/>
    <w:rsid w:val="00E33CDC"/>
    <w:rsid w:val="00E33DC8"/>
    <w:rsid w:val="00E35207"/>
    <w:rsid w:val="00E35392"/>
    <w:rsid w:val="00E35BF3"/>
    <w:rsid w:val="00E3772D"/>
    <w:rsid w:val="00E37AD8"/>
    <w:rsid w:val="00E4052A"/>
    <w:rsid w:val="00E40D00"/>
    <w:rsid w:val="00E41072"/>
    <w:rsid w:val="00E414C4"/>
    <w:rsid w:val="00E41F0E"/>
    <w:rsid w:val="00E42575"/>
    <w:rsid w:val="00E43339"/>
    <w:rsid w:val="00E43C54"/>
    <w:rsid w:val="00E44285"/>
    <w:rsid w:val="00E44DDD"/>
    <w:rsid w:val="00E44F97"/>
    <w:rsid w:val="00E45A84"/>
    <w:rsid w:val="00E47154"/>
    <w:rsid w:val="00E47BCC"/>
    <w:rsid w:val="00E47E26"/>
    <w:rsid w:val="00E52734"/>
    <w:rsid w:val="00E52C3B"/>
    <w:rsid w:val="00E53606"/>
    <w:rsid w:val="00E53AE8"/>
    <w:rsid w:val="00E53C7B"/>
    <w:rsid w:val="00E53FD1"/>
    <w:rsid w:val="00E54C10"/>
    <w:rsid w:val="00E54F63"/>
    <w:rsid w:val="00E55F11"/>
    <w:rsid w:val="00E56625"/>
    <w:rsid w:val="00E56B67"/>
    <w:rsid w:val="00E56B8D"/>
    <w:rsid w:val="00E56D85"/>
    <w:rsid w:val="00E578DF"/>
    <w:rsid w:val="00E579E9"/>
    <w:rsid w:val="00E57F4D"/>
    <w:rsid w:val="00E57FB1"/>
    <w:rsid w:val="00E60683"/>
    <w:rsid w:val="00E60B68"/>
    <w:rsid w:val="00E61FD6"/>
    <w:rsid w:val="00E623AD"/>
    <w:rsid w:val="00E623D6"/>
    <w:rsid w:val="00E6242D"/>
    <w:rsid w:val="00E629FD"/>
    <w:rsid w:val="00E62C19"/>
    <w:rsid w:val="00E6325A"/>
    <w:rsid w:val="00E635EF"/>
    <w:rsid w:val="00E63A4C"/>
    <w:rsid w:val="00E645D3"/>
    <w:rsid w:val="00E648F7"/>
    <w:rsid w:val="00E64A99"/>
    <w:rsid w:val="00E64D63"/>
    <w:rsid w:val="00E65EC6"/>
    <w:rsid w:val="00E65FB2"/>
    <w:rsid w:val="00E6603A"/>
    <w:rsid w:val="00E660D0"/>
    <w:rsid w:val="00E715B3"/>
    <w:rsid w:val="00E71687"/>
    <w:rsid w:val="00E71B3D"/>
    <w:rsid w:val="00E72CC1"/>
    <w:rsid w:val="00E72ED6"/>
    <w:rsid w:val="00E72FDB"/>
    <w:rsid w:val="00E731EA"/>
    <w:rsid w:val="00E732D8"/>
    <w:rsid w:val="00E73B94"/>
    <w:rsid w:val="00E75146"/>
    <w:rsid w:val="00E7520B"/>
    <w:rsid w:val="00E755C6"/>
    <w:rsid w:val="00E75FB9"/>
    <w:rsid w:val="00E761E7"/>
    <w:rsid w:val="00E77498"/>
    <w:rsid w:val="00E774E9"/>
    <w:rsid w:val="00E77D4B"/>
    <w:rsid w:val="00E80297"/>
    <w:rsid w:val="00E807E4"/>
    <w:rsid w:val="00E80963"/>
    <w:rsid w:val="00E81888"/>
    <w:rsid w:val="00E829A6"/>
    <w:rsid w:val="00E82EAB"/>
    <w:rsid w:val="00E8303D"/>
    <w:rsid w:val="00E83209"/>
    <w:rsid w:val="00E83456"/>
    <w:rsid w:val="00E83A09"/>
    <w:rsid w:val="00E83DB8"/>
    <w:rsid w:val="00E83DDB"/>
    <w:rsid w:val="00E840DF"/>
    <w:rsid w:val="00E8584F"/>
    <w:rsid w:val="00E85FD0"/>
    <w:rsid w:val="00E86AF7"/>
    <w:rsid w:val="00E87682"/>
    <w:rsid w:val="00E87D10"/>
    <w:rsid w:val="00E87FB6"/>
    <w:rsid w:val="00E906F1"/>
    <w:rsid w:val="00E91C90"/>
    <w:rsid w:val="00E91CF3"/>
    <w:rsid w:val="00E91F90"/>
    <w:rsid w:val="00E92950"/>
    <w:rsid w:val="00E933E1"/>
    <w:rsid w:val="00E937D0"/>
    <w:rsid w:val="00E93B1A"/>
    <w:rsid w:val="00E93C75"/>
    <w:rsid w:val="00E941A0"/>
    <w:rsid w:val="00E955FE"/>
    <w:rsid w:val="00E9580C"/>
    <w:rsid w:val="00E95FE2"/>
    <w:rsid w:val="00E968C0"/>
    <w:rsid w:val="00E970E4"/>
    <w:rsid w:val="00EA014F"/>
    <w:rsid w:val="00EA0217"/>
    <w:rsid w:val="00EA0AF3"/>
    <w:rsid w:val="00EA17D9"/>
    <w:rsid w:val="00EA21DA"/>
    <w:rsid w:val="00EA25D1"/>
    <w:rsid w:val="00EA2A64"/>
    <w:rsid w:val="00EA2C5B"/>
    <w:rsid w:val="00EA2E72"/>
    <w:rsid w:val="00EA3179"/>
    <w:rsid w:val="00EA3A4B"/>
    <w:rsid w:val="00EA3AC4"/>
    <w:rsid w:val="00EA3BF1"/>
    <w:rsid w:val="00EA4E7C"/>
    <w:rsid w:val="00EA4E80"/>
    <w:rsid w:val="00EA530A"/>
    <w:rsid w:val="00EA551F"/>
    <w:rsid w:val="00EA6602"/>
    <w:rsid w:val="00EA68F4"/>
    <w:rsid w:val="00EA7248"/>
    <w:rsid w:val="00EA7357"/>
    <w:rsid w:val="00EB0769"/>
    <w:rsid w:val="00EB0B5E"/>
    <w:rsid w:val="00EB11FA"/>
    <w:rsid w:val="00EB1375"/>
    <w:rsid w:val="00EB13A6"/>
    <w:rsid w:val="00EB152C"/>
    <w:rsid w:val="00EB162D"/>
    <w:rsid w:val="00EB1D1A"/>
    <w:rsid w:val="00EB2966"/>
    <w:rsid w:val="00EB2C23"/>
    <w:rsid w:val="00EB3075"/>
    <w:rsid w:val="00EB3264"/>
    <w:rsid w:val="00EB3299"/>
    <w:rsid w:val="00EB337F"/>
    <w:rsid w:val="00EB391C"/>
    <w:rsid w:val="00EB3921"/>
    <w:rsid w:val="00EB394E"/>
    <w:rsid w:val="00EB43ED"/>
    <w:rsid w:val="00EB4484"/>
    <w:rsid w:val="00EB4B48"/>
    <w:rsid w:val="00EB4C29"/>
    <w:rsid w:val="00EB4F31"/>
    <w:rsid w:val="00EB5D4B"/>
    <w:rsid w:val="00EB6629"/>
    <w:rsid w:val="00EB67CB"/>
    <w:rsid w:val="00EB68C7"/>
    <w:rsid w:val="00EB6CC9"/>
    <w:rsid w:val="00EB7089"/>
    <w:rsid w:val="00EB7BB9"/>
    <w:rsid w:val="00EB7EA4"/>
    <w:rsid w:val="00EC02E4"/>
    <w:rsid w:val="00EC03A7"/>
    <w:rsid w:val="00EC03CC"/>
    <w:rsid w:val="00EC0405"/>
    <w:rsid w:val="00EC045B"/>
    <w:rsid w:val="00EC05E3"/>
    <w:rsid w:val="00EC08B3"/>
    <w:rsid w:val="00EC1CB2"/>
    <w:rsid w:val="00EC21B6"/>
    <w:rsid w:val="00EC2399"/>
    <w:rsid w:val="00EC2D72"/>
    <w:rsid w:val="00EC2E42"/>
    <w:rsid w:val="00EC3648"/>
    <w:rsid w:val="00EC3B6F"/>
    <w:rsid w:val="00EC4363"/>
    <w:rsid w:val="00EC54C5"/>
    <w:rsid w:val="00EC62B0"/>
    <w:rsid w:val="00ED0E21"/>
    <w:rsid w:val="00ED0FB2"/>
    <w:rsid w:val="00ED2522"/>
    <w:rsid w:val="00ED273E"/>
    <w:rsid w:val="00ED4548"/>
    <w:rsid w:val="00ED4E53"/>
    <w:rsid w:val="00ED504A"/>
    <w:rsid w:val="00ED55D7"/>
    <w:rsid w:val="00ED6525"/>
    <w:rsid w:val="00ED6650"/>
    <w:rsid w:val="00ED73B6"/>
    <w:rsid w:val="00ED76BA"/>
    <w:rsid w:val="00ED775A"/>
    <w:rsid w:val="00ED7796"/>
    <w:rsid w:val="00EE0058"/>
    <w:rsid w:val="00EE0B16"/>
    <w:rsid w:val="00EE0CFD"/>
    <w:rsid w:val="00EE0DEE"/>
    <w:rsid w:val="00EE0F53"/>
    <w:rsid w:val="00EE107E"/>
    <w:rsid w:val="00EE1219"/>
    <w:rsid w:val="00EE29F7"/>
    <w:rsid w:val="00EE31D1"/>
    <w:rsid w:val="00EE32A2"/>
    <w:rsid w:val="00EE34A0"/>
    <w:rsid w:val="00EE3E29"/>
    <w:rsid w:val="00EE44C2"/>
    <w:rsid w:val="00EE4C30"/>
    <w:rsid w:val="00EE4F88"/>
    <w:rsid w:val="00EE5DCB"/>
    <w:rsid w:val="00EE6486"/>
    <w:rsid w:val="00EE6750"/>
    <w:rsid w:val="00EE6763"/>
    <w:rsid w:val="00EE6806"/>
    <w:rsid w:val="00EE7BB1"/>
    <w:rsid w:val="00EF0538"/>
    <w:rsid w:val="00EF0F57"/>
    <w:rsid w:val="00EF1577"/>
    <w:rsid w:val="00EF189C"/>
    <w:rsid w:val="00EF1A02"/>
    <w:rsid w:val="00EF1ACD"/>
    <w:rsid w:val="00EF27B5"/>
    <w:rsid w:val="00EF2A3B"/>
    <w:rsid w:val="00EF2B05"/>
    <w:rsid w:val="00EF33BF"/>
    <w:rsid w:val="00EF3885"/>
    <w:rsid w:val="00EF4CB0"/>
    <w:rsid w:val="00EF5039"/>
    <w:rsid w:val="00EF6A4B"/>
    <w:rsid w:val="00EF6F70"/>
    <w:rsid w:val="00EF6FFD"/>
    <w:rsid w:val="00EF73C0"/>
    <w:rsid w:val="00EF73EE"/>
    <w:rsid w:val="00F003CB"/>
    <w:rsid w:val="00F00EA2"/>
    <w:rsid w:val="00F01D03"/>
    <w:rsid w:val="00F01EA0"/>
    <w:rsid w:val="00F02212"/>
    <w:rsid w:val="00F0237B"/>
    <w:rsid w:val="00F02855"/>
    <w:rsid w:val="00F02FA1"/>
    <w:rsid w:val="00F03067"/>
    <w:rsid w:val="00F03830"/>
    <w:rsid w:val="00F0459A"/>
    <w:rsid w:val="00F04988"/>
    <w:rsid w:val="00F049CF"/>
    <w:rsid w:val="00F05518"/>
    <w:rsid w:val="00F05951"/>
    <w:rsid w:val="00F0704F"/>
    <w:rsid w:val="00F071B1"/>
    <w:rsid w:val="00F071E0"/>
    <w:rsid w:val="00F0738C"/>
    <w:rsid w:val="00F07D45"/>
    <w:rsid w:val="00F07E50"/>
    <w:rsid w:val="00F07EF1"/>
    <w:rsid w:val="00F1067E"/>
    <w:rsid w:val="00F1095A"/>
    <w:rsid w:val="00F10F16"/>
    <w:rsid w:val="00F10F8B"/>
    <w:rsid w:val="00F118B8"/>
    <w:rsid w:val="00F11A49"/>
    <w:rsid w:val="00F1261D"/>
    <w:rsid w:val="00F12B15"/>
    <w:rsid w:val="00F13916"/>
    <w:rsid w:val="00F15024"/>
    <w:rsid w:val="00F15A43"/>
    <w:rsid w:val="00F165E9"/>
    <w:rsid w:val="00F17589"/>
    <w:rsid w:val="00F20483"/>
    <w:rsid w:val="00F20B2A"/>
    <w:rsid w:val="00F23307"/>
    <w:rsid w:val="00F233D4"/>
    <w:rsid w:val="00F242A4"/>
    <w:rsid w:val="00F24623"/>
    <w:rsid w:val="00F24B61"/>
    <w:rsid w:val="00F25024"/>
    <w:rsid w:val="00F252AA"/>
    <w:rsid w:val="00F25442"/>
    <w:rsid w:val="00F25448"/>
    <w:rsid w:val="00F255C4"/>
    <w:rsid w:val="00F26793"/>
    <w:rsid w:val="00F303B3"/>
    <w:rsid w:val="00F31053"/>
    <w:rsid w:val="00F31105"/>
    <w:rsid w:val="00F31EE3"/>
    <w:rsid w:val="00F321DB"/>
    <w:rsid w:val="00F32E57"/>
    <w:rsid w:val="00F32E9E"/>
    <w:rsid w:val="00F33519"/>
    <w:rsid w:val="00F33708"/>
    <w:rsid w:val="00F337C3"/>
    <w:rsid w:val="00F33949"/>
    <w:rsid w:val="00F33983"/>
    <w:rsid w:val="00F346B1"/>
    <w:rsid w:val="00F347C8"/>
    <w:rsid w:val="00F34CC2"/>
    <w:rsid w:val="00F34D74"/>
    <w:rsid w:val="00F3570E"/>
    <w:rsid w:val="00F3585B"/>
    <w:rsid w:val="00F35C54"/>
    <w:rsid w:val="00F35CF6"/>
    <w:rsid w:val="00F3689F"/>
    <w:rsid w:val="00F37027"/>
    <w:rsid w:val="00F41556"/>
    <w:rsid w:val="00F419A3"/>
    <w:rsid w:val="00F419DF"/>
    <w:rsid w:val="00F41D14"/>
    <w:rsid w:val="00F4220D"/>
    <w:rsid w:val="00F42AC4"/>
    <w:rsid w:val="00F42F6A"/>
    <w:rsid w:val="00F431A8"/>
    <w:rsid w:val="00F43BB1"/>
    <w:rsid w:val="00F43C2D"/>
    <w:rsid w:val="00F43C45"/>
    <w:rsid w:val="00F449D2"/>
    <w:rsid w:val="00F459D1"/>
    <w:rsid w:val="00F45B49"/>
    <w:rsid w:val="00F46926"/>
    <w:rsid w:val="00F474B8"/>
    <w:rsid w:val="00F47545"/>
    <w:rsid w:val="00F47C4C"/>
    <w:rsid w:val="00F50049"/>
    <w:rsid w:val="00F5073C"/>
    <w:rsid w:val="00F5139D"/>
    <w:rsid w:val="00F518A7"/>
    <w:rsid w:val="00F51E53"/>
    <w:rsid w:val="00F52321"/>
    <w:rsid w:val="00F52CBF"/>
    <w:rsid w:val="00F52FDC"/>
    <w:rsid w:val="00F5335C"/>
    <w:rsid w:val="00F53622"/>
    <w:rsid w:val="00F53D80"/>
    <w:rsid w:val="00F54AF4"/>
    <w:rsid w:val="00F54C60"/>
    <w:rsid w:val="00F55D78"/>
    <w:rsid w:val="00F5633B"/>
    <w:rsid w:val="00F56EB7"/>
    <w:rsid w:val="00F57925"/>
    <w:rsid w:val="00F6027C"/>
    <w:rsid w:val="00F60384"/>
    <w:rsid w:val="00F60DD4"/>
    <w:rsid w:val="00F61505"/>
    <w:rsid w:val="00F615C1"/>
    <w:rsid w:val="00F62230"/>
    <w:rsid w:val="00F63AEA"/>
    <w:rsid w:val="00F6404B"/>
    <w:rsid w:val="00F648CC"/>
    <w:rsid w:val="00F64D4E"/>
    <w:rsid w:val="00F66262"/>
    <w:rsid w:val="00F66591"/>
    <w:rsid w:val="00F66C16"/>
    <w:rsid w:val="00F7116E"/>
    <w:rsid w:val="00F7156D"/>
    <w:rsid w:val="00F71707"/>
    <w:rsid w:val="00F71D6C"/>
    <w:rsid w:val="00F71D76"/>
    <w:rsid w:val="00F729BD"/>
    <w:rsid w:val="00F72B20"/>
    <w:rsid w:val="00F733C0"/>
    <w:rsid w:val="00F73727"/>
    <w:rsid w:val="00F7380A"/>
    <w:rsid w:val="00F73A38"/>
    <w:rsid w:val="00F73E3A"/>
    <w:rsid w:val="00F74E3F"/>
    <w:rsid w:val="00F75849"/>
    <w:rsid w:val="00F75863"/>
    <w:rsid w:val="00F75A16"/>
    <w:rsid w:val="00F75DB7"/>
    <w:rsid w:val="00F75FE6"/>
    <w:rsid w:val="00F762A3"/>
    <w:rsid w:val="00F76C76"/>
    <w:rsid w:val="00F76FF2"/>
    <w:rsid w:val="00F80ADF"/>
    <w:rsid w:val="00F80BFA"/>
    <w:rsid w:val="00F8149F"/>
    <w:rsid w:val="00F8275C"/>
    <w:rsid w:val="00F8392F"/>
    <w:rsid w:val="00F845EB"/>
    <w:rsid w:val="00F84862"/>
    <w:rsid w:val="00F84B72"/>
    <w:rsid w:val="00F84D06"/>
    <w:rsid w:val="00F85848"/>
    <w:rsid w:val="00F866CD"/>
    <w:rsid w:val="00F86B27"/>
    <w:rsid w:val="00F87905"/>
    <w:rsid w:val="00F87D6D"/>
    <w:rsid w:val="00F87F67"/>
    <w:rsid w:val="00F90160"/>
    <w:rsid w:val="00F90B34"/>
    <w:rsid w:val="00F90C51"/>
    <w:rsid w:val="00F91167"/>
    <w:rsid w:val="00F91727"/>
    <w:rsid w:val="00F9250F"/>
    <w:rsid w:val="00F926E0"/>
    <w:rsid w:val="00F92723"/>
    <w:rsid w:val="00F9347B"/>
    <w:rsid w:val="00F9353C"/>
    <w:rsid w:val="00F93E22"/>
    <w:rsid w:val="00F9422D"/>
    <w:rsid w:val="00F94E35"/>
    <w:rsid w:val="00F95380"/>
    <w:rsid w:val="00F969BA"/>
    <w:rsid w:val="00F969D0"/>
    <w:rsid w:val="00F96A04"/>
    <w:rsid w:val="00FA0074"/>
    <w:rsid w:val="00FA0A24"/>
    <w:rsid w:val="00FA1298"/>
    <w:rsid w:val="00FA24EC"/>
    <w:rsid w:val="00FA40CC"/>
    <w:rsid w:val="00FA5E9D"/>
    <w:rsid w:val="00FA6F11"/>
    <w:rsid w:val="00FA7012"/>
    <w:rsid w:val="00FB06F9"/>
    <w:rsid w:val="00FB0ECB"/>
    <w:rsid w:val="00FB0FC8"/>
    <w:rsid w:val="00FB1281"/>
    <w:rsid w:val="00FB131B"/>
    <w:rsid w:val="00FB22F5"/>
    <w:rsid w:val="00FB242B"/>
    <w:rsid w:val="00FB2BC6"/>
    <w:rsid w:val="00FB3A4B"/>
    <w:rsid w:val="00FB54B8"/>
    <w:rsid w:val="00FB6B86"/>
    <w:rsid w:val="00FB6C16"/>
    <w:rsid w:val="00FB6DDF"/>
    <w:rsid w:val="00FB7821"/>
    <w:rsid w:val="00FB7FDB"/>
    <w:rsid w:val="00FC025F"/>
    <w:rsid w:val="00FC1099"/>
    <w:rsid w:val="00FC15A4"/>
    <w:rsid w:val="00FC23FD"/>
    <w:rsid w:val="00FC2B79"/>
    <w:rsid w:val="00FC3827"/>
    <w:rsid w:val="00FC3AB4"/>
    <w:rsid w:val="00FC3B68"/>
    <w:rsid w:val="00FC3B6B"/>
    <w:rsid w:val="00FC3F15"/>
    <w:rsid w:val="00FC40E3"/>
    <w:rsid w:val="00FC4EC8"/>
    <w:rsid w:val="00FC630A"/>
    <w:rsid w:val="00FC6BEE"/>
    <w:rsid w:val="00FC7022"/>
    <w:rsid w:val="00FC71AD"/>
    <w:rsid w:val="00FD008E"/>
    <w:rsid w:val="00FD083D"/>
    <w:rsid w:val="00FD09FA"/>
    <w:rsid w:val="00FD0A8A"/>
    <w:rsid w:val="00FD0ACA"/>
    <w:rsid w:val="00FD0FB2"/>
    <w:rsid w:val="00FD1922"/>
    <w:rsid w:val="00FD1A07"/>
    <w:rsid w:val="00FD27A3"/>
    <w:rsid w:val="00FD2950"/>
    <w:rsid w:val="00FD3410"/>
    <w:rsid w:val="00FD4169"/>
    <w:rsid w:val="00FD4B33"/>
    <w:rsid w:val="00FD4B6B"/>
    <w:rsid w:val="00FD4E89"/>
    <w:rsid w:val="00FD4F1D"/>
    <w:rsid w:val="00FD4F30"/>
    <w:rsid w:val="00FD5927"/>
    <w:rsid w:val="00FD6400"/>
    <w:rsid w:val="00FD6594"/>
    <w:rsid w:val="00FD67FF"/>
    <w:rsid w:val="00FE0592"/>
    <w:rsid w:val="00FE0BA0"/>
    <w:rsid w:val="00FE0D66"/>
    <w:rsid w:val="00FE15F1"/>
    <w:rsid w:val="00FE1644"/>
    <w:rsid w:val="00FE18A1"/>
    <w:rsid w:val="00FE1A27"/>
    <w:rsid w:val="00FE1BDF"/>
    <w:rsid w:val="00FE28F6"/>
    <w:rsid w:val="00FE2CE9"/>
    <w:rsid w:val="00FE3D4B"/>
    <w:rsid w:val="00FE42C7"/>
    <w:rsid w:val="00FE4339"/>
    <w:rsid w:val="00FE4A80"/>
    <w:rsid w:val="00FE6A2D"/>
    <w:rsid w:val="00FE6B08"/>
    <w:rsid w:val="00FE6DAF"/>
    <w:rsid w:val="00FE6F08"/>
    <w:rsid w:val="00FE6FB3"/>
    <w:rsid w:val="00FF0593"/>
    <w:rsid w:val="00FF05B9"/>
    <w:rsid w:val="00FF080E"/>
    <w:rsid w:val="00FF150F"/>
    <w:rsid w:val="00FF1B81"/>
    <w:rsid w:val="00FF1F23"/>
    <w:rsid w:val="00FF34B2"/>
    <w:rsid w:val="00FF3913"/>
    <w:rsid w:val="00FF4542"/>
    <w:rsid w:val="00FF48F5"/>
    <w:rsid w:val="00FF4B3A"/>
    <w:rsid w:val="00FF5238"/>
    <w:rsid w:val="00FF5BF6"/>
    <w:rsid w:val="00FF5C35"/>
    <w:rsid w:val="00FF68B2"/>
    <w:rsid w:val="014C1A54"/>
    <w:rsid w:val="02836176"/>
    <w:rsid w:val="02BA3FDD"/>
    <w:rsid w:val="043A5BFE"/>
    <w:rsid w:val="04685342"/>
    <w:rsid w:val="05C32492"/>
    <w:rsid w:val="05E14298"/>
    <w:rsid w:val="05E75C57"/>
    <w:rsid w:val="090E7810"/>
    <w:rsid w:val="097C5411"/>
    <w:rsid w:val="0A665916"/>
    <w:rsid w:val="0AD94194"/>
    <w:rsid w:val="0B9A5F88"/>
    <w:rsid w:val="0BC54D74"/>
    <w:rsid w:val="0C1977CA"/>
    <w:rsid w:val="0CDF1599"/>
    <w:rsid w:val="0EF5722D"/>
    <w:rsid w:val="0F0C5506"/>
    <w:rsid w:val="0F47389C"/>
    <w:rsid w:val="10967FA8"/>
    <w:rsid w:val="10E7288B"/>
    <w:rsid w:val="11233B6A"/>
    <w:rsid w:val="12176D07"/>
    <w:rsid w:val="12791152"/>
    <w:rsid w:val="12E3644D"/>
    <w:rsid w:val="13C936A3"/>
    <w:rsid w:val="14074B59"/>
    <w:rsid w:val="144813FA"/>
    <w:rsid w:val="153836A5"/>
    <w:rsid w:val="158E305E"/>
    <w:rsid w:val="15E52EB5"/>
    <w:rsid w:val="16210988"/>
    <w:rsid w:val="16E8719B"/>
    <w:rsid w:val="17FE02D8"/>
    <w:rsid w:val="1850425B"/>
    <w:rsid w:val="1A0B469A"/>
    <w:rsid w:val="1C8E7BC6"/>
    <w:rsid w:val="1CBE6F5C"/>
    <w:rsid w:val="1D070EC6"/>
    <w:rsid w:val="1D160898"/>
    <w:rsid w:val="1F0A48F8"/>
    <w:rsid w:val="1F7E3EDA"/>
    <w:rsid w:val="1FC147D9"/>
    <w:rsid w:val="21896BBF"/>
    <w:rsid w:val="21A4470C"/>
    <w:rsid w:val="22AD77FE"/>
    <w:rsid w:val="23714B09"/>
    <w:rsid w:val="237E1C4D"/>
    <w:rsid w:val="23872FEF"/>
    <w:rsid w:val="243E1387"/>
    <w:rsid w:val="25124147"/>
    <w:rsid w:val="256511CF"/>
    <w:rsid w:val="270A4BD6"/>
    <w:rsid w:val="27281F34"/>
    <w:rsid w:val="27FD2840"/>
    <w:rsid w:val="285E18A0"/>
    <w:rsid w:val="2A0C585F"/>
    <w:rsid w:val="2B2C6CA2"/>
    <w:rsid w:val="2B974113"/>
    <w:rsid w:val="2BF55F8A"/>
    <w:rsid w:val="2DF86349"/>
    <w:rsid w:val="2FA334E8"/>
    <w:rsid w:val="308A2674"/>
    <w:rsid w:val="30E20DC5"/>
    <w:rsid w:val="313C4998"/>
    <w:rsid w:val="33133CC3"/>
    <w:rsid w:val="332C2890"/>
    <w:rsid w:val="333F3DEE"/>
    <w:rsid w:val="347410DA"/>
    <w:rsid w:val="348025BC"/>
    <w:rsid w:val="34962942"/>
    <w:rsid w:val="35373E98"/>
    <w:rsid w:val="35810A33"/>
    <w:rsid w:val="35CF5584"/>
    <w:rsid w:val="37364723"/>
    <w:rsid w:val="37B13334"/>
    <w:rsid w:val="389554ED"/>
    <w:rsid w:val="396665CE"/>
    <w:rsid w:val="3AC3393B"/>
    <w:rsid w:val="3BAC3FAE"/>
    <w:rsid w:val="3C682D2C"/>
    <w:rsid w:val="3D7542D6"/>
    <w:rsid w:val="3DF337C7"/>
    <w:rsid w:val="3E175815"/>
    <w:rsid w:val="3FFB3B5F"/>
    <w:rsid w:val="424C0F10"/>
    <w:rsid w:val="428A1CCF"/>
    <w:rsid w:val="42A70980"/>
    <w:rsid w:val="42EA76C3"/>
    <w:rsid w:val="44BD0418"/>
    <w:rsid w:val="45737C18"/>
    <w:rsid w:val="458810E7"/>
    <w:rsid w:val="459C4BC3"/>
    <w:rsid w:val="46A57A48"/>
    <w:rsid w:val="46E01D32"/>
    <w:rsid w:val="47D27DBA"/>
    <w:rsid w:val="482D530A"/>
    <w:rsid w:val="48B14730"/>
    <w:rsid w:val="491573AA"/>
    <w:rsid w:val="49282FCC"/>
    <w:rsid w:val="49C750EF"/>
    <w:rsid w:val="4A521D67"/>
    <w:rsid w:val="4A9756C9"/>
    <w:rsid w:val="4B023982"/>
    <w:rsid w:val="4B1A3A66"/>
    <w:rsid w:val="4BD86144"/>
    <w:rsid w:val="4BF32B44"/>
    <w:rsid w:val="4C03079A"/>
    <w:rsid w:val="4C9D58AC"/>
    <w:rsid w:val="4D1B12D2"/>
    <w:rsid w:val="506E73A3"/>
    <w:rsid w:val="52FA4BD6"/>
    <w:rsid w:val="534A32B1"/>
    <w:rsid w:val="53AD5526"/>
    <w:rsid w:val="53D01971"/>
    <w:rsid w:val="53D84E5A"/>
    <w:rsid w:val="543D32A7"/>
    <w:rsid w:val="543D6C75"/>
    <w:rsid w:val="54DF67E4"/>
    <w:rsid w:val="551819C2"/>
    <w:rsid w:val="578506FE"/>
    <w:rsid w:val="59B5094B"/>
    <w:rsid w:val="59E55410"/>
    <w:rsid w:val="5B1D0C4B"/>
    <w:rsid w:val="5CD04B86"/>
    <w:rsid w:val="5D213B7C"/>
    <w:rsid w:val="5F7852D3"/>
    <w:rsid w:val="5FBC1FE7"/>
    <w:rsid w:val="601374BD"/>
    <w:rsid w:val="604868C7"/>
    <w:rsid w:val="60954BB5"/>
    <w:rsid w:val="620E52B9"/>
    <w:rsid w:val="62A02B68"/>
    <w:rsid w:val="62A72344"/>
    <w:rsid w:val="62C621DB"/>
    <w:rsid w:val="64857AC5"/>
    <w:rsid w:val="65432946"/>
    <w:rsid w:val="6601664A"/>
    <w:rsid w:val="66263133"/>
    <w:rsid w:val="66875F81"/>
    <w:rsid w:val="674118E1"/>
    <w:rsid w:val="681965D8"/>
    <w:rsid w:val="69444536"/>
    <w:rsid w:val="6A3B13B6"/>
    <w:rsid w:val="6A866317"/>
    <w:rsid w:val="6C86777A"/>
    <w:rsid w:val="6DC855B4"/>
    <w:rsid w:val="71A3140B"/>
    <w:rsid w:val="71AE5D8C"/>
    <w:rsid w:val="71CF1891"/>
    <w:rsid w:val="726A706D"/>
    <w:rsid w:val="73885D94"/>
    <w:rsid w:val="75284185"/>
    <w:rsid w:val="753329A7"/>
    <w:rsid w:val="772D605F"/>
    <w:rsid w:val="781A2075"/>
    <w:rsid w:val="797A70FF"/>
    <w:rsid w:val="7A0710D4"/>
    <w:rsid w:val="7C6F6241"/>
    <w:rsid w:val="7CDC1E50"/>
    <w:rsid w:val="7D8B7998"/>
    <w:rsid w:val="7EA77F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7"/>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0">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styleId="2">
    <w:name w:val="Note Heading"/>
    <w:basedOn w:val="1"/>
    <w:next w:val="1"/>
    <w:qFormat/>
    <w:uiPriority w:val="0"/>
    <w:pPr>
      <w:snapToGrid w:val="0"/>
      <w:spacing w:line="320" w:lineRule="exact"/>
      <w:ind w:firstLine="413" w:firstLineChars="200"/>
    </w:pPr>
    <w:rPr>
      <w:rFonts w:ascii="宋体" w:hAnsi="宋体"/>
      <w:b/>
      <w:color w:val="000000"/>
    </w:rPr>
  </w:style>
  <w:style w:type="paragraph" w:styleId="11">
    <w:name w:val="toc 7"/>
    <w:basedOn w:val="1"/>
    <w:next w:val="1"/>
    <w:qFormat/>
    <w:uiPriority w:val="39"/>
    <w:pPr>
      <w:ind w:left="1260"/>
      <w:jc w:val="left"/>
    </w:pPr>
    <w:rPr>
      <w:sz w:val="18"/>
      <w:szCs w:val="18"/>
    </w:rPr>
  </w:style>
  <w:style w:type="paragraph" w:styleId="12">
    <w:name w:val="Normal Indent"/>
    <w:basedOn w:val="1"/>
    <w:qFormat/>
    <w:uiPriority w:val="0"/>
    <w:pPr>
      <w:ind w:firstLine="420" w:firstLineChars="200"/>
    </w:pPr>
  </w:style>
  <w:style w:type="paragraph" w:styleId="13">
    <w:name w:val="annotation text"/>
    <w:basedOn w:val="1"/>
    <w:link w:val="48"/>
    <w:qFormat/>
    <w:uiPriority w:val="0"/>
    <w:pPr>
      <w:jc w:val="left"/>
    </w:pPr>
  </w:style>
  <w:style w:type="paragraph" w:styleId="14">
    <w:name w:val="Body Text 3"/>
    <w:basedOn w:val="1"/>
    <w:qFormat/>
    <w:uiPriority w:val="0"/>
    <w:rPr>
      <w:rFonts w:ascii="宋体"/>
      <w:sz w:val="24"/>
      <w:szCs w:val="20"/>
    </w:rPr>
  </w:style>
  <w:style w:type="paragraph" w:styleId="15">
    <w:name w:val="Body Text"/>
    <w:basedOn w:val="1"/>
    <w:qFormat/>
    <w:uiPriority w:val="0"/>
    <w:pPr>
      <w:spacing w:after="120"/>
    </w:pPr>
  </w:style>
  <w:style w:type="paragraph" w:styleId="16">
    <w:name w:val="Body Text Indent"/>
    <w:basedOn w:val="1"/>
    <w:next w:val="17"/>
    <w:qFormat/>
    <w:uiPriority w:val="0"/>
    <w:pPr>
      <w:spacing w:after="120"/>
      <w:ind w:left="420" w:leftChars="200"/>
    </w:pPr>
  </w:style>
  <w:style w:type="paragraph" w:styleId="17">
    <w:name w:val="envelope return"/>
    <w:basedOn w:val="1"/>
    <w:qFormat/>
    <w:uiPriority w:val="0"/>
    <w:pPr>
      <w:snapToGrid w:val="0"/>
    </w:pPr>
    <w:rPr>
      <w:rFonts w:ascii="Arial" w:hAnsi="Arial"/>
      <w:szCs w:val="24"/>
    </w:rPr>
  </w:style>
  <w:style w:type="paragraph" w:styleId="18">
    <w:name w:val="toc 5"/>
    <w:basedOn w:val="1"/>
    <w:next w:val="1"/>
    <w:qFormat/>
    <w:uiPriority w:val="39"/>
    <w:pPr>
      <w:ind w:left="840"/>
      <w:jc w:val="left"/>
    </w:pPr>
    <w:rPr>
      <w:sz w:val="18"/>
      <w:szCs w:val="18"/>
    </w:rPr>
  </w:style>
  <w:style w:type="paragraph" w:styleId="19">
    <w:name w:val="toc 3"/>
    <w:basedOn w:val="1"/>
    <w:next w:val="1"/>
    <w:qFormat/>
    <w:uiPriority w:val="39"/>
    <w:pPr>
      <w:ind w:left="420"/>
      <w:jc w:val="left"/>
    </w:pPr>
    <w:rPr>
      <w:i/>
      <w:iCs/>
      <w:sz w:val="20"/>
      <w:szCs w:val="20"/>
    </w:rPr>
  </w:style>
  <w:style w:type="paragraph" w:styleId="20">
    <w:name w:val="Plain Text"/>
    <w:basedOn w:val="1"/>
    <w:next w:val="1"/>
    <w:link w:val="49"/>
    <w:qFormat/>
    <w:uiPriority w:val="0"/>
    <w:rPr>
      <w:rFonts w:ascii="宋体" w:hAnsi="Courier New"/>
      <w:szCs w:val="20"/>
    </w:rPr>
  </w:style>
  <w:style w:type="paragraph" w:styleId="21">
    <w:name w:val="toc 8"/>
    <w:basedOn w:val="1"/>
    <w:next w:val="1"/>
    <w:qFormat/>
    <w:uiPriority w:val="39"/>
    <w:pPr>
      <w:ind w:left="1470"/>
      <w:jc w:val="left"/>
    </w:pPr>
    <w:rPr>
      <w:sz w:val="18"/>
      <w:szCs w:val="18"/>
    </w:rPr>
  </w:style>
  <w:style w:type="paragraph" w:styleId="22">
    <w:name w:val="Date"/>
    <w:basedOn w:val="1"/>
    <w:next w:val="1"/>
    <w:qFormat/>
    <w:uiPriority w:val="0"/>
    <w:rPr>
      <w:sz w:val="24"/>
      <w:szCs w:val="20"/>
    </w:rPr>
  </w:style>
  <w:style w:type="paragraph" w:styleId="23">
    <w:name w:val="Balloon Text"/>
    <w:basedOn w:val="1"/>
    <w:semiHidden/>
    <w:qFormat/>
    <w:uiPriority w:val="0"/>
    <w:rPr>
      <w:sz w:val="18"/>
      <w:szCs w:val="18"/>
    </w:rPr>
  </w:style>
  <w:style w:type="paragraph" w:styleId="24">
    <w:name w:val="footer"/>
    <w:basedOn w:val="1"/>
    <w:link w:val="50"/>
    <w:qFormat/>
    <w:uiPriority w:val="99"/>
    <w:pPr>
      <w:tabs>
        <w:tab w:val="center" w:pos="4153"/>
        <w:tab w:val="right" w:pos="8306"/>
      </w:tabs>
      <w:snapToGrid w:val="0"/>
      <w:jc w:val="left"/>
    </w:pPr>
    <w:rPr>
      <w:sz w:val="18"/>
      <w:szCs w:val="18"/>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right" w:leader="dot" w:pos="8316"/>
      </w:tabs>
      <w:ind w:firstLine="787" w:firstLineChars="392"/>
      <w:jc w:val="left"/>
    </w:pPr>
    <w:rPr>
      <w:b/>
      <w:bCs/>
      <w:caps/>
      <w:sz w:val="20"/>
      <w:szCs w:val="20"/>
    </w:rPr>
  </w:style>
  <w:style w:type="paragraph" w:styleId="27">
    <w:name w:val="toc 4"/>
    <w:basedOn w:val="1"/>
    <w:next w:val="1"/>
    <w:qFormat/>
    <w:uiPriority w:val="39"/>
    <w:pPr>
      <w:ind w:left="630"/>
      <w:jc w:val="left"/>
    </w:pPr>
    <w:rPr>
      <w:sz w:val="18"/>
      <w:szCs w:val="18"/>
    </w:rPr>
  </w:style>
  <w:style w:type="paragraph" w:styleId="28">
    <w:name w:val="toc 6"/>
    <w:basedOn w:val="1"/>
    <w:next w:val="1"/>
    <w:qFormat/>
    <w:uiPriority w:val="39"/>
    <w:pPr>
      <w:ind w:left="1050"/>
      <w:jc w:val="left"/>
    </w:pPr>
    <w:rPr>
      <w:sz w:val="18"/>
      <w:szCs w:val="18"/>
    </w:r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qFormat/>
    <w:uiPriority w:val="39"/>
    <w:pPr>
      <w:ind w:left="210"/>
      <w:jc w:val="left"/>
    </w:pPr>
    <w:rPr>
      <w:smallCaps/>
      <w:sz w:val="20"/>
      <w:szCs w:val="20"/>
    </w:rPr>
  </w:style>
  <w:style w:type="paragraph" w:styleId="31">
    <w:name w:val="toc 9"/>
    <w:basedOn w:val="1"/>
    <w:next w:val="1"/>
    <w:qFormat/>
    <w:uiPriority w:val="39"/>
    <w:pPr>
      <w:ind w:left="1680"/>
      <w:jc w:val="left"/>
    </w:pPr>
    <w:rPr>
      <w:sz w:val="18"/>
      <w:szCs w:val="18"/>
    </w:rPr>
  </w:style>
  <w:style w:type="paragraph" w:styleId="32">
    <w:name w:val="Normal (Web)"/>
    <w:basedOn w:val="1"/>
    <w:qFormat/>
    <w:uiPriority w:val="0"/>
    <w:pPr>
      <w:widowControl/>
      <w:tabs>
        <w:tab w:val="left" w:pos="992"/>
      </w:tabs>
      <w:spacing w:before="120" w:beforeLines="50" w:after="120" w:afterLines="50" w:line="360" w:lineRule="auto"/>
      <w:ind w:left="992" w:hanging="567"/>
      <w:jc w:val="left"/>
    </w:pPr>
    <w:rPr>
      <w:rFonts w:ascii="宋体" w:hAnsi="宋体"/>
      <w:b/>
      <w:bCs/>
      <w:kern w:val="0"/>
      <w:sz w:val="24"/>
    </w:rPr>
  </w:style>
  <w:style w:type="paragraph" w:styleId="33">
    <w:name w:val="index 1"/>
    <w:basedOn w:val="1"/>
    <w:next w:val="1"/>
    <w:semiHidden/>
    <w:qFormat/>
    <w:uiPriority w:val="0"/>
    <w:pPr>
      <w:spacing w:line="220" w:lineRule="exact"/>
      <w:jc w:val="center"/>
    </w:pPr>
    <w:rPr>
      <w:rFonts w:ascii="仿宋_GB2312" w:eastAsia="仿宋_GB2312"/>
      <w:szCs w:val="21"/>
    </w:rPr>
  </w:style>
  <w:style w:type="paragraph" w:styleId="34">
    <w:name w:val="Title"/>
    <w:basedOn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5">
    <w:name w:val="annotation subject"/>
    <w:basedOn w:val="13"/>
    <w:next w:val="13"/>
    <w:semiHidden/>
    <w:qFormat/>
    <w:uiPriority w:val="0"/>
    <w:rPr>
      <w:b/>
      <w:bCs/>
    </w:rPr>
  </w:style>
  <w:style w:type="paragraph" w:styleId="36">
    <w:name w:val="Body Text First Indent 2"/>
    <w:basedOn w:val="16"/>
    <w:next w:val="37"/>
    <w:qFormat/>
    <w:uiPriority w:val="0"/>
    <w:pPr>
      <w:ind w:firstLine="420" w:firstLineChars="200"/>
    </w:pPr>
  </w:style>
  <w:style w:type="paragraph" w:customStyle="1" w:styleId="37">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22"/>
    <w:rPr>
      <w:b/>
      <w:bCs/>
    </w:rPr>
  </w:style>
  <w:style w:type="character" w:styleId="42">
    <w:name w:val="page number"/>
    <w:qFormat/>
    <w:uiPriority w:val="0"/>
  </w:style>
  <w:style w:type="character" w:styleId="43">
    <w:name w:val="FollowedHyperlink"/>
    <w:qFormat/>
    <w:uiPriority w:val="0"/>
    <w:rPr>
      <w:color w:val="800080"/>
      <w:u w:val="single"/>
    </w:rPr>
  </w:style>
  <w:style w:type="character" w:styleId="44">
    <w:name w:val="line number"/>
    <w:qFormat/>
    <w:uiPriority w:val="0"/>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customStyle="1" w:styleId="47">
    <w:name w:val="标题 2 Char"/>
    <w:link w:val="4"/>
    <w:qFormat/>
    <w:uiPriority w:val="0"/>
    <w:rPr>
      <w:rFonts w:ascii="Arial" w:hAnsi="Arial" w:eastAsia="黑体"/>
      <w:b/>
      <w:bCs/>
      <w:kern w:val="2"/>
      <w:sz w:val="32"/>
      <w:szCs w:val="32"/>
      <w:lang w:val="en-US" w:eastAsia="zh-CN" w:bidi="ar-SA"/>
    </w:rPr>
  </w:style>
  <w:style w:type="character" w:customStyle="1" w:styleId="48">
    <w:name w:val="批注文字 Char"/>
    <w:link w:val="13"/>
    <w:qFormat/>
    <w:uiPriority w:val="0"/>
    <w:rPr>
      <w:rFonts w:eastAsia="宋体"/>
      <w:kern w:val="2"/>
      <w:sz w:val="21"/>
      <w:szCs w:val="24"/>
      <w:lang w:val="en-US" w:eastAsia="zh-CN" w:bidi="ar-SA"/>
    </w:rPr>
  </w:style>
  <w:style w:type="character" w:customStyle="1" w:styleId="49">
    <w:name w:val="纯文本 Char"/>
    <w:link w:val="20"/>
    <w:qFormat/>
    <w:locked/>
    <w:uiPriority w:val="0"/>
    <w:rPr>
      <w:rFonts w:ascii="宋体" w:hAnsi="Courier New" w:eastAsia="宋体"/>
      <w:kern w:val="2"/>
      <w:sz w:val="21"/>
      <w:lang w:val="en-US" w:eastAsia="zh-CN" w:bidi="ar-SA"/>
    </w:rPr>
  </w:style>
  <w:style w:type="character" w:customStyle="1" w:styleId="50">
    <w:name w:val="页脚 Char"/>
    <w:link w:val="24"/>
    <w:qFormat/>
    <w:uiPriority w:val="99"/>
    <w:rPr>
      <w:kern w:val="2"/>
      <w:sz w:val="18"/>
      <w:szCs w:val="18"/>
    </w:rPr>
  </w:style>
  <w:style w:type="character" w:customStyle="1" w:styleId="51">
    <w:name w:val="普通文字 Char Char"/>
    <w:qFormat/>
    <w:locked/>
    <w:uiPriority w:val="0"/>
    <w:rPr>
      <w:rFonts w:ascii="宋体" w:hAnsi="Courier New" w:eastAsia="楷体_GB2312"/>
      <w:kern w:val="2"/>
      <w:sz w:val="21"/>
      <w:szCs w:val="24"/>
      <w:lang w:val="en-US" w:eastAsia="zh-CN" w:bidi="ar-SA"/>
    </w:rPr>
  </w:style>
  <w:style w:type="character" w:customStyle="1" w:styleId="52">
    <w:name w:val="font161"/>
    <w:qFormat/>
    <w:uiPriority w:val="0"/>
    <w:rPr>
      <w:b/>
      <w:bCs/>
      <w:sz w:val="32"/>
      <w:szCs w:val="32"/>
    </w:rPr>
  </w:style>
  <w:style w:type="character" w:customStyle="1" w:styleId="53">
    <w:name w:val="apple-style-span"/>
    <w:qFormat/>
    <w:uiPriority w:val="0"/>
  </w:style>
  <w:style w:type="character" w:customStyle="1" w:styleId="54">
    <w:name w:val="ggnr1"/>
    <w:qFormat/>
    <w:uiPriority w:val="0"/>
    <w:rPr>
      <w:sz w:val="26"/>
      <w:szCs w:val="26"/>
    </w:rPr>
  </w:style>
  <w:style w:type="character" w:customStyle="1" w:styleId="55">
    <w:name w:val="纯文本 Char1"/>
    <w:qFormat/>
    <w:locked/>
    <w:uiPriority w:val="0"/>
    <w:rPr>
      <w:rFonts w:ascii="宋体" w:hAnsi="Courier New" w:eastAsia="宋体"/>
      <w:kern w:val="2"/>
      <w:sz w:val="21"/>
      <w:lang w:val="en-US" w:eastAsia="zh-CN" w:bidi="ar-SA"/>
    </w:rPr>
  </w:style>
  <w:style w:type="character" w:customStyle="1" w:styleId="56">
    <w:name w:val="Plain Text Char"/>
    <w:qFormat/>
    <w:locked/>
    <w:uiPriority w:val="0"/>
    <w:rPr>
      <w:rFonts w:ascii="宋体" w:hAnsi="Courier New" w:eastAsia="宋体"/>
      <w:kern w:val="2"/>
      <w:sz w:val="21"/>
      <w:lang w:val="en-US" w:eastAsia="zh-CN" w:bidi="ar-SA"/>
    </w:rPr>
  </w:style>
  <w:style w:type="character" w:customStyle="1" w:styleId="57">
    <w:name w:val=" Char Char6"/>
    <w:qFormat/>
    <w:locked/>
    <w:uiPriority w:val="0"/>
    <w:rPr>
      <w:rFonts w:ascii="宋体" w:hAnsi="Courier New" w:eastAsia="宋体"/>
      <w:kern w:val="2"/>
      <w:sz w:val="21"/>
      <w:lang w:val="en-US" w:eastAsia="zh-CN" w:bidi="ar-SA"/>
    </w:rPr>
  </w:style>
  <w:style w:type="character" w:customStyle="1" w:styleId="58">
    <w:name w:val="文一 Char Char"/>
    <w:link w:val="59"/>
    <w:qFormat/>
    <w:uiPriority w:val="0"/>
    <w:rPr>
      <w:snapToGrid w:val="0"/>
      <w:spacing w:val="4"/>
      <w:sz w:val="24"/>
      <w:szCs w:val="24"/>
      <w:lang w:bidi="ar-SA"/>
    </w:rPr>
  </w:style>
  <w:style w:type="paragraph" w:customStyle="1" w:styleId="59">
    <w:name w:val="文一"/>
    <w:basedOn w:val="1"/>
    <w:link w:val="58"/>
    <w:qFormat/>
    <w:uiPriority w:val="0"/>
    <w:pPr>
      <w:topLinePunct/>
      <w:adjustRightInd w:val="0"/>
      <w:snapToGrid w:val="0"/>
      <w:spacing w:line="360" w:lineRule="auto"/>
      <w:ind w:firstLine="200" w:firstLineChars="200"/>
    </w:pPr>
    <w:rPr>
      <w:snapToGrid w:val="0"/>
      <w:spacing w:val="4"/>
      <w:kern w:val="0"/>
      <w:sz w:val="24"/>
    </w:rPr>
  </w:style>
  <w:style w:type="character" w:customStyle="1" w:styleId="60">
    <w:name w:val="apple-converted-space"/>
    <w:qFormat/>
    <w:uiPriority w:val="0"/>
  </w:style>
  <w:style w:type="paragraph" w:customStyle="1" w:styleId="61">
    <w:name w:val="表头"/>
    <w:basedOn w:val="1"/>
    <w:qFormat/>
    <w:uiPriority w:val="0"/>
    <w:pPr>
      <w:spacing w:line="360" w:lineRule="auto"/>
      <w:jc w:val="center"/>
    </w:pPr>
    <w:rPr>
      <w:rFonts w:ascii="黑体" w:eastAsia="黑体"/>
      <w:kern w:val="0"/>
      <w:sz w:val="24"/>
      <w:szCs w:val="20"/>
    </w:rPr>
  </w:style>
  <w:style w:type="paragraph" w:customStyle="1" w:styleId="62">
    <w:name w:val="Char Char Char Char Char Char Char"/>
    <w:basedOn w:val="1"/>
    <w:qFormat/>
    <w:uiPriority w:val="0"/>
    <w:pPr>
      <w:widowControl/>
      <w:spacing w:after="160" w:line="240" w:lineRule="exact"/>
      <w:jc w:val="left"/>
    </w:pPr>
    <w:rPr>
      <w:szCs w:val="20"/>
    </w:rPr>
  </w:style>
  <w:style w:type="paragraph" w:customStyle="1" w:styleId="63">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6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6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6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68">
    <w:name w:val="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69">
    <w:name w:val="表格文字"/>
    <w:basedOn w:val="1"/>
    <w:qFormat/>
    <w:uiPriority w:val="0"/>
    <w:pPr>
      <w:adjustRightInd w:val="0"/>
      <w:spacing w:line="420" w:lineRule="atLeast"/>
      <w:jc w:val="left"/>
      <w:textAlignment w:val="baseline"/>
    </w:pPr>
    <w:rPr>
      <w:kern w:val="0"/>
      <w:szCs w:val="20"/>
    </w:rPr>
  </w:style>
  <w:style w:type="paragraph" w:customStyle="1" w:styleId="70">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71">
    <w:name w:val="1"/>
    <w:basedOn w:val="1"/>
    <w:next w:val="1"/>
    <w:qFormat/>
    <w:uiPriority w:val="0"/>
  </w:style>
  <w:style w:type="paragraph" w:customStyle="1" w:styleId="72">
    <w:name w:val="表格"/>
    <w:basedOn w:val="1"/>
    <w:qFormat/>
    <w:uiPriority w:val="0"/>
    <w:pPr>
      <w:jc w:val="center"/>
      <w:textAlignment w:val="center"/>
    </w:pPr>
    <w:rPr>
      <w:rFonts w:ascii="华文细黑" w:hAnsi="华文细黑"/>
      <w:kern w:val="0"/>
      <w:szCs w:val="20"/>
    </w:rPr>
  </w:style>
  <w:style w:type="paragraph" w:customStyle="1" w:styleId="73">
    <w:name w:val=" Char Char Char Char Char Char Char"/>
    <w:basedOn w:val="1"/>
    <w:qFormat/>
    <w:uiPriority w:val="0"/>
    <w:pPr>
      <w:widowControl/>
      <w:spacing w:after="160" w:line="240" w:lineRule="exact"/>
      <w:jc w:val="left"/>
    </w:pPr>
  </w:style>
  <w:style w:type="paragraph" w:customStyle="1" w:styleId="74">
    <w:name w:val="_Style 73"/>
    <w:semiHidden/>
    <w:qFormat/>
    <w:uiPriority w:val="99"/>
    <w:rPr>
      <w:rFonts w:ascii="Times New Roman" w:hAnsi="Times New Roman" w:eastAsia="宋体" w:cs="Times New Roman"/>
      <w:kern w:val="2"/>
      <w:sz w:val="21"/>
      <w:szCs w:val="24"/>
      <w:lang w:val="en-US" w:eastAsia="zh-CN" w:bidi="ar-SA"/>
    </w:rPr>
  </w:style>
  <w:style w:type="character" w:customStyle="1" w:styleId="75">
    <w:name w:val="font21"/>
    <w:qFormat/>
    <w:uiPriority w:val="0"/>
    <w:rPr>
      <w:rFonts w:hint="eastAsia" w:ascii="仿宋_GB2312" w:eastAsia="仿宋_GB2312"/>
      <w:color w:val="000000"/>
      <w:sz w:val="28"/>
      <w:szCs w:val="28"/>
      <w:u w:val="none"/>
    </w:rPr>
  </w:style>
  <w:style w:type="character" w:customStyle="1" w:styleId="76">
    <w:name w:val="font11"/>
    <w:qFormat/>
    <w:uiPriority w:val="0"/>
    <w:rPr>
      <w:rFonts w:hint="default" w:ascii="Times New Roman" w:hAnsi="Times New Roman" w:cs="Times New Roman"/>
      <w:color w:val="000000"/>
      <w:sz w:val="28"/>
      <w:szCs w:val="28"/>
      <w:u w:val="none"/>
    </w:rPr>
  </w:style>
  <w:style w:type="paragraph" w:customStyle="1" w:styleId="77">
    <w:name w:val="List Paragraph"/>
    <w:basedOn w:val="1"/>
    <w:qFormat/>
    <w:uiPriority w:val="0"/>
    <w:pPr>
      <w:ind w:firstLine="420" w:firstLineChars="200"/>
    </w:pPr>
    <w:rPr>
      <w:rFonts w:ascii="Calibri" w:hAnsi="Calibri" w:cs="Calibri"/>
      <w:szCs w:val="21"/>
    </w:rPr>
  </w:style>
  <w:style w:type="table" w:customStyle="1" w:styleId="7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wmf"/><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183</Pages>
  <Words>19384</Words>
  <Characters>110491</Characters>
  <Lines>920</Lines>
  <Paragraphs>259</Paragraphs>
  <TotalTime>40</TotalTime>
  <ScaleCrop>false</ScaleCrop>
  <LinksUpToDate>false</LinksUpToDate>
  <CharactersWithSpaces>129616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2018-04-25T07:22:00Z</dcterms:created>
  <dc:creator>ASUS</dc:creator>
  <cp:lastModifiedBy>ABC</cp:lastModifiedBy>
  <cp:lastPrinted>2023-10-17T09:29:00Z</cp:lastPrinted>
  <dcterms:modified xsi:type="dcterms:W3CDTF">2023-10-23T02:24:08Z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5FFF56C292F04812B279F126E8C0F500_13</vt:lpwstr>
  </property>
</Properties>
</file>