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360" w:lineRule="auto"/>
        <w:jc w:val="center"/>
        <w:rPr>
          <w:rFonts w:ascii="宋体" w:hAnsi="宋体" w:eastAsia="宋体" w:cs="宋体"/>
          <w:b/>
          <w:color w:val="auto"/>
          <w:sz w:val="44"/>
          <w:szCs w:val="48"/>
          <w:highlight w:val="none"/>
        </w:rPr>
      </w:pPr>
      <w:bookmarkStart w:id="0" w:name="_Toc492300545"/>
    </w:p>
    <w:p>
      <w:pPr>
        <w:topLinePunct/>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会展西路过江隧道工程工程一切险及第三者责任险</w:t>
      </w: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rPr>
          <w:color w:val="auto"/>
          <w:highlight w:val="none"/>
        </w:rPr>
      </w:pPr>
    </w:p>
    <w:p>
      <w:pPr>
        <w:topLinePunct/>
        <w:spacing w:line="360" w:lineRule="auto"/>
        <w:jc w:val="center"/>
        <w:rPr>
          <w:rStyle w:val="86"/>
          <w:rFonts w:ascii="宋体" w:hAnsi="宋体" w:eastAsia="宋体" w:cs="宋体"/>
          <w:b w:val="0"/>
          <w:color w:val="auto"/>
          <w:spacing w:val="40"/>
          <w:kern w:val="10"/>
          <w:sz w:val="84"/>
          <w:szCs w:val="84"/>
          <w:highlight w:val="none"/>
        </w:rPr>
      </w:pPr>
      <w:r>
        <w:rPr>
          <w:rStyle w:val="86"/>
          <w:rFonts w:hint="eastAsia" w:ascii="宋体" w:hAnsi="宋体" w:eastAsia="宋体" w:cs="宋体"/>
          <w:bCs/>
          <w:color w:val="auto"/>
          <w:spacing w:val="40"/>
          <w:kern w:val="10"/>
          <w:sz w:val="84"/>
          <w:szCs w:val="84"/>
          <w:highlight w:val="none"/>
        </w:rPr>
        <w:t>招标文件</w:t>
      </w:r>
    </w:p>
    <w:p>
      <w:pPr>
        <w:topLinePunct/>
        <w:spacing w:line="360" w:lineRule="auto"/>
        <w:jc w:val="center"/>
        <w:rPr>
          <w:rFonts w:ascii="宋体" w:hAnsi="宋体" w:eastAsia="宋体" w:cs="宋体"/>
          <w:color w:val="auto"/>
          <w:highlight w:val="none"/>
        </w:rPr>
      </w:pPr>
    </w:p>
    <w:p>
      <w:pPr>
        <w:topLinePunct/>
        <w:spacing w:line="360" w:lineRule="auto"/>
        <w:rPr>
          <w:rFonts w:ascii="宋体" w:hAnsi="宋体" w:eastAsia="宋体" w:cs="宋体"/>
          <w:color w:val="auto"/>
          <w:sz w:val="27"/>
          <w:szCs w:val="27"/>
          <w:highlight w:val="none"/>
        </w:rPr>
      </w:pPr>
    </w:p>
    <w:p>
      <w:pPr>
        <w:pStyle w:val="54"/>
        <w:rPr>
          <w:rFonts w:ascii="宋体" w:hAnsi="宋体" w:cs="宋体"/>
          <w:color w:val="auto"/>
          <w:sz w:val="27"/>
          <w:szCs w:val="27"/>
          <w:highlight w:val="none"/>
        </w:rPr>
      </w:pPr>
    </w:p>
    <w:p>
      <w:pPr>
        <w:pStyle w:val="54"/>
        <w:rPr>
          <w:rFonts w:ascii="宋体" w:hAnsi="宋体" w:cs="宋体"/>
          <w:color w:val="auto"/>
          <w:sz w:val="27"/>
          <w:szCs w:val="27"/>
          <w:highlight w:val="none"/>
        </w:rPr>
      </w:pPr>
    </w:p>
    <w:p>
      <w:pPr>
        <w:pStyle w:val="54"/>
        <w:rPr>
          <w:rFonts w:ascii="宋体" w:hAnsi="宋体" w:cs="宋体"/>
          <w:color w:val="auto"/>
          <w:sz w:val="27"/>
          <w:szCs w:val="27"/>
          <w:highlight w:val="none"/>
        </w:rPr>
      </w:pPr>
    </w:p>
    <w:p>
      <w:pPr>
        <w:pStyle w:val="54"/>
        <w:rPr>
          <w:rFonts w:ascii="宋体" w:hAnsi="宋体" w:cs="宋体"/>
          <w:color w:val="auto"/>
          <w:sz w:val="27"/>
          <w:szCs w:val="27"/>
          <w:highlight w:val="none"/>
        </w:rPr>
      </w:pPr>
    </w:p>
    <w:p>
      <w:pPr>
        <w:pStyle w:val="54"/>
        <w:rPr>
          <w:rFonts w:ascii="宋体" w:hAnsi="宋体" w:cs="宋体"/>
          <w:color w:val="auto"/>
          <w:sz w:val="27"/>
          <w:szCs w:val="27"/>
          <w:highlight w:val="none"/>
        </w:rPr>
      </w:pPr>
    </w:p>
    <w:p>
      <w:pPr>
        <w:pStyle w:val="54"/>
        <w:rPr>
          <w:rFonts w:ascii="宋体" w:hAnsi="宋体" w:cs="宋体"/>
          <w:color w:val="auto"/>
          <w:sz w:val="27"/>
          <w:szCs w:val="27"/>
          <w:highlight w:val="none"/>
        </w:rPr>
      </w:pPr>
    </w:p>
    <w:p>
      <w:pPr>
        <w:pStyle w:val="54"/>
        <w:rPr>
          <w:rFonts w:ascii="宋体" w:hAnsi="宋体" w:cs="宋体"/>
          <w:color w:val="auto"/>
          <w:sz w:val="27"/>
          <w:szCs w:val="27"/>
          <w:highlight w:val="none"/>
        </w:rPr>
      </w:pPr>
    </w:p>
    <w:p>
      <w:pPr>
        <w:pStyle w:val="54"/>
        <w:rPr>
          <w:rFonts w:ascii="宋体" w:hAnsi="宋体" w:cs="宋体"/>
          <w:color w:val="auto"/>
          <w:sz w:val="27"/>
          <w:szCs w:val="27"/>
          <w:highlight w:val="none"/>
        </w:rPr>
      </w:pPr>
    </w:p>
    <w:p>
      <w:pPr>
        <w:pStyle w:val="54"/>
        <w:rPr>
          <w:rFonts w:ascii="宋体" w:hAnsi="宋体" w:cs="宋体"/>
          <w:color w:val="auto"/>
          <w:sz w:val="27"/>
          <w:szCs w:val="27"/>
          <w:highlight w:val="none"/>
        </w:rPr>
      </w:pPr>
    </w:p>
    <w:p>
      <w:pPr>
        <w:pStyle w:val="54"/>
        <w:rPr>
          <w:color w:val="auto"/>
          <w:highlight w:val="none"/>
        </w:rPr>
      </w:pPr>
    </w:p>
    <w:p>
      <w:pPr>
        <w:wordWrap w:val="0"/>
        <w:topLinePunct/>
        <w:spacing w:line="360" w:lineRule="auto"/>
        <w:ind w:firstLine="784" w:firstLineChars="27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招 标 人：</w:t>
      </w:r>
      <w:r>
        <w:rPr>
          <w:rFonts w:hint="eastAsia" w:ascii="宋体" w:hAnsi="宋体" w:eastAsia="宋体" w:cs="宋体"/>
          <w:b/>
          <w:bCs/>
          <w:color w:val="auto"/>
          <w:sz w:val="28"/>
          <w:szCs w:val="28"/>
          <w:highlight w:val="none"/>
          <w:u w:val="single"/>
          <w:lang w:eastAsia="zh-CN"/>
        </w:rPr>
        <w:t>广州市广园市政建设有限公司</w:t>
      </w:r>
      <w:r>
        <w:rPr>
          <w:rFonts w:hint="eastAsia" w:ascii="宋体" w:hAnsi="宋体" w:eastAsia="宋体" w:cs="宋体"/>
          <w:b/>
          <w:bCs/>
          <w:color w:val="auto"/>
          <w:sz w:val="28"/>
          <w:szCs w:val="28"/>
          <w:highlight w:val="none"/>
        </w:rPr>
        <w:t>(盖单位章)</w:t>
      </w:r>
    </w:p>
    <w:p>
      <w:pPr>
        <w:wordWrap w:val="0"/>
        <w:topLinePunct/>
        <w:spacing w:line="360" w:lineRule="auto"/>
        <w:ind w:firstLine="784" w:firstLineChars="279"/>
        <w:rPr>
          <w:rFonts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招标代理：</w:t>
      </w:r>
      <w:r>
        <w:rPr>
          <w:rFonts w:hint="eastAsia" w:ascii="宋体" w:hAnsi="宋体" w:eastAsia="宋体" w:cs="宋体"/>
          <w:b/>
          <w:bCs/>
          <w:color w:val="auto"/>
          <w:sz w:val="28"/>
          <w:szCs w:val="28"/>
          <w:highlight w:val="none"/>
          <w:u w:val="single"/>
        </w:rPr>
        <w:t>广州市广园工程技术咨询有限公司</w:t>
      </w:r>
      <w:r>
        <w:rPr>
          <w:rFonts w:hint="eastAsia" w:ascii="宋体" w:hAnsi="宋体" w:eastAsia="宋体" w:cs="宋体"/>
          <w:b/>
          <w:bCs/>
          <w:color w:val="auto"/>
          <w:sz w:val="28"/>
          <w:szCs w:val="28"/>
          <w:highlight w:val="none"/>
        </w:rPr>
        <w:t>(盖单位章)</w:t>
      </w:r>
    </w:p>
    <w:p>
      <w:pPr>
        <w:ind w:firstLine="784" w:firstLineChars="27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日    期：</w:t>
      </w:r>
      <w:r>
        <w:rPr>
          <w:rFonts w:hint="eastAsia" w:ascii="宋体" w:hAnsi="宋体" w:eastAsia="宋体" w:cs="宋体"/>
          <w:b/>
          <w:bCs/>
          <w:color w:val="auto"/>
          <w:sz w:val="28"/>
          <w:szCs w:val="28"/>
          <w:highlight w:val="none"/>
          <w:u w:val="single"/>
        </w:rPr>
        <w:t>202</w:t>
      </w:r>
      <w:r>
        <w:rPr>
          <w:rFonts w:ascii="宋体" w:hAnsi="宋体" w:eastAsia="宋体" w:cs="宋体"/>
          <w:b/>
          <w:bCs/>
          <w:color w:val="auto"/>
          <w:sz w:val="28"/>
          <w:szCs w:val="28"/>
          <w:highlight w:val="none"/>
          <w:u w:val="single"/>
        </w:rPr>
        <w:t>3</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lang w:val="en-US" w:eastAsia="zh-CN"/>
        </w:rPr>
        <w:t>10</w:t>
      </w:r>
      <w:r>
        <w:rPr>
          <w:rFonts w:hint="eastAsia" w:ascii="宋体" w:hAnsi="宋体" w:eastAsia="宋体" w:cs="宋体"/>
          <w:b/>
          <w:bCs/>
          <w:color w:val="auto"/>
          <w:sz w:val="28"/>
          <w:szCs w:val="28"/>
          <w:highlight w:val="none"/>
        </w:rPr>
        <w:t>月</w:t>
      </w:r>
    </w:p>
    <w:p>
      <w:pPr>
        <w:spacing w:before="120" w:beforeLines="50" w:after="120" w:afterLines="50" w:line="360" w:lineRule="auto"/>
        <w:jc w:val="center"/>
        <w:rPr>
          <w:rFonts w:asciiTheme="minorEastAsia" w:hAnsiTheme="minorEastAsia" w:eastAsiaTheme="minorEastAsia"/>
          <w:b/>
          <w:color w:val="auto"/>
          <w:kern w:val="44"/>
          <w:sz w:val="44"/>
          <w:szCs w:val="20"/>
          <w:highlight w:val="none"/>
        </w:rPr>
      </w:pPr>
      <w:bookmarkStart w:id="1" w:name="_Toc526786483"/>
    </w:p>
    <w:p>
      <w:pPr>
        <w:pStyle w:val="54"/>
        <w:rPr>
          <w:color w:val="auto"/>
          <w:highlight w:val="none"/>
        </w:rPr>
        <w:sectPr>
          <w:pgSz w:w="12240" w:h="15840"/>
          <w:pgMar w:top="1440" w:right="1588" w:bottom="1440" w:left="1588" w:header="720" w:footer="720" w:gutter="0"/>
          <w:pgNumType w:start="0"/>
          <w:cols w:space="0" w:num="1"/>
          <w:docGrid w:linePitch="286" w:charSpace="0"/>
        </w:sectPr>
      </w:pPr>
    </w:p>
    <w:p>
      <w:pPr>
        <w:spacing w:before="120" w:beforeLines="50" w:after="120" w:afterLines="50" w:line="360" w:lineRule="auto"/>
        <w:jc w:val="center"/>
        <w:rPr>
          <w:rFonts w:asciiTheme="minorEastAsia" w:hAnsiTheme="minorEastAsia" w:eastAsiaTheme="minorEastAsia"/>
          <w:b/>
          <w:color w:val="auto"/>
          <w:kern w:val="44"/>
          <w:sz w:val="44"/>
          <w:szCs w:val="20"/>
          <w:highlight w:val="none"/>
        </w:rPr>
      </w:pPr>
      <w:r>
        <w:rPr>
          <w:rFonts w:hint="eastAsia" w:asciiTheme="minorEastAsia" w:hAnsiTheme="minorEastAsia" w:eastAsiaTheme="minorEastAsia"/>
          <w:b/>
          <w:color w:val="auto"/>
          <w:kern w:val="44"/>
          <w:sz w:val="44"/>
          <w:szCs w:val="20"/>
          <w:highlight w:val="none"/>
        </w:rPr>
        <w:t>目 录</w:t>
      </w:r>
    </w:p>
    <w:p>
      <w:pPr>
        <w:pStyle w:val="29"/>
        <w:tabs>
          <w:tab w:val="right" w:leader="dot" w:pos="9064"/>
          <w:tab w:val="clear" w:pos="8296"/>
        </w:tabs>
        <w:rPr>
          <w:sz w:val="32"/>
          <w:szCs w:val="32"/>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TOC \o "1-1" \h \u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sz w:val="32"/>
          <w:szCs w:val="32"/>
          <w:highlight w:val="none"/>
        </w:rPr>
        <w:instrText xml:space="preserve"> HYPERLINK \l _Toc28877 </w:instrText>
      </w:r>
      <w:r>
        <w:rPr>
          <w:rFonts w:hint="eastAsia" w:asciiTheme="minorEastAsia" w:hAnsiTheme="minorEastAsia" w:eastAsiaTheme="minorEastAsia" w:cstheme="minorEastAsia"/>
          <w:sz w:val="32"/>
          <w:szCs w:val="32"/>
          <w:highlight w:val="none"/>
        </w:rPr>
        <w:fldChar w:fldCharType="separate"/>
      </w:r>
      <w:r>
        <w:rPr>
          <w:rFonts w:hint="eastAsia" w:asciiTheme="minorEastAsia" w:hAnsiTheme="minorEastAsia" w:eastAsiaTheme="minorEastAsia"/>
          <w:sz w:val="32"/>
          <w:szCs w:val="32"/>
          <w:highlight w:val="none"/>
        </w:rPr>
        <w:t>第一章 招标公告</w:t>
      </w:r>
      <w:r>
        <w:rPr>
          <w:sz w:val="32"/>
          <w:szCs w:val="32"/>
        </w:rPr>
        <w:tab/>
      </w:r>
      <w:r>
        <w:rPr>
          <w:sz w:val="32"/>
          <w:szCs w:val="32"/>
        </w:rPr>
        <w:fldChar w:fldCharType="begin"/>
      </w:r>
      <w:r>
        <w:rPr>
          <w:sz w:val="32"/>
          <w:szCs w:val="32"/>
        </w:rPr>
        <w:instrText xml:space="preserve"> PAGEREF _Toc28877 \h </w:instrText>
      </w:r>
      <w:r>
        <w:rPr>
          <w:sz w:val="32"/>
          <w:szCs w:val="32"/>
        </w:rPr>
        <w:fldChar w:fldCharType="separate"/>
      </w:r>
      <w:r>
        <w:rPr>
          <w:sz w:val="32"/>
          <w:szCs w:val="32"/>
        </w:rPr>
        <w:t>3</w:t>
      </w:r>
      <w:r>
        <w:rPr>
          <w:sz w:val="32"/>
          <w:szCs w:val="32"/>
        </w:rPr>
        <w:fldChar w:fldCharType="end"/>
      </w:r>
      <w:r>
        <w:rPr>
          <w:rFonts w:hint="eastAsia" w:asciiTheme="minorEastAsia" w:hAnsiTheme="minorEastAsia" w:eastAsiaTheme="minorEastAsia" w:cstheme="minorEastAsia"/>
          <w:color w:val="auto"/>
          <w:sz w:val="32"/>
          <w:szCs w:val="32"/>
          <w:highlight w:val="none"/>
        </w:rPr>
        <w:fldChar w:fldCharType="end"/>
      </w:r>
    </w:p>
    <w:p>
      <w:pPr>
        <w:pStyle w:val="29"/>
        <w:tabs>
          <w:tab w:val="right" w:leader="dot" w:pos="9064"/>
          <w:tab w:val="clear" w:pos="8296"/>
        </w:tabs>
        <w:rPr>
          <w:sz w:val="32"/>
          <w:szCs w:val="32"/>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sz w:val="32"/>
          <w:szCs w:val="32"/>
          <w:highlight w:val="none"/>
        </w:rPr>
        <w:instrText xml:space="preserve"> HYPERLINK \l _Toc24643 </w:instrText>
      </w:r>
      <w:r>
        <w:rPr>
          <w:rFonts w:hint="eastAsia" w:asciiTheme="minorEastAsia" w:hAnsiTheme="minorEastAsia" w:eastAsiaTheme="minorEastAsia" w:cstheme="minorEastAsia"/>
          <w:sz w:val="32"/>
          <w:szCs w:val="32"/>
          <w:highlight w:val="none"/>
        </w:rPr>
        <w:fldChar w:fldCharType="separate"/>
      </w:r>
      <w:r>
        <w:rPr>
          <w:rFonts w:hint="eastAsia" w:asciiTheme="minorEastAsia" w:hAnsiTheme="minorEastAsia" w:eastAsiaTheme="minorEastAsia"/>
          <w:sz w:val="32"/>
          <w:szCs w:val="32"/>
          <w:highlight w:val="none"/>
        </w:rPr>
        <w:t>第二章 投标人须知</w:t>
      </w:r>
      <w:r>
        <w:rPr>
          <w:sz w:val="32"/>
          <w:szCs w:val="32"/>
        </w:rPr>
        <w:tab/>
      </w:r>
      <w:r>
        <w:rPr>
          <w:sz w:val="32"/>
          <w:szCs w:val="32"/>
        </w:rPr>
        <w:fldChar w:fldCharType="begin"/>
      </w:r>
      <w:r>
        <w:rPr>
          <w:sz w:val="32"/>
          <w:szCs w:val="32"/>
        </w:rPr>
        <w:instrText xml:space="preserve"> PAGEREF _Toc24643 \h </w:instrText>
      </w:r>
      <w:r>
        <w:rPr>
          <w:sz w:val="32"/>
          <w:szCs w:val="32"/>
        </w:rPr>
        <w:fldChar w:fldCharType="separate"/>
      </w:r>
      <w:r>
        <w:rPr>
          <w:sz w:val="32"/>
          <w:szCs w:val="32"/>
        </w:rPr>
        <w:t>4</w:t>
      </w:r>
      <w:r>
        <w:rPr>
          <w:sz w:val="32"/>
          <w:szCs w:val="32"/>
        </w:rPr>
        <w:fldChar w:fldCharType="end"/>
      </w:r>
      <w:r>
        <w:rPr>
          <w:rFonts w:hint="eastAsia" w:asciiTheme="minorEastAsia" w:hAnsiTheme="minorEastAsia" w:eastAsiaTheme="minorEastAsia" w:cstheme="minorEastAsia"/>
          <w:color w:val="auto"/>
          <w:sz w:val="32"/>
          <w:szCs w:val="32"/>
          <w:highlight w:val="none"/>
        </w:rPr>
        <w:fldChar w:fldCharType="end"/>
      </w:r>
    </w:p>
    <w:p>
      <w:pPr>
        <w:pStyle w:val="29"/>
        <w:tabs>
          <w:tab w:val="right" w:leader="dot" w:pos="9064"/>
          <w:tab w:val="clear" w:pos="8296"/>
        </w:tabs>
        <w:rPr>
          <w:sz w:val="32"/>
          <w:szCs w:val="32"/>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sz w:val="32"/>
          <w:szCs w:val="32"/>
          <w:highlight w:val="none"/>
        </w:rPr>
        <w:instrText xml:space="preserve"> HYPERLINK \l _Toc26987 </w:instrText>
      </w:r>
      <w:r>
        <w:rPr>
          <w:rFonts w:hint="eastAsia" w:asciiTheme="minorEastAsia" w:hAnsiTheme="minorEastAsia" w:eastAsiaTheme="minorEastAsia" w:cstheme="minorEastAsia"/>
          <w:sz w:val="32"/>
          <w:szCs w:val="32"/>
          <w:highlight w:val="none"/>
        </w:rPr>
        <w:fldChar w:fldCharType="separate"/>
      </w:r>
      <w:r>
        <w:rPr>
          <w:rFonts w:hint="eastAsia"/>
          <w:sz w:val="32"/>
          <w:szCs w:val="32"/>
          <w:highlight w:val="none"/>
        </w:rPr>
        <w:t>第三章 评标办法（综合评估法）</w:t>
      </w:r>
      <w:r>
        <w:rPr>
          <w:sz w:val="32"/>
          <w:szCs w:val="32"/>
        </w:rPr>
        <w:tab/>
      </w:r>
      <w:r>
        <w:rPr>
          <w:sz w:val="32"/>
          <w:szCs w:val="32"/>
        </w:rPr>
        <w:fldChar w:fldCharType="begin"/>
      </w:r>
      <w:r>
        <w:rPr>
          <w:sz w:val="32"/>
          <w:szCs w:val="32"/>
        </w:rPr>
        <w:instrText xml:space="preserve"> PAGEREF _Toc26987 \h </w:instrText>
      </w:r>
      <w:r>
        <w:rPr>
          <w:sz w:val="32"/>
          <w:szCs w:val="32"/>
        </w:rPr>
        <w:fldChar w:fldCharType="separate"/>
      </w:r>
      <w:r>
        <w:rPr>
          <w:sz w:val="32"/>
          <w:szCs w:val="32"/>
        </w:rPr>
        <w:t>28</w:t>
      </w:r>
      <w:r>
        <w:rPr>
          <w:sz w:val="32"/>
          <w:szCs w:val="32"/>
        </w:rPr>
        <w:fldChar w:fldCharType="end"/>
      </w:r>
      <w:r>
        <w:rPr>
          <w:rFonts w:hint="eastAsia" w:asciiTheme="minorEastAsia" w:hAnsiTheme="minorEastAsia" w:eastAsiaTheme="minorEastAsia" w:cstheme="minorEastAsia"/>
          <w:color w:val="auto"/>
          <w:sz w:val="32"/>
          <w:szCs w:val="32"/>
          <w:highlight w:val="none"/>
        </w:rPr>
        <w:fldChar w:fldCharType="end"/>
      </w:r>
    </w:p>
    <w:p>
      <w:pPr>
        <w:pStyle w:val="29"/>
        <w:tabs>
          <w:tab w:val="right" w:leader="dot" w:pos="9064"/>
          <w:tab w:val="clear" w:pos="8296"/>
        </w:tabs>
        <w:rPr>
          <w:sz w:val="32"/>
          <w:szCs w:val="32"/>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sz w:val="32"/>
          <w:szCs w:val="32"/>
          <w:highlight w:val="none"/>
        </w:rPr>
        <w:instrText xml:space="preserve"> HYPERLINK \l _Toc25802 </w:instrText>
      </w:r>
      <w:r>
        <w:rPr>
          <w:rFonts w:hint="eastAsia" w:asciiTheme="minorEastAsia" w:hAnsiTheme="minorEastAsia" w:eastAsiaTheme="minorEastAsia" w:cstheme="minorEastAsia"/>
          <w:sz w:val="32"/>
          <w:szCs w:val="32"/>
          <w:highlight w:val="none"/>
        </w:rPr>
        <w:fldChar w:fldCharType="separate"/>
      </w:r>
      <w:r>
        <w:rPr>
          <w:rFonts w:hint="eastAsia" w:asciiTheme="minorEastAsia" w:hAnsiTheme="minorEastAsia" w:eastAsiaTheme="minorEastAsia"/>
          <w:sz w:val="32"/>
          <w:szCs w:val="32"/>
          <w:highlight w:val="none"/>
        </w:rPr>
        <w:t>第四章 合同条款及格式（另册）</w:t>
      </w:r>
      <w:r>
        <w:rPr>
          <w:sz w:val="32"/>
          <w:szCs w:val="32"/>
        </w:rPr>
        <w:tab/>
      </w:r>
      <w:r>
        <w:rPr>
          <w:sz w:val="32"/>
          <w:szCs w:val="32"/>
        </w:rPr>
        <w:fldChar w:fldCharType="begin"/>
      </w:r>
      <w:r>
        <w:rPr>
          <w:sz w:val="32"/>
          <w:szCs w:val="32"/>
        </w:rPr>
        <w:instrText xml:space="preserve"> PAGEREF _Toc25802 \h </w:instrText>
      </w:r>
      <w:r>
        <w:rPr>
          <w:sz w:val="32"/>
          <w:szCs w:val="32"/>
        </w:rPr>
        <w:fldChar w:fldCharType="separate"/>
      </w:r>
      <w:r>
        <w:rPr>
          <w:sz w:val="32"/>
          <w:szCs w:val="32"/>
        </w:rPr>
        <w:t>35</w:t>
      </w:r>
      <w:r>
        <w:rPr>
          <w:sz w:val="32"/>
          <w:szCs w:val="32"/>
        </w:rPr>
        <w:fldChar w:fldCharType="end"/>
      </w:r>
      <w:r>
        <w:rPr>
          <w:rFonts w:hint="eastAsia" w:asciiTheme="minorEastAsia" w:hAnsiTheme="minorEastAsia" w:eastAsiaTheme="minorEastAsia" w:cstheme="minorEastAsia"/>
          <w:color w:val="auto"/>
          <w:sz w:val="32"/>
          <w:szCs w:val="32"/>
          <w:highlight w:val="none"/>
        </w:rPr>
        <w:fldChar w:fldCharType="end"/>
      </w:r>
    </w:p>
    <w:p>
      <w:pPr>
        <w:pStyle w:val="29"/>
        <w:tabs>
          <w:tab w:val="right" w:leader="dot" w:pos="9064"/>
          <w:tab w:val="clear" w:pos="8296"/>
        </w:tabs>
        <w:rPr>
          <w:sz w:val="32"/>
          <w:szCs w:val="32"/>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sz w:val="32"/>
          <w:szCs w:val="32"/>
          <w:highlight w:val="none"/>
        </w:rPr>
        <w:instrText xml:space="preserve"> HYPERLINK \l _Toc5593 </w:instrText>
      </w:r>
      <w:r>
        <w:rPr>
          <w:rFonts w:hint="eastAsia" w:asciiTheme="minorEastAsia" w:hAnsiTheme="minorEastAsia" w:eastAsiaTheme="minorEastAsia" w:cstheme="minorEastAsia"/>
          <w:sz w:val="32"/>
          <w:szCs w:val="32"/>
          <w:highlight w:val="none"/>
        </w:rPr>
        <w:fldChar w:fldCharType="separate"/>
      </w:r>
      <w:r>
        <w:rPr>
          <w:rFonts w:hint="eastAsia" w:asciiTheme="minorEastAsia" w:hAnsiTheme="minorEastAsia" w:eastAsiaTheme="minorEastAsia"/>
          <w:sz w:val="32"/>
          <w:szCs w:val="32"/>
          <w:highlight w:val="none"/>
        </w:rPr>
        <w:t>第</w:t>
      </w:r>
      <w:r>
        <w:rPr>
          <w:rFonts w:hint="eastAsia" w:asciiTheme="minorEastAsia" w:hAnsiTheme="minorEastAsia" w:eastAsiaTheme="minorEastAsia"/>
          <w:sz w:val="32"/>
          <w:szCs w:val="32"/>
          <w:highlight w:val="none"/>
          <w:lang w:val="en-US" w:eastAsia="zh-CN"/>
        </w:rPr>
        <w:t>五</w:t>
      </w:r>
      <w:r>
        <w:rPr>
          <w:rFonts w:hint="eastAsia" w:asciiTheme="minorEastAsia" w:hAnsiTheme="minorEastAsia" w:eastAsiaTheme="minorEastAsia"/>
          <w:sz w:val="32"/>
          <w:szCs w:val="32"/>
          <w:highlight w:val="none"/>
        </w:rPr>
        <w:t>章 投标文件格式</w:t>
      </w:r>
      <w:r>
        <w:rPr>
          <w:sz w:val="32"/>
          <w:szCs w:val="32"/>
        </w:rPr>
        <w:tab/>
      </w:r>
      <w:r>
        <w:rPr>
          <w:sz w:val="32"/>
          <w:szCs w:val="32"/>
        </w:rPr>
        <w:fldChar w:fldCharType="begin"/>
      </w:r>
      <w:r>
        <w:rPr>
          <w:sz w:val="32"/>
          <w:szCs w:val="32"/>
        </w:rPr>
        <w:instrText xml:space="preserve"> PAGEREF _Toc5593 \h </w:instrText>
      </w:r>
      <w:r>
        <w:rPr>
          <w:sz w:val="32"/>
          <w:szCs w:val="32"/>
        </w:rPr>
        <w:fldChar w:fldCharType="separate"/>
      </w:r>
      <w:r>
        <w:rPr>
          <w:sz w:val="32"/>
          <w:szCs w:val="32"/>
        </w:rPr>
        <w:t>36</w:t>
      </w:r>
      <w:r>
        <w:rPr>
          <w:sz w:val="32"/>
          <w:szCs w:val="32"/>
        </w:rPr>
        <w:fldChar w:fldCharType="end"/>
      </w:r>
      <w:r>
        <w:rPr>
          <w:rFonts w:hint="eastAsia" w:asciiTheme="minorEastAsia" w:hAnsiTheme="minorEastAsia" w:eastAsiaTheme="minorEastAsia" w:cstheme="minorEastAsia"/>
          <w:color w:val="auto"/>
          <w:sz w:val="32"/>
          <w:szCs w:val="32"/>
          <w:highlight w:val="none"/>
        </w:rPr>
        <w:fldChar w:fldCharType="end"/>
      </w:r>
    </w:p>
    <w:p>
      <w:pPr>
        <w:rPr>
          <w:color w:val="auto"/>
          <w:highlight w:val="none"/>
        </w:rPr>
      </w:pPr>
      <w:r>
        <w:rPr>
          <w:rFonts w:hint="eastAsia" w:asciiTheme="minorEastAsia" w:hAnsiTheme="minorEastAsia" w:eastAsiaTheme="minorEastAsia" w:cstheme="minorEastAsia"/>
          <w:color w:val="auto"/>
          <w:sz w:val="32"/>
          <w:szCs w:val="32"/>
          <w:highlight w:val="none"/>
        </w:rPr>
        <w:fldChar w:fldCharType="end"/>
      </w:r>
    </w:p>
    <w:p>
      <w:pPr>
        <w:rPr>
          <w:color w:val="auto"/>
          <w:highlight w:val="none"/>
        </w:rPr>
      </w:pPr>
      <w:r>
        <w:rPr>
          <w:color w:val="auto"/>
          <w:highlight w:val="none"/>
        </w:rPr>
        <w:br w:type="page"/>
      </w:r>
    </w:p>
    <w:p>
      <w:pPr>
        <w:pStyle w:val="3"/>
        <w:spacing w:line="240" w:lineRule="auto"/>
        <w:jc w:val="center"/>
        <w:rPr>
          <w:rFonts w:asciiTheme="minorEastAsia" w:hAnsiTheme="minorEastAsia" w:eastAsiaTheme="minorEastAsia"/>
          <w:color w:val="auto"/>
          <w:highlight w:val="none"/>
        </w:rPr>
      </w:pPr>
      <w:bookmarkStart w:id="2" w:name="_Toc28877"/>
      <w:bookmarkStart w:id="3" w:name="_Toc9368"/>
      <w:bookmarkStart w:id="4" w:name="_Toc961"/>
      <w:r>
        <w:rPr>
          <w:rFonts w:hint="eastAsia" w:asciiTheme="minorEastAsia" w:hAnsiTheme="minorEastAsia" w:eastAsiaTheme="minorEastAsia"/>
          <w:color w:val="auto"/>
          <w:highlight w:val="none"/>
        </w:rPr>
        <w:t>第一章 招标公告</w:t>
      </w:r>
      <w:bookmarkEnd w:id="1"/>
      <w:bookmarkEnd w:id="2"/>
      <w:bookmarkEnd w:id="3"/>
      <w:bookmarkEnd w:id="4"/>
    </w:p>
    <w:p>
      <w:pPr>
        <w:rPr>
          <w:color w:val="auto"/>
          <w:highlight w:val="none"/>
        </w:rPr>
      </w:pP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（另册）</w:t>
      </w:r>
    </w:p>
    <w:bookmarkEnd w:id="0"/>
    <w:p>
      <w:pP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3"/>
        <w:jc w:val="center"/>
        <w:rPr>
          <w:rFonts w:asciiTheme="minorEastAsia" w:hAnsiTheme="minorEastAsia" w:eastAsiaTheme="minorEastAsia"/>
          <w:color w:val="auto"/>
          <w:highlight w:val="none"/>
        </w:rPr>
      </w:pPr>
      <w:bookmarkStart w:id="5" w:name="_Toc2006"/>
      <w:bookmarkStart w:id="6" w:name="_Toc24643"/>
      <w:bookmarkStart w:id="7" w:name="_Toc24969"/>
      <w:r>
        <w:rPr>
          <w:rFonts w:hint="eastAsia" w:asciiTheme="minorEastAsia" w:hAnsiTheme="minorEastAsia" w:eastAsiaTheme="minorEastAsia"/>
          <w:color w:val="auto"/>
          <w:highlight w:val="none"/>
        </w:rPr>
        <w:t>第二章 投标人须知</w:t>
      </w:r>
      <w:bookmarkEnd w:id="5"/>
      <w:bookmarkEnd w:id="6"/>
      <w:bookmarkEnd w:id="7"/>
    </w:p>
    <w:p>
      <w:pPr>
        <w:pStyle w:val="4"/>
        <w:spacing w:line="360" w:lineRule="auto"/>
        <w:jc w:val="center"/>
        <w:rPr>
          <w:rFonts w:asciiTheme="minorEastAsia" w:hAnsiTheme="minorEastAsia" w:eastAsiaTheme="minorEastAsia"/>
          <w:color w:val="auto"/>
          <w:highlight w:val="none"/>
        </w:rPr>
      </w:pPr>
      <w:bookmarkStart w:id="8" w:name="_Toc8134"/>
      <w:r>
        <w:rPr>
          <w:rFonts w:hint="eastAsia" w:asciiTheme="minorEastAsia" w:hAnsiTheme="minorEastAsia" w:eastAsiaTheme="minorEastAsia"/>
          <w:color w:val="auto"/>
          <w:highlight w:val="none"/>
        </w:rPr>
        <w:t>投标人须知前附表</w:t>
      </w:r>
      <w:bookmarkEnd w:id="8"/>
    </w:p>
    <w:tbl>
      <w:tblPr>
        <w:tblStyle w:val="41"/>
        <w:tblW w:w="909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3070"/>
        <w:gridCol w:w="48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1165" w:type="dxa"/>
            <w:tcBorders>
              <w:tl2br w:val="nil"/>
              <w:tr2bl w:val="nil"/>
            </w:tcBorders>
            <w:vAlign w:val="center"/>
          </w:tcPr>
          <w:p>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3070" w:type="dxa"/>
            <w:tcBorders>
              <w:tl2br w:val="nil"/>
              <w:tr2bl w:val="nil"/>
            </w:tcBorders>
            <w:vAlign w:val="center"/>
          </w:tcPr>
          <w:p>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条款名称</w:t>
            </w:r>
          </w:p>
        </w:tc>
        <w:tc>
          <w:tcPr>
            <w:tcW w:w="4860" w:type="dxa"/>
            <w:tcBorders>
              <w:tl2br w:val="nil"/>
              <w:tr2bl w:val="nil"/>
            </w:tcBorders>
            <w:vAlign w:val="center"/>
          </w:tcPr>
          <w:p>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1.1.2</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招标人</w:t>
            </w:r>
          </w:p>
        </w:tc>
        <w:tc>
          <w:tcPr>
            <w:tcW w:w="4860" w:type="dxa"/>
            <w:tcBorders>
              <w:tl2br w:val="nil"/>
              <w:tr2bl w:val="nil"/>
            </w:tcBorders>
            <w:vAlign w:val="center"/>
          </w:tcPr>
          <w:p>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szCs w:val="21"/>
                <w:highlight w:val="none"/>
                <w:u w:val="single"/>
                <w:lang w:eastAsia="zh-CN"/>
              </w:rPr>
              <w:t>广州市广园市政建设有限公司</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u w:val="single"/>
              </w:rPr>
              <w:t>广州市越秀区站南路15号之一6楼</w:t>
            </w:r>
            <w:r>
              <w:rPr>
                <w:rFonts w:ascii="宋体" w:hAnsi="宋体" w:eastAsia="宋体"/>
                <w:color w:val="auto"/>
                <w:szCs w:val="21"/>
                <w:highlight w:val="none"/>
                <w:u w:val="single"/>
              </w:rPr>
              <w:t xml:space="preserve"> </w:t>
            </w:r>
          </w:p>
          <w:p>
            <w:pPr>
              <w:spacing w:line="360" w:lineRule="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eastAsiaTheme="minorEastAsia" w:cstheme="minorEastAsia"/>
                <w:color w:val="auto"/>
                <w:szCs w:val="21"/>
                <w:highlight w:val="none"/>
                <w:lang w:val="en-US" w:eastAsia="zh-CN"/>
              </w:rPr>
              <w:t>舒</w:t>
            </w:r>
            <w:r>
              <w:rPr>
                <w:rFonts w:hint="eastAsia" w:asciiTheme="minorEastAsia" w:hAnsiTheme="minorEastAsia" w:eastAsiaTheme="minorEastAsia" w:cstheme="minorEastAsia"/>
                <w:color w:val="auto"/>
                <w:szCs w:val="21"/>
                <w:highlight w:val="none"/>
                <w:u w:val="single"/>
                <w:lang w:val="en-US" w:eastAsia="zh-CN"/>
              </w:rPr>
              <w:t>工</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r>
              <w:rPr>
                <w:rFonts w:hint="eastAsia" w:asciiTheme="minorEastAsia" w:hAnsiTheme="minorEastAsia" w:eastAsiaTheme="minorEastAsia" w:cstheme="minorEastAsia"/>
                <w:color w:val="auto"/>
                <w:szCs w:val="21"/>
                <w:highlight w:val="none"/>
                <w:u w:val="single"/>
                <w:lang w:val="en-US" w:eastAsia="zh-CN"/>
              </w:rPr>
              <w:t>020-62555578</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1.1.3</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招标代理机构</w:t>
            </w: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szCs w:val="21"/>
                <w:highlight w:val="none"/>
                <w:u w:val="single"/>
              </w:rPr>
              <w:t>广州市广园工程技术咨询有限公司</w:t>
            </w:r>
            <w:r>
              <w:rPr>
                <w:rFonts w:asciiTheme="minorEastAsia" w:hAnsiTheme="minorEastAsia" w:eastAsiaTheme="minorEastAsia" w:cstheme="minorEastAsia"/>
                <w:color w:val="auto"/>
                <w:szCs w:val="21"/>
                <w:highlight w:val="none"/>
                <w:u w:val="single"/>
              </w:rPr>
              <w:t xml:space="preserve"> </w:t>
            </w:r>
          </w:p>
          <w:p>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u w:val="single"/>
              </w:rPr>
              <w:t>广州市越秀区站南路15号之一512室</w:t>
            </w:r>
          </w:p>
          <w:p>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eastAsiaTheme="minorEastAsia" w:cstheme="minorEastAsia"/>
                <w:color w:val="auto"/>
                <w:szCs w:val="21"/>
                <w:highlight w:val="none"/>
                <w:u w:val="single"/>
                <w:lang w:val="en-US" w:eastAsia="zh-CN"/>
              </w:rPr>
              <w:t>林工</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r>
              <w:rPr>
                <w:rFonts w:hint="eastAsia" w:asciiTheme="minorEastAsia" w:hAnsiTheme="minorEastAsia" w:eastAsiaTheme="minorEastAsia" w:cstheme="minorEastAsia"/>
                <w:color w:val="auto"/>
                <w:szCs w:val="21"/>
                <w:highlight w:val="none"/>
                <w:u w:val="single"/>
              </w:rPr>
              <w:t>020-62555580/13433937614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1.1.4</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招标项目名称</w:t>
            </w: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lang w:eastAsia="zh-CN"/>
              </w:rPr>
              <w:t>会展西路过江隧道工程工程一切险及第三者责任险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1.1.5</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项目建设地点</w:t>
            </w: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rPr>
            </w:pPr>
            <w:r>
              <w:rPr>
                <w:rFonts w:hint="eastAsia" w:ascii="宋体" w:hAnsi="宋体" w:eastAsia="宋体" w:cs="宋体"/>
                <w:color w:val="auto"/>
                <w:highlight w:val="none"/>
                <w:u w:val="single"/>
              </w:rPr>
              <w:t>广州市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1.1.6</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项目建设规模</w:t>
            </w: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详见招标公告</w:t>
            </w:r>
            <w:r>
              <w:rPr>
                <w:rFonts w:hint="eastAsia" w:asciiTheme="minorEastAsia" w:hAnsiTheme="minorEastAsia" w:eastAsiaTheme="minorEastAsia" w:cstheme="minorEastAsia"/>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1.1.7</w:t>
            </w:r>
          </w:p>
        </w:tc>
        <w:tc>
          <w:tcPr>
            <w:tcW w:w="3070" w:type="dxa"/>
            <w:tcBorders>
              <w:tl2br w:val="nil"/>
              <w:tr2bl w:val="nil"/>
            </w:tcBorders>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工程项目施工预计开工日期和建设周期</w:t>
            </w:r>
          </w:p>
        </w:tc>
        <w:tc>
          <w:tcPr>
            <w:tcW w:w="4860" w:type="dxa"/>
            <w:tcBorders>
              <w:tl2br w:val="nil"/>
              <w:tr2bl w:val="nil"/>
            </w:tcBorders>
            <w:vAlign w:val="center"/>
          </w:tcPr>
          <w:p>
            <w:pPr>
              <w:spacing w:line="360" w:lineRule="auto"/>
              <w:rPr>
                <w:rFonts w:eastAsia="宋体"/>
                <w:color w:val="auto"/>
                <w:highlight w:val="none"/>
              </w:rPr>
            </w:pPr>
            <w:r>
              <w:rPr>
                <w:rFonts w:hint="eastAsia" w:ascii="宋体" w:hAnsi="宋体" w:eastAsia="宋体" w:cs="宋体"/>
                <w:bCs/>
                <w:color w:val="auto"/>
                <w:szCs w:val="21"/>
                <w:highlight w:val="none"/>
                <w:u w:val="single"/>
              </w:rPr>
              <w:t>详见招标公告</w:t>
            </w:r>
            <w:r>
              <w:rPr>
                <w:rFonts w:hint="eastAsia"/>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1.1.8</w:t>
            </w:r>
          </w:p>
        </w:tc>
        <w:tc>
          <w:tcPr>
            <w:tcW w:w="3070" w:type="dxa"/>
            <w:tcBorders>
              <w:tl2br w:val="nil"/>
              <w:tr2bl w:val="nil"/>
            </w:tcBorders>
            <w:vAlign w:val="center"/>
          </w:tcPr>
          <w:p>
            <w:pPr>
              <w:spacing w:after="120" w:line="360" w:lineRule="auto"/>
              <w:ind w:firstLine="210" w:firstLineChars="1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工程造价</w:t>
            </w:r>
          </w:p>
        </w:tc>
        <w:tc>
          <w:tcPr>
            <w:tcW w:w="4860" w:type="dxa"/>
            <w:tcBorders>
              <w:tl2br w:val="nil"/>
              <w:tr2bl w:val="nil"/>
            </w:tcBorders>
            <w:vAlign w:val="center"/>
          </w:tcPr>
          <w:p>
            <w:pPr>
              <w:spacing w:after="120" w:line="360" w:lineRule="auto"/>
              <w:rPr>
                <w:rFonts w:ascii="宋体" w:hAnsi="宋体" w:eastAsia="宋体" w:cs="宋体"/>
                <w:color w:val="auto"/>
                <w:szCs w:val="21"/>
                <w:highlight w:val="none"/>
              </w:rPr>
            </w:pPr>
            <w:r>
              <w:rPr>
                <w:rFonts w:hint="eastAsia" w:ascii="宋体" w:hAnsi="宋体" w:eastAsia="宋体" w:cs="宋体"/>
                <w:bCs/>
                <w:color w:val="auto"/>
                <w:szCs w:val="21"/>
                <w:highlight w:val="none"/>
              </w:rPr>
              <w:t>工程造价约</w:t>
            </w:r>
            <w:r>
              <w:rPr>
                <w:rFonts w:hint="eastAsia" w:ascii="宋体" w:hAnsi="宋体" w:eastAsia="宋体" w:cs="宋体"/>
                <w:bCs/>
                <w:color w:val="auto"/>
                <w:szCs w:val="21"/>
                <w:highlight w:val="none"/>
                <w:u w:val="single"/>
                <w:lang w:val="en-US" w:eastAsia="zh-CN"/>
              </w:rPr>
              <w:t>242398.769805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万</w:t>
            </w:r>
            <w:r>
              <w:rPr>
                <w:rFonts w:hint="eastAsia" w:ascii="宋体" w:hAnsi="宋体" w:eastAsia="宋体" w:cs="宋体"/>
                <w:bCs/>
                <w:color w:val="auto"/>
                <w:szCs w:val="21"/>
                <w:highlight w:val="none"/>
                <w:u w:val="none"/>
              </w:rPr>
              <w:t>元</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含</w:t>
            </w:r>
            <w:r>
              <w:rPr>
                <w:rFonts w:hint="eastAsia" w:ascii="宋体" w:hAnsi="宋体" w:eastAsia="宋体" w:cs="宋体"/>
                <w:color w:val="auto"/>
                <w:szCs w:val="21"/>
                <w:highlight w:val="none"/>
                <w:lang w:val="en-US" w:eastAsia="zh-CN"/>
              </w:rPr>
              <w:t>建设</w:t>
            </w:r>
            <w:r>
              <w:rPr>
                <w:rFonts w:ascii="宋体" w:hAnsi="宋体" w:eastAsia="宋体" w:cs="宋体"/>
                <w:color w:val="auto"/>
                <w:szCs w:val="21"/>
                <w:highlight w:val="none"/>
              </w:rPr>
              <w:t>部分及</w:t>
            </w:r>
            <w:r>
              <w:rPr>
                <w:rFonts w:hint="eastAsia" w:ascii="宋体" w:hAnsi="宋体" w:eastAsia="宋体" w:cs="宋体"/>
                <w:color w:val="auto"/>
                <w:szCs w:val="21"/>
                <w:highlight w:val="none"/>
                <w:lang w:val="en-US" w:eastAsia="zh-CN"/>
              </w:rPr>
              <w:t>运维</w:t>
            </w:r>
            <w:r>
              <w:rPr>
                <w:rFonts w:ascii="宋体" w:hAnsi="宋体" w:eastAsia="宋体" w:cs="宋体"/>
                <w:color w:val="auto"/>
                <w:szCs w:val="21"/>
                <w:highlight w:val="none"/>
              </w:rPr>
              <w:t>部分</w:t>
            </w:r>
            <w:r>
              <w:rPr>
                <w:rFonts w:hint="eastAsia" w:ascii="宋体" w:hAnsi="宋体" w:eastAsia="宋体" w:cs="宋体"/>
                <w:bCs/>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资金来源及比例</w:t>
            </w:r>
          </w:p>
        </w:tc>
        <w:tc>
          <w:tcPr>
            <w:tcW w:w="4860" w:type="dxa"/>
            <w:tcBorders>
              <w:tl2br w:val="nil"/>
              <w:tr2bl w:val="nil"/>
            </w:tcBorders>
            <w:vAlign w:val="center"/>
          </w:tcPr>
          <w:p>
            <w:pPr>
              <w:spacing w:after="120"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详见招标公告</w:t>
            </w:r>
            <w:r>
              <w:rPr>
                <w:rFonts w:hint="eastAsia" w:asciiTheme="minorEastAsia" w:hAnsiTheme="minorEastAsia" w:eastAsiaTheme="minorEastAsia" w:cstheme="minorEastAsia"/>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资金落实情况</w:t>
            </w:r>
          </w:p>
        </w:tc>
        <w:tc>
          <w:tcPr>
            <w:tcW w:w="4860" w:type="dxa"/>
            <w:tcBorders>
              <w:tl2br w:val="nil"/>
              <w:tr2bl w:val="nil"/>
            </w:tcBorders>
            <w:vAlign w:val="center"/>
          </w:tcPr>
          <w:p>
            <w:pPr>
              <w:spacing w:after="120"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资金来源已经落实</w:t>
            </w:r>
            <w:r>
              <w:rPr>
                <w:rFonts w:hint="eastAsia" w:asciiTheme="minorEastAsia" w:hAnsiTheme="minorEastAsia" w:eastAsiaTheme="minorEastAsia" w:cstheme="minorEastAsia"/>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1.3.1</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招标范围</w:t>
            </w:r>
          </w:p>
        </w:tc>
        <w:tc>
          <w:tcPr>
            <w:tcW w:w="4860" w:type="dxa"/>
            <w:tcBorders>
              <w:tl2br w:val="nil"/>
              <w:tr2bl w:val="nil"/>
            </w:tcBorders>
            <w:vAlign w:val="center"/>
          </w:tcPr>
          <w:p>
            <w:pPr>
              <w:spacing w:after="120"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详见招标公告</w:t>
            </w:r>
            <w:r>
              <w:rPr>
                <w:rFonts w:hint="eastAsia" w:asciiTheme="minorEastAsia" w:hAnsiTheme="minorEastAsia" w:eastAsiaTheme="minorEastAsia" w:cstheme="minorEastAsia"/>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1.3.2</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保险服务期限</w:t>
            </w:r>
          </w:p>
        </w:tc>
        <w:tc>
          <w:tcPr>
            <w:tcW w:w="4860" w:type="dxa"/>
            <w:tcBorders>
              <w:tl2br w:val="nil"/>
              <w:tr2bl w:val="nil"/>
            </w:tcBorders>
            <w:vAlign w:val="center"/>
          </w:tcPr>
          <w:p>
            <w:pPr>
              <w:spacing w:after="120"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详见招标公告</w:t>
            </w:r>
            <w:r>
              <w:rPr>
                <w:rFonts w:hint="eastAsia" w:asciiTheme="minorEastAsia" w:hAnsiTheme="minorEastAsia" w:eastAsiaTheme="minorEastAsia" w:cstheme="minorEastAsia"/>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1.3.3</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质量标准</w:t>
            </w:r>
          </w:p>
        </w:tc>
        <w:tc>
          <w:tcPr>
            <w:tcW w:w="4860" w:type="dxa"/>
            <w:tcBorders>
              <w:tl2br w:val="nil"/>
              <w:tr2bl w:val="nil"/>
            </w:tcBorders>
            <w:vAlign w:val="center"/>
          </w:tcPr>
          <w:p>
            <w:pPr>
              <w:spacing w:after="120"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本项目不适用</w:t>
            </w:r>
            <w:r>
              <w:rPr>
                <w:rFonts w:hint="eastAsia" w:asciiTheme="minorEastAsia" w:hAnsiTheme="minorEastAsia" w:eastAsiaTheme="minorEastAsia" w:cstheme="minorEastAsia"/>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1.4.1</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投标人资质条件、能力、信誉</w:t>
            </w:r>
          </w:p>
        </w:tc>
        <w:tc>
          <w:tcPr>
            <w:tcW w:w="4860" w:type="dxa"/>
            <w:tcBorders>
              <w:tl2br w:val="nil"/>
              <w:tr2bl w:val="nil"/>
            </w:tcBorders>
            <w:vAlign w:val="center"/>
          </w:tcPr>
          <w:p>
            <w:pPr>
              <w:pStyle w:val="59"/>
              <w:kinsoku w:val="0"/>
              <w:overflowPunct w:val="0"/>
              <w:spacing w:line="360" w:lineRule="auto"/>
              <w:jc w:val="both"/>
              <w:rPr>
                <w:rFonts w:hAnsi="宋体" w:eastAsia="宋体"/>
                <w:color w:val="auto"/>
                <w:sz w:val="21"/>
                <w:szCs w:val="21"/>
                <w:highlight w:val="none"/>
              </w:rPr>
            </w:pPr>
            <w:r>
              <w:rPr>
                <w:rFonts w:hint="eastAsia" w:hAnsi="宋体" w:eastAsia="宋体"/>
                <w:color w:val="auto"/>
                <w:sz w:val="21"/>
                <w:szCs w:val="21"/>
                <w:highlight w:val="none"/>
              </w:rPr>
              <w:t>（1）资质要求：</w:t>
            </w:r>
            <w:r>
              <w:rPr>
                <w:rFonts w:hint="eastAsia" w:hAnsi="宋体" w:eastAsia="宋体"/>
                <w:color w:val="auto"/>
                <w:sz w:val="21"/>
                <w:szCs w:val="21"/>
                <w:highlight w:val="none"/>
                <w:u w:val="single"/>
              </w:rPr>
              <w:t>详见公告投标人资格要求</w:t>
            </w:r>
            <w:r>
              <w:rPr>
                <w:rFonts w:hint="eastAsia" w:hAnsi="宋体" w:eastAsia="宋体"/>
                <w:color w:val="auto"/>
                <w:sz w:val="21"/>
                <w:szCs w:val="21"/>
                <w:highlight w:val="none"/>
              </w:rPr>
              <w:t>。</w:t>
            </w:r>
          </w:p>
          <w:p>
            <w:pPr>
              <w:pStyle w:val="59"/>
              <w:kinsoku w:val="0"/>
              <w:overflowPunct w:val="0"/>
              <w:spacing w:line="360" w:lineRule="auto"/>
              <w:jc w:val="both"/>
              <w:rPr>
                <w:rFonts w:hAnsi="宋体" w:eastAsia="宋体"/>
                <w:color w:val="auto"/>
                <w:sz w:val="21"/>
                <w:szCs w:val="21"/>
                <w:highlight w:val="none"/>
              </w:rPr>
            </w:pPr>
            <w:r>
              <w:rPr>
                <w:rFonts w:hint="eastAsia" w:hAnsi="宋体" w:eastAsia="宋体"/>
                <w:color w:val="auto"/>
                <w:sz w:val="21"/>
                <w:szCs w:val="21"/>
                <w:highlight w:val="none"/>
              </w:rPr>
              <w:t>（2）财务要求：</w:t>
            </w:r>
            <w:r>
              <w:rPr>
                <w:rFonts w:hint="eastAsia" w:hAnsi="宋体" w:eastAsia="宋体"/>
                <w:color w:val="auto"/>
                <w:sz w:val="21"/>
                <w:szCs w:val="21"/>
                <w:highlight w:val="none"/>
                <w:u w:val="single"/>
              </w:rPr>
              <w:t>不要求</w:t>
            </w:r>
            <w:r>
              <w:rPr>
                <w:rFonts w:hint="eastAsia" w:hAnsi="宋体" w:eastAsia="宋体"/>
                <w:color w:val="auto"/>
                <w:sz w:val="21"/>
                <w:szCs w:val="21"/>
                <w:highlight w:val="none"/>
              </w:rPr>
              <w:t>。</w:t>
            </w:r>
          </w:p>
          <w:p>
            <w:pPr>
              <w:pStyle w:val="59"/>
              <w:kinsoku w:val="0"/>
              <w:overflowPunct w:val="0"/>
              <w:spacing w:line="360" w:lineRule="auto"/>
              <w:jc w:val="both"/>
              <w:rPr>
                <w:rFonts w:hAnsi="宋体" w:eastAsia="宋体"/>
                <w:color w:val="auto"/>
                <w:sz w:val="21"/>
                <w:szCs w:val="21"/>
                <w:highlight w:val="none"/>
              </w:rPr>
            </w:pPr>
            <w:r>
              <w:rPr>
                <w:rFonts w:hint="eastAsia" w:hAnsi="宋体" w:eastAsia="宋体"/>
                <w:color w:val="auto"/>
                <w:sz w:val="21"/>
                <w:szCs w:val="21"/>
                <w:highlight w:val="none"/>
              </w:rPr>
              <w:t>（3）业绩要求：</w:t>
            </w:r>
            <w:r>
              <w:rPr>
                <w:rFonts w:hint="eastAsia" w:hAnsi="宋体" w:eastAsia="宋体"/>
                <w:color w:val="auto"/>
                <w:sz w:val="21"/>
                <w:szCs w:val="21"/>
                <w:highlight w:val="none"/>
                <w:u w:val="single"/>
              </w:rPr>
              <w:t>不要求</w:t>
            </w:r>
            <w:r>
              <w:rPr>
                <w:rFonts w:hint="eastAsia" w:hAnsi="宋体" w:eastAsia="宋体"/>
                <w:color w:val="auto"/>
                <w:sz w:val="21"/>
                <w:szCs w:val="21"/>
                <w:highlight w:val="none"/>
              </w:rPr>
              <w:t>。</w:t>
            </w:r>
          </w:p>
          <w:p>
            <w:pPr>
              <w:pStyle w:val="59"/>
              <w:kinsoku w:val="0"/>
              <w:overflowPunct w:val="0"/>
              <w:spacing w:line="360" w:lineRule="auto"/>
              <w:jc w:val="both"/>
              <w:rPr>
                <w:rFonts w:hAnsi="宋体" w:eastAsia="宋体"/>
                <w:color w:val="auto"/>
                <w:sz w:val="21"/>
                <w:szCs w:val="21"/>
                <w:highlight w:val="none"/>
              </w:rPr>
            </w:pPr>
            <w:r>
              <w:rPr>
                <w:rFonts w:hint="eastAsia" w:hAnsi="宋体" w:eastAsia="宋体"/>
                <w:color w:val="auto"/>
                <w:sz w:val="21"/>
                <w:szCs w:val="21"/>
                <w:highlight w:val="none"/>
              </w:rPr>
              <w:t>（4）信誉要求：</w:t>
            </w:r>
            <w:r>
              <w:rPr>
                <w:rFonts w:hint="eastAsia" w:hAnsi="宋体" w:eastAsia="宋体"/>
                <w:color w:val="auto"/>
                <w:sz w:val="21"/>
                <w:szCs w:val="21"/>
                <w:highlight w:val="none"/>
                <w:u w:val="single"/>
              </w:rPr>
              <w:t>不要求</w:t>
            </w:r>
            <w:r>
              <w:rPr>
                <w:rFonts w:hint="eastAsia" w:hAnsi="宋体" w:eastAsia="宋体"/>
                <w:color w:val="auto"/>
                <w:sz w:val="21"/>
                <w:szCs w:val="21"/>
                <w:highlight w:val="none"/>
              </w:rPr>
              <w:t>。</w:t>
            </w:r>
          </w:p>
          <w:p>
            <w:pPr>
              <w:pStyle w:val="59"/>
              <w:kinsoku w:val="0"/>
              <w:overflowPunct w:val="0"/>
              <w:spacing w:line="360" w:lineRule="auto"/>
              <w:jc w:val="both"/>
              <w:rPr>
                <w:rFonts w:hAnsi="宋体" w:eastAsia="宋体"/>
                <w:color w:val="auto"/>
                <w:sz w:val="21"/>
                <w:szCs w:val="21"/>
                <w:highlight w:val="none"/>
              </w:rPr>
            </w:pPr>
            <w:r>
              <w:rPr>
                <w:rFonts w:hint="eastAsia" w:hAnsi="宋体" w:eastAsia="宋体"/>
                <w:color w:val="auto"/>
                <w:sz w:val="21"/>
                <w:szCs w:val="21"/>
                <w:highlight w:val="none"/>
              </w:rPr>
              <w:t>（</w:t>
            </w:r>
            <w:r>
              <w:rPr>
                <w:rFonts w:hint="eastAsia" w:hAnsi="宋体" w:eastAsia="宋体"/>
                <w:color w:val="auto"/>
                <w:sz w:val="21"/>
                <w:szCs w:val="21"/>
                <w:highlight w:val="none"/>
                <w:lang w:val="en-US"/>
              </w:rPr>
              <w:t>5</w:t>
            </w:r>
            <w:r>
              <w:rPr>
                <w:rFonts w:hint="eastAsia" w:hAnsi="宋体" w:eastAsia="宋体"/>
                <w:color w:val="auto"/>
                <w:sz w:val="21"/>
                <w:szCs w:val="21"/>
                <w:highlight w:val="none"/>
              </w:rPr>
              <w:t>）项目负责人的资格要求：</w:t>
            </w:r>
            <w:r>
              <w:rPr>
                <w:rFonts w:hint="eastAsia" w:hAnsi="宋体" w:eastAsia="宋体"/>
                <w:color w:val="auto"/>
                <w:sz w:val="21"/>
                <w:szCs w:val="21"/>
                <w:highlight w:val="none"/>
                <w:u w:val="single"/>
              </w:rPr>
              <w:t>不要求</w:t>
            </w:r>
            <w:r>
              <w:rPr>
                <w:rFonts w:hint="eastAsia" w:hAnsi="宋体" w:eastAsia="宋体"/>
                <w:color w:val="auto"/>
                <w:sz w:val="21"/>
                <w:szCs w:val="21"/>
                <w:highlight w:val="none"/>
              </w:rPr>
              <w:t>。</w:t>
            </w:r>
          </w:p>
          <w:p>
            <w:pPr>
              <w:pStyle w:val="59"/>
              <w:kinsoku w:val="0"/>
              <w:overflowPunct w:val="0"/>
              <w:spacing w:line="360" w:lineRule="auto"/>
              <w:jc w:val="both"/>
              <w:rPr>
                <w:rFonts w:hAnsi="宋体" w:eastAsia="宋体"/>
                <w:color w:val="auto"/>
                <w:sz w:val="21"/>
                <w:szCs w:val="21"/>
                <w:highlight w:val="none"/>
              </w:rPr>
            </w:pPr>
            <w:r>
              <w:rPr>
                <w:rFonts w:hint="eastAsia" w:hAnsi="宋体" w:eastAsia="宋体"/>
                <w:color w:val="auto"/>
                <w:sz w:val="21"/>
                <w:szCs w:val="21"/>
                <w:highlight w:val="none"/>
              </w:rPr>
              <w:t>（</w:t>
            </w:r>
            <w:r>
              <w:rPr>
                <w:rFonts w:hint="eastAsia" w:hAnsi="宋体" w:eastAsia="宋体"/>
                <w:color w:val="auto"/>
                <w:sz w:val="21"/>
                <w:szCs w:val="21"/>
                <w:highlight w:val="none"/>
                <w:lang w:val="en-US"/>
              </w:rPr>
              <w:t>6</w:t>
            </w:r>
            <w:r>
              <w:rPr>
                <w:rFonts w:hint="eastAsia" w:hAnsi="宋体" w:eastAsia="宋体"/>
                <w:color w:val="auto"/>
                <w:sz w:val="21"/>
                <w:szCs w:val="21"/>
                <w:highlight w:val="none"/>
              </w:rPr>
              <w:t>）其他主要人员要求：</w:t>
            </w:r>
            <w:r>
              <w:rPr>
                <w:rFonts w:hint="eastAsia" w:hAnsi="宋体" w:eastAsia="宋体"/>
                <w:color w:val="auto"/>
                <w:sz w:val="21"/>
                <w:szCs w:val="21"/>
                <w:highlight w:val="none"/>
                <w:u w:val="single"/>
              </w:rPr>
              <w:t>不要求</w:t>
            </w:r>
            <w:r>
              <w:rPr>
                <w:rFonts w:hint="eastAsia" w:hAnsi="宋体" w:eastAsia="宋体"/>
                <w:color w:val="auto"/>
                <w:sz w:val="21"/>
                <w:szCs w:val="21"/>
                <w:highlight w:val="none"/>
              </w:rPr>
              <w:t>。</w:t>
            </w:r>
          </w:p>
          <w:p>
            <w:pPr>
              <w:pStyle w:val="59"/>
              <w:kinsoku w:val="0"/>
              <w:overflowPunct w:val="0"/>
              <w:spacing w:line="360" w:lineRule="auto"/>
              <w:jc w:val="both"/>
              <w:rPr>
                <w:rFonts w:hAnsi="宋体" w:eastAsia="宋体"/>
                <w:color w:val="auto"/>
                <w:sz w:val="21"/>
                <w:szCs w:val="21"/>
                <w:highlight w:val="none"/>
              </w:rPr>
            </w:pPr>
            <w:r>
              <w:rPr>
                <w:rFonts w:hint="eastAsia" w:hAnsi="宋体" w:eastAsia="宋体"/>
                <w:color w:val="auto"/>
                <w:sz w:val="21"/>
                <w:szCs w:val="21"/>
                <w:highlight w:val="none"/>
              </w:rPr>
              <w:t>（</w:t>
            </w:r>
            <w:r>
              <w:rPr>
                <w:rFonts w:hint="eastAsia" w:hAnsi="宋体" w:eastAsia="宋体"/>
                <w:color w:val="auto"/>
                <w:sz w:val="21"/>
                <w:szCs w:val="21"/>
                <w:highlight w:val="none"/>
                <w:lang w:val="en-US"/>
              </w:rPr>
              <w:t>7</w:t>
            </w:r>
            <w:r>
              <w:rPr>
                <w:rFonts w:hint="eastAsia" w:hAnsi="宋体" w:eastAsia="宋体"/>
                <w:color w:val="auto"/>
                <w:sz w:val="21"/>
                <w:szCs w:val="21"/>
                <w:highlight w:val="none"/>
              </w:rPr>
              <w:t>）试验检测仪器设备要求：</w:t>
            </w:r>
            <w:r>
              <w:rPr>
                <w:rFonts w:hint="eastAsia" w:hAnsi="宋体" w:eastAsia="宋体"/>
                <w:color w:val="auto"/>
                <w:sz w:val="21"/>
                <w:szCs w:val="21"/>
                <w:highlight w:val="none"/>
                <w:u w:val="single"/>
              </w:rPr>
              <w:t>不要求</w:t>
            </w:r>
            <w:r>
              <w:rPr>
                <w:rFonts w:hint="eastAsia" w:hAnsi="宋体" w:eastAsia="宋体"/>
                <w:color w:val="auto"/>
                <w:sz w:val="21"/>
                <w:szCs w:val="21"/>
                <w:highlight w:val="none"/>
              </w:rPr>
              <w:t>。</w:t>
            </w:r>
          </w:p>
          <w:p>
            <w:pPr>
              <w:pStyle w:val="59"/>
              <w:kinsoku w:val="0"/>
              <w:overflowPunct w:val="0"/>
              <w:spacing w:line="360" w:lineRule="auto"/>
              <w:jc w:val="both"/>
              <w:rPr>
                <w:rFonts w:hAnsi="宋体" w:eastAsia="宋体"/>
                <w:color w:val="auto"/>
                <w:sz w:val="21"/>
                <w:szCs w:val="21"/>
                <w:highlight w:val="none"/>
              </w:rPr>
            </w:pPr>
            <w:r>
              <w:rPr>
                <w:rFonts w:hint="eastAsia" w:hAnsi="宋体" w:eastAsia="宋体"/>
                <w:color w:val="auto"/>
                <w:sz w:val="21"/>
                <w:szCs w:val="21"/>
                <w:highlight w:val="none"/>
              </w:rPr>
              <w:t>（</w:t>
            </w:r>
            <w:r>
              <w:rPr>
                <w:rFonts w:hint="eastAsia" w:hAnsi="宋体" w:eastAsia="宋体"/>
                <w:color w:val="auto"/>
                <w:sz w:val="21"/>
                <w:szCs w:val="21"/>
                <w:highlight w:val="none"/>
                <w:lang w:val="en-US"/>
              </w:rPr>
              <w:t>8</w:t>
            </w:r>
            <w:r>
              <w:rPr>
                <w:rFonts w:hint="eastAsia" w:hAnsi="宋体" w:eastAsia="宋体"/>
                <w:color w:val="auto"/>
                <w:sz w:val="21"/>
                <w:szCs w:val="21"/>
                <w:highlight w:val="none"/>
              </w:rPr>
              <w:t>）其他要求：</w:t>
            </w:r>
            <w:r>
              <w:rPr>
                <w:rFonts w:hint="eastAsia" w:hAnsi="宋体" w:eastAsia="宋体"/>
                <w:color w:val="auto"/>
                <w:sz w:val="21"/>
                <w:szCs w:val="21"/>
                <w:highlight w:val="none"/>
                <w:u w:val="single"/>
              </w:rPr>
              <w:t>详见公告投标人资格要求</w:t>
            </w:r>
            <w:r>
              <w:rPr>
                <w:rFonts w:hint="eastAsia" w:hAnsi="宋体" w:eastAsia="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1.4.2</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是否接受联合体投标</w:t>
            </w:r>
          </w:p>
        </w:tc>
        <w:tc>
          <w:tcPr>
            <w:tcW w:w="4860" w:type="dxa"/>
            <w:tcBorders>
              <w:tl2br w:val="nil"/>
              <w:tr2bl w:val="nil"/>
            </w:tcBorders>
            <w:vAlign w:val="center"/>
          </w:tcPr>
          <w:p>
            <w:pPr>
              <w:topLinePunct/>
              <w:spacing w:after="120"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■不接受</w:t>
            </w:r>
          </w:p>
          <w:p>
            <w:pPr>
              <w:spacing w:after="120"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□接受，应满足下列要求：</w:t>
            </w:r>
            <w:r>
              <w:rPr>
                <w:rFonts w:hint="eastAsia" w:asciiTheme="minorEastAsia" w:hAnsiTheme="minorEastAsia" w:eastAsiaTheme="minorEastAsia" w:cstheme="minorEastAsia"/>
                <w:color w:val="auto"/>
                <w:szCs w:val="21"/>
                <w:highlight w:val="none"/>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1.4.3</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投标人不得存在的其他情形</w:t>
            </w:r>
          </w:p>
        </w:tc>
        <w:tc>
          <w:tcPr>
            <w:tcW w:w="4860" w:type="dxa"/>
            <w:tcBorders>
              <w:tl2br w:val="nil"/>
              <w:tr2bl w:val="nil"/>
            </w:tcBorders>
            <w:vAlign w:val="center"/>
          </w:tcPr>
          <w:p>
            <w:pPr>
              <w:topLinePunct/>
              <w:spacing w:after="120" w:line="360" w:lineRule="auto"/>
              <w:rPr>
                <w:rFonts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1.9.1</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踏勘现场</w:t>
            </w:r>
          </w:p>
        </w:tc>
        <w:tc>
          <w:tcPr>
            <w:tcW w:w="4860" w:type="dxa"/>
            <w:tcBorders>
              <w:tl2br w:val="nil"/>
              <w:tr2bl w:val="nil"/>
            </w:tcBorders>
            <w:vAlign w:val="center"/>
          </w:tcPr>
          <w:p>
            <w:pPr>
              <w:pStyle w:val="17"/>
              <w:topLinePunct/>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r>
              <w:rPr>
                <w:rFonts w:hint="eastAsia" w:asciiTheme="minorEastAsia" w:hAnsiTheme="minorEastAsia" w:eastAsiaTheme="minorEastAsia" w:cstheme="minorEastAsia"/>
                <w:color w:val="auto"/>
                <w:sz w:val="21"/>
                <w:szCs w:val="21"/>
                <w:highlight w:val="none"/>
                <w:u w:val="single"/>
              </w:rPr>
              <w:t>本次招标项目不统一组织现场考察，各投标人可根据需要自行现场考察。</w:t>
            </w:r>
          </w:p>
          <w:p>
            <w:pPr>
              <w:pStyle w:val="17"/>
              <w:topLinePunct/>
              <w:spacing w:after="40" w:line="360" w:lineRule="auto"/>
              <w:rPr>
                <w:rFonts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□组织，踏勘时间：</w:t>
            </w:r>
            <w:r>
              <w:rPr>
                <w:rFonts w:hint="eastAsia" w:asciiTheme="minorEastAsia" w:hAnsiTheme="minorEastAsia" w:eastAsiaTheme="minorEastAsia" w:cstheme="minorEastAsia"/>
                <w:color w:val="auto"/>
                <w:szCs w:val="21"/>
                <w:highlight w:val="none"/>
                <w:u w:val="single"/>
              </w:rPr>
              <w:t>/</w:t>
            </w:r>
          </w:p>
          <w:p>
            <w:pPr>
              <w:pStyle w:val="17"/>
              <w:topLinePunct/>
              <w:spacing w:line="360" w:lineRule="auto"/>
              <w:ind w:firstLine="840" w:firstLineChars="4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r>
              <w:rPr>
                <w:rFonts w:hint="eastAsia" w:asciiTheme="minorEastAsia" w:hAnsiTheme="minorEastAsia" w:eastAsiaTheme="minorEastAsia" w:cstheme="minorEastAsia"/>
                <w:color w:val="auto"/>
                <w:szCs w:val="21"/>
                <w:highlight w:val="none"/>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1.10.1</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投标预备会</w:t>
            </w:r>
          </w:p>
        </w:tc>
        <w:tc>
          <w:tcPr>
            <w:tcW w:w="4860" w:type="dxa"/>
            <w:tcBorders>
              <w:tl2br w:val="nil"/>
              <w:tr2bl w:val="nil"/>
            </w:tcBorders>
            <w:vAlign w:val="center"/>
          </w:tcPr>
          <w:p>
            <w:pPr>
              <w:pStyle w:val="17"/>
              <w:topLinePunct/>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■不召开</w:t>
            </w:r>
          </w:p>
          <w:p>
            <w:pPr>
              <w:spacing w:after="40"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□召开，召开时间：</w:t>
            </w:r>
            <w:r>
              <w:rPr>
                <w:rFonts w:hint="eastAsia" w:ascii="宋体" w:hAnsi="宋体" w:cs="宋体"/>
                <w:color w:val="auto"/>
                <w:szCs w:val="21"/>
                <w:highlight w:val="none"/>
                <w:u w:val="single"/>
              </w:rPr>
              <w:t>/</w:t>
            </w:r>
          </w:p>
          <w:p>
            <w:pPr>
              <w:spacing w:after="120" w:line="360" w:lineRule="auto"/>
              <w:ind w:firstLine="840" w:firstLineChars="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召开地点：</w:t>
            </w:r>
            <w:r>
              <w:rPr>
                <w:rFonts w:hint="eastAsia" w:ascii="宋体" w:hAnsi="宋体" w:cs="宋体"/>
                <w:color w:val="auto"/>
                <w:szCs w:val="21"/>
                <w:highlight w:val="none"/>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vMerge w:val="restart"/>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1.10.2</w:t>
            </w:r>
          </w:p>
        </w:tc>
        <w:tc>
          <w:tcPr>
            <w:tcW w:w="3070" w:type="dxa"/>
            <w:vMerge w:val="restart"/>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投标人在投标预备会前提出问题</w:t>
            </w:r>
          </w:p>
        </w:tc>
        <w:tc>
          <w:tcPr>
            <w:tcW w:w="4860" w:type="dxa"/>
            <w:tcBorders>
              <w:tl2br w:val="nil"/>
              <w:tr2bl w:val="nil"/>
            </w:tcBorders>
            <w:vAlign w:val="center"/>
          </w:tcPr>
          <w:p>
            <w:pPr>
              <w:spacing w:after="120"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时间：</w:t>
            </w:r>
            <w:r>
              <w:rPr>
                <w:rFonts w:hint="eastAsia" w:asciiTheme="minorEastAsia" w:hAnsiTheme="minorEastAsia" w:eastAsiaTheme="minorEastAsia" w:cstheme="minorEastAsia"/>
                <w:color w:val="auto"/>
                <w:szCs w:val="21"/>
                <w:highlight w:val="none"/>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vMerge w:val="continue"/>
            <w:tcBorders>
              <w:tl2br w:val="nil"/>
              <w:tr2bl w:val="nil"/>
            </w:tcBorders>
            <w:vAlign w:val="center"/>
          </w:tcPr>
          <w:p>
            <w:pPr>
              <w:keepNext/>
              <w:keepLines/>
              <w:spacing w:line="360" w:lineRule="auto"/>
              <w:jc w:val="center"/>
              <w:outlineLvl w:val="2"/>
              <w:rPr>
                <w:rFonts w:asciiTheme="minorEastAsia" w:hAnsiTheme="minorEastAsia" w:eastAsiaTheme="minorEastAsia" w:cstheme="minorEastAsia"/>
                <w:color w:val="auto"/>
                <w:szCs w:val="21"/>
                <w:highlight w:val="none"/>
              </w:rPr>
            </w:pPr>
          </w:p>
        </w:tc>
        <w:tc>
          <w:tcPr>
            <w:tcW w:w="3070" w:type="dxa"/>
            <w:vMerge w:val="continue"/>
            <w:tcBorders>
              <w:tl2br w:val="nil"/>
              <w:tr2bl w:val="nil"/>
            </w:tcBorders>
            <w:vAlign w:val="center"/>
          </w:tcPr>
          <w:p>
            <w:pPr>
              <w:keepNext/>
              <w:keepLines/>
              <w:spacing w:line="360" w:lineRule="auto"/>
              <w:jc w:val="center"/>
              <w:outlineLvl w:val="2"/>
              <w:rPr>
                <w:rFonts w:asciiTheme="minorEastAsia" w:hAnsiTheme="minorEastAsia" w:eastAsiaTheme="minorEastAsia" w:cstheme="minorEastAsia"/>
                <w:color w:val="auto"/>
                <w:szCs w:val="21"/>
                <w:highlight w:val="none"/>
              </w:rPr>
            </w:pP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w:t>
            </w:r>
            <w:r>
              <w:rPr>
                <w:rFonts w:hint="eastAsia" w:asciiTheme="minorEastAsia" w:hAnsiTheme="minorEastAsia" w:eastAsiaTheme="minorEastAsia" w:cstheme="minorEastAsia"/>
                <w:color w:val="auto"/>
                <w:szCs w:val="21"/>
                <w:highlight w:val="none"/>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1.10.3</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招标文件澄清发出的形式</w:t>
            </w: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 xml:space="preserve"> （此为投标预备会的答疑澄清）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1.12.1</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实质性要求和条件</w:t>
            </w:r>
          </w:p>
        </w:tc>
        <w:tc>
          <w:tcPr>
            <w:tcW w:w="4860" w:type="dxa"/>
            <w:tcBorders>
              <w:tl2br w:val="nil"/>
              <w:tr2bl w:val="nil"/>
            </w:tcBorders>
            <w:vAlign w:val="center"/>
          </w:tcPr>
          <w:p>
            <w:pPr>
              <w:pStyle w:val="17"/>
              <w:topLinePunct/>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1.12.3</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偏差</w:t>
            </w:r>
          </w:p>
        </w:tc>
        <w:tc>
          <w:tcPr>
            <w:tcW w:w="4860" w:type="dxa"/>
            <w:tcBorders>
              <w:tl2br w:val="nil"/>
              <w:tr2bl w:val="nil"/>
            </w:tcBorders>
            <w:vAlign w:val="center"/>
          </w:tcPr>
          <w:p>
            <w:pPr>
              <w:pStyle w:val="17"/>
              <w:topLinePunct/>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■不允许</w:t>
            </w:r>
          </w:p>
          <w:p>
            <w:pPr>
              <w:pStyle w:val="17"/>
              <w:topLinePunct/>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□允许，偏差范围：/</w:t>
            </w:r>
          </w:p>
          <w:p>
            <w:pPr>
              <w:pStyle w:val="17"/>
              <w:topLinePunct/>
              <w:spacing w:line="360" w:lineRule="auto"/>
              <w:ind w:firstLine="840" w:firstLineChars="4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偏差幅度：/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构成招标文件的其他资料</w:t>
            </w: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rPr>
            </w:pPr>
            <w:r>
              <w:rPr>
                <w:rFonts w:hint="eastAsia" w:ascii="宋体" w:hAnsi="宋体" w:eastAsia="宋体" w:cs="宋体"/>
                <w:color w:val="auto"/>
                <w:szCs w:val="21"/>
                <w:highlight w:val="none"/>
              </w:rPr>
              <w:t>答疑纪要、澄清文件等（如有）。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vMerge w:val="restart"/>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2.2.1</w:t>
            </w:r>
          </w:p>
        </w:tc>
        <w:tc>
          <w:tcPr>
            <w:tcW w:w="3070" w:type="dxa"/>
            <w:vMerge w:val="restart"/>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投标人要求澄清招标文件</w:t>
            </w: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rPr>
            </w:pPr>
            <w:r>
              <w:rPr>
                <w:rFonts w:hint="eastAsia" w:ascii="宋体" w:hAnsi="宋体" w:eastAsia="宋体" w:cs="宋体"/>
                <w:color w:val="auto"/>
                <w:szCs w:val="21"/>
                <w:highlight w:val="none"/>
              </w:rPr>
              <w:t>疑问提交</w:t>
            </w:r>
            <w:r>
              <w:rPr>
                <w:rFonts w:ascii="宋体" w:hAnsi="宋体" w:eastAsia="宋体" w:cs="宋体"/>
                <w:color w:val="auto"/>
                <w:szCs w:val="21"/>
                <w:highlight w:val="none"/>
              </w:rPr>
              <w:t>时间：</w:t>
            </w:r>
            <w:r>
              <w:rPr>
                <w:rFonts w:hint="eastAsia" w:ascii="宋体" w:hAnsi="宋体" w:eastAsia="宋体" w:cs="宋体"/>
                <w:color w:val="auto"/>
                <w:szCs w:val="21"/>
                <w:highlight w:val="none"/>
                <w:u w:val="single"/>
              </w:rPr>
              <w:t xml:space="preserve">    年   月   日   时</w:t>
            </w:r>
            <w:r>
              <w:rPr>
                <w:rFonts w:hint="eastAsia" w:ascii="宋体" w:hAnsi="宋体" w:eastAsia="宋体" w:cs="宋体"/>
                <w:color w:val="auto"/>
                <w:szCs w:val="21"/>
                <w:highlight w:val="none"/>
              </w:rPr>
              <w:t>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vMerge w:val="continue"/>
            <w:tcBorders>
              <w:tl2br w:val="nil"/>
              <w:tr2bl w:val="nil"/>
            </w:tcBorders>
            <w:vAlign w:val="center"/>
          </w:tcPr>
          <w:p>
            <w:pPr>
              <w:keepNext/>
              <w:keepLines/>
              <w:spacing w:line="360" w:lineRule="auto"/>
              <w:jc w:val="center"/>
              <w:outlineLvl w:val="2"/>
              <w:rPr>
                <w:rFonts w:asciiTheme="minorEastAsia" w:hAnsiTheme="minorEastAsia" w:eastAsiaTheme="minorEastAsia" w:cstheme="minorEastAsia"/>
                <w:color w:val="auto"/>
                <w:szCs w:val="21"/>
                <w:highlight w:val="none"/>
              </w:rPr>
            </w:pPr>
          </w:p>
        </w:tc>
        <w:tc>
          <w:tcPr>
            <w:tcW w:w="3070" w:type="dxa"/>
            <w:vMerge w:val="continue"/>
            <w:tcBorders>
              <w:tl2br w:val="nil"/>
              <w:tr2bl w:val="nil"/>
            </w:tcBorders>
            <w:vAlign w:val="center"/>
          </w:tcPr>
          <w:p>
            <w:pPr>
              <w:keepNext/>
              <w:keepLines/>
              <w:spacing w:line="360" w:lineRule="auto"/>
              <w:jc w:val="center"/>
              <w:outlineLvl w:val="2"/>
              <w:rPr>
                <w:rFonts w:asciiTheme="minorEastAsia" w:hAnsiTheme="minorEastAsia" w:eastAsiaTheme="minorEastAsia" w:cstheme="minorEastAsia"/>
                <w:color w:val="auto"/>
                <w:szCs w:val="21"/>
                <w:highlight w:val="none"/>
              </w:rPr>
            </w:pP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rPr>
            </w:pPr>
            <w:r>
              <w:rPr>
                <w:rFonts w:hint="eastAsia" w:ascii="宋体" w:hAnsi="宋体" w:eastAsia="宋体" w:cs="宋体"/>
                <w:color w:val="auto"/>
                <w:szCs w:val="21"/>
                <w:highlight w:val="none"/>
              </w:rPr>
              <w:t>形式：投标人的疑问通过</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数字交易平台提交。具体要求：操作详见</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网站发布的《房屋建筑和市政基础设施工程全流程电子化项目专章》。提问一律不得署名。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2.2.2</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招标文件澄清发出的形式</w:t>
            </w: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在提交投标文件截止时间15天前，在</w:t>
            </w:r>
            <w:r>
              <w:rPr>
                <w:rFonts w:hint="eastAsia" w:asciiTheme="minorEastAsia" w:hAnsiTheme="minorEastAsia" w:eastAsiaTheme="minorEastAsia" w:cstheme="minorEastAsia"/>
                <w:color w:val="auto"/>
                <w:szCs w:val="21"/>
                <w:highlight w:val="none"/>
                <w:u w:val="single"/>
                <w:lang w:eastAsia="zh-CN"/>
              </w:rPr>
              <w:t>广州交易集团有限公司（广州公共资源交易中心）</w:t>
            </w:r>
            <w:r>
              <w:rPr>
                <w:rFonts w:hint="eastAsia" w:asciiTheme="minorEastAsia" w:hAnsiTheme="minorEastAsia" w:eastAsiaTheme="minorEastAsia" w:cstheme="minorEastAsia"/>
                <w:color w:val="auto"/>
                <w:szCs w:val="21"/>
                <w:highlight w:val="none"/>
                <w:u w:val="single"/>
              </w:rPr>
              <w:t>网站通过项目答疑专区网上公开发布。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vMerge w:val="restart"/>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2.2.3</w:t>
            </w:r>
          </w:p>
        </w:tc>
        <w:tc>
          <w:tcPr>
            <w:tcW w:w="3070" w:type="dxa"/>
            <w:vMerge w:val="restart"/>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投标人确认收到招标文件澄清</w:t>
            </w: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时间：</w:t>
            </w:r>
            <w:r>
              <w:rPr>
                <w:rFonts w:hint="eastAsia" w:asciiTheme="minorEastAsia" w:hAnsiTheme="minorEastAsia" w:eastAsiaTheme="minorEastAsia" w:cstheme="minorEastAsia"/>
                <w:color w:val="auto"/>
                <w:szCs w:val="21"/>
                <w:highlight w:val="none"/>
                <w:u w:val="single"/>
              </w:rPr>
              <w:t>发出即视作收到。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vMerge w:val="continue"/>
            <w:tcBorders>
              <w:tl2br w:val="nil"/>
              <w:tr2bl w:val="nil"/>
            </w:tcBorders>
            <w:vAlign w:val="center"/>
          </w:tcPr>
          <w:p>
            <w:pPr>
              <w:keepNext/>
              <w:keepLines/>
              <w:spacing w:line="360" w:lineRule="auto"/>
              <w:jc w:val="center"/>
              <w:outlineLvl w:val="2"/>
              <w:rPr>
                <w:rFonts w:asciiTheme="minorEastAsia" w:hAnsiTheme="minorEastAsia" w:eastAsiaTheme="minorEastAsia" w:cstheme="minorEastAsia"/>
                <w:color w:val="auto"/>
                <w:szCs w:val="21"/>
                <w:highlight w:val="none"/>
              </w:rPr>
            </w:pPr>
          </w:p>
        </w:tc>
        <w:tc>
          <w:tcPr>
            <w:tcW w:w="3070" w:type="dxa"/>
            <w:vMerge w:val="continue"/>
            <w:tcBorders>
              <w:tl2br w:val="nil"/>
              <w:tr2bl w:val="nil"/>
            </w:tcBorders>
            <w:vAlign w:val="center"/>
          </w:tcPr>
          <w:p>
            <w:pPr>
              <w:keepNext/>
              <w:keepLines/>
              <w:spacing w:line="360" w:lineRule="auto"/>
              <w:jc w:val="center"/>
              <w:outlineLvl w:val="2"/>
              <w:rPr>
                <w:rFonts w:asciiTheme="minorEastAsia" w:hAnsiTheme="minorEastAsia" w:eastAsiaTheme="minorEastAsia" w:cstheme="minorEastAsia"/>
                <w:color w:val="auto"/>
                <w:szCs w:val="21"/>
                <w:highlight w:val="none"/>
              </w:rPr>
            </w:pP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w:t>
            </w:r>
            <w:r>
              <w:rPr>
                <w:rFonts w:hint="eastAsia" w:asciiTheme="minorEastAsia" w:hAnsiTheme="minorEastAsia" w:eastAsiaTheme="minorEastAsia" w:cstheme="minorEastAsia"/>
                <w:color w:val="auto"/>
                <w:szCs w:val="21"/>
                <w:highlight w:val="none"/>
                <w:u w:val="single"/>
              </w:rPr>
              <w:t>招标文件澄清（招标答疑纪要）一经在</w:t>
            </w:r>
            <w:r>
              <w:rPr>
                <w:rFonts w:hint="eastAsia" w:asciiTheme="minorEastAsia" w:hAnsiTheme="minorEastAsia" w:eastAsiaTheme="minorEastAsia" w:cstheme="minorEastAsia"/>
                <w:color w:val="auto"/>
                <w:szCs w:val="21"/>
                <w:highlight w:val="none"/>
                <w:u w:val="single"/>
                <w:lang w:eastAsia="zh-CN"/>
              </w:rPr>
              <w:t>广州交易集团有限公司（广州公共资源交易中心）</w:t>
            </w:r>
            <w:r>
              <w:rPr>
                <w:rFonts w:hint="eastAsia" w:asciiTheme="minorEastAsia" w:hAnsiTheme="minorEastAsia" w:eastAsiaTheme="minorEastAsia" w:cstheme="minorEastAsia"/>
                <w:color w:val="auto"/>
                <w:szCs w:val="21"/>
                <w:highlight w:val="none"/>
                <w:u w:val="single"/>
              </w:rPr>
              <w:t>网站发布，视作已发放给所有投标人。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2.3.1</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招标文件修改发出的形式</w:t>
            </w: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以补充公告或项目答疑澄清的方式在</w:t>
            </w:r>
            <w:r>
              <w:rPr>
                <w:rFonts w:hint="eastAsia" w:asciiTheme="minorEastAsia" w:hAnsiTheme="minorEastAsia" w:eastAsiaTheme="minorEastAsia" w:cstheme="minorEastAsia"/>
                <w:color w:val="auto"/>
                <w:szCs w:val="21"/>
                <w:highlight w:val="none"/>
                <w:u w:val="single"/>
                <w:lang w:eastAsia="zh-CN"/>
              </w:rPr>
              <w:t>广州交易集团有限公司（广州公共资源交易中心）</w:t>
            </w:r>
            <w:r>
              <w:rPr>
                <w:rFonts w:hint="eastAsia" w:asciiTheme="minorEastAsia" w:hAnsiTheme="minorEastAsia" w:eastAsiaTheme="minorEastAsia" w:cstheme="minorEastAsia"/>
                <w:color w:val="auto"/>
                <w:szCs w:val="21"/>
                <w:highlight w:val="none"/>
                <w:u w:val="single"/>
              </w:rPr>
              <w:t>网站发布。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2.3.2</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投标人确认收到招标文件修改</w:t>
            </w: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招标文件修改一经在</w:t>
            </w:r>
            <w:r>
              <w:rPr>
                <w:rFonts w:hint="eastAsia" w:asciiTheme="minorEastAsia" w:hAnsiTheme="minorEastAsia" w:eastAsiaTheme="minorEastAsia" w:cstheme="minorEastAsia"/>
                <w:color w:val="auto"/>
                <w:szCs w:val="21"/>
                <w:highlight w:val="none"/>
                <w:u w:val="single"/>
                <w:lang w:eastAsia="zh-CN"/>
              </w:rPr>
              <w:t>广州交易集团有限公司（广州公共资源交易中心）</w:t>
            </w:r>
            <w:r>
              <w:rPr>
                <w:rFonts w:hint="eastAsia" w:asciiTheme="minorEastAsia" w:hAnsiTheme="minorEastAsia" w:eastAsiaTheme="minorEastAsia" w:cstheme="minorEastAsia"/>
                <w:color w:val="auto"/>
                <w:szCs w:val="21"/>
                <w:highlight w:val="none"/>
                <w:u w:val="single"/>
              </w:rPr>
              <w:t>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3.1.1</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构成投标文件的其他资料</w:t>
            </w:r>
          </w:p>
        </w:tc>
        <w:tc>
          <w:tcPr>
            <w:tcW w:w="4860" w:type="dxa"/>
            <w:tcBorders>
              <w:tl2br w:val="nil"/>
              <w:tr2bl w:val="nil"/>
            </w:tcBorders>
            <w:vAlign w:val="center"/>
          </w:tcPr>
          <w:p>
            <w:pPr>
              <w:pStyle w:val="61"/>
              <w:keepNext/>
              <w:keepLines/>
              <w:spacing w:line="360" w:lineRule="auto"/>
              <w:ind w:firstLine="0" w:firstLineChars="0"/>
              <w:rPr>
                <w:rFonts w:asciiTheme="minorEastAsia" w:hAnsiTheme="minorEastAsia" w:eastAsiaTheme="minorEastAsia" w:cstheme="minorEastAsia"/>
                <w:color w:val="auto"/>
                <w:szCs w:val="21"/>
                <w:highlight w:val="none"/>
              </w:rPr>
            </w:pPr>
            <w:bookmarkStart w:id="9" w:name="_Toc1493"/>
            <w:bookmarkStart w:id="10" w:name="_Toc3338"/>
            <w:bookmarkStart w:id="11" w:name="_Toc3128"/>
            <w:bookmarkStart w:id="12" w:name="_Toc6527"/>
            <w:r>
              <w:rPr>
                <w:rFonts w:hint="eastAsia" w:asciiTheme="minorEastAsia" w:hAnsiTheme="minorEastAsia" w:eastAsiaTheme="minorEastAsia" w:cstheme="minorEastAsia"/>
                <w:color w:val="auto"/>
                <w:szCs w:val="21"/>
                <w:highlight w:val="none"/>
              </w:rPr>
              <w:t>投标人声明、按照评标办法投标人需提交的证明资料（如有）、其它证明投标人实力的资料（如有）</w:t>
            </w:r>
            <w:bookmarkEnd w:id="9"/>
            <w:bookmarkEnd w:id="10"/>
            <w:bookmarkEnd w:id="11"/>
            <w:bookmarkEnd w:id="1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3.2.1</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增值税税金的计算方法</w:t>
            </w: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按国家税务机关的规定执行。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3.2.3</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报价方式</w:t>
            </w: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投标人按本招标文件规定自行报价，精确到小数位后2位，第三位四舍五入。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3.2.4</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最高投标限价</w:t>
            </w: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□无</w:t>
            </w:r>
          </w:p>
          <w:p>
            <w:pPr>
              <w:spacing w:line="360" w:lineRule="auto"/>
              <w:ind w:left="1050" w:hanging="1050" w:hangingChars="5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■有，最高投标限价（即招标控制价）：</w:t>
            </w:r>
          </w:p>
          <w:p>
            <w:pPr>
              <w:spacing w:line="360" w:lineRule="auto"/>
              <w:ind w:left="1050" w:hanging="1050" w:hangingChars="5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人民币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727.196309</w:t>
            </w:r>
            <w:r>
              <w:rPr>
                <w:rFonts w:hint="eastAsia" w:ascii="宋体" w:hAnsi="宋体" w:eastAsia="宋体" w:cs="宋体"/>
                <w:color w:val="auto"/>
                <w:szCs w:val="21"/>
                <w:highlight w:val="none"/>
                <w:u w:val="single"/>
                <w:lang w:val="en-US" w:eastAsia="zh-CN"/>
              </w:rPr>
              <w:t>万</w:t>
            </w:r>
            <w:r>
              <w:rPr>
                <w:rFonts w:hint="eastAsia" w:ascii="宋体" w:hAnsi="宋体" w:eastAsia="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3.2.5</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投标报价的其他要求</w:t>
            </w: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1.投标人只有一个投标报价。投标人的投标报价总价不得高于最高投标限价。投标报价高于最高投标限价的投标将被否决。</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2.保险服务范围为本招标文件规定的全部服务范围。投标人必须详细审阅全部招标文件,充分考虑职责和义务,全面地理解招标文件对投标报价的要求,并按招标人提出的条件及内容进行报价。</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3.投标人报价应包含保险服务中应缴纳的一切税费。</w:t>
            </w:r>
          </w:p>
          <w:p>
            <w:pPr>
              <w:spacing w:line="360" w:lineRule="auto"/>
              <w:rPr>
                <w:rFonts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rPr>
              <w:t>.投标文件的报价合价全部用人民币表示。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3.3.1</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投标有效期</w:t>
            </w:r>
          </w:p>
        </w:tc>
        <w:tc>
          <w:tcPr>
            <w:tcW w:w="4860" w:type="dxa"/>
            <w:tcBorders>
              <w:tl2br w:val="nil"/>
              <w:tr2bl w:val="nil"/>
            </w:tcBorders>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投标保证金</w:t>
            </w:r>
          </w:p>
        </w:tc>
        <w:tc>
          <w:tcPr>
            <w:tcW w:w="4860" w:type="dxa"/>
            <w:tcBorders>
              <w:tl2br w:val="nil"/>
              <w:tr2bl w:val="nil"/>
            </w:tcBorders>
            <w:vAlign w:val="center"/>
          </w:tcPr>
          <w:p>
            <w:pPr>
              <w:pStyle w:val="17"/>
              <w:topLinePunct/>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是否要求投标人递交投标保证金：</w:t>
            </w:r>
          </w:p>
          <w:p>
            <w:pPr>
              <w:pStyle w:val="17"/>
              <w:topLinePunct/>
              <w:spacing w:line="360" w:lineRule="auto"/>
              <w:rPr>
                <w:rFonts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宋体" w:hAnsi="宋体" w:eastAsia="宋体" w:cs="宋体"/>
                <w:color w:val="auto"/>
                <w:sz w:val="21"/>
                <w:szCs w:val="21"/>
                <w:highlight w:val="none"/>
              </w:rPr>
              <w:t>要求递交投标保证金。</w:t>
            </w:r>
          </w:p>
          <w:p>
            <w:pPr>
              <w:pStyle w:val="17"/>
              <w:topLinePunct/>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cs="宋体" w:asciiTheme="minorEastAsia" w:hAnsiTheme="minorEastAsia" w:eastAsiaTheme="minorEastAsia"/>
                <w:color w:val="auto"/>
                <w:sz w:val="21"/>
                <w:szCs w:val="21"/>
                <w:highlight w:val="none"/>
              </w:rPr>
              <w:t>不要求递交投标保证金。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65" w:type="dxa"/>
            <w:tcBorders>
              <w:tl2br w:val="nil"/>
              <w:tr2bl w:val="nil"/>
            </w:tcBorders>
            <w:vAlign w:val="center"/>
          </w:tcPr>
          <w:p>
            <w:pPr>
              <w:spacing w:line="360" w:lineRule="auto"/>
              <w:jc w:val="center"/>
              <w:rPr>
                <w:rFonts w:asciiTheme="minorEastAsia" w:hAnsiTheme="minorEastAsia" w:eastAsiaTheme="minorEastAsia" w:cstheme="minorEastAsia"/>
                <w:strike/>
                <w:color w:val="auto"/>
                <w:szCs w:val="21"/>
                <w:highlight w:val="none"/>
              </w:rPr>
            </w:pPr>
            <w:r>
              <w:rPr>
                <w:rFonts w:hint="eastAsia" w:asciiTheme="minorEastAsia" w:hAnsiTheme="minorEastAsia" w:eastAsiaTheme="minorEastAsia" w:cstheme="minorEastAsia"/>
                <w:strike/>
                <w:color w:val="auto"/>
                <w:szCs w:val="21"/>
                <w:highlight w:val="none"/>
              </w:rPr>
              <w:t>3.4.4</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strike/>
                <w:color w:val="auto"/>
                <w:szCs w:val="21"/>
                <w:highlight w:val="none"/>
              </w:rPr>
            </w:pPr>
            <w:r>
              <w:rPr>
                <w:rFonts w:hint="eastAsia" w:asciiTheme="minorEastAsia" w:hAnsiTheme="minorEastAsia" w:eastAsiaTheme="minorEastAsia" w:cstheme="minorEastAsia"/>
                <w:strike/>
                <w:color w:val="auto"/>
                <w:szCs w:val="21"/>
                <w:highlight w:val="none"/>
              </w:rPr>
              <w:t>其他可以不予退还投标保证金的情形</w:t>
            </w:r>
          </w:p>
        </w:tc>
        <w:tc>
          <w:tcPr>
            <w:tcW w:w="4860" w:type="dxa"/>
            <w:tcBorders>
              <w:tl2br w:val="nil"/>
              <w:tr2bl w:val="nil"/>
            </w:tcBorders>
            <w:vAlign w:val="center"/>
          </w:tcPr>
          <w:p>
            <w:pPr>
              <w:pStyle w:val="40"/>
              <w:spacing w:line="360" w:lineRule="auto"/>
              <w:ind w:firstLine="0" w:firstLineChars="0"/>
              <w:rPr>
                <w:rFonts w:ascii="宋体" w:hAnsi="宋体" w:eastAsia="宋体" w:cs="宋体"/>
                <w:strike/>
                <w:color w:val="auto"/>
                <w:kern w:val="2"/>
                <w:sz w:val="21"/>
                <w:szCs w:val="21"/>
                <w:highlight w:val="none"/>
              </w:rPr>
            </w:pPr>
            <w:r>
              <w:rPr>
                <w:rFonts w:hint="eastAsia" w:ascii="宋体" w:hAnsi="宋体" w:eastAsia="宋体" w:cs="宋体"/>
                <w:strike/>
                <w:color w:val="auto"/>
                <w:kern w:val="2"/>
                <w:sz w:val="21"/>
                <w:szCs w:val="21"/>
                <w:highlight w:val="none"/>
              </w:rPr>
              <w:t xml:space="preserve">修改为： </w:t>
            </w:r>
          </w:p>
          <w:p>
            <w:pPr>
              <w:pStyle w:val="40"/>
              <w:spacing w:line="360" w:lineRule="auto"/>
              <w:ind w:firstLine="0" w:firstLineChars="0"/>
              <w:rPr>
                <w:rFonts w:ascii="宋体" w:hAnsi="宋体" w:eastAsia="宋体" w:cs="宋体"/>
                <w:strike/>
                <w:color w:val="auto"/>
                <w:kern w:val="2"/>
                <w:sz w:val="21"/>
                <w:szCs w:val="21"/>
                <w:highlight w:val="none"/>
                <w:u w:val="single"/>
              </w:rPr>
            </w:pPr>
            <w:r>
              <w:rPr>
                <w:rFonts w:hint="eastAsia" w:ascii="宋体" w:hAnsi="宋体" w:eastAsia="宋体" w:cs="宋体"/>
                <w:strike/>
                <w:color w:val="auto"/>
                <w:kern w:val="2"/>
                <w:sz w:val="21"/>
                <w:szCs w:val="21"/>
                <w:highlight w:val="none"/>
                <w:u w:val="single"/>
              </w:rPr>
              <w:t>（3）因投标人原因造成投标文件未解密的；</w:t>
            </w:r>
          </w:p>
          <w:p>
            <w:pPr>
              <w:spacing w:line="360" w:lineRule="auto"/>
              <w:rPr>
                <w:rFonts w:ascii="宋体" w:hAnsi="宋体" w:eastAsia="宋体" w:cs="宋体"/>
                <w:strike/>
                <w:color w:val="auto"/>
                <w:szCs w:val="21"/>
                <w:highlight w:val="none"/>
              </w:rPr>
            </w:pPr>
            <w:r>
              <w:rPr>
                <w:rFonts w:hint="eastAsia" w:ascii="宋体" w:hAnsi="宋体" w:eastAsia="宋体" w:cs="宋体"/>
                <w:strike/>
                <w:color w:val="auto"/>
                <w:szCs w:val="21"/>
                <w:highlight w:val="none"/>
                <w:u w:val="single"/>
              </w:rPr>
              <w:t>（4）投标人采用不正当的手段骗取中标经查实的；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资格审查资料的特殊要求</w:t>
            </w:r>
          </w:p>
        </w:tc>
        <w:tc>
          <w:tcPr>
            <w:tcW w:w="4860" w:type="dxa"/>
            <w:tcBorders>
              <w:tl2br w:val="nil"/>
              <w:tr2bl w:val="nil"/>
            </w:tcBorders>
            <w:vAlign w:val="center"/>
          </w:tcPr>
          <w:p>
            <w:pPr>
              <w:pStyle w:val="17"/>
              <w:topLinePunct/>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p>
            <w:pPr>
              <w:pStyle w:val="17"/>
              <w:topLinePunct/>
              <w:spacing w:after="4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■有，具体要求：</w:t>
            </w:r>
            <w:r>
              <w:rPr>
                <w:rFonts w:hint="eastAsia" w:asciiTheme="minorEastAsia" w:hAnsiTheme="minorEastAsia" w:eastAsiaTheme="minorEastAsia" w:cstheme="minorEastAsia"/>
                <w:color w:val="auto"/>
                <w:sz w:val="21"/>
                <w:szCs w:val="21"/>
                <w:highlight w:val="none"/>
                <w:u w:val="single"/>
              </w:rPr>
              <w:t>投标人须知前附表1.4.1中不要求的内容，不作为资格审查内容。具体资格审查资料详见招标公告。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3.5.2</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近年财务状况的年份要求</w:t>
            </w:r>
          </w:p>
        </w:tc>
        <w:tc>
          <w:tcPr>
            <w:tcW w:w="4860" w:type="dxa"/>
            <w:tcBorders>
              <w:tl2br w:val="nil"/>
              <w:tr2bl w:val="nil"/>
            </w:tcBorders>
            <w:vAlign w:val="center"/>
          </w:tcPr>
          <w:p>
            <w:pPr>
              <w:spacing w:after="120"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3.5.3</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近年承接的类似项目情况的时间要求</w:t>
            </w:r>
          </w:p>
        </w:tc>
        <w:tc>
          <w:tcPr>
            <w:tcW w:w="4860" w:type="dxa"/>
            <w:tcBorders>
              <w:tl2br w:val="nil"/>
              <w:tr2bl w:val="nil"/>
            </w:tcBorders>
            <w:vAlign w:val="center"/>
          </w:tcPr>
          <w:p>
            <w:pPr>
              <w:spacing w:after="120"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3.5.4</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近年发生的诉讼及仲裁情况的时间要求</w:t>
            </w:r>
          </w:p>
        </w:tc>
        <w:tc>
          <w:tcPr>
            <w:tcW w:w="4860" w:type="dxa"/>
            <w:tcBorders>
              <w:tl2br w:val="nil"/>
              <w:tr2bl w:val="nil"/>
            </w:tcBorders>
            <w:vAlign w:val="center"/>
          </w:tcPr>
          <w:p>
            <w:pPr>
              <w:spacing w:after="120" w:line="360" w:lineRule="auto"/>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3.6.1</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是否允许递交备选投标方案</w:t>
            </w:r>
          </w:p>
        </w:tc>
        <w:tc>
          <w:tcPr>
            <w:tcW w:w="4860" w:type="dxa"/>
            <w:tcBorders>
              <w:tl2br w:val="nil"/>
              <w:tr2bl w:val="nil"/>
            </w:tcBorders>
            <w:vAlign w:val="center"/>
          </w:tcPr>
          <w:p>
            <w:pPr>
              <w:pStyle w:val="17"/>
              <w:topLinePunct/>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■不允许</w:t>
            </w:r>
          </w:p>
          <w:p>
            <w:pPr>
              <w:spacing w:after="120"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after="120" w:line="360" w:lineRule="auto"/>
              <w:ind w:left="210" w:left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3.7.3（B）</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投标文件所附证书证件要求</w:t>
            </w:r>
          </w:p>
        </w:tc>
        <w:tc>
          <w:tcPr>
            <w:tcW w:w="4860" w:type="dxa"/>
            <w:tcBorders>
              <w:tl2br w:val="nil"/>
              <w:tr2bl w:val="nil"/>
            </w:tcBorders>
            <w:vAlign w:val="center"/>
          </w:tcPr>
          <w:p>
            <w:pPr>
              <w:pStyle w:val="17"/>
              <w:topLinePunct/>
              <w:spacing w:line="360" w:lineRule="auto"/>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投标文件所附证书证件均为扫描件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after="120" w:line="360" w:lineRule="auto"/>
              <w:ind w:left="210" w:left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3.7.3（B）</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投标文件签字或盖章要求</w:t>
            </w:r>
          </w:p>
        </w:tc>
        <w:tc>
          <w:tcPr>
            <w:tcW w:w="4860" w:type="dxa"/>
            <w:tcBorders>
              <w:tl2br w:val="nil"/>
              <w:tr2bl w:val="nil"/>
            </w:tcBorders>
            <w:vAlign w:val="center"/>
          </w:tcPr>
          <w:p>
            <w:pPr>
              <w:pStyle w:val="17"/>
              <w:topLinePunct/>
              <w:spacing w:line="360" w:lineRule="auto"/>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投标文件全部采用电子文档，投标文件所附证书证件均为扫描件，并采用单位数字证书，按招标文件要求在相应位置加盖电子印章。投标文件中需个人签字或盖章的，应手签后扫描上传。具体操作详见</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网站发布的《房屋建筑和市政基础设施工程全流程电子化项目专章》。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after="120" w:line="360" w:lineRule="auto"/>
              <w:ind w:left="210" w:left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4.1.1（B）</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投标文件加密要求</w:t>
            </w:r>
          </w:p>
        </w:tc>
        <w:tc>
          <w:tcPr>
            <w:tcW w:w="4860" w:type="dxa"/>
            <w:tcBorders>
              <w:tl2br w:val="nil"/>
              <w:tr2bl w:val="nil"/>
            </w:tcBorders>
            <w:vAlign w:val="center"/>
          </w:tcPr>
          <w:p>
            <w:pPr>
              <w:pStyle w:val="17"/>
              <w:spacing w:line="360" w:lineRule="auto"/>
              <w:rPr>
                <w:rFonts w:ascii="宋体" w:hAnsi="宋体" w:eastAsia="宋体" w:cs="宋体"/>
                <w:color w:val="auto"/>
                <w:sz w:val="21"/>
                <w:szCs w:val="21"/>
                <w:highlight w:val="none"/>
              </w:rPr>
            </w:pPr>
            <w:r>
              <w:rPr>
                <w:rFonts w:ascii="宋体" w:hAnsi="宋体" w:eastAsia="宋体" w:cs="宋体"/>
                <w:color w:val="auto"/>
                <w:sz w:val="21"/>
                <w:szCs w:val="21"/>
                <w:highlight w:val="none"/>
              </w:rPr>
              <w:t>1.网上递交的电子投标文件须进行加密。具体操作详见</w:t>
            </w:r>
            <w:r>
              <w:rPr>
                <w:rFonts w:hint="eastAsia" w:ascii="宋体" w:hAnsi="宋体" w:eastAsia="宋体" w:cs="宋体"/>
                <w:color w:val="auto"/>
                <w:sz w:val="21"/>
                <w:szCs w:val="21"/>
                <w:highlight w:val="none"/>
                <w:lang w:eastAsia="zh-CN"/>
              </w:rPr>
              <w:t>广州交易集团有限公司（广州公共资源交易中心）</w:t>
            </w:r>
            <w:r>
              <w:rPr>
                <w:rFonts w:ascii="宋体" w:hAnsi="宋体" w:eastAsia="宋体" w:cs="宋体"/>
                <w:color w:val="auto"/>
                <w:sz w:val="21"/>
                <w:szCs w:val="21"/>
                <w:highlight w:val="none"/>
              </w:rPr>
              <w:t>网站发布的《房屋建筑和市政基础设施工程全流程电子化项目专章》。</w:t>
            </w:r>
          </w:p>
          <w:p>
            <w:pPr>
              <w:pStyle w:val="17"/>
              <w:topLinePunct/>
              <w:spacing w:line="360" w:lineRule="auto"/>
              <w:rPr>
                <w:rFonts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rPr>
              <w:t>2.未按要求密封的投标文件，招标人将予以拒收。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4.1.2</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shd w:val="clear" w:color="FFFFFF" w:fill="D9D9D9"/>
              </w:rPr>
            </w:pPr>
            <w:r>
              <w:rPr>
                <w:rFonts w:hint="eastAsia" w:asciiTheme="minorEastAsia" w:hAnsiTheme="minorEastAsia" w:eastAsiaTheme="minorEastAsia" w:cstheme="minorEastAsia"/>
                <w:color w:val="auto"/>
                <w:szCs w:val="21"/>
                <w:highlight w:val="none"/>
              </w:rPr>
              <w:t>封套上应载明的信息</w:t>
            </w:r>
          </w:p>
        </w:tc>
        <w:tc>
          <w:tcPr>
            <w:tcW w:w="4860" w:type="dxa"/>
            <w:tcBorders>
              <w:tl2br w:val="nil"/>
              <w:tr2bl w:val="nil"/>
            </w:tcBorders>
            <w:vAlign w:val="center"/>
          </w:tcPr>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招标人名称：</w:t>
            </w:r>
            <w:r>
              <w:rPr>
                <w:rFonts w:hint="eastAsia" w:ascii="宋体" w:hAnsi="宋体" w:eastAsia="宋体" w:cs="宋体"/>
                <w:color w:val="auto"/>
                <w:szCs w:val="21"/>
                <w:highlight w:val="none"/>
                <w:u w:val="single"/>
                <w:lang w:eastAsia="zh-CN"/>
              </w:rPr>
              <w:t>广州市广园市政建设有限公司</w:t>
            </w:r>
          </w:p>
          <w:p>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招标人地址：</w:t>
            </w:r>
            <w:r>
              <w:rPr>
                <w:rFonts w:hint="eastAsia" w:ascii="宋体" w:hAnsi="宋体" w:eastAsia="宋体" w:cs="宋体"/>
                <w:color w:val="auto"/>
                <w:szCs w:val="21"/>
                <w:highlight w:val="none"/>
                <w:u w:val="single"/>
              </w:rPr>
              <w:t>广州市越秀区站南路15号之一6楼</w:t>
            </w:r>
          </w:p>
          <w:p>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项目名称：</w:t>
            </w:r>
            <w:r>
              <w:rPr>
                <w:rFonts w:hint="eastAsia" w:ascii="宋体" w:hAnsi="宋体" w:eastAsia="宋体" w:cs="宋体"/>
                <w:color w:val="auto"/>
                <w:szCs w:val="21"/>
                <w:highlight w:val="none"/>
                <w:u w:val="single"/>
                <w:lang w:eastAsia="zh-CN"/>
              </w:rPr>
              <w:t>会展西路过江隧道工程工程一切险及第三者责任险</w:t>
            </w:r>
            <w:r>
              <w:rPr>
                <w:rFonts w:hint="eastAsia" w:ascii="宋体" w:hAnsi="宋体" w:eastAsia="宋体" w:cs="宋体"/>
                <w:color w:val="auto"/>
                <w:szCs w:val="21"/>
                <w:highlight w:val="none"/>
              </w:rPr>
              <w:t>投标文件</w:t>
            </w:r>
          </w:p>
          <w:p>
            <w:pPr>
              <w:topLinePunct/>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招标项目编号：</w:t>
            </w:r>
          </w:p>
          <w:p>
            <w:pPr>
              <w:pStyle w:val="17"/>
              <w:topLinePunct/>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在  年  月  日  时前不得开启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4.2.1</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投标截止时间</w:t>
            </w:r>
          </w:p>
        </w:tc>
        <w:tc>
          <w:tcPr>
            <w:tcW w:w="4860" w:type="dxa"/>
            <w:tcBorders>
              <w:tl2br w:val="nil"/>
              <w:tr2bl w:val="nil"/>
            </w:tcBorders>
            <w:vAlign w:val="center"/>
          </w:tcPr>
          <w:p>
            <w:pPr>
              <w:spacing w:after="120"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投标截止时间：详见</w:t>
            </w:r>
            <w:r>
              <w:rPr>
                <w:rFonts w:hint="eastAsia" w:asciiTheme="minorEastAsia" w:hAnsiTheme="minorEastAsia" w:eastAsiaTheme="minorEastAsia" w:cstheme="minorEastAsia"/>
                <w:color w:val="auto"/>
                <w:szCs w:val="21"/>
                <w:highlight w:val="none"/>
                <w:lang w:eastAsia="zh-CN"/>
              </w:rPr>
              <w:t>广州交易集团有限公司（广州公共资源交易中心）</w:t>
            </w:r>
            <w:r>
              <w:rPr>
                <w:rFonts w:hint="eastAsia" w:asciiTheme="minorEastAsia" w:hAnsiTheme="minorEastAsia" w:eastAsiaTheme="minorEastAsia" w:cstheme="minorEastAsia"/>
                <w:color w:val="auto"/>
                <w:szCs w:val="21"/>
                <w:highlight w:val="none"/>
              </w:rPr>
              <w:t>网站信息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65"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ascii="宋体" w:hAnsi="宋体" w:eastAsia="宋体"/>
                <w:color w:val="auto"/>
                <w:szCs w:val="21"/>
                <w:highlight w:val="none"/>
              </w:rPr>
              <w:t>4.2.2（A）</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ascii="宋体" w:hAnsi="宋体" w:eastAsia="宋体"/>
                <w:color w:val="auto"/>
                <w:szCs w:val="21"/>
                <w:highlight w:val="none"/>
              </w:rPr>
              <w:t>递交投标文件地点</w:t>
            </w:r>
          </w:p>
        </w:tc>
        <w:tc>
          <w:tcPr>
            <w:tcW w:w="4860" w:type="dxa"/>
            <w:tcBorders>
              <w:tl2br w:val="nil"/>
              <w:tr2bl w:val="nil"/>
            </w:tcBorders>
            <w:vAlign w:val="center"/>
          </w:tcPr>
          <w:p>
            <w:pPr>
              <w:snapToGrid w:val="0"/>
              <w:spacing w:line="360" w:lineRule="auto"/>
              <w:rPr>
                <w:rFonts w:ascii="宋体" w:hAnsi="宋体" w:eastAsia="宋体"/>
                <w:color w:val="auto"/>
                <w:szCs w:val="21"/>
                <w:highlight w:val="none"/>
                <w:u w:val="single"/>
              </w:rPr>
            </w:pPr>
            <w:r>
              <w:rPr>
                <w:rFonts w:ascii="宋体" w:hAnsi="宋体" w:eastAsia="宋体"/>
                <w:color w:val="auto"/>
                <w:szCs w:val="21"/>
                <w:highlight w:val="none"/>
                <w:u w:val="single"/>
              </w:rPr>
              <w:t xml:space="preserve">1.递交方式：网上递交投标文件 </w:t>
            </w:r>
          </w:p>
          <w:p>
            <w:pPr>
              <w:snapToGrid w:val="0"/>
              <w:spacing w:line="360" w:lineRule="auto"/>
              <w:rPr>
                <w:rFonts w:ascii="宋体" w:hAnsi="宋体" w:eastAsia="宋体"/>
                <w:color w:val="auto"/>
                <w:szCs w:val="21"/>
                <w:highlight w:val="none"/>
                <w:u w:val="single"/>
              </w:rPr>
            </w:pPr>
            <w:r>
              <w:rPr>
                <w:rFonts w:ascii="宋体" w:hAnsi="宋体" w:eastAsia="宋体"/>
                <w:color w:val="auto"/>
                <w:szCs w:val="21"/>
                <w:highlight w:val="none"/>
                <w:u w:val="single"/>
              </w:rPr>
              <w:t>2.地点：</w:t>
            </w:r>
            <w:r>
              <w:rPr>
                <w:rFonts w:hint="eastAsia" w:ascii="宋体" w:hAnsi="宋体" w:eastAsia="宋体"/>
                <w:color w:val="auto"/>
                <w:szCs w:val="21"/>
                <w:highlight w:val="none"/>
                <w:u w:val="single"/>
                <w:lang w:eastAsia="zh-CN"/>
              </w:rPr>
              <w:t>广州交易集团有限公司（广州公共资源交易中心）</w:t>
            </w:r>
            <w:r>
              <w:rPr>
                <w:rFonts w:ascii="宋体" w:hAnsi="宋体" w:eastAsia="宋体"/>
                <w:color w:val="auto"/>
                <w:szCs w:val="21"/>
                <w:highlight w:val="none"/>
                <w:u w:val="single"/>
              </w:rPr>
              <w:t xml:space="preserve">网站。 </w:t>
            </w:r>
          </w:p>
          <w:p>
            <w:pPr>
              <w:spacing w:after="120" w:line="360" w:lineRule="auto"/>
              <w:rPr>
                <w:rFonts w:asciiTheme="minorEastAsia" w:hAnsiTheme="minorEastAsia" w:eastAsiaTheme="minorEastAsia" w:cstheme="minorEastAsia"/>
                <w:color w:val="auto"/>
                <w:szCs w:val="21"/>
                <w:highlight w:val="none"/>
              </w:rPr>
            </w:pPr>
            <w:r>
              <w:rPr>
                <w:rFonts w:ascii="宋体" w:hAnsi="宋体" w:eastAsia="宋体"/>
                <w:color w:val="auto"/>
                <w:szCs w:val="21"/>
                <w:highlight w:val="none"/>
                <w:u w:val="single"/>
              </w:rPr>
              <w:t xml:space="preserve">3.上述时间及地点是否有改变， </w:t>
            </w:r>
            <w:r>
              <w:rPr>
                <w:rFonts w:hint="eastAsia" w:ascii="宋体" w:hAnsi="宋体" w:eastAsia="宋体"/>
                <w:color w:val="auto"/>
                <w:szCs w:val="21"/>
                <w:highlight w:val="none"/>
                <w:u w:val="single"/>
              </w:rPr>
              <w:t>请密切留意招标答疑纪要的相关信息。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4.2.3</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投标文件是否退还</w:t>
            </w:r>
          </w:p>
        </w:tc>
        <w:tc>
          <w:tcPr>
            <w:tcW w:w="4860" w:type="dxa"/>
            <w:tcBorders>
              <w:tl2br w:val="nil"/>
              <w:tr2bl w:val="nil"/>
            </w:tcBorders>
            <w:vAlign w:val="center"/>
          </w:tcPr>
          <w:p>
            <w:pPr>
              <w:pStyle w:val="17"/>
              <w:topLinePunct/>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■否</w:t>
            </w:r>
          </w:p>
          <w:p>
            <w:pPr>
              <w:pStyle w:val="17"/>
              <w:topLinePunct/>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□是，退还时间：</w:t>
            </w:r>
            <w:r>
              <w:rPr>
                <w:rFonts w:hint="eastAsia" w:asciiTheme="minorEastAsia" w:hAnsiTheme="minorEastAsia" w:eastAsiaTheme="minorEastAsia" w:cstheme="minorEastAsia"/>
                <w:color w:val="auto"/>
                <w:sz w:val="21"/>
                <w:szCs w:val="21"/>
                <w:highlight w:val="none"/>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65" w:type="dxa"/>
            <w:tcBorders>
              <w:tl2br w:val="nil"/>
              <w:tr2bl w:val="nil"/>
            </w:tcBorders>
            <w:vAlign w:val="center"/>
          </w:tcPr>
          <w:p>
            <w:pPr>
              <w:spacing w:line="360" w:lineRule="auto"/>
              <w:jc w:val="center"/>
              <w:rPr>
                <w:rFonts w:asciiTheme="minorEastAsia" w:hAnsiTheme="minorEastAsia" w:eastAsiaTheme="minorEastAsia"/>
                <w:color w:val="auto"/>
                <w:szCs w:val="21"/>
                <w:highlight w:val="none"/>
              </w:rPr>
            </w:pPr>
            <w:r>
              <w:rPr>
                <w:rFonts w:ascii="宋体" w:hAnsi="宋体" w:eastAsia="宋体"/>
                <w:color w:val="auto"/>
                <w:szCs w:val="21"/>
                <w:highlight w:val="none"/>
              </w:rPr>
              <w:t>5.1</w:t>
            </w:r>
          </w:p>
          <w:p>
            <w:pPr>
              <w:spacing w:line="360" w:lineRule="auto"/>
              <w:jc w:val="center"/>
              <w:rPr>
                <w:rFonts w:cs="宋体" w:asciiTheme="minorEastAsia" w:hAnsiTheme="minorEastAsia" w:eastAsiaTheme="minorEastAsia"/>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B）</w:t>
            </w:r>
          </w:p>
        </w:tc>
        <w:tc>
          <w:tcPr>
            <w:tcW w:w="3070" w:type="dxa"/>
            <w:tcBorders>
              <w:tl2br w:val="nil"/>
              <w:tr2bl w:val="nil"/>
            </w:tcBorders>
            <w:vAlign w:val="center"/>
          </w:tcPr>
          <w:p>
            <w:pPr>
              <w:spacing w:line="360" w:lineRule="auto"/>
              <w:jc w:val="center"/>
              <w:rPr>
                <w:rFonts w:cs="宋体" w:asciiTheme="minorEastAsia" w:hAnsiTheme="minorEastAsia" w:eastAsiaTheme="minorEastAsia"/>
                <w:color w:val="auto"/>
                <w:szCs w:val="21"/>
                <w:highlight w:val="none"/>
              </w:rPr>
            </w:pPr>
            <w:r>
              <w:rPr>
                <w:rFonts w:hint="eastAsia" w:ascii="宋体" w:hAnsi="宋体" w:eastAsia="宋体"/>
                <w:color w:val="auto"/>
                <w:szCs w:val="21"/>
                <w:highlight w:val="none"/>
              </w:rPr>
              <w:t>开标时间和地点</w:t>
            </w:r>
          </w:p>
        </w:tc>
        <w:tc>
          <w:tcPr>
            <w:tcW w:w="4860" w:type="dxa"/>
            <w:tcBorders>
              <w:tl2br w:val="nil"/>
              <w:tr2bl w:val="nil"/>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开标地点：        </w:t>
            </w:r>
          </w:p>
          <w:p>
            <w:pPr>
              <w:spacing w:line="360" w:lineRule="auto"/>
              <w:rPr>
                <w:rFonts w:cs="宋体" w:asciiTheme="minorEastAsia" w:hAnsiTheme="minorEastAsia" w:eastAsiaTheme="minorEastAsia"/>
                <w:color w:val="auto"/>
                <w:szCs w:val="21"/>
                <w:highlight w:val="none"/>
              </w:rPr>
            </w:pPr>
            <w:r>
              <w:rPr>
                <w:rFonts w:hint="eastAsia" w:ascii="宋体" w:hAnsi="宋体" w:eastAsia="宋体" w:cs="宋体"/>
                <w:color w:val="auto"/>
                <w:szCs w:val="21"/>
                <w:highlight w:val="none"/>
              </w:rPr>
              <w:t>开标时，投标人代表有权出席开标会，也可以自主决定不参加开标会。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65"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5.2（B）</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开标程序</w:t>
            </w:r>
          </w:p>
        </w:tc>
        <w:tc>
          <w:tcPr>
            <w:tcW w:w="4860" w:type="dxa"/>
            <w:tcBorders>
              <w:tl2br w:val="nil"/>
              <w:tr2bl w:val="nil"/>
            </w:tcBorders>
            <w:vAlign w:val="center"/>
          </w:tcPr>
          <w:p>
            <w:pPr>
              <w:spacing w:line="360" w:lineRule="auto"/>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电子招投标项目开标按下列程序进行：</w:t>
            </w:r>
          </w:p>
          <w:p>
            <w:pPr>
              <w:spacing w:line="360" w:lineRule="auto"/>
              <w:rPr>
                <w:rFonts w:ascii="宋体" w:hAnsi="宋体" w:eastAsia="宋体" w:cs="仿宋_GB2312"/>
                <w:color w:val="auto"/>
                <w:kern w:val="0"/>
                <w:szCs w:val="21"/>
                <w:highlight w:val="none"/>
              </w:rPr>
            </w:pPr>
            <w:r>
              <w:rPr>
                <w:rFonts w:ascii="宋体" w:hAnsi="宋体" w:eastAsia="宋体" w:cs="仿宋_GB2312"/>
                <w:color w:val="auto"/>
                <w:kern w:val="0"/>
                <w:szCs w:val="21"/>
                <w:highlight w:val="none"/>
              </w:rPr>
              <w:t>5.2.1</w:t>
            </w:r>
            <w:r>
              <w:rPr>
                <w:rFonts w:hint="eastAsia" w:ascii="宋体" w:hAnsi="宋体" w:eastAsia="宋体" w:cs="仿宋_GB2312"/>
                <w:color w:val="auto"/>
                <w:kern w:val="0"/>
                <w:szCs w:val="21"/>
                <w:highlight w:val="none"/>
              </w:rPr>
              <w:t>主持人按下列程序进行开标：</w:t>
            </w:r>
          </w:p>
          <w:p>
            <w:pPr>
              <w:spacing w:line="360" w:lineRule="auto"/>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w:t>
            </w:r>
            <w:r>
              <w:rPr>
                <w:rFonts w:ascii="宋体" w:hAnsi="宋体" w:eastAsia="宋体" w:cs="仿宋_GB2312"/>
                <w:color w:val="auto"/>
                <w:kern w:val="0"/>
                <w:szCs w:val="21"/>
                <w:highlight w:val="none"/>
              </w:rPr>
              <w:t>1</w:t>
            </w:r>
            <w:r>
              <w:rPr>
                <w:rFonts w:hint="eastAsia" w:ascii="宋体" w:hAnsi="宋体" w:eastAsia="宋体" w:cs="仿宋_GB2312"/>
                <w:color w:val="auto"/>
                <w:kern w:val="0"/>
                <w:szCs w:val="21"/>
                <w:highlight w:val="none"/>
              </w:rPr>
              <w:t>）宣布开标纪律；</w:t>
            </w:r>
          </w:p>
          <w:p>
            <w:pPr>
              <w:spacing w:line="360" w:lineRule="auto"/>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w:t>
            </w:r>
            <w:r>
              <w:rPr>
                <w:rFonts w:ascii="宋体" w:hAnsi="宋体" w:eastAsia="宋体" w:cs="仿宋_GB2312"/>
                <w:color w:val="auto"/>
                <w:kern w:val="0"/>
                <w:szCs w:val="21"/>
                <w:highlight w:val="none"/>
              </w:rPr>
              <w:t>2</w:t>
            </w:r>
            <w:r>
              <w:rPr>
                <w:rFonts w:hint="eastAsia" w:ascii="宋体" w:hAnsi="宋体" w:eastAsia="宋体" w:cs="仿宋_GB2312"/>
                <w:color w:val="auto"/>
                <w:kern w:val="0"/>
                <w:szCs w:val="21"/>
                <w:highlight w:val="none"/>
              </w:rPr>
              <w:t>）公布在投标截止时间前递交投标文件的投标人名称；</w:t>
            </w:r>
          </w:p>
          <w:p>
            <w:pPr>
              <w:spacing w:line="360" w:lineRule="auto"/>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w:t>
            </w:r>
            <w:r>
              <w:rPr>
                <w:rFonts w:ascii="宋体" w:hAnsi="宋体" w:eastAsia="宋体" w:cs="仿宋_GB2312"/>
                <w:color w:val="auto"/>
                <w:kern w:val="0"/>
                <w:szCs w:val="21"/>
                <w:highlight w:val="none"/>
              </w:rPr>
              <w:t>3</w:t>
            </w:r>
            <w:r>
              <w:rPr>
                <w:rFonts w:hint="eastAsia" w:ascii="宋体" w:hAnsi="宋体" w:eastAsia="宋体" w:cs="仿宋_GB2312"/>
                <w:color w:val="auto"/>
                <w:kern w:val="0"/>
                <w:szCs w:val="21"/>
                <w:highlight w:val="none"/>
              </w:rPr>
              <w:t>）宣布开标人、唱标人、记录人、监标人等有关人员姓名；</w:t>
            </w:r>
          </w:p>
          <w:p>
            <w:pPr>
              <w:spacing w:line="360" w:lineRule="auto"/>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w:t>
            </w:r>
            <w:r>
              <w:rPr>
                <w:rFonts w:ascii="宋体" w:hAnsi="宋体" w:eastAsia="宋体" w:cs="仿宋_GB2312"/>
                <w:color w:val="auto"/>
                <w:kern w:val="0"/>
                <w:szCs w:val="21"/>
                <w:highlight w:val="none"/>
              </w:rPr>
              <w:t>4</w:t>
            </w:r>
            <w:r>
              <w:rPr>
                <w:rFonts w:hint="eastAsia" w:ascii="宋体" w:hAnsi="宋体" w:eastAsia="宋体" w:cs="仿宋_GB2312"/>
                <w:color w:val="auto"/>
                <w:kern w:val="0"/>
                <w:szCs w:val="21"/>
                <w:highlight w:val="none"/>
              </w:rPr>
              <w:t>）投标人通过电子招标投标交易平台对已递交的电子投标文件进行解密，公布招标项目名称、投标人名称、投标保证金的递交情况、投标报价、监理服务期限及其他内容，并记录在案；</w:t>
            </w:r>
          </w:p>
          <w:p>
            <w:pPr>
              <w:spacing w:line="360" w:lineRule="auto"/>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w:t>
            </w:r>
            <w:r>
              <w:rPr>
                <w:rFonts w:ascii="宋体" w:hAnsi="宋体" w:eastAsia="宋体" w:cs="仿宋_GB2312"/>
                <w:color w:val="auto"/>
                <w:kern w:val="0"/>
                <w:szCs w:val="21"/>
                <w:highlight w:val="none"/>
              </w:rPr>
              <w:t>5</w:t>
            </w:r>
            <w:r>
              <w:rPr>
                <w:rFonts w:hint="eastAsia" w:ascii="宋体" w:hAnsi="宋体" w:eastAsia="宋体" w:cs="仿宋_GB2312"/>
                <w:color w:val="auto"/>
                <w:kern w:val="0"/>
                <w:szCs w:val="21"/>
                <w:highlight w:val="none"/>
              </w:rPr>
              <w:t>）投标人代表、招标人代表、监标人、记录人等有关人员在开标记录上签字确认；若有关人员不签字的，不影响开标程序；</w:t>
            </w:r>
          </w:p>
          <w:p>
            <w:pPr>
              <w:spacing w:line="360" w:lineRule="auto"/>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w:t>
            </w:r>
            <w:r>
              <w:rPr>
                <w:rFonts w:ascii="宋体" w:hAnsi="宋体" w:eastAsia="宋体" w:cs="仿宋_GB2312"/>
                <w:color w:val="auto"/>
                <w:kern w:val="0"/>
                <w:szCs w:val="21"/>
                <w:highlight w:val="none"/>
              </w:rPr>
              <w:t>6</w:t>
            </w:r>
            <w:r>
              <w:rPr>
                <w:rFonts w:hint="eastAsia" w:ascii="宋体" w:hAnsi="宋体" w:eastAsia="宋体" w:cs="仿宋_GB2312"/>
                <w:color w:val="auto"/>
                <w:kern w:val="0"/>
                <w:szCs w:val="21"/>
                <w:highlight w:val="none"/>
              </w:rPr>
              <w:t>）开标结束。</w:t>
            </w:r>
          </w:p>
          <w:p>
            <w:pPr>
              <w:spacing w:line="360" w:lineRule="auto"/>
              <w:rPr>
                <w:rFonts w:ascii="宋体" w:hAnsi="宋体" w:eastAsia="宋体" w:cs="仿宋_GB2312"/>
                <w:color w:val="auto"/>
                <w:kern w:val="0"/>
                <w:szCs w:val="21"/>
                <w:highlight w:val="none"/>
              </w:rPr>
            </w:pPr>
            <w:r>
              <w:rPr>
                <w:rFonts w:ascii="宋体" w:hAnsi="宋体" w:eastAsia="宋体" w:cs="仿宋_GB2312"/>
                <w:color w:val="auto"/>
                <w:kern w:val="0"/>
                <w:szCs w:val="21"/>
                <w:highlight w:val="none"/>
              </w:rPr>
              <w:t>5.2.2</w:t>
            </w:r>
            <w:r>
              <w:rPr>
                <w:rFonts w:hint="eastAsia" w:ascii="宋体" w:hAnsi="宋体" w:eastAsia="宋体" w:cs="仿宋_GB2312"/>
                <w:color w:val="auto"/>
                <w:kern w:val="0"/>
                <w:szCs w:val="21"/>
                <w:highlight w:val="none"/>
              </w:rPr>
              <w:t>投标截止时间前未完成投标文件传输的或因投标人之外的原因造成投标文件未解密的，视为投标人撤回其投标文件。因投标人原因造成投标文件未解密的或未在投标截止时间后半小时内解密的且未提交备用光盘的，视为撤销其投标文件。</w:t>
            </w:r>
          </w:p>
          <w:p>
            <w:pPr>
              <w:spacing w:line="360" w:lineRule="auto"/>
              <w:rPr>
                <w:rFonts w:asciiTheme="minorEastAsia" w:hAnsiTheme="minorEastAsia" w:eastAsiaTheme="minorEastAsia" w:cstheme="minorEastAsia"/>
                <w:color w:val="auto"/>
                <w:szCs w:val="21"/>
                <w:highlight w:val="none"/>
              </w:rPr>
            </w:pPr>
            <w:r>
              <w:rPr>
                <w:rFonts w:ascii="宋体" w:hAnsi="宋体" w:eastAsia="宋体" w:cs="仿宋_GB2312"/>
                <w:color w:val="auto"/>
                <w:kern w:val="0"/>
                <w:szCs w:val="21"/>
                <w:highlight w:val="none"/>
              </w:rPr>
              <w:t>5.2.3</w:t>
            </w:r>
            <w:r>
              <w:rPr>
                <w:rFonts w:hint="eastAsia" w:ascii="宋体" w:hAnsi="宋体" w:eastAsia="宋体" w:cs="仿宋_GB2312"/>
                <w:color w:val="auto"/>
                <w:kern w:val="0"/>
                <w:szCs w:val="21"/>
                <w:highlight w:val="none"/>
              </w:rPr>
              <w:t>开标时，两个（含两个）以上的投标人加密打包投标文件电脑机器特征码一致的，不参与下一程序，并由评标委员会否决其投标。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6.1.1</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评标委员会的组建</w:t>
            </w:r>
          </w:p>
        </w:tc>
        <w:tc>
          <w:tcPr>
            <w:tcW w:w="4860" w:type="dxa"/>
            <w:tcBorders>
              <w:tl2br w:val="nil"/>
              <w:tr2bl w:val="nil"/>
            </w:tcBorders>
            <w:vAlign w:val="center"/>
          </w:tcPr>
          <w:p>
            <w:pPr>
              <w:snapToGrid w:val="0"/>
              <w:spacing w:before="120"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评标委员会构成：5人。</w:t>
            </w:r>
          </w:p>
          <w:p>
            <w:pPr>
              <w:spacing w:after="120"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评标专家确定方式：</w:t>
            </w:r>
            <w:r>
              <w:rPr>
                <w:rFonts w:hint="eastAsia" w:asciiTheme="minorEastAsia" w:hAnsiTheme="minorEastAsia" w:eastAsiaTheme="minorEastAsia" w:cstheme="minorEastAsia"/>
                <w:color w:val="auto"/>
                <w:szCs w:val="21"/>
                <w:highlight w:val="none"/>
                <w:u w:val="single"/>
              </w:rPr>
              <w:t>由招标人依法组建</w:t>
            </w:r>
            <w:r>
              <w:rPr>
                <w:rFonts w:hint="eastAsia" w:asciiTheme="minorEastAsia" w:hAnsiTheme="minorEastAsia" w:eastAsiaTheme="minorEastAsia" w:cstheme="minorEastAsia"/>
                <w:color w:val="auto"/>
                <w:szCs w:val="21"/>
                <w:highlight w:val="none"/>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6.3.2</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评标委员会推荐中标候选人的人数</w:t>
            </w:r>
          </w:p>
        </w:tc>
        <w:tc>
          <w:tcPr>
            <w:tcW w:w="4860" w:type="dxa"/>
            <w:tcBorders>
              <w:tl2br w:val="nil"/>
              <w:tr2bl w:val="nil"/>
            </w:tcBorders>
            <w:vAlign w:val="center"/>
          </w:tcPr>
          <w:p>
            <w:pPr>
              <w:spacing w:after="12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按投标人总得分由高至低排序依次推荐前3名为第一、二、三中标候选人。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7.1</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中标候选人公示媒介及期限</w:t>
            </w:r>
          </w:p>
        </w:tc>
        <w:tc>
          <w:tcPr>
            <w:tcW w:w="4860" w:type="dxa"/>
            <w:tcBorders>
              <w:tl2br w:val="nil"/>
              <w:tr2bl w:val="nil"/>
            </w:tcBorders>
            <w:vAlign w:val="center"/>
          </w:tcPr>
          <w:p>
            <w:pPr>
              <w:spacing w:after="120" w:line="360" w:lineRule="auto"/>
              <w:rPr>
                <w:rFonts w:hint="eastAsia" w:eastAsia="宋体" w:asciiTheme="minorEastAsia" w:hAnsi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公示媒介：</w:t>
            </w:r>
            <w:r>
              <w:rPr>
                <w:rFonts w:hint="eastAsia" w:ascii="宋体" w:hAnsi="宋体" w:eastAsia="宋体" w:cs="宋体"/>
                <w:color w:val="auto"/>
                <w:szCs w:val="21"/>
                <w:highlight w:val="none"/>
                <w:u w:val="single"/>
              </w:rPr>
              <w:t>中国招标投标公共服务平台、广东省招标投标监管网、</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w:t>
            </w:r>
            <w:r>
              <w:rPr>
                <w:rFonts w:hint="eastAsia" w:ascii="宋体" w:hAnsi="宋体" w:eastAsia="宋体" w:cs="宋体"/>
                <w:color w:val="auto"/>
                <w:szCs w:val="21"/>
                <w:highlight w:val="none"/>
                <w:u w:val="single"/>
                <w:lang w:eastAsia="zh-CN"/>
              </w:rPr>
              <w:t>。</w:t>
            </w:r>
          </w:p>
          <w:p>
            <w:pPr>
              <w:spacing w:after="120"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公示期限：</w:t>
            </w:r>
            <w:r>
              <w:rPr>
                <w:rFonts w:hint="eastAsia" w:asciiTheme="minorEastAsia" w:hAnsiTheme="minorEastAsia" w:eastAsiaTheme="minorEastAsia" w:cstheme="minorEastAsia"/>
                <w:color w:val="auto"/>
                <w:szCs w:val="21"/>
                <w:highlight w:val="none"/>
                <w:u w:val="single"/>
              </w:rPr>
              <w:t>3</w:t>
            </w:r>
            <w:r>
              <w:rPr>
                <w:rFonts w:hint="eastAsia" w:asciiTheme="minorEastAsia" w:hAnsiTheme="minorEastAsia" w:eastAsiaTheme="minorEastAsia" w:cstheme="minorEastAsia"/>
                <w:color w:val="auto"/>
                <w:szCs w:val="21"/>
                <w:highlight w:val="none"/>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7.4</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是否授权评标委员会确定中标人</w:t>
            </w:r>
          </w:p>
        </w:tc>
        <w:tc>
          <w:tcPr>
            <w:tcW w:w="4860" w:type="dxa"/>
            <w:tcBorders>
              <w:tl2br w:val="nil"/>
              <w:tr2bl w:val="nil"/>
            </w:tcBorders>
            <w:vAlign w:val="center"/>
          </w:tcPr>
          <w:p>
            <w:pPr>
              <w:spacing w:after="40"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w:t>
            </w:r>
          </w:p>
          <w:p>
            <w:pPr>
              <w:spacing w:after="120"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65" w:type="dxa"/>
            <w:tcBorders>
              <w:tl2br w:val="nil"/>
              <w:tr2bl w:val="nil"/>
            </w:tcBorders>
            <w:vAlign w:val="center"/>
          </w:tcPr>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7.6.1</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w:t>
            </w:r>
          </w:p>
        </w:tc>
        <w:tc>
          <w:tcPr>
            <w:tcW w:w="4860" w:type="dxa"/>
            <w:tcBorders>
              <w:tl2br w:val="nil"/>
              <w:tr2bl w:val="nil"/>
            </w:tcBorders>
            <w:vAlign w:val="center"/>
          </w:tcPr>
          <w:p>
            <w:pPr>
              <w:pStyle w:val="17"/>
              <w:topLinePunct/>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是否要求中标人提交履约保证金：</w:t>
            </w:r>
          </w:p>
          <w:p>
            <w:pPr>
              <w:pStyle w:val="17"/>
              <w:topLinePunct/>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 w:val="21"/>
                <w:szCs w:val="21"/>
                <w:highlight w:val="none"/>
              </w:rPr>
              <w:t>要求，履约保证金的形式：</w:t>
            </w:r>
          </w:p>
          <w:p>
            <w:pPr>
              <w:spacing w:after="120"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履约保证金的金额：</w:t>
            </w:r>
          </w:p>
          <w:p>
            <w:pPr>
              <w:pStyle w:val="17"/>
              <w:topLinePunct/>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165"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是否采用电子招标投标</w:t>
            </w:r>
          </w:p>
        </w:tc>
        <w:tc>
          <w:tcPr>
            <w:tcW w:w="4860" w:type="dxa"/>
            <w:tcBorders>
              <w:tl2br w:val="nil"/>
              <w:tr2bl w:val="nil"/>
            </w:tcBorders>
            <w:vAlign w:val="center"/>
          </w:tcPr>
          <w:p>
            <w:pPr>
              <w:spacing w:before="120" w:after="12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□否</w:t>
            </w:r>
          </w:p>
          <w:p>
            <w:pPr>
              <w:spacing w:after="12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■是，具体要求：</w:t>
            </w:r>
          </w:p>
          <w:p>
            <w:pPr>
              <w:spacing w:line="360" w:lineRule="auto"/>
              <w:rPr>
                <w:rFonts w:ascii="宋体" w:hAnsi="宋体" w:eastAsia="宋体"/>
                <w:color w:val="auto"/>
                <w:szCs w:val="21"/>
                <w:highlight w:val="none"/>
              </w:rPr>
            </w:pPr>
            <w:r>
              <w:rPr>
                <w:rFonts w:ascii="宋体" w:hAnsi="宋体" w:eastAsia="宋体"/>
                <w:color w:val="auto"/>
                <w:szCs w:val="21"/>
                <w:highlight w:val="none"/>
              </w:rPr>
              <w:t>1、具体操作详见附件《房屋建筑和市政基础设施工程全流程电子化项目专章》。</w:t>
            </w:r>
          </w:p>
          <w:p>
            <w:pPr>
              <w:spacing w:line="360" w:lineRule="auto"/>
              <w:rPr>
                <w:rFonts w:ascii="宋体" w:hAnsi="宋体" w:eastAsia="宋体"/>
                <w:color w:val="auto"/>
                <w:szCs w:val="21"/>
                <w:highlight w:val="none"/>
              </w:rPr>
            </w:pPr>
            <w:r>
              <w:rPr>
                <w:rFonts w:ascii="宋体" w:hAnsi="宋体" w:eastAsia="宋体"/>
                <w:color w:val="auto"/>
                <w:szCs w:val="21"/>
                <w:highlight w:val="none"/>
              </w:rPr>
              <w:t>2、提交投标文件光盘备用</w:t>
            </w:r>
          </w:p>
          <w:p>
            <w:pPr>
              <w:spacing w:line="360" w:lineRule="auto"/>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w:t>
            </w:r>
            <w:r>
              <w:rPr>
                <w:rFonts w:ascii="宋体" w:hAnsi="宋体" w:eastAsia="宋体" w:cs="仿宋_GB2312"/>
                <w:color w:val="auto"/>
                <w:kern w:val="0"/>
                <w:szCs w:val="21"/>
                <w:highlight w:val="none"/>
              </w:rPr>
              <w:t>1）投标人可制作非加密的电子投标文件（PDF</w:t>
            </w:r>
            <w:r>
              <w:rPr>
                <w:rFonts w:hint="eastAsia" w:ascii="宋体" w:hAnsi="宋体" w:eastAsia="宋体" w:cs="仿宋_GB2312"/>
                <w:color w:val="auto"/>
                <w:kern w:val="0"/>
                <w:szCs w:val="21"/>
                <w:highlight w:val="none"/>
              </w:rPr>
              <w:t>格式）刻入光盘（</w:t>
            </w:r>
            <w:r>
              <w:rPr>
                <w:rFonts w:ascii="宋体" w:hAnsi="宋体" w:eastAsia="宋体" w:cs="仿宋_GB2312"/>
                <w:color w:val="auto"/>
                <w:kern w:val="0"/>
                <w:szCs w:val="21"/>
                <w:highlight w:val="none"/>
              </w:rPr>
              <w:t>1</w:t>
            </w:r>
            <w:r>
              <w:rPr>
                <w:rFonts w:hint="eastAsia" w:ascii="宋体" w:hAnsi="宋体" w:eastAsia="宋体" w:cs="仿宋_GB2312"/>
                <w:color w:val="auto"/>
                <w:kern w:val="0"/>
                <w:szCs w:val="21"/>
                <w:highlight w:val="none"/>
              </w:rPr>
              <w:t>份），在规定的时间、地点提交备用。</w:t>
            </w:r>
            <w:r>
              <w:rPr>
                <w:rFonts w:ascii="宋体" w:hAnsi="宋体" w:eastAsia="宋体" w:cs="仿宋_GB2312"/>
                <w:color w:val="auto"/>
                <w:kern w:val="0"/>
                <w:szCs w:val="21"/>
                <w:highlight w:val="none"/>
              </w:rPr>
              <w:t>(</w:t>
            </w:r>
            <w:r>
              <w:rPr>
                <w:rFonts w:hint="eastAsia" w:ascii="宋体" w:hAnsi="宋体" w:eastAsia="宋体" w:cs="仿宋_GB2312"/>
                <w:color w:val="auto"/>
                <w:kern w:val="0"/>
                <w:szCs w:val="21"/>
                <w:highlight w:val="none"/>
              </w:rPr>
              <w:t>刻录好的投标文件光盘密封在密封袋中，并在封口处加盖投标人单位公章。密封袋上应写明项目名称和招标人名称。</w:t>
            </w:r>
            <w:r>
              <w:rPr>
                <w:rFonts w:ascii="宋体" w:hAnsi="宋体" w:eastAsia="宋体" w:cs="仿宋_GB2312"/>
                <w:color w:val="auto"/>
                <w:kern w:val="0"/>
                <w:szCs w:val="21"/>
                <w:highlight w:val="none"/>
              </w:rPr>
              <w:t>)</w:t>
            </w:r>
          </w:p>
          <w:p>
            <w:pPr>
              <w:spacing w:line="360" w:lineRule="auto"/>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w:t>
            </w:r>
            <w:r>
              <w:rPr>
                <w:rFonts w:ascii="宋体" w:hAnsi="宋体" w:eastAsia="宋体" w:cs="仿宋_GB2312"/>
                <w:color w:val="auto"/>
                <w:kern w:val="0"/>
                <w:szCs w:val="21"/>
                <w:highlight w:val="none"/>
              </w:rPr>
              <w:t>2）递交的投标文件光盘(备用)不得加密。光盘（备用投标文件）无法读取或导入的，则视为未提交投标文件光盘(备用)。如果投标人没有按规定通过交易平台网上递交电子投标文件的，不再读取提交的光盘。投标人也可不提交投标文件光盘(备用)。</w:t>
            </w:r>
          </w:p>
          <w:p>
            <w:pPr>
              <w:spacing w:line="360" w:lineRule="auto"/>
              <w:rPr>
                <w:rFonts w:ascii="宋体" w:hAnsi="宋体" w:eastAsia="宋体"/>
                <w:color w:val="auto"/>
                <w:szCs w:val="21"/>
                <w:highlight w:val="none"/>
              </w:rPr>
            </w:pPr>
            <w:r>
              <w:rPr>
                <w:rFonts w:ascii="宋体" w:hAnsi="宋体" w:eastAsia="宋体"/>
                <w:color w:val="auto"/>
                <w:szCs w:val="21"/>
                <w:highlight w:val="none"/>
              </w:rPr>
              <w:t>3、补救方案</w:t>
            </w:r>
          </w:p>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1）投标文件解密失败的补救方案：</w:t>
            </w:r>
          </w:p>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2）评标时突发情况的补救方案</w:t>
            </w:r>
          </w:p>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若遇不可抗力发生（如：网络瘫痪、服务器损坏、交易系统故障短期无法恢复等因素），由评标委员会开启现场递交的全部投标文件光盘，并按光盘内容进行评审。</w:t>
            </w:r>
          </w:p>
          <w:p>
            <w:pPr>
              <w:spacing w:after="120" w:line="360" w:lineRule="auto"/>
              <w:rPr>
                <w:rFonts w:ascii="宋体" w:hAnsi="宋体" w:eastAsia="宋体" w:cs="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3）除发生上述情况外，开标评标均以投标人通过交易平台网上递交的电子投标文件为准。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65"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3070" w:type="dxa"/>
            <w:tcBorders>
              <w:tl2br w:val="nil"/>
              <w:tr2bl w:val="nil"/>
            </w:tcBorders>
            <w:vAlign w:val="center"/>
          </w:tcPr>
          <w:p>
            <w:pPr>
              <w:spacing w:after="120" w:line="360" w:lineRule="auto"/>
              <w:ind w:firstLine="210" w:firstLineChars="1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需要补充的其他内容</w:t>
            </w:r>
          </w:p>
        </w:tc>
        <w:tc>
          <w:tcPr>
            <w:tcW w:w="4860" w:type="dxa"/>
            <w:tcBorders>
              <w:tl2br w:val="nil"/>
              <w:tr2bl w:val="nil"/>
            </w:tcBorders>
            <w:vAlign w:val="center"/>
          </w:tcPr>
          <w:p>
            <w:pPr>
              <w:keepNext/>
              <w:keepLines/>
              <w:spacing w:line="360" w:lineRule="auto"/>
              <w:rPr>
                <w:rFonts w:asciiTheme="minorEastAsia" w:hAnsiTheme="minorEastAsia" w:eastAsiaTheme="minorEastAsia" w:cstheme="minorEastAsia"/>
                <w:color w:val="auto"/>
                <w:szCs w:val="21"/>
                <w:highlight w:val="none"/>
              </w:rPr>
            </w:pPr>
            <w:bookmarkStart w:id="13" w:name="_Toc7538"/>
            <w:bookmarkStart w:id="14" w:name="_Toc27606"/>
            <w:bookmarkStart w:id="15" w:name="_Toc18145"/>
            <w:bookmarkStart w:id="16" w:name="_Toc1900"/>
            <w:r>
              <w:rPr>
                <w:rFonts w:hint="eastAsia" w:asciiTheme="minorEastAsia" w:hAnsiTheme="minorEastAsia" w:eastAsiaTheme="minorEastAsia" w:cstheme="minorEastAsia"/>
                <w:color w:val="auto"/>
                <w:szCs w:val="21"/>
                <w:highlight w:val="none"/>
                <w:u w:val="single"/>
              </w:rPr>
              <w:t>/</w:t>
            </w:r>
            <w:bookmarkEnd w:id="13"/>
            <w:bookmarkEnd w:id="14"/>
            <w:bookmarkEnd w:id="15"/>
            <w:bookmarkEnd w:id="1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10.1</w:t>
            </w:r>
          </w:p>
        </w:tc>
        <w:tc>
          <w:tcPr>
            <w:tcW w:w="3070"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特别提示</w:t>
            </w:r>
          </w:p>
        </w:tc>
        <w:tc>
          <w:tcPr>
            <w:tcW w:w="4860" w:type="dxa"/>
            <w:tcBorders>
              <w:tl2br w:val="nil"/>
              <w:tr2bl w:val="nil"/>
            </w:tcBorders>
            <w:vAlign w:val="center"/>
          </w:tcPr>
          <w:p>
            <w:pPr>
              <w:widowControl/>
              <w:shd w:val="clear" w:color="auto" w:fill="FFFFFF"/>
              <w:spacing w:before="120" w:line="360" w:lineRule="auto"/>
              <w:jc w:val="left"/>
              <w:rPr>
                <w:rFonts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投标人在本项目招标人的工程项目中存在下列行为的，将被拒绝一定时期内参与我单位后续工程投标。（注：拒绝投标时限由招标人视严重程度确定，最低三个月起，自招标人发出通知之日起计）：</w:t>
            </w:r>
          </w:p>
          <w:p>
            <w:pPr>
              <w:widowControl/>
              <w:shd w:val="clear" w:color="auto" w:fill="FFFFFF"/>
              <w:spacing w:line="360" w:lineRule="auto"/>
              <w:rPr>
                <w:rFonts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（1）将中标工程转包或者违法分包的；</w:t>
            </w:r>
          </w:p>
          <w:p>
            <w:pPr>
              <w:widowControl/>
              <w:shd w:val="clear" w:color="auto" w:fill="FFFFFF"/>
              <w:spacing w:line="360" w:lineRule="auto"/>
              <w:rPr>
                <w:rFonts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（2）在中标工程中不执行质量、安全生产相关规定的，造成质量或安全事故的；</w:t>
            </w:r>
          </w:p>
          <w:p>
            <w:pPr>
              <w:widowControl/>
              <w:shd w:val="clear" w:color="auto" w:fill="FFFFFF"/>
              <w:spacing w:line="360" w:lineRule="auto"/>
              <w:rPr>
                <w:rFonts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（3）存在围标或串标情形的；</w:t>
            </w:r>
          </w:p>
          <w:p>
            <w:pPr>
              <w:spacing w:after="120"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u w:val="single"/>
              </w:rPr>
              <w:t>（4）存在弄虚作假骗取中标情形的。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65" w:type="dxa"/>
            <w:tcBorders>
              <w:tl2br w:val="nil"/>
              <w:tr2bl w:val="nil"/>
            </w:tcBorders>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rPr>
              <w:t>10.2</w:t>
            </w:r>
          </w:p>
        </w:tc>
        <w:tc>
          <w:tcPr>
            <w:tcW w:w="3070" w:type="dxa"/>
            <w:tcBorders>
              <w:tl2br w:val="nil"/>
              <w:tr2bl w:val="nil"/>
            </w:tcBorders>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rPr>
              <w:t>招标失败情形</w:t>
            </w:r>
          </w:p>
        </w:tc>
        <w:tc>
          <w:tcPr>
            <w:tcW w:w="4860" w:type="dxa"/>
            <w:tcBorders>
              <w:tl2br w:val="nil"/>
              <w:tr2bl w:val="nil"/>
            </w:tcBorders>
            <w:vAlign w:val="center"/>
          </w:tcPr>
          <w:p>
            <w:pPr>
              <w:spacing w:line="360" w:lineRule="auto"/>
              <w:ind w:left="1"/>
              <w:rPr>
                <w:rFonts w:ascii="宋体" w:hAnsi="宋体" w:eastAsia="宋体" w:cs="宋体"/>
                <w:color w:val="auto"/>
                <w:szCs w:val="21"/>
                <w:highlight w:val="none"/>
              </w:rPr>
            </w:pPr>
            <w:r>
              <w:rPr>
                <w:rFonts w:hint="eastAsia" w:ascii="宋体" w:hAnsi="宋体" w:eastAsia="宋体" w:cs="宋体"/>
                <w:color w:val="auto"/>
                <w:szCs w:val="21"/>
                <w:highlight w:val="none"/>
                <w:u w:val="single"/>
              </w:rPr>
              <w:t>本项目采用资格后审方式，递交投标文件单位不足3名，或通过初步评审（资格评审、形式评审、响应性评审）的投标申请人不足3名时为招标失败。招标人分析招标失败原因，修正招标方案，报有关管理部门核准后，重新组织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65" w:type="dxa"/>
            <w:tcBorders>
              <w:tl2br w:val="nil"/>
              <w:tr2bl w:val="nil"/>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bCs/>
                <w:color w:val="auto"/>
                <w:szCs w:val="21"/>
                <w:highlight w:val="none"/>
                <w:u w:val="single"/>
              </w:rPr>
              <w:t>10.3</w:t>
            </w:r>
          </w:p>
        </w:tc>
        <w:tc>
          <w:tcPr>
            <w:tcW w:w="3070" w:type="dxa"/>
            <w:tcBorders>
              <w:tl2br w:val="nil"/>
              <w:tr2bl w:val="nil"/>
            </w:tcBorders>
            <w:vAlign w:val="center"/>
          </w:tcPr>
          <w:p>
            <w:pPr>
              <w:widowControl/>
              <w:shd w:val="clear" w:color="auto" w:fill="FFFFFF"/>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rPr>
              <w:t>招标人拒绝接收其投标文件情况</w:t>
            </w:r>
          </w:p>
        </w:tc>
        <w:tc>
          <w:tcPr>
            <w:tcW w:w="4860" w:type="dxa"/>
            <w:tcBorders>
              <w:tl2br w:val="nil"/>
              <w:tr2bl w:val="nil"/>
            </w:tcBorders>
            <w:vAlign w:val="center"/>
          </w:tcPr>
          <w:p>
            <w:pPr>
              <w:snapToGrid w:val="0"/>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1.在投标截止期后逾期上传递交电子投标文件的；</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2.在投标截止期前投标人没有按要求提供投标担保的。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65" w:type="dxa"/>
            <w:tcBorders>
              <w:tl2br w:val="nil"/>
              <w:tr2bl w:val="nil"/>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bCs/>
                <w:color w:val="auto"/>
                <w:szCs w:val="21"/>
                <w:highlight w:val="none"/>
                <w:u w:val="single"/>
              </w:rPr>
              <w:t>10.4</w:t>
            </w:r>
          </w:p>
        </w:tc>
        <w:tc>
          <w:tcPr>
            <w:tcW w:w="3070" w:type="dxa"/>
            <w:tcBorders>
              <w:tl2br w:val="nil"/>
              <w:tr2bl w:val="nil"/>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rPr>
              <w:t>其他</w:t>
            </w:r>
          </w:p>
        </w:tc>
        <w:tc>
          <w:tcPr>
            <w:tcW w:w="4860" w:type="dxa"/>
            <w:tcBorders>
              <w:tl2br w:val="nil"/>
              <w:tr2bl w:val="nil"/>
            </w:tcBorders>
            <w:vAlign w:val="center"/>
          </w:tcPr>
          <w:p>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1.在产生中标候选人后，招标人将中标候选人的投标文件商务部分的电子版（报价清单、方案等涉及商业秘密的内容除外）在</w:t>
            </w:r>
            <w:r>
              <w:rPr>
                <w:rFonts w:hint="eastAsia" w:ascii="宋体" w:hAnsi="宋体" w:eastAsia="宋体" w:cs="宋体"/>
                <w:bCs/>
                <w:color w:val="auto"/>
                <w:szCs w:val="21"/>
                <w:highlight w:val="none"/>
                <w:u w:val="single"/>
                <w:lang w:eastAsia="zh-CN"/>
              </w:rPr>
              <w:t>广州交易集团有限公司（广州公共资源交易中心）</w:t>
            </w:r>
            <w:r>
              <w:rPr>
                <w:rFonts w:hint="eastAsia" w:ascii="宋体" w:hAnsi="宋体" w:eastAsia="宋体" w:cs="宋体"/>
                <w:bCs/>
                <w:color w:val="auto"/>
                <w:szCs w:val="21"/>
                <w:highlight w:val="none"/>
                <w:u w:val="single"/>
              </w:rPr>
              <w:t>网站公开。</w:t>
            </w:r>
          </w:p>
          <w:p>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color w:val="auto"/>
                <w:szCs w:val="21"/>
                <w:highlight w:val="none"/>
                <w:u w:val="single"/>
              </w:rPr>
              <w:t>2.中标单位需按招标人要求提供纸质投标文件一式</w:t>
            </w:r>
            <w:r>
              <w:rPr>
                <w:rFonts w:hint="eastAsia" w:ascii="宋体" w:hAnsi="宋体" w:eastAsia="宋体" w:cs="宋体"/>
                <w:bCs/>
                <w:color w:val="auto"/>
                <w:szCs w:val="21"/>
                <w:highlight w:val="none"/>
                <w:u w:val="single"/>
              </w:rPr>
              <w:t>3份及电子光盘1份。</w:t>
            </w:r>
          </w:p>
          <w:p>
            <w:pPr>
              <w:snapToGrid w:val="0"/>
              <w:spacing w:line="360" w:lineRule="auto"/>
              <w:rPr>
                <w:rFonts w:ascii="宋体" w:hAnsi="宋体" w:cs="宋体"/>
                <w:color w:val="auto"/>
                <w:szCs w:val="21"/>
                <w:highlight w:val="none"/>
              </w:rPr>
            </w:pPr>
            <w:r>
              <w:rPr>
                <w:rFonts w:hint="eastAsia" w:ascii="宋体" w:hAnsi="宋体" w:eastAsia="宋体" w:cs="宋体"/>
                <w:bCs/>
                <w:color w:val="auto"/>
                <w:szCs w:val="21"/>
                <w:highlight w:val="none"/>
                <w:u w:val="single"/>
              </w:rPr>
              <w:t>3.本项目采用电子招标投标，招标文件中要求投标人提供证明材料的扫描件形式的，即为提供电子格式文件。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65" w:type="dxa"/>
            <w:tcBorders>
              <w:tl2br w:val="nil"/>
              <w:tr2bl w:val="nil"/>
            </w:tcBorders>
            <w:vAlign w:val="center"/>
          </w:tcPr>
          <w:p>
            <w:pPr>
              <w:spacing w:line="360" w:lineRule="auto"/>
              <w:jc w:val="center"/>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10.5</w:t>
            </w:r>
          </w:p>
        </w:tc>
        <w:tc>
          <w:tcPr>
            <w:tcW w:w="3070" w:type="dxa"/>
            <w:tcBorders>
              <w:tl2br w:val="nil"/>
              <w:tr2bl w:val="nil"/>
            </w:tcBorders>
            <w:vAlign w:val="center"/>
          </w:tcPr>
          <w:p>
            <w:pPr>
              <w:widowControl/>
              <w:shd w:val="clear" w:color="auto" w:fill="FFFFFF"/>
              <w:adjustRightInd w:val="0"/>
              <w:spacing w:line="360" w:lineRule="auto"/>
              <w:jc w:val="center"/>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w:t>
            </w:r>
          </w:p>
        </w:tc>
        <w:tc>
          <w:tcPr>
            <w:tcW w:w="4860" w:type="dxa"/>
            <w:tcBorders>
              <w:tl2br w:val="nil"/>
              <w:tr2bl w:val="nil"/>
            </w:tcBorders>
            <w:vAlign w:val="center"/>
          </w:tcPr>
          <w:p>
            <w:pPr>
              <w:snapToGrid w:val="0"/>
              <w:spacing w:before="120" w:line="360" w:lineRule="auto"/>
              <w:rPr>
                <w:rFonts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szCs w:val="21"/>
                <w:highlight w:val="none"/>
                <w:u w:val="single"/>
              </w:rPr>
              <w:t>本招标文件参考《中华人民共和国标准监理招标文件（2017 年版）》进行编制，投标人须知以及其它关于监理的部分应统一按照保险服务进行理解。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65" w:type="dxa"/>
            <w:tcBorders>
              <w:tl2br w:val="nil"/>
              <w:tr2bl w:val="nil"/>
            </w:tcBorders>
            <w:vAlign w:val="center"/>
          </w:tcPr>
          <w:p>
            <w:pPr>
              <w:spacing w:line="360" w:lineRule="auto"/>
              <w:jc w:val="center"/>
              <w:rPr>
                <w:rFonts w:hint="default" w:asciiTheme="minorEastAsia" w:hAnsiTheme="minorEastAsia" w:eastAsiaTheme="minorEastAsia" w:cstheme="minorEastAsia"/>
                <w:color w:val="auto"/>
                <w:szCs w:val="21"/>
                <w:highlight w:val="none"/>
                <w:u w:val="single"/>
                <w:lang w:val="en-US" w:eastAsia="zh-CN"/>
              </w:rPr>
            </w:pPr>
            <w:r>
              <w:rPr>
                <w:rFonts w:hint="eastAsia" w:asciiTheme="minorEastAsia" w:hAnsiTheme="minorEastAsia" w:eastAsiaTheme="minorEastAsia" w:cstheme="minorEastAsia"/>
                <w:color w:val="auto"/>
                <w:szCs w:val="21"/>
                <w:highlight w:val="none"/>
                <w:u w:val="single"/>
                <w:lang w:val="en-US" w:eastAsia="zh-CN"/>
              </w:rPr>
              <w:t>10.6</w:t>
            </w:r>
          </w:p>
        </w:tc>
        <w:tc>
          <w:tcPr>
            <w:tcW w:w="3070" w:type="dxa"/>
            <w:tcBorders>
              <w:tl2br w:val="nil"/>
              <w:tr2bl w:val="nil"/>
            </w:tcBorders>
            <w:vAlign w:val="center"/>
          </w:tcPr>
          <w:p>
            <w:pPr>
              <w:widowControl/>
              <w:shd w:val="clear" w:color="auto" w:fill="FFFFFF"/>
              <w:adjustRightInd w:val="0"/>
              <w:spacing w:line="360" w:lineRule="auto"/>
              <w:jc w:val="center"/>
              <w:rPr>
                <w:rFonts w:hint="eastAsia" w:asciiTheme="minorEastAsia" w:hAnsiTheme="minorEastAsia" w:eastAsiaTheme="minorEastAsia" w:cstheme="minorEastAsia"/>
                <w:color w:val="auto"/>
                <w:szCs w:val="21"/>
                <w:highlight w:val="none"/>
                <w:u w:val="single"/>
                <w:lang w:val="en-US" w:eastAsia="zh-CN"/>
              </w:rPr>
            </w:pPr>
            <w:r>
              <w:rPr>
                <w:rFonts w:hint="eastAsia" w:asciiTheme="minorEastAsia" w:hAnsiTheme="minorEastAsia" w:eastAsiaTheme="minorEastAsia" w:cstheme="minorEastAsia"/>
                <w:color w:val="auto"/>
                <w:szCs w:val="21"/>
                <w:highlight w:val="none"/>
                <w:u w:val="single"/>
                <w:lang w:val="en-US" w:eastAsia="zh-CN"/>
              </w:rPr>
              <w:t>/</w:t>
            </w:r>
          </w:p>
        </w:tc>
        <w:tc>
          <w:tcPr>
            <w:tcW w:w="4860" w:type="dxa"/>
            <w:tcBorders>
              <w:tl2br w:val="nil"/>
              <w:tr2bl w:val="nil"/>
            </w:tcBorders>
            <w:vAlign w:val="center"/>
          </w:tcPr>
          <w:p>
            <w:pPr>
              <w:snapToGrid w:val="0"/>
              <w:spacing w:before="120"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交易服务费：由中标人支付，根据</w:t>
            </w:r>
            <w:r>
              <w:rPr>
                <w:rFonts w:hint="eastAsia" w:asciiTheme="minorEastAsia" w:hAnsiTheme="minorEastAsia" w:eastAsiaTheme="minorEastAsia" w:cstheme="minorEastAsia"/>
                <w:color w:val="auto"/>
                <w:szCs w:val="21"/>
                <w:highlight w:val="none"/>
                <w:u w:val="single"/>
                <w:lang w:val="en-US" w:eastAsia="zh-CN"/>
              </w:rPr>
              <w:t>交易中心</w:t>
            </w:r>
            <w:r>
              <w:rPr>
                <w:rFonts w:hint="eastAsia" w:asciiTheme="minorEastAsia" w:hAnsiTheme="minorEastAsia" w:eastAsiaTheme="minorEastAsia" w:cstheme="minorEastAsia"/>
                <w:color w:val="auto"/>
                <w:szCs w:val="21"/>
                <w:highlight w:val="none"/>
                <w:u w:val="single"/>
              </w:rPr>
              <w:t>相关文件规定缴纳。</w:t>
            </w:r>
          </w:p>
          <w:p>
            <w:pPr>
              <w:snapToGrid w:val="0"/>
              <w:spacing w:before="120"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招标代理费：按照招标人与招标代理签订的招标代理合同约定的内容执行。</w:t>
            </w:r>
          </w:p>
        </w:tc>
      </w:tr>
    </w:tbl>
    <w:p>
      <w:pPr>
        <w:spacing w:line="361" w:lineRule="exact"/>
        <w:rPr>
          <w:rFonts w:asciiTheme="minorEastAsia" w:hAnsiTheme="minorEastAsia" w:eastAsiaTheme="minorEastAsia"/>
          <w:color w:val="auto"/>
          <w:sz w:val="20"/>
          <w:szCs w:val="20"/>
          <w:highlight w:val="none"/>
        </w:rPr>
      </w:pPr>
    </w:p>
    <w:p>
      <w:pPr>
        <w:spacing w:line="361" w:lineRule="exact"/>
        <w:rPr>
          <w:rFonts w:asciiTheme="minorEastAsia" w:hAnsiTheme="minorEastAsia" w:eastAsiaTheme="minorEastAsia"/>
          <w:color w:val="auto"/>
          <w:sz w:val="20"/>
          <w:szCs w:val="20"/>
          <w:highlight w:val="none"/>
        </w:rPr>
      </w:pPr>
      <w:r>
        <w:rPr>
          <w:rFonts w:asciiTheme="minorEastAsia" w:hAnsiTheme="minorEastAsia" w:eastAsiaTheme="minorEastAsia"/>
          <w:color w:val="auto"/>
          <w:sz w:val="20"/>
          <w:szCs w:val="20"/>
          <w:highlight w:val="none"/>
        </w:rPr>
        <w:br w:type="page"/>
      </w:r>
    </w:p>
    <w:p>
      <w:pPr>
        <w:pStyle w:val="4"/>
        <w:rPr>
          <w:rFonts w:asciiTheme="minorEastAsia" w:hAnsiTheme="minorEastAsia" w:eastAsiaTheme="minorEastAsia"/>
          <w:color w:val="auto"/>
          <w:highlight w:val="none"/>
        </w:rPr>
      </w:pPr>
      <w:bookmarkStart w:id="17" w:name="_Toc21234"/>
      <w:bookmarkStart w:id="18" w:name="_Toc532744082"/>
      <w:r>
        <w:rPr>
          <w:rFonts w:asciiTheme="minorEastAsia" w:hAnsiTheme="minorEastAsia" w:eastAsiaTheme="minorEastAsia"/>
          <w:color w:val="auto"/>
          <w:highlight w:val="none"/>
        </w:rPr>
        <w:t xml:space="preserve">1. </w:t>
      </w:r>
      <w:r>
        <w:rPr>
          <w:rFonts w:hint="eastAsia" w:asciiTheme="minorEastAsia" w:hAnsiTheme="minorEastAsia" w:eastAsiaTheme="minorEastAsia"/>
          <w:color w:val="auto"/>
          <w:highlight w:val="none"/>
        </w:rPr>
        <w:t>总则</w:t>
      </w:r>
      <w:bookmarkEnd w:id="17"/>
      <w:bookmarkEnd w:id="18"/>
    </w:p>
    <w:p>
      <w:pPr>
        <w:pStyle w:val="5"/>
        <w:spacing w:before="48" w:beforeLines="20" w:after="48" w:afterLines="20"/>
        <w:jc w:val="left"/>
        <w:rPr>
          <w:rFonts w:asciiTheme="minorEastAsia" w:hAnsiTheme="minorEastAsia" w:eastAsiaTheme="minorEastAsia"/>
          <w:color w:val="auto"/>
          <w:highlight w:val="none"/>
        </w:rPr>
      </w:pPr>
      <w:bookmarkStart w:id="19" w:name="_Toc532744083"/>
      <w:r>
        <w:rPr>
          <w:rFonts w:asciiTheme="minorEastAsia" w:hAnsiTheme="minorEastAsia" w:eastAsiaTheme="minorEastAsia"/>
          <w:color w:val="auto"/>
          <w:highlight w:val="none"/>
        </w:rPr>
        <w:t xml:space="preserve">1.1 </w:t>
      </w:r>
      <w:r>
        <w:rPr>
          <w:rFonts w:hint="eastAsia" w:asciiTheme="minorEastAsia" w:hAnsiTheme="minorEastAsia" w:eastAsiaTheme="minorEastAsia"/>
          <w:color w:val="auto"/>
          <w:highlight w:val="none"/>
        </w:rPr>
        <w:t>招标项目概况</w:t>
      </w:r>
      <w:bookmarkEnd w:id="19"/>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1.1.1 </w:t>
      </w:r>
      <w:r>
        <w:rPr>
          <w:rFonts w:hint="eastAsia" w:asciiTheme="minorEastAsia" w:hAnsiTheme="minorEastAsia" w:eastAsiaTheme="minorEastAsia"/>
          <w:color w:val="auto"/>
          <w:highlight w:val="none"/>
        </w:rPr>
        <w:t>根据《中华人民共和国招标投标法》、《中华人民共和国招标投标法实施条例》等有关法律、法规和规章的规定，本招标项目已具备招标条件，现对</w:t>
      </w:r>
      <w:r>
        <w:rPr>
          <w:rFonts w:hint="eastAsia" w:asciiTheme="minorEastAsia" w:hAnsiTheme="minorEastAsia" w:eastAsiaTheme="minorEastAsia"/>
          <w:color w:val="auto"/>
          <w:highlight w:val="none"/>
          <w:u w:val="single"/>
        </w:rPr>
        <w:t>该项目</w:t>
      </w:r>
      <w:r>
        <w:rPr>
          <w:rFonts w:hint="eastAsia" w:asciiTheme="minorEastAsia" w:hAnsiTheme="minorEastAsia" w:eastAsiaTheme="minorEastAsia"/>
          <w:color w:val="auto"/>
          <w:highlight w:val="none"/>
        </w:rPr>
        <w:t>进行招标。</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1.1.2 </w:t>
      </w:r>
      <w:r>
        <w:rPr>
          <w:rFonts w:hint="eastAsia" w:asciiTheme="minorEastAsia" w:hAnsiTheme="minorEastAsia" w:eastAsiaTheme="minorEastAsia"/>
          <w:color w:val="auto"/>
          <w:highlight w:val="none"/>
        </w:rPr>
        <w:t>招标人：见投标人须知前附表。</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1.1.3 </w:t>
      </w:r>
      <w:r>
        <w:rPr>
          <w:rFonts w:hint="eastAsia" w:asciiTheme="minorEastAsia" w:hAnsiTheme="minorEastAsia" w:eastAsiaTheme="minorEastAsia"/>
          <w:color w:val="auto"/>
          <w:highlight w:val="none"/>
        </w:rPr>
        <w:t>招标代理机构：见投标人须知前附表。</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1.1.4 </w:t>
      </w:r>
      <w:r>
        <w:rPr>
          <w:rFonts w:hint="eastAsia" w:asciiTheme="minorEastAsia" w:hAnsiTheme="minorEastAsia" w:eastAsiaTheme="minorEastAsia"/>
          <w:color w:val="auto"/>
          <w:highlight w:val="none"/>
        </w:rPr>
        <w:t>招标项目名称：见投标人须知前附表。</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1.1.5 </w:t>
      </w:r>
      <w:r>
        <w:rPr>
          <w:rFonts w:hint="eastAsia" w:asciiTheme="minorEastAsia" w:hAnsiTheme="minorEastAsia" w:eastAsiaTheme="minorEastAsia"/>
          <w:color w:val="auto"/>
          <w:highlight w:val="none"/>
        </w:rPr>
        <w:t>项目建设地点：见投标人须知前附表。</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1.1.6 </w:t>
      </w:r>
      <w:r>
        <w:rPr>
          <w:rFonts w:hint="eastAsia" w:asciiTheme="minorEastAsia" w:hAnsiTheme="minorEastAsia" w:eastAsiaTheme="minorEastAsia"/>
          <w:color w:val="auto"/>
          <w:highlight w:val="none"/>
        </w:rPr>
        <w:t>项目建设规模：见投标人须知前附表。</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1.1.7 服务期限</w:t>
      </w:r>
      <w:r>
        <w:rPr>
          <w:rFonts w:hint="eastAsia" w:asciiTheme="minorEastAsia" w:hAnsiTheme="minorEastAsia" w:eastAsiaTheme="minorEastAsia"/>
          <w:color w:val="auto"/>
          <w:highlight w:val="none"/>
        </w:rPr>
        <w:t>：见投标人须知前附表。</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1.1.8 </w:t>
      </w:r>
      <w:r>
        <w:rPr>
          <w:rFonts w:hint="eastAsia" w:asciiTheme="minorEastAsia" w:hAnsiTheme="minorEastAsia" w:eastAsiaTheme="minorEastAsia"/>
          <w:color w:val="auto"/>
          <w:highlight w:val="none"/>
          <w:u w:val="single"/>
        </w:rPr>
        <w:t>工程造价</w:t>
      </w:r>
      <w:r>
        <w:rPr>
          <w:rFonts w:asciiTheme="minorEastAsia" w:hAnsiTheme="minorEastAsia" w:eastAsiaTheme="minorEastAsia"/>
          <w:color w:val="auto"/>
          <w:highlight w:val="none"/>
        </w:rPr>
        <w:t>：见投标人须知前附表。</w:t>
      </w:r>
    </w:p>
    <w:p>
      <w:pPr>
        <w:pStyle w:val="5"/>
        <w:spacing w:before="48" w:beforeLines="20" w:after="48" w:afterLines="20"/>
        <w:jc w:val="left"/>
        <w:rPr>
          <w:rFonts w:asciiTheme="minorEastAsia" w:hAnsiTheme="minorEastAsia" w:eastAsiaTheme="minorEastAsia"/>
          <w:color w:val="auto"/>
          <w:highlight w:val="none"/>
        </w:rPr>
      </w:pPr>
      <w:bookmarkStart w:id="20" w:name="_Toc532744084"/>
      <w:r>
        <w:rPr>
          <w:rFonts w:asciiTheme="minorEastAsia" w:hAnsiTheme="minorEastAsia" w:eastAsiaTheme="minorEastAsia"/>
          <w:color w:val="auto"/>
          <w:highlight w:val="none"/>
        </w:rPr>
        <w:t xml:space="preserve">1.2 </w:t>
      </w:r>
      <w:r>
        <w:rPr>
          <w:rFonts w:hint="eastAsia" w:asciiTheme="minorEastAsia" w:hAnsiTheme="minorEastAsia" w:eastAsiaTheme="minorEastAsia"/>
          <w:color w:val="auto"/>
          <w:highlight w:val="none"/>
        </w:rPr>
        <w:t>招标项目的资金来源和落实情况</w:t>
      </w:r>
      <w:bookmarkEnd w:id="20"/>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1.2.1 </w:t>
      </w:r>
      <w:r>
        <w:rPr>
          <w:rFonts w:hint="eastAsia" w:asciiTheme="minorEastAsia" w:hAnsiTheme="minorEastAsia" w:eastAsiaTheme="minorEastAsia"/>
          <w:color w:val="auto"/>
          <w:highlight w:val="none"/>
        </w:rPr>
        <w:t>资金来源及比例：见投标人须知前附表。</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1.2.2 </w:t>
      </w:r>
      <w:r>
        <w:rPr>
          <w:rFonts w:hint="eastAsia" w:asciiTheme="minorEastAsia" w:hAnsiTheme="minorEastAsia" w:eastAsiaTheme="minorEastAsia"/>
          <w:color w:val="auto"/>
          <w:highlight w:val="none"/>
        </w:rPr>
        <w:t>资金落实情况：见投标人须知前附表。</w:t>
      </w:r>
    </w:p>
    <w:p>
      <w:pPr>
        <w:pStyle w:val="5"/>
        <w:spacing w:before="48" w:beforeLines="20" w:after="48" w:afterLines="20"/>
        <w:jc w:val="left"/>
        <w:rPr>
          <w:rFonts w:asciiTheme="minorEastAsia" w:hAnsiTheme="minorEastAsia" w:eastAsiaTheme="minorEastAsia"/>
          <w:color w:val="auto"/>
          <w:highlight w:val="none"/>
        </w:rPr>
      </w:pPr>
      <w:bookmarkStart w:id="21" w:name="_Toc532744085"/>
      <w:r>
        <w:rPr>
          <w:rFonts w:asciiTheme="minorEastAsia" w:hAnsiTheme="minorEastAsia" w:eastAsiaTheme="minorEastAsia"/>
          <w:color w:val="auto"/>
          <w:highlight w:val="none"/>
        </w:rPr>
        <w:t xml:space="preserve">1.3 </w:t>
      </w:r>
      <w:r>
        <w:rPr>
          <w:rFonts w:hint="eastAsia" w:asciiTheme="minorEastAsia" w:hAnsiTheme="minorEastAsia" w:eastAsiaTheme="minorEastAsia"/>
          <w:color w:val="auto"/>
          <w:highlight w:val="none"/>
        </w:rPr>
        <w:t>招标范围、服务期限和质量标准</w:t>
      </w:r>
      <w:bookmarkEnd w:id="21"/>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1.3.1 </w:t>
      </w:r>
      <w:r>
        <w:rPr>
          <w:rFonts w:hint="eastAsia" w:asciiTheme="minorEastAsia" w:hAnsiTheme="minorEastAsia" w:eastAsiaTheme="minorEastAsia"/>
          <w:color w:val="auto"/>
          <w:highlight w:val="none"/>
        </w:rPr>
        <w:t>招标范围：见投标人须知前附表。</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1.3.2 </w:t>
      </w:r>
      <w:r>
        <w:rPr>
          <w:rFonts w:hint="eastAsia" w:asciiTheme="minorEastAsia" w:hAnsiTheme="minorEastAsia" w:eastAsiaTheme="minorEastAsia"/>
          <w:color w:val="auto"/>
          <w:highlight w:val="none"/>
        </w:rPr>
        <w:t>服务期限：见投标人须知前附表。</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1.3.3 </w:t>
      </w:r>
      <w:r>
        <w:rPr>
          <w:rFonts w:hint="eastAsia" w:asciiTheme="minorEastAsia" w:hAnsiTheme="minorEastAsia" w:eastAsiaTheme="minorEastAsia"/>
          <w:color w:val="auto"/>
          <w:highlight w:val="none"/>
        </w:rPr>
        <w:t>质量标准：见投标人须知前附表。</w:t>
      </w:r>
    </w:p>
    <w:p>
      <w:pPr>
        <w:pStyle w:val="5"/>
        <w:spacing w:before="48" w:beforeLines="20" w:after="48" w:afterLines="20"/>
        <w:jc w:val="left"/>
        <w:rPr>
          <w:rFonts w:asciiTheme="minorEastAsia" w:hAnsiTheme="minorEastAsia" w:eastAsiaTheme="minorEastAsia"/>
          <w:color w:val="auto"/>
          <w:highlight w:val="none"/>
        </w:rPr>
      </w:pPr>
      <w:bookmarkStart w:id="22" w:name="_Toc532744086"/>
      <w:r>
        <w:rPr>
          <w:rFonts w:asciiTheme="minorEastAsia" w:hAnsiTheme="minorEastAsia" w:eastAsiaTheme="minorEastAsia"/>
          <w:color w:val="auto"/>
          <w:highlight w:val="none"/>
        </w:rPr>
        <w:t xml:space="preserve">1.4 </w:t>
      </w:r>
      <w:r>
        <w:rPr>
          <w:rFonts w:hint="eastAsia" w:asciiTheme="minorEastAsia" w:hAnsiTheme="minorEastAsia" w:eastAsiaTheme="minorEastAsia"/>
          <w:color w:val="auto"/>
          <w:highlight w:val="none"/>
        </w:rPr>
        <w:t>投标人资格要求</w:t>
      </w:r>
      <w:bookmarkEnd w:id="22"/>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1.4.1 </w:t>
      </w:r>
      <w:r>
        <w:rPr>
          <w:rFonts w:hint="eastAsia" w:asciiTheme="minorEastAsia" w:hAnsiTheme="minorEastAsia" w:eastAsiaTheme="minorEastAsia"/>
          <w:color w:val="auto"/>
          <w:highlight w:val="none"/>
        </w:rPr>
        <w:t>投标人应具备承担本招标项目资质条件、能力和信誉：</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1）资质要求：见投标人须知前附表；</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2）财务要求：见投标人须知前附表；</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3）业绩要求：见投标人须知前附表；</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4）信誉要求：见投标人须知前附表；</w:t>
      </w:r>
    </w:p>
    <w:p>
      <w:pPr>
        <w:spacing w:line="360" w:lineRule="auto"/>
        <w:ind w:firstLine="420" w:firstLineChars="200"/>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5）</w:t>
      </w:r>
      <w:r>
        <w:rPr>
          <w:rFonts w:hint="eastAsia" w:asciiTheme="minorEastAsia" w:hAnsiTheme="minorEastAsia" w:eastAsiaTheme="minorEastAsia"/>
          <w:color w:val="auto"/>
          <w:szCs w:val="21"/>
          <w:highlight w:val="none"/>
        </w:rPr>
        <w:t>项目负责人</w:t>
      </w:r>
      <w:r>
        <w:rPr>
          <w:rFonts w:hint="eastAsia" w:asciiTheme="minorEastAsia" w:hAnsiTheme="minorEastAsia" w:eastAsiaTheme="minorEastAsia"/>
          <w:color w:val="auto"/>
          <w:highlight w:val="none"/>
        </w:rPr>
        <w:t>的资格要求：见投标人须知前附表；</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6）其他主要人员要求：见投标人须知前附表。</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7）试验检测仪器设备要求：见投标人须知前附表。</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8）其他要求：见投标人须知前附表。</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需要提交的相关证明材料见本章第3.5款的规定。</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1.4.2 </w:t>
      </w:r>
      <w:r>
        <w:rPr>
          <w:rFonts w:hint="eastAsia" w:asciiTheme="minorEastAsia" w:hAnsiTheme="minorEastAsia" w:eastAsiaTheme="minorEastAsia"/>
          <w:color w:val="auto"/>
          <w:highlight w:val="none"/>
        </w:rPr>
        <w:t>投标人须知前附表规定接受联合体投标的，联合体除应符合本章第</w:t>
      </w:r>
      <w:r>
        <w:rPr>
          <w:rFonts w:asciiTheme="minorEastAsia" w:hAnsiTheme="minorEastAsia" w:eastAsiaTheme="minorEastAsia"/>
          <w:color w:val="auto"/>
          <w:highlight w:val="none"/>
        </w:rPr>
        <w:t xml:space="preserve"> 1.4.1 </w:t>
      </w:r>
      <w:r>
        <w:rPr>
          <w:rFonts w:hint="eastAsia" w:asciiTheme="minorEastAsia" w:hAnsiTheme="minorEastAsia" w:eastAsiaTheme="minorEastAsia"/>
          <w:color w:val="auto"/>
          <w:highlight w:val="none"/>
        </w:rPr>
        <w:t>项和投标人须知前附表的要求外，还应遵守以下规定：</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（1）联合体各方应按招标文件提供的格式签订联合体协议书，明确联合体牵头人和各方权利义务，并承诺就中标项目向招标人承担连带责任；</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（2）由同一专业的单位组成的联合体，按照资质等级较低的单位确定资质等级；</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（3）联合体各方不得再以自己名义单独或参加其他联合体在本招标项目中投标，否则各相关投标均无效。</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1.4.3 </w:t>
      </w:r>
      <w:r>
        <w:rPr>
          <w:rFonts w:hint="eastAsia" w:asciiTheme="minorEastAsia" w:hAnsiTheme="minorEastAsia" w:eastAsiaTheme="minorEastAsia"/>
          <w:color w:val="auto"/>
          <w:highlight w:val="none"/>
        </w:rPr>
        <w:t>投标人不得存在下列情形之一：</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（1）为招标人不具有独立法人资格的附属机构（单位）；</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（2）与招标人存在利害关系且可能影响招标公正性；</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（3）与本招标项目的其他投标人为同一个单位负责人；</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（4）与本招标项目的其他投标人存在控股、管理关系；</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（5）为本招标项目的代建人；</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（6）为本招标项目的招标代理机构；</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（7）与本招标项目的代建人或招标代理机构同为一个法定代表人；</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（8）与本招标项目的代建人或招标代理机构存在控股或参股关系；</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9）</w:t>
      </w:r>
      <w:r>
        <w:rPr>
          <w:rFonts w:hint="eastAsia" w:asciiTheme="minorEastAsia" w:hAnsiTheme="minorEastAsia" w:eastAsiaTheme="minorEastAsia"/>
          <w:color w:val="auto"/>
          <w:highlight w:val="none"/>
          <w:u w:val="single"/>
        </w:rPr>
        <w:t>与本招标项目的施工承包人以及建筑材料、建筑构配件和设备供应商有隶属关系</w:t>
      </w:r>
      <w:r>
        <w:rPr>
          <w:rFonts w:hint="eastAsia" w:asciiTheme="minorEastAsia" w:hAnsiTheme="minorEastAsia" w:eastAsiaTheme="minorEastAsia"/>
          <w:color w:val="auto"/>
          <w:highlight w:val="none"/>
        </w:rPr>
        <w:t>；</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10）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（11）被责令停产停业、暂扣或者吊销许可证、暂扣或者吊销执照</w:t>
      </w:r>
      <w:r>
        <w:rPr>
          <w:rFonts w:hint="eastAsia" w:ascii="Arial" w:hAnsi="Arial" w:eastAsia="宋体" w:cs="Arial"/>
          <w:color w:val="auto"/>
          <w:sz w:val="21"/>
          <w:szCs w:val="21"/>
          <w:highlight w:val="none"/>
        </w:rPr>
        <w:t>（本项事实应当以根据《中华人民共和国行政处罚法》依法作出并已经生效的行政处罚决定为认定依据。）</w:t>
      </w:r>
      <w:r>
        <w:rPr>
          <w:rFonts w:hint="eastAsia" w:asciiTheme="minorEastAsia" w:hAnsiTheme="minorEastAsia" w:eastAsiaTheme="minorEastAsia"/>
          <w:color w:val="auto"/>
          <w:highlight w:val="none"/>
        </w:rPr>
        <w:t>；</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（12）进入清算程序，或被宣告破产，或其他丧失履约能力的情形；</w:t>
      </w:r>
    </w:p>
    <w:p>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13）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  </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r>
        <w:rPr>
          <w:rFonts w:hint="eastAsia" w:asciiTheme="minorEastAsia" w:hAnsiTheme="minorEastAsia" w:eastAsiaTheme="minorEastAsia"/>
          <w:color w:val="auto"/>
          <w:highlight w:val="none"/>
          <w:lang w:val="en-US" w:eastAsia="zh-CN"/>
        </w:rPr>
        <w:t>4</w:t>
      </w:r>
      <w:r>
        <w:rPr>
          <w:rFonts w:hint="eastAsia" w:asciiTheme="minorEastAsia" w:hAnsiTheme="minorEastAsia" w:eastAsiaTheme="minorEastAsia"/>
          <w:color w:val="auto"/>
          <w:highlight w:val="none"/>
        </w:rPr>
        <w:t>）法律法规规定的其他情形。</w:t>
      </w:r>
    </w:p>
    <w:p>
      <w:pPr>
        <w:pStyle w:val="5"/>
        <w:spacing w:before="48" w:beforeLines="20" w:after="48" w:afterLines="20"/>
        <w:jc w:val="left"/>
        <w:rPr>
          <w:rFonts w:asciiTheme="minorEastAsia" w:hAnsiTheme="minorEastAsia" w:eastAsiaTheme="minorEastAsia"/>
          <w:color w:val="auto"/>
          <w:highlight w:val="none"/>
        </w:rPr>
      </w:pPr>
      <w:bookmarkStart w:id="23" w:name="_Toc532744087"/>
      <w:r>
        <w:rPr>
          <w:rFonts w:asciiTheme="minorEastAsia" w:hAnsiTheme="minorEastAsia" w:eastAsiaTheme="minorEastAsia"/>
          <w:color w:val="auto"/>
          <w:highlight w:val="none"/>
        </w:rPr>
        <w:t xml:space="preserve">1.5 </w:t>
      </w:r>
      <w:r>
        <w:rPr>
          <w:rFonts w:hint="eastAsia" w:asciiTheme="minorEastAsia" w:hAnsiTheme="minorEastAsia" w:eastAsiaTheme="minorEastAsia"/>
          <w:color w:val="auto"/>
          <w:highlight w:val="none"/>
        </w:rPr>
        <w:t>费用承担</w:t>
      </w:r>
      <w:bookmarkEnd w:id="23"/>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投标人准备和参加投标活动发生的费用自理。</w:t>
      </w:r>
    </w:p>
    <w:p>
      <w:pPr>
        <w:pStyle w:val="5"/>
        <w:spacing w:before="48" w:beforeLines="20" w:after="48" w:afterLines="20"/>
        <w:jc w:val="left"/>
        <w:rPr>
          <w:rFonts w:asciiTheme="minorEastAsia" w:hAnsiTheme="minorEastAsia" w:eastAsiaTheme="minorEastAsia"/>
          <w:color w:val="auto"/>
          <w:highlight w:val="none"/>
        </w:rPr>
      </w:pPr>
      <w:bookmarkStart w:id="24" w:name="_Toc532744088"/>
      <w:r>
        <w:rPr>
          <w:rFonts w:asciiTheme="minorEastAsia" w:hAnsiTheme="minorEastAsia" w:eastAsiaTheme="minorEastAsia"/>
          <w:color w:val="auto"/>
          <w:highlight w:val="none"/>
        </w:rPr>
        <w:t xml:space="preserve">1.6 </w:t>
      </w:r>
      <w:r>
        <w:rPr>
          <w:rFonts w:hint="eastAsia" w:asciiTheme="minorEastAsia" w:hAnsiTheme="minorEastAsia" w:eastAsiaTheme="minorEastAsia"/>
          <w:color w:val="auto"/>
          <w:highlight w:val="none"/>
        </w:rPr>
        <w:t>保密</w:t>
      </w:r>
      <w:bookmarkEnd w:id="24"/>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参与招标投标活动的各方应对招标文件和投标文件中的商业和技术等秘密保密，否则应承担相应的法律责任。</w:t>
      </w:r>
    </w:p>
    <w:p>
      <w:pPr>
        <w:pStyle w:val="5"/>
        <w:spacing w:before="48" w:beforeLines="20" w:after="48" w:afterLines="20"/>
        <w:jc w:val="left"/>
        <w:rPr>
          <w:rFonts w:asciiTheme="minorEastAsia" w:hAnsiTheme="minorEastAsia" w:eastAsiaTheme="minorEastAsia"/>
          <w:color w:val="auto"/>
          <w:highlight w:val="none"/>
        </w:rPr>
      </w:pPr>
      <w:bookmarkStart w:id="25" w:name="_Toc532744089"/>
      <w:r>
        <w:rPr>
          <w:rFonts w:asciiTheme="minorEastAsia" w:hAnsiTheme="minorEastAsia" w:eastAsiaTheme="minorEastAsia"/>
          <w:color w:val="auto"/>
          <w:highlight w:val="none"/>
        </w:rPr>
        <w:t xml:space="preserve">1.7 </w:t>
      </w:r>
      <w:r>
        <w:rPr>
          <w:rFonts w:hint="eastAsia" w:asciiTheme="minorEastAsia" w:hAnsiTheme="minorEastAsia" w:eastAsiaTheme="minorEastAsia"/>
          <w:color w:val="auto"/>
          <w:highlight w:val="none"/>
        </w:rPr>
        <w:t>语言文字</w:t>
      </w:r>
      <w:bookmarkEnd w:id="25"/>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招标投标文件使用的语言文字为中文。专用术语使用外文的，应附有中文注释。</w:t>
      </w:r>
    </w:p>
    <w:p>
      <w:pPr>
        <w:pStyle w:val="5"/>
        <w:spacing w:before="48" w:beforeLines="20" w:after="48" w:afterLines="20"/>
        <w:jc w:val="left"/>
        <w:rPr>
          <w:rFonts w:asciiTheme="minorEastAsia" w:hAnsiTheme="minorEastAsia" w:eastAsiaTheme="minorEastAsia"/>
          <w:color w:val="auto"/>
          <w:highlight w:val="none"/>
        </w:rPr>
      </w:pPr>
      <w:bookmarkStart w:id="26" w:name="_Toc532744090"/>
      <w:r>
        <w:rPr>
          <w:rFonts w:asciiTheme="minorEastAsia" w:hAnsiTheme="minorEastAsia" w:eastAsiaTheme="minorEastAsia"/>
          <w:color w:val="auto"/>
          <w:highlight w:val="none"/>
        </w:rPr>
        <w:t xml:space="preserve">1.8 </w:t>
      </w:r>
      <w:r>
        <w:rPr>
          <w:rFonts w:hint="eastAsia" w:asciiTheme="minorEastAsia" w:hAnsiTheme="minorEastAsia" w:eastAsiaTheme="minorEastAsia"/>
          <w:color w:val="auto"/>
          <w:highlight w:val="none"/>
        </w:rPr>
        <w:t>计量单位</w:t>
      </w:r>
      <w:bookmarkEnd w:id="26"/>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所有计量均采用中华人民共和国法定计量单位。</w:t>
      </w:r>
    </w:p>
    <w:p>
      <w:pPr>
        <w:pStyle w:val="5"/>
        <w:spacing w:before="48" w:beforeLines="20" w:after="48" w:afterLines="20"/>
        <w:jc w:val="left"/>
        <w:rPr>
          <w:rFonts w:asciiTheme="minorEastAsia" w:hAnsiTheme="minorEastAsia" w:eastAsiaTheme="minorEastAsia"/>
          <w:color w:val="auto"/>
          <w:highlight w:val="none"/>
        </w:rPr>
      </w:pPr>
      <w:bookmarkStart w:id="27" w:name="_Toc532744091"/>
      <w:r>
        <w:rPr>
          <w:rFonts w:asciiTheme="minorEastAsia" w:hAnsiTheme="minorEastAsia" w:eastAsiaTheme="minorEastAsia"/>
          <w:color w:val="auto"/>
          <w:highlight w:val="none"/>
        </w:rPr>
        <w:t xml:space="preserve">1.9 </w:t>
      </w:r>
      <w:r>
        <w:rPr>
          <w:rFonts w:hint="eastAsia" w:asciiTheme="minorEastAsia" w:hAnsiTheme="minorEastAsia" w:eastAsiaTheme="minorEastAsia"/>
          <w:color w:val="auto"/>
          <w:highlight w:val="none"/>
        </w:rPr>
        <w:t>踏勘现场</w:t>
      </w:r>
      <w:bookmarkEnd w:id="27"/>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1.9.2 投标人踏勘现场发生的费用自理。</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1.9.3 除招标人的原因外，投标人自行负责在踏勘现场中所发生的人员伤亡和财产损失。</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1.9.4 招标人在踏勘现场中介绍的工程场地和相关的周边环境情况，供投标人在编制投标文件时参考，招标人不对投标人据此作出的判断和决策负责。</w:t>
      </w:r>
    </w:p>
    <w:p>
      <w:pPr>
        <w:pStyle w:val="5"/>
        <w:spacing w:before="48" w:beforeLines="20" w:after="48" w:afterLines="20"/>
        <w:jc w:val="left"/>
        <w:rPr>
          <w:rFonts w:asciiTheme="minorEastAsia" w:hAnsiTheme="minorEastAsia" w:eastAsiaTheme="minorEastAsia"/>
          <w:color w:val="auto"/>
          <w:highlight w:val="none"/>
        </w:rPr>
      </w:pPr>
      <w:bookmarkStart w:id="28" w:name="_Toc532744092"/>
      <w:r>
        <w:rPr>
          <w:rFonts w:asciiTheme="minorEastAsia" w:hAnsiTheme="minorEastAsia" w:eastAsiaTheme="minorEastAsia"/>
          <w:color w:val="auto"/>
          <w:highlight w:val="none"/>
        </w:rPr>
        <w:t xml:space="preserve">1.10 </w:t>
      </w:r>
      <w:r>
        <w:rPr>
          <w:rFonts w:hint="eastAsia" w:asciiTheme="minorEastAsia" w:hAnsiTheme="minorEastAsia" w:eastAsiaTheme="minorEastAsia"/>
          <w:color w:val="auto"/>
          <w:highlight w:val="none"/>
        </w:rPr>
        <w:t>投标预备会</w:t>
      </w:r>
      <w:bookmarkEnd w:id="28"/>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1.10.1 投标人须知前附表规定召开投标预备会的，招标人按投标人须知前附表规定的时间和地点召开投标预备会，澄清投标人提出的问题。</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1.10.2 投标人应按投标人须知前附表规定的时间和形式将提出的问题送达招标人，以便招标人在会议期间澄清。</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1.10.3 投标预备会后，招标人将对投标人所提问题的澄清，以投标人须知前附表规定的形式通知所有购买招标文件的投标人。该澄清内容为招标文件的组成部分。</w:t>
      </w:r>
    </w:p>
    <w:p>
      <w:pPr>
        <w:pStyle w:val="5"/>
        <w:spacing w:before="48" w:beforeLines="20" w:after="48" w:afterLines="20"/>
        <w:jc w:val="left"/>
        <w:rPr>
          <w:rFonts w:asciiTheme="minorEastAsia" w:hAnsiTheme="minorEastAsia" w:eastAsiaTheme="minorEastAsia"/>
          <w:color w:val="auto"/>
          <w:highlight w:val="none"/>
        </w:rPr>
      </w:pPr>
      <w:bookmarkStart w:id="29" w:name="_Toc532744093"/>
      <w:r>
        <w:rPr>
          <w:rFonts w:asciiTheme="minorEastAsia" w:hAnsiTheme="minorEastAsia" w:eastAsiaTheme="minorEastAsia"/>
          <w:color w:val="auto"/>
          <w:highlight w:val="none"/>
        </w:rPr>
        <w:t xml:space="preserve">1.11 </w:t>
      </w:r>
      <w:r>
        <w:rPr>
          <w:rFonts w:hint="eastAsia" w:asciiTheme="minorEastAsia" w:hAnsiTheme="minorEastAsia" w:eastAsiaTheme="minorEastAsia"/>
          <w:color w:val="auto"/>
          <w:highlight w:val="none"/>
        </w:rPr>
        <w:t>分包</w:t>
      </w:r>
      <w:bookmarkEnd w:id="29"/>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本项目严禁分包。</w:t>
      </w:r>
    </w:p>
    <w:p>
      <w:pPr>
        <w:pStyle w:val="5"/>
        <w:spacing w:before="48" w:beforeLines="20" w:after="48" w:afterLines="20"/>
        <w:jc w:val="left"/>
        <w:rPr>
          <w:rFonts w:asciiTheme="minorEastAsia" w:hAnsiTheme="minorEastAsia" w:eastAsiaTheme="minorEastAsia"/>
          <w:color w:val="auto"/>
          <w:highlight w:val="none"/>
        </w:rPr>
      </w:pPr>
      <w:bookmarkStart w:id="30" w:name="_Toc532744094"/>
      <w:r>
        <w:rPr>
          <w:rFonts w:asciiTheme="minorEastAsia" w:hAnsiTheme="minorEastAsia" w:eastAsiaTheme="minorEastAsia"/>
          <w:color w:val="auto"/>
          <w:highlight w:val="none"/>
        </w:rPr>
        <w:t xml:space="preserve">1.12 </w:t>
      </w:r>
      <w:r>
        <w:rPr>
          <w:rFonts w:hint="eastAsia" w:asciiTheme="minorEastAsia" w:hAnsiTheme="minorEastAsia" w:eastAsiaTheme="minorEastAsia"/>
          <w:color w:val="auto"/>
          <w:highlight w:val="none"/>
        </w:rPr>
        <w:t>响应和偏差</w:t>
      </w:r>
      <w:bookmarkEnd w:id="30"/>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1.12.1 投标文件应当对招标文件的实质性要求和条件作出满足性或更有利于招标人的响应，否则，投标人的投标将被否决。实质性要求和条件见投标人须知前附表。</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1.12.2 投标人应根据招标文件的要求提供投标服务技术方案等内容以对招标文件作出响应。</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1.12.3 投标人须知前附表允许投标文件偏离招标文件某些要求的，偏差应当符合招标文件规定的偏差范围和幅度。</w:t>
      </w:r>
    </w:p>
    <w:p>
      <w:pPr>
        <w:pStyle w:val="4"/>
        <w:rPr>
          <w:rFonts w:asciiTheme="minorEastAsia" w:hAnsiTheme="minorEastAsia" w:eastAsiaTheme="minorEastAsia"/>
          <w:color w:val="auto"/>
          <w:highlight w:val="none"/>
        </w:rPr>
      </w:pPr>
      <w:bookmarkStart w:id="31" w:name="_Toc532744095"/>
      <w:bookmarkStart w:id="32" w:name="_Toc28763"/>
      <w:r>
        <w:rPr>
          <w:rFonts w:asciiTheme="minorEastAsia" w:hAnsiTheme="minorEastAsia" w:eastAsiaTheme="minorEastAsia"/>
          <w:color w:val="auto"/>
          <w:highlight w:val="none"/>
        </w:rPr>
        <w:t xml:space="preserve">2. </w:t>
      </w:r>
      <w:r>
        <w:rPr>
          <w:rFonts w:hint="eastAsia" w:asciiTheme="minorEastAsia" w:hAnsiTheme="minorEastAsia" w:eastAsiaTheme="minorEastAsia"/>
          <w:color w:val="auto"/>
          <w:highlight w:val="none"/>
        </w:rPr>
        <w:t>招标文件</w:t>
      </w:r>
      <w:bookmarkEnd w:id="31"/>
      <w:bookmarkEnd w:id="32"/>
    </w:p>
    <w:p>
      <w:pPr>
        <w:pStyle w:val="5"/>
        <w:spacing w:before="48" w:beforeLines="20" w:after="48" w:afterLines="20"/>
        <w:jc w:val="left"/>
        <w:rPr>
          <w:rFonts w:asciiTheme="minorEastAsia" w:hAnsiTheme="minorEastAsia" w:eastAsiaTheme="minorEastAsia"/>
          <w:color w:val="auto"/>
          <w:highlight w:val="none"/>
        </w:rPr>
      </w:pPr>
      <w:bookmarkStart w:id="33" w:name="_Toc532744096"/>
      <w:r>
        <w:rPr>
          <w:rFonts w:asciiTheme="minorEastAsia" w:hAnsiTheme="minorEastAsia" w:eastAsiaTheme="minorEastAsia"/>
          <w:color w:val="auto"/>
          <w:highlight w:val="none"/>
        </w:rPr>
        <w:t xml:space="preserve">2.1 </w:t>
      </w:r>
      <w:r>
        <w:rPr>
          <w:rFonts w:hint="eastAsia" w:asciiTheme="minorEastAsia" w:hAnsiTheme="minorEastAsia" w:eastAsiaTheme="minorEastAsia"/>
          <w:color w:val="auto"/>
          <w:highlight w:val="none"/>
        </w:rPr>
        <w:t>招标文件的组成</w:t>
      </w:r>
      <w:bookmarkEnd w:id="33"/>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本招标文件包括：</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第一章 招标公告（或投标邀请书）；</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第二章 投标人须知；</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第三章 评标办法；</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第四章 合同条款及格式；</w:t>
      </w:r>
    </w:p>
    <w:p>
      <w:pPr>
        <w:pStyle w:val="54"/>
        <w:spacing w:line="360" w:lineRule="auto"/>
        <w:ind w:firstLine="420" w:firstLineChars="200"/>
        <w:rPr>
          <w:rFonts w:eastAsiaTheme="minorEastAsia"/>
          <w:color w:val="auto"/>
          <w:highlight w:val="none"/>
        </w:rPr>
      </w:pPr>
      <w:r>
        <w:rPr>
          <w:rFonts w:hint="eastAsia" w:asciiTheme="minorEastAsia" w:hAnsiTheme="minorEastAsia" w:eastAsiaTheme="minorEastAsia"/>
          <w:color w:val="auto"/>
          <w:highlight w:val="none"/>
        </w:rPr>
        <w:t>第五章 工程概况</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第六章 投标文件格式；</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根据本章第</w:t>
      </w:r>
      <w:r>
        <w:rPr>
          <w:rFonts w:asciiTheme="minorEastAsia" w:hAnsiTheme="minorEastAsia" w:eastAsiaTheme="minorEastAsia"/>
          <w:color w:val="auto"/>
          <w:highlight w:val="none"/>
        </w:rPr>
        <w:t xml:space="preserve"> 1.10 </w:t>
      </w:r>
      <w:r>
        <w:rPr>
          <w:rFonts w:hint="eastAsia" w:asciiTheme="minorEastAsia" w:hAnsiTheme="minorEastAsia" w:eastAsiaTheme="minorEastAsia"/>
          <w:color w:val="auto"/>
          <w:highlight w:val="none"/>
        </w:rPr>
        <w:t>款、第</w:t>
      </w:r>
      <w:r>
        <w:rPr>
          <w:rFonts w:asciiTheme="minorEastAsia" w:hAnsiTheme="minorEastAsia" w:eastAsiaTheme="minorEastAsia"/>
          <w:color w:val="auto"/>
          <w:highlight w:val="none"/>
        </w:rPr>
        <w:t xml:space="preserve"> 2.2 </w:t>
      </w:r>
      <w:r>
        <w:rPr>
          <w:rFonts w:hint="eastAsia" w:asciiTheme="minorEastAsia" w:hAnsiTheme="minorEastAsia" w:eastAsiaTheme="minorEastAsia"/>
          <w:color w:val="auto"/>
          <w:highlight w:val="none"/>
        </w:rPr>
        <w:t>款和第</w:t>
      </w:r>
      <w:r>
        <w:rPr>
          <w:rFonts w:asciiTheme="minorEastAsia" w:hAnsiTheme="minorEastAsia" w:eastAsiaTheme="minorEastAsia"/>
          <w:color w:val="auto"/>
          <w:highlight w:val="none"/>
        </w:rPr>
        <w:t xml:space="preserve"> 2.3 </w:t>
      </w:r>
      <w:r>
        <w:rPr>
          <w:rFonts w:hint="eastAsia" w:asciiTheme="minorEastAsia" w:hAnsiTheme="minorEastAsia" w:eastAsiaTheme="minorEastAsia"/>
          <w:color w:val="auto"/>
          <w:highlight w:val="none"/>
        </w:rPr>
        <w:t>款对招标文件所作的澄清、修改，构成招标文件的组成部分。</w:t>
      </w:r>
    </w:p>
    <w:p>
      <w:pPr>
        <w:pStyle w:val="5"/>
        <w:spacing w:before="48" w:beforeLines="20" w:after="48" w:afterLines="20"/>
        <w:jc w:val="left"/>
        <w:rPr>
          <w:rFonts w:asciiTheme="minorEastAsia" w:hAnsiTheme="minorEastAsia" w:eastAsiaTheme="minorEastAsia"/>
          <w:color w:val="auto"/>
          <w:highlight w:val="none"/>
        </w:rPr>
      </w:pPr>
      <w:bookmarkStart w:id="34" w:name="_Toc532744097"/>
      <w:r>
        <w:rPr>
          <w:rFonts w:asciiTheme="minorEastAsia" w:hAnsiTheme="minorEastAsia" w:eastAsiaTheme="minorEastAsia"/>
          <w:color w:val="auto"/>
          <w:highlight w:val="none"/>
        </w:rPr>
        <w:t xml:space="preserve">2.2 </w:t>
      </w:r>
      <w:r>
        <w:rPr>
          <w:rFonts w:hint="eastAsia" w:asciiTheme="minorEastAsia" w:hAnsiTheme="minorEastAsia" w:eastAsiaTheme="minorEastAsia"/>
          <w:color w:val="auto"/>
          <w:highlight w:val="none"/>
        </w:rPr>
        <w:t>招标文件的澄清</w:t>
      </w:r>
      <w:bookmarkEnd w:id="34"/>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2.2.1 </w:t>
      </w:r>
      <w:r>
        <w:rPr>
          <w:rFonts w:hint="eastAsia" w:asciiTheme="minorEastAsia" w:hAnsiTheme="minorEastAsia" w:eastAsiaTheme="minorEastAsia"/>
          <w:color w:val="auto"/>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2.2.2 </w:t>
      </w:r>
      <w:r>
        <w:rPr>
          <w:rFonts w:hint="eastAsia" w:asciiTheme="minorEastAsia" w:hAnsiTheme="minorEastAsia" w:eastAsiaTheme="minorEastAsia"/>
          <w:color w:val="auto"/>
          <w:highlight w:val="none"/>
        </w:rPr>
        <w:t>招标文件的澄清以投标人须知前附表规定的形式发给所有购买招标文件的投标人，但不指明澄清问题的来源。澄清发出的时间距本章第</w:t>
      </w:r>
      <w:r>
        <w:rPr>
          <w:rFonts w:asciiTheme="minorEastAsia" w:hAnsiTheme="minorEastAsia" w:eastAsiaTheme="minorEastAsia"/>
          <w:color w:val="auto"/>
          <w:highlight w:val="none"/>
        </w:rPr>
        <w:t xml:space="preserve"> 4.2.1 </w:t>
      </w:r>
      <w:r>
        <w:rPr>
          <w:rFonts w:hint="eastAsia" w:asciiTheme="minorEastAsia" w:hAnsiTheme="minorEastAsia" w:eastAsiaTheme="minorEastAsia"/>
          <w:color w:val="auto"/>
          <w:highlight w:val="none"/>
        </w:rPr>
        <w:t>项规定的投标截止时间不足</w:t>
      </w:r>
      <w:r>
        <w:rPr>
          <w:rFonts w:asciiTheme="minorEastAsia" w:hAnsiTheme="minorEastAsia" w:eastAsiaTheme="minorEastAsia"/>
          <w:color w:val="auto"/>
          <w:highlight w:val="none"/>
        </w:rPr>
        <w:t xml:space="preserve"> 15 </w:t>
      </w:r>
      <w:r>
        <w:rPr>
          <w:rFonts w:hint="eastAsia" w:asciiTheme="minorEastAsia" w:hAnsiTheme="minorEastAsia" w:eastAsiaTheme="minorEastAsia"/>
          <w:color w:val="auto"/>
          <w:highlight w:val="none"/>
        </w:rPr>
        <w:t>日的，并且澄清内容可能影响投标文件编制的，将相应延长投标截止时间。</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2.2.3 </w:t>
      </w:r>
      <w:r>
        <w:rPr>
          <w:rFonts w:hint="eastAsia" w:asciiTheme="minorEastAsia" w:hAnsiTheme="minorEastAsia" w:eastAsiaTheme="minorEastAsia"/>
          <w:color w:val="auto"/>
          <w:highlight w:val="none"/>
        </w:rPr>
        <w:t>投标人在收到澄清后，应按投标人须知前附表规定的时间和形式通知招标人，确认已收到该澄清。</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2.2.4 </w:t>
      </w:r>
      <w:r>
        <w:rPr>
          <w:rFonts w:hint="eastAsia" w:asciiTheme="minorEastAsia" w:hAnsiTheme="minorEastAsia" w:eastAsiaTheme="minorEastAsia"/>
          <w:color w:val="auto"/>
          <w:highlight w:val="none"/>
        </w:rPr>
        <w:t>除非招标人认为确有必要答复，否则，招标人有权拒绝回复投标人在本章第</w:t>
      </w:r>
      <w:r>
        <w:rPr>
          <w:rFonts w:asciiTheme="minorEastAsia" w:hAnsiTheme="minorEastAsia" w:eastAsiaTheme="minorEastAsia"/>
          <w:color w:val="auto"/>
          <w:highlight w:val="none"/>
        </w:rPr>
        <w:t xml:space="preserve"> 2.2.1 </w:t>
      </w:r>
      <w:r>
        <w:rPr>
          <w:rFonts w:hint="eastAsia" w:asciiTheme="minorEastAsia" w:hAnsiTheme="minorEastAsia" w:eastAsiaTheme="minorEastAsia"/>
          <w:color w:val="auto"/>
          <w:highlight w:val="none"/>
        </w:rPr>
        <w:t>项规定的时间后的任何澄清要求。</w:t>
      </w:r>
    </w:p>
    <w:p>
      <w:pPr>
        <w:pStyle w:val="5"/>
        <w:spacing w:before="48" w:beforeLines="20" w:after="48" w:afterLines="20"/>
        <w:jc w:val="left"/>
        <w:rPr>
          <w:rFonts w:asciiTheme="minorEastAsia" w:hAnsiTheme="minorEastAsia" w:eastAsiaTheme="minorEastAsia"/>
          <w:color w:val="auto"/>
          <w:highlight w:val="none"/>
        </w:rPr>
      </w:pPr>
      <w:bookmarkStart w:id="35" w:name="_Toc532744098"/>
      <w:r>
        <w:rPr>
          <w:rFonts w:asciiTheme="minorEastAsia" w:hAnsiTheme="minorEastAsia" w:eastAsiaTheme="minorEastAsia"/>
          <w:color w:val="auto"/>
          <w:highlight w:val="none"/>
        </w:rPr>
        <w:t xml:space="preserve">2.3 </w:t>
      </w:r>
      <w:r>
        <w:rPr>
          <w:rFonts w:hint="eastAsia" w:asciiTheme="minorEastAsia" w:hAnsiTheme="minorEastAsia" w:eastAsiaTheme="minorEastAsia"/>
          <w:color w:val="auto"/>
          <w:highlight w:val="none"/>
        </w:rPr>
        <w:t>招标文件的修改</w:t>
      </w:r>
      <w:bookmarkEnd w:id="35"/>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2.3.1 </w:t>
      </w:r>
      <w:r>
        <w:rPr>
          <w:rFonts w:hint="eastAsia" w:asciiTheme="minorEastAsia" w:hAnsiTheme="minorEastAsia" w:eastAsiaTheme="minorEastAsia"/>
          <w:color w:val="auto"/>
          <w:highlight w:val="none"/>
        </w:rPr>
        <w:t>招标人以投标人须知前附表规定的形式修改招标文件，并通知所有已购买招标文件的投标人。修改招标文件的时间距本章第</w:t>
      </w:r>
      <w:r>
        <w:rPr>
          <w:rFonts w:asciiTheme="minorEastAsia" w:hAnsiTheme="minorEastAsia" w:eastAsiaTheme="minorEastAsia"/>
          <w:color w:val="auto"/>
          <w:highlight w:val="none"/>
        </w:rPr>
        <w:t xml:space="preserve"> 4.2.1 </w:t>
      </w:r>
      <w:r>
        <w:rPr>
          <w:rFonts w:hint="eastAsia" w:asciiTheme="minorEastAsia" w:hAnsiTheme="minorEastAsia" w:eastAsiaTheme="minorEastAsia"/>
          <w:color w:val="auto"/>
          <w:highlight w:val="none"/>
        </w:rPr>
        <w:t>项规定的投标截止时间不足</w:t>
      </w:r>
      <w:r>
        <w:rPr>
          <w:rFonts w:asciiTheme="minorEastAsia" w:hAnsiTheme="minorEastAsia" w:eastAsiaTheme="minorEastAsia"/>
          <w:color w:val="auto"/>
          <w:highlight w:val="none"/>
        </w:rPr>
        <w:t xml:space="preserve"> 15 </w:t>
      </w:r>
      <w:r>
        <w:rPr>
          <w:rFonts w:hint="eastAsia" w:asciiTheme="minorEastAsia" w:hAnsiTheme="minorEastAsia" w:eastAsiaTheme="minorEastAsia"/>
          <w:color w:val="auto"/>
          <w:highlight w:val="none"/>
        </w:rPr>
        <w:t>日的，并且修改内容可能影响投标文件编制的，将相应延长投标截止时间。</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2.3.2 </w:t>
      </w:r>
      <w:r>
        <w:rPr>
          <w:rFonts w:hint="eastAsia" w:asciiTheme="minorEastAsia" w:hAnsiTheme="minorEastAsia" w:eastAsiaTheme="minorEastAsia"/>
          <w:color w:val="auto"/>
          <w:highlight w:val="none"/>
        </w:rPr>
        <w:t>投标人收到修改内容后，应按投标人须知前附表规定的时间和形式通知招标人，确认已收到该修改。</w:t>
      </w:r>
    </w:p>
    <w:p>
      <w:pPr>
        <w:pStyle w:val="5"/>
        <w:spacing w:before="48" w:beforeLines="20" w:after="48" w:afterLines="20"/>
        <w:jc w:val="left"/>
        <w:rPr>
          <w:rFonts w:asciiTheme="minorEastAsia" w:hAnsiTheme="minorEastAsia" w:eastAsiaTheme="minorEastAsia"/>
          <w:color w:val="auto"/>
          <w:highlight w:val="none"/>
        </w:rPr>
      </w:pPr>
      <w:bookmarkStart w:id="36" w:name="_Toc532744099"/>
      <w:r>
        <w:rPr>
          <w:rFonts w:asciiTheme="minorEastAsia" w:hAnsiTheme="minorEastAsia" w:eastAsiaTheme="minorEastAsia"/>
          <w:color w:val="auto"/>
          <w:highlight w:val="none"/>
        </w:rPr>
        <w:t xml:space="preserve">2.4 </w:t>
      </w:r>
      <w:r>
        <w:rPr>
          <w:rFonts w:hint="eastAsia" w:asciiTheme="minorEastAsia" w:hAnsiTheme="minorEastAsia" w:eastAsiaTheme="minorEastAsia"/>
          <w:color w:val="auto"/>
          <w:highlight w:val="none"/>
        </w:rPr>
        <w:t>招标文件的异议</w:t>
      </w:r>
      <w:bookmarkEnd w:id="36"/>
    </w:p>
    <w:p>
      <w:pPr>
        <w:spacing w:line="360" w:lineRule="auto"/>
        <w:ind w:firstLine="420" w:firstLineChars="200"/>
        <w:rPr>
          <w:rFonts w:hint="eastAsia" w:asciiTheme="minorEastAsia" w:hAnsiTheme="minorEastAsia" w:eastAsiaTheme="minorEastAsia"/>
          <w:color w:val="auto"/>
          <w:highlight w:val="none"/>
        </w:rPr>
      </w:pPr>
      <w:bookmarkStart w:id="37" w:name="_Toc6293"/>
      <w:bookmarkStart w:id="38" w:name="_Toc532744100"/>
      <w:r>
        <w:rPr>
          <w:rFonts w:hint="eastAsia" w:asciiTheme="minorEastAsia" w:hAnsiTheme="minorEastAsia" w:eastAsiaTheme="minorEastAsia"/>
          <w:color w:val="auto"/>
          <w:highlight w:val="none"/>
        </w:rPr>
        <w:t>潜在投标人或者其他利害关系人对招标公告、招标文件有异议的，应当在招标投标相关法律法规规定的时间内通过电子交易系统提出；尚未登记注册的，可向招标人书面提出。招标人应当在规定的异议答复期限内作出答复；作出答复前，应当暂停招标投标活动。招标人依法作出答复、发布招标文件澄清或者修改文件的，应当通过电子交易系统进行。</w:t>
      </w:r>
    </w:p>
    <w:p>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异议受理部门：广州市广园市政建设有限公司</w:t>
      </w:r>
    </w:p>
    <w:p>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电话：020-62655578</w:t>
      </w:r>
    </w:p>
    <w:p>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地址：广州市越秀区站南路15号之一7楼</w:t>
      </w:r>
    </w:p>
    <w:p>
      <w:pPr>
        <w:pStyle w:val="4"/>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 </w:t>
      </w:r>
      <w:r>
        <w:rPr>
          <w:rFonts w:hint="eastAsia" w:asciiTheme="minorEastAsia" w:hAnsiTheme="minorEastAsia" w:eastAsiaTheme="minorEastAsia"/>
          <w:color w:val="auto"/>
          <w:highlight w:val="none"/>
        </w:rPr>
        <w:t>投标文件</w:t>
      </w:r>
      <w:bookmarkEnd w:id="37"/>
      <w:bookmarkEnd w:id="38"/>
    </w:p>
    <w:p>
      <w:pPr>
        <w:pStyle w:val="5"/>
        <w:spacing w:before="48" w:beforeLines="20" w:after="48" w:afterLines="20"/>
        <w:jc w:val="left"/>
        <w:rPr>
          <w:rFonts w:asciiTheme="minorEastAsia" w:hAnsiTheme="minorEastAsia" w:eastAsiaTheme="minorEastAsia"/>
          <w:color w:val="auto"/>
          <w:highlight w:val="none"/>
        </w:rPr>
      </w:pPr>
      <w:bookmarkStart w:id="39" w:name="_Toc532744101"/>
      <w:r>
        <w:rPr>
          <w:rFonts w:asciiTheme="minorEastAsia" w:hAnsiTheme="minorEastAsia" w:eastAsiaTheme="minorEastAsia"/>
          <w:color w:val="auto"/>
          <w:highlight w:val="none"/>
        </w:rPr>
        <w:t xml:space="preserve">3.1 </w:t>
      </w:r>
      <w:r>
        <w:rPr>
          <w:rFonts w:hint="eastAsia" w:asciiTheme="minorEastAsia" w:hAnsiTheme="minorEastAsia" w:eastAsiaTheme="minorEastAsia"/>
          <w:color w:val="auto"/>
          <w:highlight w:val="none"/>
        </w:rPr>
        <w:t>投标文件的组成</w:t>
      </w:r>
      <w:bookmarkEnd w:id="39"/>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3.1.1 投标文件应包括下列内容：</w:t>
      </w:r>
    </w:p>
    <w:p>
      <w:pPr>
        <w:spacing w:line="360" w:lineRule="auto"/>
        <w:ind w:firstLine="420" w:firstLineChars="200"/>
        <w:rPr>
          <w:rFonts w:asciiTheme="minorEastAsia" w:hAnsiTheme="minorEastAsia" w:eastAsiaTheme="minorEastAsia" w:cstheme="minorEastAsia"/>
          <w:color w:val="auto"/>
          <w:highlight w:val="none"/>
          <w:u w:val="single"/>
        </w:rPr>
      </w:pPr>
      <w:bookmarkStart w:id="40" w:name="_Hlk44433881"/>
      <w:r>
        <w:rPr>
          <w:rFonts w:hint="eastAsia" w:asciiTheme="minorEastAsia" w:hAnsiTheme="minorEastAsia" w:eastAsiaTheme="minorEastAsia" w:cstheme="minorEastAsia"/>
          <w:color w:val="auto"/>
          <w:highlight w:val="none"/>
          <w:u w:val="single"/>
        </w:rPr>
        <w:t>（</w:t>
      </w:r>
      <w:r>
        <w:rPr>
          <w:rFonts w:asciiTheme="minorEastAsia" w:hAnsiTheme="minorEastAsia" w:eastAsiaTheme="minorEastAsia" w:cstheme="minorEastAsia"/>
          <w:color w:val="auto"/>
          <w:highlight w:val="none"/>
          <w:u w:val="single"/>
        </w:rPr>
        <w:t>1）</w:t>
      </w:r>
      <w:r>
        <w:rPr>
          <w:rFonts w:hint="eastAsia" w:asciiTheme="minorEastAsia" w:hAnsiTheme="minorEastAsia" w:eastAsiaTheme="minorEastAsia" w:cstheme="minorEastAsia"/>
          <w:color w:val="auto"/>
          <w:highlight w:val="none"/>
          <w:u w:val="single"/>
        </w:rPr>
        <w:t>封面及目录；</w:t>
      </w:r>
    </w:p>
    <w:p>
      <w:pPr>
        <w:spacing w:line="360" w:lineRule="auto"/>
        <w:ind w:firstLine="42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 xml:space="preserve">（2）投标函及投标函附录（含技术服务承诺函、优惠条款承诺函、投标函附录）（详见招标文件第六章投标文件格式 </w:t>
      </w:r>
      <w:r>
        <w:rPr>
          <w:rFonts w:asciiTheme="minorEastAsia" w:hAnsiTheme="minorEastAsia" w:eastAsiaTheme="minorEastAsia" w:cstheme="minorEastAsia"/>
          <w:color w:val="auto"/>
          <w:highlight w:val="none"/>
          <w:u w:val="single"/>
        </w:rPr>
        <w:t>1.1</w:t>
      </w:r>
      <w:r>
        <w:rPr>
          <w:rFonts w:hint="eastAsia" w:asciiTheme="minorEastAsia" w:hAnsiTheme="minorEastAsia" w:eastAsiaTheme="minorEastAsia" w:cstheme="minorEastAsia"/>
          <w:color w:val="auto"/>
          <w:highlight w:val="none"/>
          <w:u w:val="single"/>
        </w:rPr>
        <w:t>、1</w:t>
      </w:r>
      <w:r>
        <w:rPr>
          <w:rFonts w:asciiTheme="minorEastAsia" w:hAnsiTheme="minorEastAsia" w:eastAsiaTheme="minorEastAsia" w:cstheme="minorEastAsia"/>
          <w:color w:val="auto"/>
          <w:highlight w:val="none"/>
          <w:u w:val="single"/>
        </w:rPr>
        <w:t>.2</w:t>
      </w:r>
      <w:r>
        <w:rPr>
          <w:rFonts w:hint="eastAsia" w:asciiTheme="minorEastAsia" w:hAnsiTheme="minorEastAsia" w:eastAsiaTheme="minorEastAsia" w:cstheme="minorEastAsia"/>
          <w:color w:val="auto"/>
          <w:highlight w:val="none"/>
          <w:u w:val="single"/>
        </w:rPr>
        <w:t>）；</w:t>
      </w:r>
    </w:p>
    <w:p>
      <w:pPr>
        <w:spacing w:line="360" w:lineRule="auto"/>
        <w:ind w:firstLine="42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w:t>
      </w:r>
      <w:r>
        <w:rPr>
          <w:rFonts w:asciiTheme="minorEastAsia" w:hAnsiTheme="minorEastAsia" w:eastAsiaTheme="minorEastAsia" w:cstheme="minorEastAsia"/>
          <w:color w:val="auto"/>
          <w:highlight w:val="none"/>
          <w:u w:val="single"/>
        </w:rPr>
        <w:t>3</w:t>
      </w:r>
      <w:r>
        <w:rPr>
          <w:rFonts w:hint="eastAsia" w:asciiTheme="minorEastAsia" w:hAnsiTheme="minorEastAsia" w:eastAsiaTheme="minorEastAsia" w:cstheme="minorEastAsia"/>
          <w:color w:val="auto"/>
          <w:highlight w:val="none"/>
          <w:u w:val="single"/>
        </w:rPr>
        <w:t xml:space="preserve">）法定代表人（或负责人）身份证明书及授权委托书（详见招标文件第六章投标文件格式 </w:t>
      </w:r>
      <w:r>
        <w:rPr>
          <w:rFonts w:asciiTheme="minorEastAsia" w:hAnsiTheme="minorEastAsia" w:eastAsiaTheme="minorEastAsia" w:cstheme="minorEastAsia"/>
          <w:color w:val="auto"/>
          <w:highlight w:val="none"/>
          <w:u w:val="single"/>
        </w:rPr>
        <w:t>2.1</w:t>
      </w:r>
      <w:r>
        <w:rPr>
          <w:rFonts w:hint="eastAsia" w:asciiTheme="minorEastAsia" w:hAnsiTheme="minorEastAsia" w:eastAsiaTheme="minorEastAsia" w:cstheme="minorEastAsia"/>
          <w:color w:val="auto"/>
          <w:highlight w:val="none"/>
          <w:u w:val="single"/>
        </w:rPr>
        <w:t>、</w:t>
      </w:r>
      <w:r>
        <w:rPr>
          <w:rFonts w:asciiTheme="minorEastAsia" w:hAnsiTheme="minorEastAsia" w:eastAsiaTheme="minorEastAsia" w:cstheme="minorEastAsia"/>
          <w:color w:val="auto"/>
          <w:highlight w:val="none"/>
          <w:u w:val="single"/>
        </w:rPr>
        <w:t>2.2</w:t>
      </w:r>
      <w:r>
        <w:rPr>
          <w:rFonts w:hint="eastAsia" w:asciiTheme="minorEastAsia" w:hAnsiTheme="minorEastAsia" w:eastAsiaTheme="minorEastAsia" w:cstheme="minorEastAsia"/>
          <w:color w:val="auto"/>
          <w:highlight w:val="none"/>
          <w:u w:val="single"/>
        </w:rPr>
        <w:t>）；</w:t>
      </w:r>
    </w:p>
    <w:p>
      <w:pPr>
        <w:spacing w:line="360" w:lineRule="auto"/>
        <w:ind w:firstLine="42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w:t>
      </w:r>
      <w:r>
        <w:rPr>
          <w:rFonts w:asciiTheme="minorEastAsia" w:hAnsiTheme="minorEastAsia" w:eastAsiaTheme="minorEastAsia" w:cstheme="minorEastAsia"/>
          <w:color w:val="auto"/>
          <w:highlight w:val="none"/>
          <w:u w:val="single"/>
        </w:rPr>
        <w:t>4</w:t>
      </w:r>
      <w:r>
        <w:rPr>
          <w:rFonts w:hint="eastAsia" w:asciiTheme="minorEastAsia" w:hAnsiTheme="minorEastAsia" w:eastAsiaTheme="minorEastAsia" w:cstheme="minorEastAsia"/>
          <w:color w:val="auto"/>
          <w:highlight w:val="none"/>
          <w:u w:val="single"/>
        </w:rPr>
        <w:t>）资格审查资料；</w:t>
      </w:r>
    </w:p>
    <w:p>
      <w:pPr>
        <w:pStyle w:val="54"/>
        <w:spacing w:line="360" w:lineRule="auto"/>
        <w:ind w:firstLine="420"/>
        <w:rPr>
          <w:color w:val="auto"/>
          <w:highlight w:val="none"/>
          <w:u w:val="single"/>
        </w:rPr>
      </w:pPr>
      <w:r>
        <w:rPr>
          <w:rFonts w:hint="eastAsia"/>
          <w:color w:val="auto"/>
          <w:highlight w:val="none"/>
          <w:u w:val="single"/>
        </w:rPr>
        <w:t>须按招标公告第</w:t>
      </w:r>
      <w:r>
        <w:rPr>
          <w:color w:val="auto"/>
          <w:highlight w:val="none"/>
          <w:u w:val="single"/>
        </w:rPr>
        <w:t>3</w:t>
      </w:r>
      <w:r>
        <w:rPr>
          <w:rFonts w:hint="eastAsia"/>
          <w:color w:val="auto"/>
          <w:highlight w:val="none"/>
          <w:u w:val="single"/>
        </w:rPr>
        <w:t xml:space="preserve">点投标人资格要求的规定及招标文件第六章投标文件格式 </w:t>
      </w:r>
      <w:r>
        <w:rPr>
          <w:color w:val="auto"/>
          <w:highlight w:val="none"/>
          <w:u w:val="single"/>
        </w:rPr>
        <w:t>3.1</w:t>
      </w:r>
      <w:r>
        <w:rPr>
          <w:rFonts w:hint="eastAsia"/>
          <w:color w:val="auto"/>
          <w:highlight w:val="none"/>
          <w:u w:val="single"/>
        </w:rPr>
        <w:t>、3</w:t>
      </w:r>
      <w:r>
        <w:rPr>
          <w:color w:val="auto"/>
          <w:highlight w:val="none"/>
          <w:u w:val="single"/>
        </w:rPr>
        <w:t>.2</w:t>
      </w:r>
      <w:r>
        <w:rPr>
          <w:rFonts w:hint="eastAsia"/>
          <w:color w:val="auto"/>
          <w:highlight w:val="none"/>
          <w:u w:val="single"/>
        </w:rPr>
        <w:t>规定的格式要求提供相关资料。</w:t>
      </w:r>
    </w:p>
    <w:p>
      <w:pPr>
        <w:pStyle w:val="54"/>
        <w:spacing w:line="360" w:lineRule="auto"/>
        <w:ind w:firstLine="420"/>
        <w:rPr>
          <w:strike/>
          <w:color w:val="auto"/>
          <w:highlight w:val="none"/>
          <w:u w:val="single"/>
        </w:rPr>
      </w:pPr>
      <w:r>
        <w:rPr>
          <w:rFonts w:hint="eastAsia"/>
          <w:strike/>
          <w:color w:val="auto"/>
          <w:highlight w:val="none"/>
          <w:u w:val="single"/>
        </w:rPr>
        <w:t>（5）银行投标保函及承诺书（如有）（</w:t>
      </w:r>
      <w:r>
        <w:rPr>
          <w:rFonts w:hint="eastAsia" w:asciiTheme="minorEastAsia" w:hAnsiTheme="minorEastAsia" w:eastAsiaTheme="minorEastAsia" w:cstheme="minorEastAsia"/>
          <w:strike/>
          <w:color w:val="auto"/>
          <w:highlight w:val="none"/>
          <w:u w:val="single"/>
        </w:rPr>
        <w:t xml:space="preserve">详见招标文件第六章投标文件格式 </w:t>
      </w:r>
      <w:r>
        <w:rPr>
          <w:rFonts w:asciiTheme="minorEastAsia" w:hAnsiTheme="minorEastAsia" w:eastAsiaTheme="minorEastAsia" w:cstheme="minorEastAsia"/>
          <w:strike/>
          <w:color w:val="auto"/>
          <w:highlight w:val="none"/>
          <w:u w:val="single"/>
        </w:rPr>
        <w:t>6.1</w:t>
      </w:r>
      <w:r>
        <w:rPr>
          <w:rFonts w:hint="eastAsia" w:asciiTheme="minorEastAsia" w:hAnsiTheme="minorEastAsia" w:eastAsiaTheme="minorEastAsia" w:cstheme="minorEastAsia"/>
          <w:strike/>
          <w:color w:val="auto"/>
          <w:highlight w:val="none"/>
          <w:u w:val="single"/>
        </w:rPr>
        <w:t>、</w:t>
      </w:r>
      <w:r>
        <w:rPr>
          <w:rFonts w:asciiTheme="minorEastAsia" w:hAnsiTheme="minorEastAsia" w:eastAsiaTheme="minorEastAsia" w:cstheme="minorEastAsia"/>
          <w:strike/>
          <w:color w:val="auto"/>
          <w:highlight w:val="none"/>
          <w:u w:val="single"/>
        </w:rPr>
        <w:t>6.2</w:t>
      </w:r>
      <w:r>
        <w:rPr>
          <w:rFonts w:hint="eastAsia"/>
          <w:strike/>
          <w:color w:val="auto"/>
          <w:highlight w:val="none"/>
          <w:u w:val="single"/>
        </w:rPr>
        <w:t>）；</w:t>
      </w:r>
    </w:p>
    <w:p>
      <w:pPr>
        <w:spacing w:line="360" w:lineRule="auto"/>
        <w:ind w:firstLine="420" w:firstLineChars="200"/>
        <w:rPr>
          <w:rFonts w:asciiTheme="minorEastAsia" w:hAnsiTheme="minorEastAsia" w:eastAsiaTheme="minorEastAsia"/>
          <w:color w:val="auto"/>
          <w:highlight w:val="none"/>
          <w:u w:val="single"/>
        </w:rPr>
      </w:pPr>
      <w:r>
        <w:rPr>
          <w:rFonts w:hint="eastAsia" w:asciiTheme="minorEastAsia" w:hAnsiTheme="minorEastAsia" w:eastAsiaTheme="minorEastAsia" w:cstheme="minorEastAsia"/>
          <w:color w:val="auto"/>
          <w:highlight w:val="none"/>
          <w:u w:val="single"/>
        </w:rPr>
        <w:t>（</w:t>
      </w:r>
      <w:r>
        <w:rPr>
          <w:rFonts w:asciiTheme="minorEastAsia" w:hAnsiTheme="minorEastAsia" w:eastAsiaTheme="minorEastAsia" w:cstheme="minorEastAsia"/>
          <w:color w:val="auto"/>
          <w:highlight w:val="none"/>
          <w:u w:val="single"/>
        </w:rPr>
        <w:t>6）</w:t>
      </w:r>
      <w:r>
        <w:rPr>
          <w:rFonts w:hint="eastAsia" w:asciiTheme="minorEastAsia" w:hAnsiTheme="minorEastAsia" w:eastAsiaTheme="minorEastAsia"/>
          <w:color w:val="auto"/>
          <w:highlight w:val="none"/>
          <w:u w:val="single"/>
        </w:rPr>
        <w:t>详细评审资料；</w:t>
      </w:r>
    </w:p>
    <w:p>
      <w:pPr>
        <w:spacing w:line="360" w:lineRule="auto"/>
        <w:ind w:firstLine="42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w:t>
      </w:r>
      <w:r>
        <w:rPr>
          <w:rFonts w:asciiTheme="minorEastAsia" w:hAnsiTheme="minorEastAsia" w:eastAsiaTheme="minorEastAsia" w:cstheme="minorEastAsia"/>
          <w:color w:val="auto"/>
          <w:highlight w:val="none"/>
          <w:u w:val="single"/>
        </w:rPr>
        <w:t>7</w:t>
      </w:r>
      <w:r>
        <w:rPr>
          <w:rFonts w:hint="eastAsia" w:asciiTheme="minorEastAsia" w:hAnsiTheme="minorEastAsia" w:eastAsiaTheme="minorEastAsia" w:cstheme="minorEastAsia"/>
          <w:color w:val="auto"/>
          <w:highlight w:val="none"/>
          <w:u w:val="single"/>
        </w:rPr>
        <w:t>）投标人认为需要提供的</w:t>
      </w:r>
      <w:r>
        <w:rPr>
          <w:rFonts w:hint="eastAsia" w:asciiTheme="minorEastAsia" w:hAnsiTheme="minorEastAsia" w:eastAsiaTheme="minorEastAsia" w:cstheme="minorEastAsia"/>
          <w:color w:val="auto"/>
          <w:spacing w:val="-3"/>
          <w:highlight w:val="none"/>
          <w:u w:val="single"/>
        </w:rPr>
        <w:t>其</w:t>
      </w:r>
      <w:r>
        <w:rPr>
          <w:rFonts w:hint="eastAsia" w:asciiTheme="minorEastAsia" w:hAnsiTheme="minorEastAsia" w:eastAsiaTheme="minorEastAsia" w:cstheme="minorEastAsia"/>
          <w:color w:val="auto"/>
          <w:highlight w:val="none"/>
          <w:u w:val="single"/>
        </w:rPr>
        <w:t>他</w:t>
      </w:r>
      <w:r>
        <w:rPr>
          <w:rFonts w:hint="eastAsia" w:asciiTheme="minorEastAsia" w:hAnsiTheme="minorEastAsia" w:eastAsiaTheme="minorEastAsia" w:cstheme="minorEastAsia"/>
          <w:color w:val="auto"/>
          <w:spacing w:val="-3"/>
          <w:highlight w:val="none"/>
          <w:u w:val="single"/>
        </w:rPr>
        <w:t>资</w:t>
      </w:r>
      <w:r>
        <w:rPr>
          <w:rFonts w:hint="eastAsia" w:asciiTheme="minorEastAsia" w:hAnsiTheme="minorEastAsia" w:eastAsiaTheme="minorEastAsia" w:cstheme="minorEastAsia"/>
          <w:color w:val="auto"/>
          <w:highlight w:val="none"/>
          <w:u w:val="single"/>
        </w:rPr>
        <w:t>料。</w:t>
      </w:r>
      <w:bookmarkEnd w:id="40"/>
    </w:p>
    <w:p>
      <w:pPr>
        <w:spacing w:line="360" w:lineRule="auto"/>
        <w:ind w:firstLine="42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投标人在评标过程中作出的符合法律法规和招标文件规定的澄清确认，构成投标文件的组成部分。</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stheme="minorEastAsia"/>
          <w:color w:val="auto"/>
          <w:highlight w:val="none"/>
        </w:rPr>
        <w:t>3.1.2 若招标文件中有提供格式的，投标文件相应内容按格式填报；没有格式提供的资料，格</w:t>
      </w:r>
      <w:r>
        <w:rPr>
          <w:rFonts w:asciiTheme="minorEastAsia" w:hAnsiTheme="minorEastAsia" w:eastAsiaTheme="minorEastAsia"/>
          <w:color w:val="auto"/>
          <w:highlight w:val="none"/>
        </w:rPr>
        <w:t>式自拟。</w:t>
      </w:r>
    </w:p>
    <w:p>
      <w:pPr>
        <w:pStyle w:val="5"/>
        <w:spacing w:before="48" w:beforeLines="20" w:after="48" w:afterLines="20"/>
        <w:jc w:val="left"/>
        <w:rPr>
          <w:rFonts w:asciiTheme="minorEastAsia" w:hAnsiTheme="minorEastAsia" w:eastAsiaTheme="minorEastAsia"/>
          <w:color w:val="auto"/>
          <w:highlight w:val="none"/>
        </w:rPr>
      </w:pPr>
      <w:bookmarkStart w:id="41" w:name="_Toc532744102"/>
      <w:r>
        <w:rPr>
          <w:rFonts w:asciiTheme="minorEastAsia" w:hAnsiTheme="minorEastAsia" w:eastAsiaTheme="minorEastAsia"/>
          <w:color w:val="auto"/>
          <w:highlight w:val="none"/>
        </w:rPr>
        <w:t xml:space="preserve">3.2 </w:t>
      </w:r>
      <w:r>
        <w:rPr>
          <w:rFonts w:hint="eastAsia" w:asciiTheme="minorEastAsia" w:hAnsiTheme="minorEastAsia" w:eastAsiaTheme="minorEastAsia"/>
          <w:color w:val="auto"/>
          <w:highlight w:val="none"/>
        </w:rPr>
        <w:t>投标报价</w:t>
      </w:r>
      <w:bookmarkEnd w:id="41"/>
    </w:p>
    <w:p>
      <w:pPr>
        <w:spacing w:line="360" w:lineRule="auto"/>
        <w:ind w:firstLine="420" w:firstLineChars="200"/>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rPr>
        <w:t xml:space="preserve">3.2.1 </w:t>
      </w:r>
      <w:r>
        <w:rPr>
          <w:rFonts w:hint="eastAsia" w:asciiTheme="minorEastAsia" w:hAnsiTheme="minorEastAsia" w:eastAsiaTheme="minorEastAsia"/>
          <w:color w:val="auto"/>
          <w:highlight w:val="none"/>
        </w:rPr>
        <w:t>投标报价应包括国家规定的增值税税金，除投标人须知前附表另有规定外，增值税税金按一般计税方法计算。投标人应按第六章“投标文件格式”的要求在投标函中进行报价。</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3.2.2 </w:t>
      </w:r>
      <w:r>
        <w:rPr>
          <w:rFonts w:hint="eastAsia" w:asciiTheme="minorEastAsia" w:hAnsiTheme="minorEastAsia" w:eastAsiaTheme="minorEastAsia"/>
          <w:color w:val="auto"/>
          <w:highlight w:val="none"/>
        </w:rPr>
        <w:t>投标人应充分了解该项目的总体情况以及影响投标报价的其他要素。</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3.2.3 </w:t>
      </w:r>
      <w:r>
        <w:rPr>
          <w:rFonts w:hint="eastAsia" w:asciiTheme="minorEastAsia" w:hAnsiTheme="minorEastAsia" w:eastAsiaTheme="minorEastAsia"/>
          <w:color w:val="auto"/>
          <w:highlight w:val="none"/>
        </w:rPr>
        <w:t>本项目的报价方式见投标人须知前附表。投标人在投标截止时间前修改投标函中的投标报价总额的，此修改须符合本章第</w:t>
      </w:r>
      <w:r>
        <w:rPr>
          <w:rFonts w:asciiTheme="minorEastAsia" w:hAnsiTheme="minorEastAsia" w:eastAsiaTheme="minorEastAsia"/>
          <w:color w:val="auto"/>
          <w:highlight w:val="none"/>
        </w:rPr>
        <w:t xml:space="preserve"> 4.3 </w:t>
      </w:r>
      <w:r>
        <w:rPr>
          <w:rFonts w:hint="eastAsia" w:asciiTheme="minorEastAsia" w:hAnsiTheme="minorEastAsia" w:eastAsiaTheme="minorEastAsia"/>
          <w:color w:val="auto"/>
          <w:highlight w:val="none"/>
        </w:rPr>
        <w:t>款的有关要求。</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3.2.4 </w:t>
      </w:r>
      <w:r>
        <w:rPr>
          <w:rFonts w:hint="eastAsia" w:asciiTheme="minorEastAsia" w:hAnsiTheme="minorEastAsia" w:eastAsiaTheme="minorEastAsia"/>
          <w:color w:val="auto"/>
          <w:highlight w:val="none"/>
        </w:rPr>
        <w:t>招标人设有最高投标限价的，投标人的投标报价不得超过最高投标限价，最高投标限价在投标人须知前附表中载明。</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3.2.5 </w:t>
      </w:r>
      <w:r>
        <w:rPr>
          <w:rFonts w:hint="eastAsia" w:asciiTheme="minorEastAsia" w:hAnsiTheme="minorEastAsia" w:eastAsiaTheme="minorEastAsia"/>
          <w:color w:val="auto"/>
          <w:highlight w:val="none"/>
        </w:rPr>
        <w:t>投标报价的其他要求见投标人须知前附表。</w:t>
      </w:r>
    </w:p>
    <w:p>
      <w:pPr>
        <w:pStyle w:val="5"/>
        <w:spacing w:before="48" w:beforeLines="20" w:after="48" w:afterLines="20"/>
        <w:jc w:val="left"/>
        <w:rPr>
          <w:rFonts w:asciiTheme="minorEastAsia" w:hAnsiTheme="minorEastAsia" w:eastAsiaTheme="minorEastAsia"/>
          <w:color w:val="auto"/>
          <w:highlight w:val="none"/>
        </w:rPr>
      </w:pPr>
      <w:bookmarkStart w:id="42" w:name="_Toc532744103"/>
      <w:r>
        <w:rPr>
          <w:rFonts w:asciiTheme="minorEastAsia" w:hAnsiTheme="minorEastAsia" w:eastAsiaTheme="minorEastAsia"/>
          <w:color w:val="auto"/>
          <w:highlight w:val="none"/>
        </w:rPr>
        <w:t xml:space="preserve">3.3 </w:t>
      </w:r>
      <w:r>
        <w:rPr>
          <w:rFonts w:hint="eastAsia" w:asciiTheme="minorEastAsia" w:hAnsiTheme="minorEastAsia" w:eastAsiaTheme="minorEastAsia"/>
          <w:color w:val="auto"/>
          <w:highlight w:val="none"/>
        </w:rPr>
        <w:t>投标有效期</w:t>
      </w:r>
      <w:bookmarkEnd w:id="42"/>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3.3.1 </w:t>
      </w:r>
      <w:r>
        <w:rPr>
          <w:rFonts w:hint="eastAsia" w:asciiTheme="minorEastAsia" w:hAnsiTheme="minorEastAsia" w:eastAsiaTheme="minorEastAsia"/>
          <w:color w:val="auto"/>
          <w:highlight w:val="none"/>
        </w:rPr>
        <w:t>除投标人须知前附表另有规定外，投标有效期为</w:t>
      </w:r>
      <w:r>
        <w:rPr>
          <w:rFonts w:asciiTheme="minorEastAsia" w:hAnsiTheme="minorEastAsia" w:eastAsiaTheme="minorEastAsia"/>
          <w:color w:val="auto"/>
          <w:highlight w:val="none"/>
          <w:u w:val="single"/>
        </w:rPr>
        <w:t>90</w:t>
      </w:r>
      <w:r>
        <w:rPr>
          <w:rFonts w:hint="eastAsia" w:asciiTheme="minorEastAsia" w:hAnsiTheme="minorEastAsia" w:eastAsiaTheme="minorEastAsia"/>
          <w:color w:val="auto"/>
          <w:highlight w:val="none"/>
        </w:rPr>
        <w:t>天。</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3.3.2 </w:t>
      </w:r>
      <w:r>
        <w:rPr>
          <w:rFonts w:hint="eastAsia" w:asciiTheme="minorEastAsia" w:hAnsiTheme="minorEastAsia" w:eastAsiaTheme="minorEastAsia"/>
          <w:color w:val="auto"/>
          <w:highlight w:val="none"/>
        </w:rPr>
        <w:t>在投标有效期内，投标人撤销投标文件的，应承担招标文件和法律规定的责任。</w:t>
      </w:r>
    </w:p>
    <w:p>
      <w:pPr>
        <w:spacing w:line="360" w:lineRule="auto"/>
        <w:ind w:firstLine="420" w:firstLineChars="200"/>
        <w:rPr>
          <w:rFonts w:asciiTheme="minorEastAsia" w:hAnsiTheme="minorEastAsia" w:eastAsiaTheme="minorEastAsia" w:cstheme="minorEastAsia"/>
          <w:color w:val="auto"/>
          <w:highlight w:val="none"/>
        </w:rPr>
      </w:pPr>
      <w:r>
        <w:rPr>
          <w:rFonts w:asciiTheme="minorEastAsia" w:hAnsiTheme="minorEastAsia" w:eastAsiaTheme="minorEastAsia"/>
          <w:color w:val="auto"/>
          <w:highlight w:val="none"/>
        </w:rPr>
        <w:t xml:space="preserve">3.3.3 </w:t>
      </w:r>
      <w:r>
        <w:rPr>
          <w:rFonts w:hint="eastAsia" w:asciiTheme="minorEastAsia" w:hAnsiTheme="minorEastAsia" w:eastAsiaTheme="minorEastAsia"/>
          <w:color w:val="auto"/>
          <w:highlight w:val="none"/>
        </w:rPr>
        <w:t>出现特殊情况需要延长投标有效期的，招标人以书面形式通知所有投标人延长投标有效期。投标人应予以书面答复，同意延长的，</w:t>
      </w:r>
      <w:r>
        <w:rPr>
          <w:rFonts w:hint="eastAsia" w:asciiTheme="minorEastAsia" w:hAnsiTheme="minorEastAsia" w:eastAsiaTheme="minorEastAsia"/>
          <w:strike/>
          <w:color w:val="auto"/>
          <w:highlight w:val="none"/>
        </w:rPr>
        <w:t>应相应延长其投标保证金的有效期，但</w:t>
      </w:r>
      <w:r>
        <w:rPr>
          <w:rFonts w:hint="eastAsia" w:asciiTheme="minorEastAsia" w:hAnsiTheme="minorEastAsia" w:eastAsiaTheme="minorEastAsia"/>
          <w:color w:val="auto"/>
          <w:highlight w:val="none"/>
        </w:rPr>
        <w:t>不得要求或被允许修改其投标文件；投标人拒绝延长的，其投标失效</w:t>
      </w:r>
      <w:r>
        <w:rPr>
          <w:rFonts w:hint="eastAsia" w:asciiTheme="minorEastAsia" w:hAnsiTheme="minorEastAsia" w:eastAsiaTheme="minorEastAsia"/>
          <w:strike/>
          <w:color w:val="auto"/>
          <w:highlight w:val="none"/>
        </w:rPr>
        <w:t>，但投标人有权收回其投标保</w:t>
      </w:r>
      <w:r>
        <w:rPr>
          <w:rFonts w:hint="eastAsia" w:asciiTheme="minorEastAsia" w:hAnsiTheme="minorEastAsia" w:eastAsiaTheme="minorEastAsia" w:cstheme="minorEastAsia"/>
          <w:strike/>
          <w:color w:val="auto"/>
          <w:highlight w:val="none"/>
        </w:rPr>
        <w:t>证金及以</w:t>
      </w:r>
      <w:r>
        <w:rPr>
          <w:rFonts w:hint="eastAsia" w:asciiTheme="minorEastAsia" w:hAnsiTheme="minorEastAsia" w:eastAsiaTheme="minorEastAsia" w:cstheme="minorEastAsia"/>
          <w:strike/>
          <w:color w:val="auto"/>
          <w:spacing w:val="-3"/>
          <w:highlight w:val="none"/>
        </w:rPr>
        <w:t>现</w:t>
      </w:r>
      <w:r>
        <w:rPr>
          <w:rFonts w:hint="eastAsia" w:asciiTheme="minorEastAsia" w:hAnsiTheme="minorEastAsia" w:eastAsiaTheme="minorEastAsia" w:cstheme="minorEastAsia"/>
          <w:strike/>
          <w:color w:val="auto"/>
          <w:highlight w:val="none"/>
        </w:rPr>
        <w:t>金</w:t>
      </w:r>
      <w:r>
        <w:rPr>
          <w:rFonts w:hint="eastAsia" w:asciiTheme="minorEastAsia" w:hAnsiTheme="minorEastAsia" w:eastAsiaTheme="minorEastAsia" w:cstheme="minorEastAsia"/>
          <w:strike/>
          <w:color w:val="auto"/>
          <w:spacing w:val="-3"/>
          <w:highlight w:val="none"/>
        </w:rPr>
        <w:t>或</w:t>
      </w:r>
      <w:r>
        <w:rPr>
          <w:rFonts w:hint="eastAsia" w:asciiTheme="minorEastAsia" w:hAnsiTheme="minorEastAsia" w:eastAsiaTheme="minorEastAsia" w:cstheme="minorEastAsia"/>
          <w:strike/>
          <w:color w:val="auto"/>
          <w:highlight w:val="none"/>
        </w:rPr>
        <w:t>者</w:t>
      </w:r>
      <w:r>
        <w:rPr>
          <w:rFonts w:hint="eastAsia" w:asciiTheme="minorEastAsia" w:hAnsiTheme="minorEastAsia" w:eastAsiaTheme="minorEastAsia" w:cstheme="minorEastAsia"/>
          <w:strike/>
          <w:color w:val="auto"/>
          <w:spacing w:val="-3"/>
          <w:highlight w:val="none"/>
        </w:rPr>
        <w:t>支</w:t>
      </w:r>
      <w:r>
        <w:rPr>
          <w:rFonts w:hint="eastAsia" w:asciiTheme="minorEastAsia" w:hAnsiTheme="minorEastAsia" w:eastAsiaTheme="minorEastAsia" w:cstheme="minorEastAsia"/>
          <w:strike/>
          <w:color w:val="auto"/>
          <w:highlight w:val="none"/>
        </w:rPr>
        <w:t>票</w:t>
      </w:r>
      <w:r>
        <w:rPr>
          <w:rFonts w:hint="eastAsia" w:asciiTheme="minorEastAsia" w:hAnsiTheme="minorEastAsia" w:eastAsiaTheme="minorEastAsia" w:cstheme="minorEastAsia"/>
          <w:strike/>
          <w:color w:val="auto"/>
          <w:spacing w:val="-3"/>
          <w:highlight w:val="none"/>
        </w:rPr>
        <w:t>形</w:t>
      </w:r>
      <w:r>
        <w:rPr>
          <w:rFonts w:hint="eastAsia" w:asciiTheme="minorEastAsia" w:hAnsiTheme="minorEastAsia" w:eastAsiaTheme="minorEastAsia" w:cstheme="minorEastAsia"/>
          <w:strike/>
          <w:color w:val="auto"/>
          <w:highlight w:val="none"/>
        </w:rPr>
        <w:t>式</w:t>
      </w:r>
      <w:r>
        <w:rPr>
          <w:rFonts w:hint="eastAsia" w:asciiTheme="minorEastAsia" w:hAnsiTheme="minorEastAsia" w:eastAsiaTheme="minorEastAsia" w:cstheme="minorEastAsia"/>
          <w:strike/>
          <w:color w:val="auto"/>
          <w:spacing w:val="-3"/>
          <w:highlight w:val="none"/>
        </w:rPr>
        <w:t>递</w:t>
      </w:r>
      <w:r>
        <w:rPr>
          <w:rFonts w:hint="eastAsia" w:asciiTheme="minorEastAsia" w:hAnsiTheme="minorEastAsia" w:eastAsiaTheme="minorEastAsia" w:cstheme="minorEastAsia"/>
          <w:strike/>
          <w:color w:val="auto"/>
          <w:highlight w:val="none"/>
        </w:rPr>
        <w:t>交的</w:t>
      </w:r>
      <w:r>
        <w:rPr>
          <w:rFonts w:hint="eastAsia" w:asciiTheme="minorEastAsia" w:hAnsiTheme="minorEastAsia" w:eastAsiaTheme="minorEastAsia" w:cstheme="minorEastAsia"/>
          <w:strike/>
          <w:color w:val="auto"/>
          <w:spacing w:val="-3"/>
          <w:highlight w:val="none"/>
        </w:rPr>
        <w:t>投</w:t>
      </w:r>
      <w:r>
        <w:rPr>
          <w:rFonts w:hint="eastAsia" w:asciiTheme="minorEastAsia" w:hAnsiTheme="minorEastAsia" w:eastAsiaTheme="minorEastAsia" w:cstheme="minorEastAsia"/>
          <w:strike/>
          <w:color w:val="auto"/>
          <w:highlight w:val="none"/>
        </w:rPr>
        <w:t>标</w:t>
      </w:r>
      <w:r>
        <w:rPr>
          <w:rFonts w:hint="eastAsia" w:asciiTheme="minorEastAsia" w:hAnsiTheme="minorEastAsia" w:eastAsiaTheme="minorEastAsia" w:cstheme="minorEastAsia"/>
          <w:strike/>
          <w:color w:val="auto"/>
          <w:spacing w:val="-3"/>
          <w:highlight w:val="none"/>
        </w:rPr>
        <w:t>保</w:t>
      </w:r>
      <w:r>
        <w:rPr>
          <w:rFonts w:hint="eastAsia" w:asciiTheme="minorEastAsia" w:hAnsiTheme="minorEastAsia" w:eastAsiaTheme="minorEastAsia" w:cstheme="minorEastAsia"/>
          <w:strike/>
          <w:color w:val="auto"/>
          <w:highlight w:val="none"/>
        </w:rPr>
        <w:t>证</w:t>
      </w:r>
      <w:r>
        <w:rPr>
          <w:rFonts w:hint="eastAsia" w:asciiTheme="minorEastAsia" w:hAnsiTheme="minorEastAsia" w:eastAsiaTheme="minorEastAsia" w:cstheme="minorEastAsia"/>
          <w:strike/>
          <w:color w:val="auto"/>
          <w:spacing w:val="-3"/>
          <w:highlight w:val="none"/>
        </w:rPr>
        <w:t>金</w:t>
      </w:r>
      <w:r>
        <w:rPr>
          <w:rFonts w:hint="eastAsia" w:asciiTheme="minorEastAsia" w:hAnsiTheme="minorEastAsia" w:eastAsiaTheme="minorEastAsia" w:cstheme="minorEastAsia"/>
          <w:strike/>
          <w:color w:val="auto"/>
          <w:highlight w:val="none"/>
        </w:rPr>
        <w:t>的</w:t>
      </w:r>
      <w:r>
        <w:rPr>
          <w:rFonts w:hint="eastAsia" w:asciiTheme="minorEastAsia" w:hAnsiTheme="minorEastAsia" w:eastAsiaTheme="minorEastAsia" w:cstheme="minorEastAsia"/>
          <w:strike/>
          <w:color w:val="auto"/>
          <w:spacing w:val="-3"/>
          <w:highlight w:val="none"/>
        </w:rPr>
        <w:t>银</w:t>
      </w:r>
      <w:r>
        <w:rPr>
          <w:rFonts w:hint="eastAsia" w:asciiTheme="minorEastAsia" w:hAnsiTheme="minorEastAsia" w:eastAsiaTheme="minorEastAsia" w:cstheme="minorEastAsia"/>
          <w:strike/>
          <w:color w:val="auto"/>
          <w:highlight w:val="none"/>
        </w:rPr>
        <w:t>行</w:t>
      </w:r>
      <w:r>
        <w:rPr>
          <w:rFonts w:hint="eastAsia" w:asciiTheme="minorEastAsia" w:hAnsiTheme="minorEastAsia" w:eastAsiaTheme="minorEastAsia" w:cstheme="minorEastAsia"/>
          <w:strike/>
          <w:color w:val="auto"/>
          <w:spacing w:val="-3"/>
          <w:highlight w:val="none"/>
        </w:rPr>
        <w:t>同</w:t>
      </w:r>
      <w:r>
        <w:rPr>
          <w:rFonts w:hint="eastAsia" w:asciiTheme="minorEastAsia" w:hAnsiTheme="minorEastAsia" w:eastAsiaTheme="minorEastAsia" w:cstheme="minorEastAsia"/>
          <w:strike/>
          <w:color w:val="auto"/>
          <w:highlight w:val="none"/>
        </w:rPr>
        <w:t>期存</w:t>
      </w:r>
      <w:r>
        <w:rPr>
          <w:rFonts w:hint="eastAsia" w:asciiTheme="minorEastAsia" w:hAnsiTheme="minorEastAsia" w:eastAsiaTheme="minorEastAsia" w:cstheme="minorEastAsia"/>
          <w:strike/>
          <w:color w:val="auto"/>
          <w:spacing w:val="-3"/>
          <w:highlight w:val="none"/>
        </w:rPr>
        <w:t>款</w:t>
      </w:r>
      <w:r>
        <w:rPr>
          <w:rFonts w:hint="eastAsia" w:asciiTheme="minorEastAsia" w:hAnsiTheme="minorEastAsia" w:eastAsiaTheme="minorEastAsia" w:cstheme="minorEastAsia"/>
          <w:strike/>
          <w:color w:val="auto"/>
          <w:highlight w:val="none"/>
        </w:rPr>
        <w:t>利</w:t>
      </w:r>
      <w:r>
        <w:rPr>
          <w:rFonts w:hint="eastAsia" w:asciiTheme="minorEastAsia" w:hAnsiTheme="minorEastAsia" w:eastAsiaTheme="minorEastAsia" w:cstheme="minorEastAsia"/>
          <w:strike/>
          <w:color w:val="auto"/>
          <w:spacing w:val="-3"/>
          <w:highlight w:val="none"/>
        </w:rPr>
        <w:t>息</w:t>
      </w:r>
      <w:r>
        <w:rPr>
          <w:rFonts w:hint="eastAsia" w:asciiTheme="minorEastAsia" w:hAnsiTheme="minorEastAsia" w:eastAsiaTheme="minorEastAsia" w:cstheme="minorEastAsia"/>
          <w:color w:val="auto"/>
          <w:highlight w:val="none"/>
        </w:rPr>
        <w:t>。</w:t>
      </w:r>
    </w:p>
    <w:p>
      <w:pPr>
        <w:pStyle w:val="5"/>
        <w:spacing w:before="48" w:beforeLines="20" w:after="48" w:afterLines="20"/>
        <w:jc w:val="left"/>
        <w:rPr>
          <w:rFonts w:hint="eastAsia" w:asciiTheme="minorEastAsia" w:hAnsiTheme="minorEastAsia" w:eastAsiaTheme="minorEastAsia"/>
          <w:color w:val="auto"/>
          <w:highlight w:val="none"/>
        </w:rPr>
      </w:pPr>
      <w:bookmarkStart w:id="43" w:name="_Toc532744104"/>
      <w:r>
        <w:rPr>
          <w:rFonts w:asciiTheme="minorEastAsia" w:hAnsiTheme="minorEastAsia" w:eastAsiaTheme="minorEastAsia"/>
          <w:color w:val="auto"/>
          <w:highlight w:val="none"/>
        </w:rPr>
        <w:t xml:space="preserve">3.4 </w:t>
      </w:r>
      <w:r>
        <w:rPr>
          <w:rFonts w:hint="eastAsia" w:asciiTheme="minorEastAsia" w:hAnsiTheme="minorEastAsia" w:eastAsiaTheme="minorEastAsia"/>
          <w:color w:val="auto"/>
          <w:highlight w:val="none"/>
        </w:rPr>
        <w:t>投标保证金</w:t>
      </w:r>
      <w:bookmarkEnd w:id="43"/>
    </w:p>
    <w:p>
      <w:pPr>
        <w:rPr>
          <w:rFonts w:hint="default" w:eastAsiaTheme="minorEastAsia"/>
          <w:lang w:val="en-US" w:eastAsia="zh-CN"/>
        </w:rPr>
      </w:pPr>
      <w:r>
        <w:rPr>
          <w:rFonts w:hint="eastAsia" w:asciiTheme="minorEastAsia" w:hAnsiTheme="minorEastAsia" w:eastAsiaTheme="minorEastAsia"/>
          <w:color w:val="auto"/>
          <w:highlight w:val="none"/>
          <w:lang w:val="en-US" w:eastAsia="zh-CN"/>
        </w:rPr>
        <w:t>本项目不收取投标保证金。</w:t>
      </w:r>
    </w:p>
    <w:p>
      <w:pPr>
        <w:spacing w:line="360" w:lineRule="auto"/>
        <w:ind w:firstLine="420" w:firstLineChars="200"/>
        <w:rPr>
          <w:rFonts w:asciiTheme="minorEastAsia" w:hAnsiTheme="minorEastAsia" w:eastAsiaTheme="minorEastAsia"/>
          <w:strike/>
          <w:color w:val="auto"/>
          <w:highlight w:val="none"/>
        </w:rPr>
      </w:pPr>
      <w:r>
        <w:rPr>
          <w:rFonts w:asciiTheme="minorEastAsia" w:hAnsiTheme="minorEastAsia" w:eastAsiaTheme="minorEastAsia"/>
          <w:strike/>
          <w:color w:val="auto"/>
          <w:highlight w:val="none"/>
        </w:rPr>
        <w:t xml:space="preserve">3.4.1 </w:t>
      </w:r>
      <w:r>
        <w:rPr>
          <w:rFonts w:hint="eastAsia" w:asciiTheme="minorEastAsia" w:hAnsiTheme="minorEastAsia" w:eastAsiaTheme="minorEastAsia"/>
          <w:strike/>
          <w:color w:val="auto"/>
          <w:highlight w:val="none"/>
        </w:rPr>
        <w:t>投标人在递交投标文件的同时，应按投标人须知前附表规定的金额、形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firstLine="420" w:firstLineChars="200"/>
        <w:rPr>
          <w:rFonts w:asciiTheme="minorEastAsia" w:hAnsiTheme="minorEastAsia" w:eastAsiaTheme="minorEastAsia"/>
          <w:strike/>
          <w:color w:val="auto"/>
          <w:highlight w:val="none"/>
        </w:rPr>
      </w:pPr>
      <w:r>
        <w:rPr>
          <w:rFonts w:asciiTheme="minorEastAsia" w:hAnsiTheme="minorEastAsia" w:eastAsiaTheme="minorEastAsia"/>
          <w:strike/>
          <w:color w:val="auto"/>
          <w:highlight w:val="none"/>
        </w:rPr>
        <w:t xml:space="preserve">3.4.2 </w:t>
      </w:r>
      <w:r>
        <w:rPr>
          <w:rFonts w:hint="eastAsia" w:asciiTheme="minorEastAsia" w:hAnsiTheme="minorEastAsia" w:eastAsiaTheme="minorEastAsia"/>
          <w:strike/>
          <w:color w:val="auto"/>
          <w:highlight w:val="none"/>
        </w:rPr>
        <w:t>投标人不按本章第</w:t>
      </w:r>
      <w:r>
        <w:rPr>
          <w:rFonts w:asciiTheme="minorEastAsia" w:hAnsiTheme="minorEastAsia" w:eastAsiaTheme="minorEastAsia"/>
          <w:strike/>
          <w:color w:val="auto"/>
          <w:highlight w:val="none"/>
        </w:rPr>
        <w:t xml:space="preserve"> 3.4.1 </w:t>
      </w:r>
      <w:r>
        <w:rPr>
          <w:rFonts w:hint="eastAsia" w:asciiTheme="minorEastAsia" w:hAnsiTheme="minorEastAsia" w:eastAsiaTheme="minorEastAsia"/>
          <w:strike/>
          <w:color w:val="auto"/>
          <w:highlight w:val="none"/>
        </w:rPr>
        <w:t>项要求提交投标保证金的，评标委员会将否决其投标。</w:t>
      </w:r>
    </w:p>
    <w:p>
      <w:pPr>
        <w:spacing w:line="360" w:lineRule="auto"/>
        <w:ind w:firstLine="420" w:firstLineChars="200"/>
        <w:rPr>
          <w:rFonts w:asciiTheme="minorEastAsia" w:hAnsiTheme="minorEastAsia" w:eastAsiaTheme="minorEastAsia"/>
          <w:strike/>
          <w:color w:val="auto"/>
          <w:highlight w:val="none"/>
        </w:rPr>
      </w:pPr>
      <w:r>
        <w:rPr>
          <w:rFonts w:asciiTheme="minorEastAsia" w:hAnsiTheme="minorEastAsia" w:eastAsiaTheme="minorEastAsia"/>
          <w:strike/>
          <w:color w:val="auto"/>
          <w:highlight w:val="none"/>
        </w:rPr>
        <w:t xml:space="preserve">3.4.3 </w:t>
      </w:r>
      <w:r>
        <w:rPr>
          <w:rFonts w:hint="eastAsia" w:asciiTheme="minorEastAsia" w:hAnsiTheme="minorEastAsia" w:eastAsiaTheme="minorEastAsia"/>
          <w:strike/>
          <w:color w:val="auto"/>
          <w:highlight w:val="none"/>
        </w:rPr>
        <w:t>招标人最迟将在与中标人签订合同后</w:t>
      </w:r>
      <w:r>
        <w:rPr>
          <w:rFonts w:asciiTheme="minorEastAsia" w:hAnsiTheme="minorEastAsia" w:eastAsiaTheme="minorEastAsia"/>
          <w:strike/>
          <w:color w:val="auto"/>
          <w:highlight w:val="none"/>
        </w:rPr>
        <w:t xml:space="preserve"> 5 </w:t>
      </w:r>
      <w:r>
        <w:rPr>
          <w:rFonts w:hint="eastAsia" w:asciiTheme="minorEastAsia" w:hAnsiTheme="minorEastAsia" w:eastAsiaTheme="minorEastAsia"/>
          <w:strike/>
          <w:color w:val="auto"/>
          <w:highlight w:val="none"/>
        </w:rPr>
        <w:t>日内，向未中标的投标人和中标人退还投标保证金。</w:t>
      </w:r>
    </w:p>
    <w:p>
      <w:pPr>
        <w:spacing w:line="360" w:lineRule="auto"/>
        <w:ind w:firstLine="420" w:firstLineChars="200"/>
        <w:rPr>
          <w:rFonts w:asciiTheme="minorEastAsia" w:hAnsiTheme="minorEastAsia" w:eastAsiaTheme="minorEastAsia"/>
          <w:strike/>
          <w:color w:val="auto"/>
          <w:highlight w:val="none"/>
        </w:rPr>
      </w:pPr>
      <w:r>
        <w:rPr>
          <w:rFonts w:asciiTheme="minorEastAsia" w:hAnsiTheme="minorEastAsia" w:eastAsiaTheme="minorEastAsia"/>
          <w:strike/>
          <w:color w:val="auto"/>
          <w:highlight w:val="none"/>
        </w:rPr>
        <w:t xml:space="preserve">3.4.4 </w:t>
      </w:r>
      <w:r>
        <w:rPr>
          <w:rFonts w:hint="eastAsia" w:asciiTheme="minorEastAsia" w:hAnsiTheme="minorEastAsia" w:eastAsiaTheme="minorEastAsia"/>
          <w:strike/>
          <w:color w:val="auto"/>
          <w:highlight w:val="none"/>
        </w:rPr>
        <w:t>有下列情形之一的，投标保证金将不予退还：</w:t>
      </w:r>
    </w:p>
    <w:p>
      <w:pPr>
        <w:spacing w:line="360" w:lineRule="auto"/>
        <w:ind w:firstLine="420" w:firstLineChars="200"/>
        <w:rPr>
          <w:rFonts w:asciiTheme="minorEastAsia" w:hAnsiTheme="minorEastAsia" w:eastAsiaTheme="minorEastAsia"/>
          <w:strike/>
          <w:color w:val="auto"/>
          <w:highlight w:val="none"/>
        </w:rPr>
      </w:pPr>
      <w:r>
        <w:rPr>
          <w:rFonts w:asciiTheme="minorEastAsia" w:hAnsiTheme="minorEastAsia" w:eastAsiaTheme="minorEastAsia"/>
          <w:strike/>
          <w:color w:val="auto"/>
          <w:highlight w:val="none"/>
        </w:rPr>
        <w:t>（1）投标人在投标有效期内撤销投标文件；</w:t>
      </w:r>
    </w:p>
    <w:p>
      <w:pPr>
        <w:spacing w:line="360" w:lineRule="auto"/>
        <w:ind w:firstLine="420" w:firstLineChars="200"/>
        <w:rPr>
          <w:rFonts w:asciiTheme="minorEastAsia" w:hAnsiTheme="minorEastAsia" w:eastAsiaTheme="minorEastAsia"/>
          <w:strike/>
          <w:color w:val="auto"/>
          <w:highlight w:val="none"/>
        </w:rPr>
      </w:pPr>
      <w:r>
        <w:rPr>
          <w:rFonts w:hint="eastAsia" w:asciiTheme="minorEastAsia" w:hAnsiTheme="minorEastAsia" w:eastAsiaTheme="minorEastAsia"/>
          <w:strike/>
          <w:color w:val="auto"/>
          <w:highlight w:val="none"/>
        </w:rPr>
        <w:t>（</w:t>
      </w:r>
      <w:r>
        <w:rPr>
          <w:rFonts w:asciiTheme="minorEastAsia" w:hAnsiTheme="minorEastAsia" w:eastAsiaTheme="minorEastAsia"/>
          <w:strike/>
          <w:color w:val="auto"/>
          <w:highlight w:val="none"/>
        </w:rPr>
        <w:t>2）中标人在收到中标通知书后，无正当理由不与招标人订立合同，在签订合同时向招标人提出附加条件，或者不按照招标文件要求提交履约保证金；</w:t>
      </w:r>
    </w:p>
    <w:p>
      <w:pPr>
        <w:spacing w:line="360" w:lineRule="auto"/>
        <w:ind w:firstLine="420" w:firstLineChars="200"/>
        <w:rPr>
          <w:rFonts w:asciiTheme="minorEastAsia" w:hAnsiTheme="minorEastAsia" w:eastAsiaTheme="minorEastAsia"/>
          <w:strike/>
          <w:color w:val="auto"/>
          <w:highlight w:val="none"/>
        </w:rPr>
      </w:pPr>
      <w:r>
        <w:rPr>
          <w:rFonts w:hint="eastAsia" w:asciiTheme="minorEastAsia" w:hAnsiTheme="minorEastAsia" w:eastAsiaTheme="minorEastAsia"/>
          <w:strike/>
          <w:color w:val="auto"/>
          <w:highlight w:val="none"/>
        </w:rPr>
        <w:t>（</w:t>
      </w:r>
      <w:r>
        <w:rPr>
          <w:rFonts w:asciiTheme="minorEastAsia" w:hAnsiTheme="minorEastAsia" w:eastAsiaTheme="minorEastAsia"/>
          <w:strike/>
          <w:color w:val="auto"/>
          <w:highlight w:val="none"/>
        </w:rPr>
        <w:t>3）发生投标人须知前附表规定的其他可以不予退还投标保证金的情形。</w:t>
      </w:r>
    </w:p>
    <w:p>
      <w:pPr>
        <w:pStyle w:val="5"/>
        <w:spacing w:before="48" w:beforeLines="20" w:after="48" w:afterLines="20"/>
        <w:jc w:val="left"/>
        <w:rPr>
          <w:rFonts w:asciiTheme="minorEastAsia" w:hAnsiTheme="minorEastAsia" w:eastAsiaTheme="minorEastAsia"/>
          <w:color w:val="auto"/>
          <w:highlight w:val="none"/>
        </w:rPr>
      </w:pPr>
      <w:bookmarkStart w:id="44" w:name="_Toc2901"/>
      <w:r>
        <w:rPr>
          <w:rFonts w:asciiTheme="minorEastAsia" w:hAnsiTheme="minorEastAsia" w:eastAsiaTheme="minorEastAsia"/>
          <w:color w:val="auto"/>
          <w:highlight w:val="none"/>
        </w:rPr>
        <w:t>3.5 资格审查资料（适用于未进行资格预审的）</w:t>
      </w:r>
      <w:bookmarkEnd w:id="44"/>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投标人须知前附表另有规定外，投标人应按下列规定提供资格审查资料，以证明其满足 本章第 1.4 款规定的资质、财务、业绩、信誉等要求。</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3.5.1 “投标人基本情况表”应附投标人营业执照和组织机构代码证的扫描件（按照“三证合一” 或“五证合一”登记制度进行登记的，可仅提供营业执照扫描件。</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3.5.2 本招标项目不要求提供“近年财务状况表”，投标人财务状况不作为资格审查内容。</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3.5.3 “近年承接的类似项目情况”应按评审要求提供证明资料；具体要求见评标办法，投标人业绩不作为资格审查内容。</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3.5.4 本招标项目不要求提供“近年发生的诉讼及仲裁情况”，诉讼及仲裁情况不作为资格审查内容。</w:t>
      </w:r>
    </w:p>
    <w:p>
      <w:pPr>
        <w:pStyle w:val="5"/>
        <w:spacing w:before="48" w:beforeLines="20" w:after="48" w:afterLines="20"/>
        <w:jc w:val="left"/>
        <w:rPr>
          <w:rFonts w:asciiTheme="minorEastAsia" w:hAnsiTheme="minorEastAsia" w:eastAsiaTheme="minorEastAsia"/>
          <w:color w:val="auto"/>
          <w:highlight w:val="none"/>
        </w:rPr>
      </w:pPr>
      <w:bookmarkStart w:id="45" w:name="_Toc532744105"/>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6备选投标方案</w:t>
      </w:r>
      <w:bookmarkEnd w:id="45"/>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6</w:t>
      </w:r>
      <w:r>
        <w:rPr>
          <w:rFonts w:asciiTheme="minorEastAsia" w:hAnsiTheme="minorEastAsia" w:eastAsiaTheme="minorEastAsia"/>
          <w:color w:val="auto"/>
          <w:highlight w:val="none"/>
        </w:rPr>
        <w:t xml:space="preserve">.1 </w:t>
      </w:r>
      <w:r>
        <w:rPr>
          <w:rFonts w:hint="eastAsia" w:asciiTheme="minorEastAsia" w:hAnsiTheme="minorEastAsia" w:eastAsiaTheme="minorEastAsia"/>
          <w:color w:val="auto"/>
          <w:highlight w:val="none"/>
        </w:rPr>
        <w:t>除投标人须知前附表规定允许外，投标人不得递交备选投标方案，否则其投标将被否决。</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6</w:t>
      </w:r>
      <w:r>
        <w:rPr>
          <w:rFonts w:asciiTheme="minorEastAsia" w:hAnsiTheme="minorEastAsia" w:eastAsiaTheme="minorEastAsia"/>
          <w:color w:val="auto"/>
          <w:highlight w:val="none"/>
        </w:rPr>
        <w:t xml:space="preserve">.2 </w:t>
      </w:r>
      <w:r>
        <w:rPr>
          <w:rFonts w:hint="eastAsia" w:asciiTheme="minorEastAsia" w:hAnsiTheme="minorEastAsia" w:eastAsiaTheme="minorEastAsia"/>
          <w:color w:val="auto"/>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6</w:t>
      </w:r>
      <w:r>
        <w:rPr>
          <w:rFonts w:asciiTheme="minorEastAsia" w:hAnsiTheme="minorEastAsia" w:eastAsiaTheme="minorEastAsia"/>
          <w:color w:val="auto"/>
          <w:highlight w:val="none"/>
        </w:rPr>
        <w:t xml:space="preserve">.3 </w:t>
      </w:r>
      <w:r>
        <w:rPr>
          <w:rFonts w:hint="eastAsia" w:asciiTheme="minorEastAsia" w:hAnsiTheme="minorEastAsia" w:eastAsiaTheme="minorEastAsia"/>
          <w:color w:val="auto"/>
          <w:highlight w:val="none"/>
        </w:rPr>
        <w:t>投标人提供两个或两个以上投标报价，或者在投标文件中提供一个报价，但同时提供两个或两个以上</w:t>
      </w:r>
      <w:r>
        <w:rPr>
          <w:rFonts w:hint="eastAsia" w:asciiTheme="minorEastAsia" w:hAnsiTheme="minorEastAsia" w:eastAsiaTheme="minorEastAsia"/>
          <w:color w:val="auto"/>
          <w:highlight w:val="none"/>
          <w:u w:val="single"/>
        </w:rPr>
        <w:t>投标</w:t>
      </w:r>
      <w:r>
        <w:rPr>
          <w:rFonts w:hint="eastAsia" w:asciiTheme="minorEastAsia" w:hAnsiTheme="minorEastAsia" w:eastAsiaTheme="minorEastAsia"/>
          <w:color w:val="auto"/>
          <w:highlight w:val="none"/>
        </w:rPr>
        <w:t>方案的，视为提供备选方案。</w:t>
      </w:r>
    </w:p>
    <w:p>
      <w:pPr>
        <w:pStyle w:val="5"/>
        <w:spacing w:before="48" w:beforeLines="20" w:after="48" w:afterLines="20"/>
        <w:jc w:val="left"/>
        <w:rPr>
          <w:rFonts w:asciiTheme="minorEastAsia" w:hAnsiTheme="minorEastAsia" w:eastAsiaTheme="minorEastAsia"/>
          <w:color w:val="auto"/>
          <w:highlight w:val="none"/>
        </w:rPr>
      </w:pPr>
      <w:bookmarkStart w:id="46" w:name="_Toc532744106"/>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7投标文件的编制</w:t>
      </w:r>
      <w:bookmarkEnd w:id="46"/>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7</w:t>
      </w:r>
      <w:r>
        <w:rPr>
          <w:rFonts w:asciiTheme="minorEastAsia" w:hAnsiTheme="minorEastAsia" w:eastAsiaTheme="minorEastAsia"/>
          <w:color w:val="auto"/>
          <w:highlight w:val="none"/>
        </w:rPr>
        <w:t xml:space="preserve">.1 </w:t>
      </w:r>
      <w:r>
        <w:rPr>
          <w:rFonts w:hint="eastAsia" w:asciiTheme="minorEastAsia" w:hAnsiTheme="minorEastAsia" w:eastAsiaTheme="minorEastAsia"/>
          <w:color w:val="auto"/>
          <w:highlight w:val="none"/>
        </w:rPr>
        <w:t>投标文件应按第六章“投标文件格式”进行编写，如有必要，可以增加附页，作为投标文件的组成部分。其中，投标函在满足招标文件实质性要求的基础上，可以提出比招标文件要求更有利于招标人的承诺。</w:t>
      </w:r>
    </w:p>
    <w:p>
      <w:pPr>
        <w:spacing w:line="360" w:lineRule="auto"/>
        <w:ind w:firstLine="420" w:firstLineChars="200"/>
        <w:rPr>
          <w:rFonts w:asciiTheme="minorEastAsia" w:hAnsiTheme="minorEastAsia" w:eastAsiaTheme="minorEastAsia"/>
          <w:strike/>
          <w:color w:val="auto"/>
          <w:szCs w:val="21"/>
          <w:highlight w:val="none"/>
        </w:rPr>
      </w:pP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7</w:t>
      </w:r>
      <w:r>
        <w:rPr>
          <w:rFonts w:asciiTheme="minorEastAsia" w:hAnsiTheme="minorEastAsia" w:eastAsiaTheme="minorEastAsia"/>
          <w:color w:val="auto"/>
          <w:highlight w:val="none"/>
        </w:rPr>
        <w:t xml:space="preserve">.2 </w:t>
      </w:r>
      <w:r>
        <w:rPr>
          <w:rFonts w:hint="eastAsia" w:asciiTheme="minorEastAsia" w:hAnsiTheme="minorEastAsia" w:eastAsiaTheme="minorEastAsia"/>
          <w:color w:val="auto"/>
          <w:highlight w:val="none"/>
        </w:rPr>
        <w:t>投标文件应当对招标文件有关服务期限、投标有效期、招标范围等实质性内容作出响应。</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7</w:t>
      </w: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B</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投标文件全部采用电子文档，除投标人须知前附表另有规定外，投标文件所附证书证件均为</w:t>
      </w:r>
      <w:r>
        <w:rPr>
          <w:rFonts w:hint="eastAsia" w:asciiTheme="minorEastAsia" w:hAnsiTheme="minorEastAsia" w:eastAsiaTheme="minorEastAsia"/>
          <w:color w:val="auto"/>
          <w:highlight w:val="none"/>
        </w:rPr>
        <w:t>清晰</w:t>
      </w:r>
      <w:r>
        <w:rPr>
          <w:rFonts w:asciiTheme="minorEastAsia" w:hAnsiTheme="minorEastAsia" w:eastAsiaTheme="minorEastAsia"/>
          <w:color w:val="auto"/>
          <w:highlight w:val="none"/>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4"/>
        <w:rPr>
          <w:rFonts w:asciiTheme="minorEastAsia" w:hAnsiTheme="minorEastAsia" w:eastAsiaTheme="minorEastAsia"/>
          <w:color w:val="auto"/>
          <w:highlight w:val="none"/>
        </w:rPr>
      </w:pPr>
      <w:bookmarkStart w:id="47" w:name="_Toc12277"/>
      <w:bookmarkStart w:id="48" w:name="_Toc532744107"/>
      <w:r>
        <w:rPr>
          <w:rFonts w:asciiTheme="minorEastAsia" w:hAnsiTheme="minorEastAsia" w:eastAsiaTheme="minorEastAsia"/>
          <w:color w:val="auto"/>
          <w:highlight w:val="none"/>
        </w:rPr>
        <w:t xml:space="preserve">4. </w:t>
      </w:r>
      <w:r>
        <w:rPr>
          <w:rFonts w:hint="eastAsia" w:asciiTheme="minorEastAsia" w:hAnsiTheme="minorEastAsia" w:eastAsiaTheme="minorEastAsia"/>
          <w:color w:val="auto"/>
          <w:highlight w:val="none"/>
        </w:rPr>
        <w:t>投标</w:t>
      </w:r>
      <w:bookmarkEnd w:id="47"/>
      <w:bookmarkEnd w:id="48"/>
    </w:p>
    <w:p>
      <w:pPr>
        <w:pStyle w:val="5"/>
        <w:spacing w:before="48" w:beforeLines="20" w:after="48" w:afterLines="20"/>
        <w:jc w:val="left"/>
        <w:rPr>
          <w:rFonts w:asciiTheme="minorEastAsia" w:hAnsiTheme="minorEastAsia" w:eastAsiaTheme="minorEastAsia"/>
          <w:color w:val="auto"/>
          <w:highlight w:val="none"/>
        </w:rPr>
      </w:pPr>
      <w:bookmarkStart w:id="49" w:name="_Toc532744108"/>
      <w:r>
        <w:rPr>
          <w:rFonts w:asciiTheme="minorEastAsia" w:hAnsiTheme="minorEastAsia" w:eastAsiaTheme="minorEastAsia"/>
          <w:color w:val="auto"/>
          <w:highlight w:val="none"/>
        </w:rPr>
        <w:t xml:space="preserve">4.1 </w:t>
      </w:r>
      <w:r>
        <w:rPr>
          <w:rFonts w:hint="eastAsia" w:asciiTheme="minorEastAsia" w:hAnsiTheme="minorEastAsia" w:eastAsiaTheme="minorEastAsia"/>
          <w:color w:val="auto"/>
          <w:highlight w:val="none"/>
        </w:rPr>
        <w:t>投标文件的密封和标记</w:t>
      </w:r>
      <w:bookmarkEnd w:id="49"/>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4.1.1</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B</w:t>
      </w:r>
      <w:r>
        <w:rPr>
          <w:rFonts w:hint="eastAsia" w:asciiTheme="minorEastAsia" w:hAnsiTheme="minorEastAsia" w:eastAsiaTheme="minorEastAsia"/>
          <w:color w:val="auto"/>
          <w:highlight w:val="none"/>
        </w:rPr>
        <w:t>）投标人应当按照招标文件和电子招标投标交易平台的要求加密投标文件，具体要求见投标人须知前附表。</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4.1.2 </w:t>
      </w:r>
      <w:r>
        <w:rPr>
          <w:rFonts w:hint="eastAsia" w:asciiTheme="minorEastAsia" w:hAnsiTheme="minorEastAsia" w:eastAsiaTheme="minorEastAsia"/>
          <w:color w:val="auto"/>
          <w:highlight w:val="none"/>
        </w:rPr>
        <w:t>投标文件封套上应写明的内容见投标人须知前附表。</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4.1.3 </w:t>
      </w:r>
      <w:r>
        <w:rPr>
          <w:rFonts w:hint="eastAsia" w:asciiTheme="minorEastAsia" w:hAnsiTheme="minorEastAsia" w:eastAsiaTheme="minorEastAsia"/>
          <w:color w:val="auto"/>
          <w:highlight w:val="none"/>
        </w:rPr>
        <w:t>未按本章第</w:t>
      </w:r>
      <w:r>
        <w:rPr>
          <w:rFonts w:asciiTheme="minorEastAsia" w:hAnsiTheme="minorEastAsia" w:eastAsiaTheme="minorEastAsia"/>
          <w:color w:val="auto"/>
          <w:highlight w:val="none"/>
        </w:rPr>
        <w:t xml:space="preserve"> 4.1.1 </w:t>
      </w:r>
      <w:r>
        <w:rPr>
          <w:rFonts w:hint="eastAsia" w:asciiTheme="minorEastAsia" w:hAnsiTheme="minorEastAsia" w:eastAsiaTheme="minorEastAsia"/>
          <w:color w:val="auto"/>
          <w:highlight w:val="none"/>
        </w:rPr>
        <w:t>项要求密封的投标文件，招标人将予以拒收。</w:t>
      </w:r>
    </w:p>
    <w:p>
      <w:pPr>
        <w:pStyle w:val="5"/>
        <w:spacing w:before="48" w:beforeLines="20" w:after="48" w:afterLines="20"/>
        <w:jc w:val="left"/>
        <w:rPr>
          <w:rFonts w:asciiTheme="minorEastAsia" w:hAnsiTheme="minorEastAsia" w:eastAsiaTheme="minorEastAsia"/>
          <w:color w:val="auto"/>
          <w:highlight w:val="none"/>
        </w:rPr>
      </w:pPr>
      <w:bookmarkStart w:id="50" w:name="_Toc532744109"/>
      <w:r>
        <w:rPr>
          <w:rFonts w:asciiTheme="minorEastAsia" w:hAnsiTheme="minorEastAsia" w:eastAsiaTheme="minorEastAsia"/>
          <w:color w:val="auto"/>
          <w:highlight w:val="none"/>
        </w:rPr>
        <w:t xml:space="preserve">4.2 </w:t>
      </w:r>
      <w:r>
        <w:rPr>
          <w:rFonts w:hint="eastAsia" w:asciiTheme="minorEastAsia" w:hAnsiTheme="minorEastAsia" w:eastAsiaTheme="minorEastAsia"/>
          <w:color w:val="auto"/>
          <w:highlight w:val="none"/>
        </w:rPr>
        <w:t>投标文件的递交</w:t>
      </w:r>
      <w:bookmarkEnd w:id="50"/>
    </w:p>
    <w:p>
      <w:pPr>
        <w:spacing w:line="360" w:lineRule="auto"/>
        <w:ind w:firstLine="420" w:firstLineChars="200"/>
        <w:rPr>
          <w:rFonts w:ascii="宋体" w:hAnsi="宋体" w:eastAsia="宋体" w:cs="宋体"/>
          <w:strike/>
          <w:color w:val="auto"/>
          <w:szCs w:val="21"/>
          <w:highlight w:val="none"/>
        </w:rPr>
      </w:pPr>
      <w:r>
        <w:rPr>
          <w:rFonts w:hint="eastAsia" w:ascii="宋体" w:hAnsi="宋体" w:eastAsia="宋体" w:cs="宋体"/>
          <w:color w:val="auto"/>
          <w:highlight w:val="none"/>
        </w:rPr>
        <w:t>4.2.1 投标人应在投标人须知前附表规定的投标截止时间前递交投标文件。</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4.2.2 （</w:t>
      </w:r>
      <w:r>
        <w:rPr>
          <w:rFonts w:hint="eastAsia" w:ascii="宋体" w:hAnsi="宋体" w:eastAsia="宋体" w:cs="宋体"/>
          <w:color w:val="auto"/>
          <w:spacing w:val="-2"/>
          <w:highlight w:val="none"/>
        </w:rPr>
        <w:t>B</w:t>
      </w:r>
      <w:r>
        <w:rPr>
          <w:rFonts w:hint="eastAsia" w:ascii="宋体" w:hAnsi="宋体" w:eastAsia="宋体" w:cs="宋体"/>
          <w:color w:val="auto"/>
          <w:highlight w:val="none"/>
        </w:rPr>
        <w:t>）投标人通过下载招标文件的电子招标投标交易平台递交电子投标文件。</w:t>
      </w:r>
    </w:p>
    <w:p>
      <w:pPr>
        <w:spacing w:line="360" w:lineRule="auto"/>
        <w:ind w:firstLine="420" w:firstLineChars="200"/>
        <w:rPr>
          <w:rFonts w:asciiTheme="minorEastAsia" w:hAnsiTheme="minorEastAsia" w:eastAsiaTheme="minorEastAsia"/>
          <w:strike/>
          <w:color w:val="auto"/>
          <w:szCs w:val="21"/>
          <w:highlight w:val="none"/>
        </w:rPr>
      </w:pPr>
      <w:r>
        <w:rPr>
          <w:rFonts w:asciiTheme="minorEastAsia" w:hAnsiTheme="minorEastAsia" w:eastAsiaTheme="minorEastAsia"/>
          <w:color w:val="auto"/>
          <w:highlight w:val="none"/>
        </w:rPr>
        <w:t xml:space="preserve">4.2.3 </w:t>
      </w:r>
      <w:r>
        <w:rPr>
          <w:rFonts w:hint="eastAsia" w:asciiTheme="minorEastAsia" w:hAnsiTheme="minorEastAsia" w:eastAsiaTheme="minorEastAsia"/>
          <w:color w:val="auto"/>
          <w:highlight w:val="none"/>
        </w:rPr>
        <w:t>除投标人须知前附表另有规定外，投标人所递交的投标文件不予退还。</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4.2.4</w:t>
      </w:r>
      <w:r>
        <w:rPr>
          <w:rFonts w:hint="eastAsia" w:ascii="宋体" w:hAnsi="宋体" w:eastAsia="宋体" w:cs="宋体"/>
          <w:color w:val="auto"/>
          <w:highlight w:val="none"/>
        </w:rPr>
        <w:t>（</w:t>
      </w:r>
      <w:r>
        <w:rPr>
          <w:rFonts w:hint="eastAsia" w:ascii="宋体" w:hAnsi="宋体" w:eastAsia="宋体" w:cs="宋体"/>
          <w:color w:val="auto"/>
          <w:spacing w:val="-2"/>
          <w:highlight w:val="none"/>
        </w:rPr>
        <w:t>B</w:t>
      </w:r>
      <w:r>
        <w:rPr>
          <w:rFonts w:hint="eastAsia" w:ascii="宋体" w:hAnsi="宋体" w:eastAsia="宋体" w:cs="宋体"/>
          <w:color w:val="auto"/>
          <w:highlight w:val="none"/>
        </w:rPr>
        <w:t>）</w:t>
      </w:r>
      <w:r>
        <w:rPr>
          <w:rFonts w:asciiTheme="minorEastAsia" w:hAnsiTheme="minorEastAsia" w:eastAsiaTheme="minorEastAsia"/>
          <w:color w:val="auto"/>
          <w:highlight w:val="none"/>
        </w:rPr>
        <w:t>投标人完成电子投标文件上传后，电子招标投标交易平台即时向投标人发出递交回执通知。递交时间以递交回执通知载明的传输完成时间为准。</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4.2.5 </w:t>
      </w:r>
      <w:r>
        <w:rPr>
          <w:rFonts w:hint="eastAsia" w:ascii="宋体" w:hAnsi="宋体" w:eastAsia="宋体" w:cs="宋体"/>
          <w:color w:val="auto"/>
          <w:highlight w:val="none"/>
        </w:rPr>
        <w:t>（</w:t>
      </w:r>
      <w:r>
        <w:rPr>
          <w:rFonts w:hint="eastAsia" w:ascii="宋体" w:hAnsi="宋体" w:eastAsia="宋体" w:cs="宋体"/>
          <w:color w:val="auto"/>
          <w:spacing w:val="-2"/>
          <w:highlight w:val="none"/>
        </w:rPr>
        <w:t>B</w:t>
      </w:r>
      <w:r>
        <w:rPr>
          <w:rFonts w:hint="eastAsia" w:ascii="宋体" w:hAnsi="宋体" w:eastAsia="宋体" w:cs="宋体"/>
          <w:color w:val="auto"/>
          <w:highlight w:val="none"/>
        </w:rPr>
        <w:t>）</w:t>
      </w:r>
      <w:r>
        <w:rPr>
          <w:rFonts w:hint="eastAsia" w:asciiTheme="minorEastAsia" w:hAnsiTheme="minorEastAsia" w:eastAsiaTheme="minorEastAsia"/>
          <w:color w:val="auto"/>
          <w:highlight w:val="none"/>
        </w:rPr>
        <w:t>逾期送达的投标文件，电子招标投标交易平台将予以拒收。</w:t>
      </w:r>
    </w:p>
    <w:p>
      <w:pPr>
        <w:pStyle w:val="5"/>
        <w:spacing w:before="48" w:beforeLines="20" w:after="48" w:afterLines="20"/>
        <w:jc w:val="left"/>
        <w:rPr>
          <w:rFonts w:asciiTheme="minorEastAsia" w:hAnsiTheme="minorEastAsia" w:eastAsiaTheme="minorEastAsia"/>
          <w:color w:val="auto"/>
          <w:highlight w:val="none"/>
        </w:rPr>
      </w:pPr>
      <w:bookmarkStart w:id="51" w:name="_Toc532744110"/>
      <w:r>
        <w:rPr>
          <w:rFonts w:asciiTheme="minorEastAsia" w:hAnsiTheme="minorEastAsia" w:eastAsiaTheme="minorEastAsia"/>
          <w:color w:val="auto"/>
          <w:highlight w:val="none"/>
        </w:rPr>
        <w:t xml:space="preserve">4.3 </w:t>
      </w:r>
      <w:r>
        <w:rPr>
          <w:rFonts w:hint="eastAsia" w:asciiTheme="minorEastAsia" w:hAnsiTheme="minorEastAsia" w:eastAsiaTheme="minorEastAsia"/>
          <w:color w:val="auto"/>
          <w:highlight w:val="none"/>
        </w:rPr>
        <w:t>投标文件的修改与撤回</w:t>
      </w:r>
      <w:bookmarkEnd w:id="51"/>
    </w:p>
    <w:p>
      <w:pPr>
        <w:spacing w:line="360" w:lineRule="auto"/>
        <w:ind w:firstLine="420" w:firstLineChars="200"/>
        <w:rPr>
          <w:rFonts w:asciiTheme="minorEastAsia" w:hAnsiTheme="minorEastAsia" w:eastAsiaTheme="minorEastAsia"/>
          <w:strike/>
          <w:color w:val="auto"/>
          <w:szCs w:val="21"/>
          <w:highlight w:val="none"/>
        </w:rPr>
      </w:pPr>
      <w:r>
        <w:rPr>
          <w:rFonts w:asciiTheme="minorEastAsia" w:hAnsiTheme="minorEastAsia" w:eastAsiaTheme="minorEastAsia"/>
          <w:color w:val="auto"/>
          <w:highlight w:val="none"/>
        </w:rPr>
        <w:t xml:space="preserve">4.3.1 </w:t>
      </w:r>
      <w:r>
        <w:rPr>
          <w:rFonts w:hint="eastAsia" w:asciiTheme="minorEastAsia" w:hAnsiTheme="minorEastAsia" w:eastAsiaTheme="minorEastAsia"/>
          <w:color w:val="auto"/>
          <w:highlight w:val="none"/>
        </w:rPr>
        <w:t>在本章第</w:t>
      </w:r>
      <w:r>
        <w:rPr>
          <w:rFonts w:asciiTheme="minorEastAsia" w:hAnsiTheme="minorEastAsia" w:eastAsiaTheme="minorEastAsia"/>
          <w:color w:val="auto"/>
          <w:highlight w:val="none"/>
        </w:rPr>
        <w:t xml:space="preserve"> 4.2.1 </w:t>
      </w:r>
      <w:r>
        <w:rPr>
          <w:rFonts w:hint="eastAsia" w:asciiTheme="minorEastAsia" w:hAnsiTheme="minorEastAsia" w:eastAsiaTheme="minorEastAsia"/>
          <w:color w:val="auto"/>
          <w:highlight w:val="none"/>
        </w:rPr>
        <w:t>项规定的投标截止时间前，投标人可以修改或撤回已递交的投标文件，但应以书面形式通知招标人。</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4.3.2 </w:t>
      </w:r>
      <w:r>
        <w:rPr>
          <w:rFonts w:hint="eastAsia" w:ascii="宋体" w:hAnsi="宋体" w:eastAsia="宋体" w:cs="宋体"/>
          <w:color w:val="auto"/>
          <w:highlight w:val="none"/>
        </w:rPr>
        <w:t>（</w:t>
      </w:r>
      <w:r>
        <w:rPr>
          <w:rFonts w:hint="eastAsia" w:ascii="宋体" w:hAnsi="宋体" w:eastAsia="宋体" w:cs="宋体"/>
          <w:color w:val="auto"/>
          <w:spacing w:val="-2"/>
          <w:highlight w:val="none"/>
        </w:rPr>
        <w:t>B</w:t>
      </w:r>
      <w:r>
        <w:rPr>
          <w:rFonts w:hint="eastAsia" w:ascii="宋体" w:hAnsi="宋体" w:eastAsia="宋体" w:cs="宋体"/>
          <w:color w:val="auto"/>
          <w:highlight w:val="none"/>
        </w:rPr>
        <w:t>）</w:t>
      </w:r>
      <w:r>
        <w:rPr>
          <w:rFonts w:hint="eastAsia" w:asciiTheme="minorEastAsia" w:hAnsiTheme="minorEastAsia" w:eastAsiaTheme="minorEastAsia"/>
          <w:color w:val="auto"/>
          <w:highlight w:val="none"/>
        </w:rPr>
        <w:t>投标人修改或撤回已递交投标文件的通知，应按照本章第</w:t>
      </w:r>
      <w:r>
        <w:rPr>
          <w:rFonts w:asciiTheme="minorEastAsia" w:hAnsiTheme="minorEastAsia" w:eastAsiaTheme="minorEastAsia"/>
          <w:color w:val="auto"/>
          <w:highlight w:val="none"/>
        </w:rPr>
        <w:t xml:space="preserve"> 3.</w:t>
      </w:r>
      <w:r>
        <w:rPr>
          <w:rFonts w:hint="eastAsia" w:asciiTheme="minorEastAsia" w:hAnsiTheme="minorEastAsia" w:eastAsiaTheme="minorEastAsia"/>
          <w:color w:val="auto"/>
          <w:highlight w:val="none"/>
        </w:rPr>
        <w:t>7</w:t>
      </w:r>
      <w:r>
        <w:rPr>
          <w:rFonts w:asciiTheme="minorEastAsia" w:hAnsiTheme="minorEastAsia" w:eastAsiaTheme="minorEastAsia"/>
          <w:color w:val="auto"/>
          <w:highlight w:val="none"/>
        </w:rPr>
        <w:t>.3项的要求加盖电子印章。电子招标投标交易平台收到通知后，即时向投标人发出确认回执通知。</w:t>
      </w:r>
    </w:p>
    <w:p>
      <w:pPr>
        <w:spacing w:line="360" w:lineRule="auto"/>
        <w:ind w:firstLine="420" w:firstLineChars="200"/>
        <w:rPr>
          <w:rFonts w:asciiTheme="minorEastAsia" w:hAnsiTheme="minorEastAsia" w:eastAsiaTheme="minorEastAsia"/>
          <w:strike/>
          <w:color w:val="auto"/>
          <w:highlight w:val="none"/>
        </w:rPr>
      </w:pPr>
      <w:r>
        <w:rPr>
          <w:rFonts w:asciiTheme="minorEastAsia" w:hAnsiTheme="minorEastAsia" w:eastAsiaTheme="minorEastAsia"/>
          <w:strike/>
          <w:color w:val="auto"/>
          <w:highlight w:val="none"/>
        </w:rPr>
        <w:t xml:space="preserve">4.3.3 </w:t>
      </w:r>
      <w:r>
        <w:rPr>
          <w:rFonts w:hint="eastAsia" w:asciiTheme="minorEastAsia" w:hAnsiTheme="minorEastAsia" w:eastAsiaTheme="minorEastAsia"/>
          <w:strike/>
          <w:color w:val="auto"/>
          <w:highlight w:val="none"/>
        </w:rPr>
        <w:t>投标人撤回投标文件的，招标人自收到投标人书面撤回通知之日起</w:t>
      </w:r>
      <w:r>
        <w:rPr>
          <w:rFonts w:asciiTheme="minorEastAsia" w:hAnsiTheme="minorEastAsia" w:eastAsiaTheme="minorEastAsia"/>
          <w:strike/>
          <w:color w:val="auto"/>
          <w:highlight w:val="none"/>
        </w:rPr>
        <w:t xml:space="preserve"> 5 </w:t>
      </w:r>
      <w:r>
        <w:rPr>
          <w:rFonts w:hint="eastAsia" w:asciiTheme="minorEastAsia" w:hAnsiTheme="minorEastAsia" w:eastAsiaTheme="minorEastAsia"/>
          <w:strike/>
          <w:color w:val="auto"/>
          <w:highlight w:val="none"/>
        </w:rPr>
        <w:t>日内退还已收取的投标保证金。</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4.3.4 </w:t>
      </w:r>
      <w:r>
        <w:rPr>
          <w:rFonts w:hint="eastAsia" w:asciiTheme="minorEastAsia" w:hAnsiTheme="minorEastAsia" w:eastAsiaTheme="minorEastAsia"/>
          <w:color w:val="auto"/>
          <w:highlight w:val="none"/>
        </w:rPr>
        <w:t>修改的内容为投标文件的组成部分。修改的投标文件应按照本章第</w:t>
      </w:r>
      <w:r>
        <w:rPr>
          <w:rFonts w:asciiTheme="minorEastAsia" w:hAnsiTheme="minorEastAsia" w:eastAsiaTheme="minorEastAsia"/>
          <w:color w:val="auto"/>
          <w:highlight w:val="none"/>
        </w:rPr>
        <w:t xml:space="preserve"> 3 </w:t>
      </w:r>
      <w:r>
        <w:rPr>
          <w:rFonts w:hint="eastAsia" w:asciiTheme="minorEastAsia" w:hAnsiTheme="minorEastAsia" w:eastAsiaTheme="minorEastAsia"/>
          <w:color w:val="auto"/>
          <w:highlight w:val="none"/>
        </w:rPr>
        <w:t>条、第</w:t>
      </w:r>
      <w:r>
        <w:rPr>
          <w:rFonts w:asciiTheme="minorEastAsia" w:hAnsiTheme="minorEastAsia" w:eastAsiaTheme="minorEastAsia"/>
          <w:color w:val="auto"/>
          <w:highlight w:val="none"/>
        </w:rPr>
        <w:t xml:space="preserve"> 4 </w:t>
      </w:r>
      <w:r>
        <w:rPr>
          <w:rFonts w:hint="eastAsia" w:asciiTheme="minorEastAsia" w:hAnsiTheme="minorEastAsia" w:eastAsiaTheme="minorEastAsia"/>
          <w:color w:val="auto"/>
          <w:highlight w:val="none"/>
        </w:rPr>
        <w:t>条的规定进行编制、密封、标记和递交，并标明“修改”字样。</w:t>
      </w:r>
    </w:p>
    <w:p>
      <w:pPr>
        <w:pStyle w:val="4"/>
        <w:rPr>
          <w:rFonts w:asciiTheme="minorEastAsia" w:hAnsiTheme="minorEastAsia" w:eastAsiaTheme="minorEastAsia"/>
          <w:color w:val="auto"/>
          <w:highlight w:val="none"/>
        </w:rPr>
      </w:pPr>
      <w:bookmarkStart w:id="52" w:name="_Toc17753"/>
      <w:bookmarkStart w:id="53" w:name="_Toc532744111"/>
      <w:r>
        <w:rPr>
          <w:rFonts w:asciiTheme="minorEastAsia" w:hAnsiTheme="minorEastAsia" w:eastAsiaTheme="minorEastAsia"/>
          <w:color w:val="auto"/>
          <w:highlight w:val="none"/>
        </w:rPr>
        <w:t xml:space="preserve">5. </w:t>
      </w:r>
      <w:r>
        <w:rPr>
          <w:rFonts w:hint="eastAsia" w:asciiTheme="minorEastAsia" w:hAnsiTheme="minorEastAsia" w:eastAsiaTheme="minorEastAsia"/>
          <w:color w:val="auto"/>
          <w:highlight w:val="none"/>
        </w:rPr>
        <w:t>开标</w:t>
      </w:r>
      <w:bookmarkEnd w:id="52"/>
      <w:bookmarkEnd w:id="53"/>
    </w:p>
    <w:p>
      <w:pPr>
        <w:pStyle w:val="5"/>
        <w:spacing w:before="48" w:beforeLines="20" w:after="48" w:afterLines="20"/>
        <w:jc w:val="left"/>
        <w:rPr>
          <w:rFonts w:asciiTheme="minorEastAsia" w:hAnsiTheme="minorEastAsia" w:eastAsiaTheme="minorEastAsia"/>
          <w:color w:val="auto"/>
          <w:highlight w:val="none"/>
        </w:rPr>
      </w:pPr>
      <w:bookmarkStart w:id="54" w:name="_Toc532744112"/>
      <w:r>
        <w:rPr>
          <w:rFonts w:asciiTheme="minorEastAsia" w:hAnsiTheme="minorEastAsia" w:eastAsiaTheme="minorEastAsia"/>
          <w:color w:val="auto"/>
          <w:highlight w:val="none"/>
        </w:rPr>
        <w:t xml:space="preserve">5.1 </w:t>
      </w:r>
      <w:r>
        <w:rPr>
          <w:rFonts w:hint="eastAsia" w:asciiTheme="minorEastAsia" w:hAnsiTheme="minorEastAsia" w:eastAsiaTheme="minorEastAsia"/>
          <w:color w:val="auto"/>
          <w:highlight w:val="none"/>
        </w:rPr>
        <w:t>开标时间和地点</w:t>
      </w:r>
      <w:bookmarkEnd w:id="54"/>
      <w:r>
        <w:rPr>
          <w:rFonts w:hint="eastAsia" w:asciiTheme="minorEastAsia" w:hAnsiTheme="minorEastAsia" w:eastAsiaTheme="minorEastAsia"/>
          <w:color w:val="auto"/>
          <w:highlight w:val="none"/>
        </w:rPr>
        <w:t>（B）</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招标人在本章第</w:t>
      </w:r>
      <w:r>
        <w:rPr>
          <w:rFonts w:asciiTheme="minorEastAsia" w:hAnsiTheme="minorEastAsia" w:eastAsiaTheme="minorEastAsia"/>
          <w:color w:val="auto"/>
          <w:highlight w:val="none"/>
        </w:rPr>
        <w:t>4.2.1</w:t>
      </w:r>
      <w:r>
        <w:rPr>
          <w:rFonts w:hint="eastAsia" w:asciiTheme="minorEastAsia" w:hAnsiTheme="minorEastAsia" w:eastAsiaTheme="minorEastAsia"/>
          <w:color w:val="auto"/>
          <w:highlight w:val="none"/>
        </w:rPr>
        <w:t>项规定的投标截止时间（开标时间）</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通过电子招标投标交易平台公开开标。开标时，投标人代表有权出席开标会，也可以自主决定不参加开标会，若投标人代表对开标过程提出异议，该投标人代表须同时出示本人身份证原件。</w:t>
      </w:r>
    </w:p>
    <w:p>
      <w:pPr>
        <w:pStyle w:val="5"/>
        <w:spacing w:before="48" w:beforeLines="20" w:after="48" w:afterLines="20"/>
        <w:jc w:val="left"/>
        <w:rPr>
          <w:rFonts w:asciiTheme="minorEastAsia" w:hAnsiTheme="minorEastAsia" w:eastAsiaTheme="minorEastAsia"/>
          <w:color w:val="auto"/>
          <w:highlight w:val="none"/>
        </w:rPr>
      </w:pPr>
      <w:bookmarkStart w:id="55" w:name="_Toc532744113"/>
      <w:r>
        <w:rPr>
          <w:rFonts w:asciiTheme="minorEastAsia" w:hAnsiTheme="minorEastAsia" w:eastAsiaTheme="minorEastAsia"/>
          <w:color w:val="auto"/>
          <w:highlight w:val="none"/>
        </w:rPr>
        <w:t xml:space="preserve">5.2 </w:t>
      </w:r>
      <w:r>
        <w:rPr>
          <w:rFonts w:hint="eastAsia" w:asciiTheme="minorEastAsia" w:hAnsiTheme="minorEastAsia" w:eastAsiaTheme="minorEastAsia"/>
          <w:color w:val="auto"/>
          <w:highlight w:val="none"/>
        </w:rPr>
        <w:t>开标程序</w:t>
      </w:r>
      <w:bookmarkEnd w:id="55"/>
      <w:r>
        <w:rPr>
          <w:rFonts w:hint="eastAsia" w:asciiTheme="minorEastAsia" w:hAnsiTheme="minorEastAsia" w:eastAsiaTheme="minorEastAsia"/>
          <w:color w:val="auto"/>
          <w:highlight w:val="none"/>
        </w:rPr>
        <w:t>（B）</w:t>
      </w:r>
    </w:p>
    <w:p>
      <w:pPr>
        <w:spacing w:line="360" w:lineRule="auto"/>
        <w:ind w:firstLine="420" w:firstLineChars="200"/>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u w:val="single"/>
        </w:rPr>
        <w:t>5.2.1主持人按下列程序进行开标：</w:t>
      </w:r>
    </w:p>
    <w:p>
      <w:pPr>
        <w:spacing w:line="360" w:lineRule="auto"/>
        <w:ind w:firstLine="420" w:firstLineChars="200"/>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u w:val="single"/>
        </w:rPr>
        <w:t>（</w:t>
      </w:r>
      <w:r>
        <w:rPr>
          <w:rFonts w:asciiTheme="minorEastAsia" w:hAnsiTheme="minorEastAsia" w:eastAsiaTheme="minorEastAsia"/>
          <w:color w:val="auto"/>
          <w:highlight w:val="none"/>
          <w:u w:val="single"/>
        </w:rPr>
        <w:t>1）宣布开标纪律；</w:t>
      </w:r>
    </w:p>
    <w:p>
      <w:pPr>
        <w:spacing w:line="360" w:lineRule="auto"/>
        <w:ind w:firstLine="420" w:firstLineChars="200"/>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u w:val="single"/>
        </w:rPr>
        <w:t>（</w:t>
      </w:r>
      <w:r>
        <w:rPr>
          <w:rFonts w:asciiTheme="minorEastAsia" w:hAnsiTheme="minorEastAsia" w:eastAsiaTheme="minorEastAsia"/>
          <w:color w:val="auto"/>
          <w:highlight w:val="none"/>
          <w:u w:val="single"/>
        </w:rPr>
        <w:t>2）公布在投标截止时间前递交投标文件的投标人名称；</w:t>
      </w:r>
    </w:p>
    <w:p>
      <w:pPr>
        <w:spacing w:line="360" w:lineRule="auto"/>
        <w:ind w:firstLine="420" w:firstLineChars="200"/>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u w:val="single"/>
        </w:rPr>
        <w:t>（</w:t>
      </w:r>
      <w:r>
        <w:rPr>
          <w:rFonts w:asciiTheme="minorEastAsia" w:hAnsiTheme="minorEastAsia" w:eastAsiaTheme="minorEastAsia"/>
          <w:color w:val="auto"/>
          <w:highlight w:val="none"/>
          <w:u w:val="single"/>
        </w:rPr>
        <w:t>3）宣布开标人、唱标人、记录人、监标人等有关人员姓名；</w:t>
      </w:r>
    </w:p>
    <w:p>
      <w:pPr>
        <w:spacing w:line="360" w:lineRule="auto"/>
        <w:ind w:firstLine="420" w:firstLineChars="200"/>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u w:val="single"/>
        </w:rPr>
        <w:t>（</w:t>
      </w:r>
      <w:r>
        <w:rPr>
          <w:rFonts w:asciiTheme="minorEastAsia" w:hAnsiTheme="minorEastAsia" w:eastAsiaTheme="minorEastAsia"/>
          <w:color w:val="auto"/>
          <w:highlight w:val="none"/>
          <w:u w:val="single"/>
        </w:rPr>
        <w:t>4）投标人通过电子招标投标交易平台对已递交的电子投标文件进行解密，公布招标项目名称、投标人名称、</w:t>
      </w:r>
      <w:r>
        <w:rPr>
          <w:rFonts w:asciiTheme="minorEastAsia" w:hAnsiTheme="minorEastAsia" w:eastAsiaTheme="minorEastAsia"/>
          <w:strike/>
          <w:color w:val="auto"/>
          <w:highlight w:val="none"/>
          <w:u w:val="single"/>
        </w:rPr>
        <w:t>投标保证金的递交情况、</w:t>
      </w:r>
      <w:r>
        <w:rPr>
          <w:rFonts w:asciiTheme="minorEastAsia" w:hAnsiTheme="minorEastAsia" w:eastAsiaTheme="minorEastAsia"/>
          <w:color w:val="auto"/>
          <w:highlight w:val="none"/>
          <w:u w:val="single"/>
        </w:rPr>
        <w:t>投标报价、服务期限及其他内容，并记录在案；</w:t>
      </w:r>
    </w:p>
    <w:p>
      <w:pPr>
        <w:spacing w:line="360" w:lineRule="auto"/>
        <w:ind w:firstLine="420" w:firstLineChars="200"/>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u w:val="single"/>
        </w:rPr>
        <w:t>（</w:t>
      </w:r>
      <w:r>
        <w:rPr>
          <w:rFonts w:asciiTheme="minorEastAsia" w:hAnsiTheme="minorEastAsia" w:eastAsiaTheme="minorEastAsia"/>
          <w:color w:val="auto"/>
          <w:highlight w:val="none"/>
          <w:u w:val="single"/>
        </w:rPr>
        <w:t>5）投标人代表、招标人代表、监标人、记录人等有关人员在开标记录上签字确认；若有关人员不签字的，不影响开标程序；</w:t>
      </w:r>
    </w:p>
    <w:p>
      <w:pPr>
        <w:spacing w:line="360" w:lineRule="auto"/>
        <w:ind w:firstLine="420" w:firstLineChars="200"/>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u w:val="single"/>
        </w:rPr>
        <w:t>（</w:t>
      </w:r>
      <w:r>
        <w:rPr>
          <w:rFonts w:asciiTheme="minorEastAsia" w:hAnsiTheme="minorEastAsia" w:eastAsiaTheme="minorEastAsia"/>
          <w:color w:val="auto"/>
          <w:highlight w:val="none"/>
          <w:u w:val="single"/>
        </w:rPr>
        <w:t>6）开标结束。</w:t>
      </w:r>
    </w:p>
    <w:p>
      <w:pPr>
        <w:spacing w:line="360" w:lineRule="auto"/>
        <w:ind w:firstLine="420" w:firstLineChars="200"/>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u w:val="single"/>
        </w:rPr>
        <w:t>5.2.2投标截止时间前未完成投标文件传输的或因投标人之外的原因造成投标文件未解密的，视为投标人其撤回投标文件。因投标人原因造成投标文件未解密的或未在投标截止时间后半小时解密的，视为撤销其投标文件。</w:t>
      </w:r>
    </w:p>
    <w:p>
      <w:pPr>
        <w:spacing w:line="360" w:lineRule="auto"/>
        <w:ind w:firstLine="420" w:firstLineChars="200"/>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u w:val="single"/>
        </w:rPr>
        <w:t>5.2.3开标时，两个（含两个）以上的投标人加密打包投标文件电脑机器特征码一致的，不参与下一程序，并由评标委员会否决其投标。</w:t>
      </w:r>
    </w:p>
    <w:p>
      <w:pPr>
        <w:pStyle w:val="5"/>
        <w:spacing w:before="48" w:beforeLines="20" w:after="48" w:afterLines="20"/>
        <w:jc w:val="left"/>
        <w:rPr>
          <w:rFonts w:asciiTheme="minorEastAsia" w:hAnsiTheme="minorEastAsia" w:eastAsiaTheme="minorEastAsia"/>
          <w:color w:val="auto"/>
          <w:highlight w:val="none"/>
        </w:rPr>
      </w:pPr>
      <w:bookmarkStart w:id="56" w:name="_Toc532744114"/>
      <w:r>
        <w:rPr>
          <w:rFonts w:asciiTheme="minorEastAsia" w:hAnsiTheme="minorEastAsia" w:eastAsiaTheme="minorEastAsia"/>
          <w:color w:val="auto"/>
          <w:highlight w:val="none"/>
        </w:rPr>
        <w:t xml:space="preserve">5.3 </w:t>
      </w:r>
      <w:r>
        <w:rPr>
          <w:rFonts w:hint="eastAsia" w:asciiTheme="minorEastAsia" w:hAnsiTheme="minorEastAsia" w:eastAsiaTheme="minorEastAsia"/>
          <w:color w:val="auto"/>
          <w:highlight w:val="none"/>
        </w:rPr>
        <w:t>开标异议</w:t>
      </w:r>
      <w:bookmarkEnd w:id="56"/>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对开标有异议的，应当在开标时通过电子交易系统提出，招标人应当对投标人提出的异议当场作出答复，并在电子交易系统中如实记录。参加现场开标会的投标人，对开标有异议的，应当在开标现场提出，招标人应当当场作出答复，并制作记录。</w:t>
      </w:r>
    </w:p>
    <w:p>
      <w:pPr>
        <w:pStyle w:val="4"/>
        <w:rPr>
          <w:rFonts w:asciiTheme="minorEastAsia" w:hAnsiTheme="minorEastAsia" w:eastAsiaTheme="minorEastAsia"/>
          <w:color w:val="auto"/>
          <w:highlight w:val="none"/>
        </w:rPr>
      </w:pPr>
      <w:bookmarkStart w:id="57" w:name="_Toc3991"/>
      <w:bookmarkStart w:id="58" w:name="_Toc532744115"/>
      <w:r>
        <w:rPr>
          <w:rFonts w:asciiTheme="minorEastAsia" w:hAnsiTheme="minorEastAsia" w:eastAsiaTheme="minorEastAsia"/>
          <w:color w:val="auto"/>
          <w:highlight w:val="none"/>
        </w:rPr>
        <w:t xml:space="preserve">6. </w:t>
      </w:r>
      <w:r>
        <w:rPr>
          <w:rFonts w:hint="eastAsia" w:asciiTheme="minorEastAsia" w:hAnsiTheme="minorEastAsia" w:eastAsiaTheme="minorEastAsia"/>
          <w:color w:val="auto"/>
          <w:highlight w:val="none"/>
        </w:rPr>
        <w:t>评标</w:t>
      </w:r>
      <w:bookmarkEnd w:id="57"/>
      <w:bookmarkEnd w:id="58"/>
    </w:p>
    <w:p>
      <w:pPr>
        <w:pStyle w:val="5"/>
        <w:spacing w:before="48" w:beforeLines="20" w:after="48" w:afterLines="20"/>
        <w:jc w:val="left"/>
        <w:rPr>
          <w:rFonts w:asciiTheme="minorEastAsia" w:hAnsiTheme="minorEastAsia" w:eastAsiaTheme="minorEastAsia"/>
          <w:color w:val="auto"/>
          <w:highlight w:val="none"/>
        </w:rPr>
      </w:pPr>
      <w:bookmarkStart w:id="59" w:name="_Toc532744116"/>
      <w:r>
        <w:rPr>
          <w:rFonts w:asciiTheme="minorEastAsia" w:hAnsiTheme="minorEastAsia" w:eastAsiaTheme="minorEastAsia"/>
          <w:color w:val="auto"/>
          <w:highlight w:val="none"/>
        </w:rPr>
        <w:t xml:space="preserve">6.1 </w:t>
      </w:r>
      <w:r>
        <w:rPr>
          <w:rFonts w:hint="eastAsia" w:asciiTheme="minorEastAsia" w:hAnsiTheme="minorEastAsia" w:eastAsiaTheme="minorEastAsia"/>
          <w:color w:val="auto"/>
          <w:highlight w:val="none"/>
        </w:rPr>
        <w:t>评标委员会</w:t>
      </w:r>
      <w:bookmarkEnd w:id="59"/>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6.1.1 </w:t>
      </w:r>
      <w:r>
        <w:rPr>
          <w:rFonts w:hint="eastAsia" w:asciiTheme="minorEastAsia" w:hAnsiTheme="minorEastAsia" w:eastAsiaTheme="minorEastAsia"/>
          <w:color w:val="auto"/>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6.1.2 </w:t>
      </w:r>
      <w:r>
        <w:rPr>
          <w:rFonts w:hint="eastAsia" w:asciiTheme="minorEastAsia" w:hAnsiTheme="minorEastAsia" w:eastAsiaTheme="minorEastAsia"/>
          <w:color w:val="auto"/>
          <w:highlight w:val="none"/>
        </w:rPr>
        <w:t>评标委员会成员有下列情形之一的，应当回避：</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1）投标人或投标人主要负责人的近亲属；</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2）项目主管部门或者行政监督部门的人员；</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3）与投标人有经济利益关系，可能影响对投标公正评审的；</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4）曾因在招标、评标以及其他与招标投标有关活动中从事违法行为而受过行政处罚或刑事处罚的；</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5）与投标人有其他利害关系。</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6.1.3 </w:t>
      </w:r>
      <w:r>
        <w:rPr>
          <w:rFonts w:hint="eastAsia" w:asciiTheme="minorEastAsia" w:hAnsiTheme="minorEastAsia" w:eastAsiaTheme="minorEastAsia"/>
          <w:color w:val="auto"/>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pPr>
        <w:pStyle w:val="5"/>
        <w:spacing w:before="48" w:beforeLines="20" w:after="48" w:afterLines="20"/>
        <w:jc w:val="left"/>
        <w:rPr>
          <w:rFonts w:asciiTheme="minorEastAsia" w:hAnsiTheme="minorEastAsia" w:eastAsiaTheme="minorEastAsia"/>
          <w:color w:val="auto"/>
          <w:highlight w:val="none"/>
        </w:rPr>
      </w:pPr>
      <w:bookmarkStart w:id="60" w:name="_Toc532744117"/>
      <w:r>
        <w:rPr>
          <w:rFonts w:asciiTheme="minorEastAsia" w:hAnsiTheme="minorEastAsia" w:eastAsiaTheme="minorEastAsia"/>
          <w:color w:val="auto"/>
          <w:highlight w:val="none"/>
        </w:rPr>
        <w:t xml:space="preserve">6.2 </w:t>
      </w:r>
      <w:r>
        <w:rPr>
          <w:rFonts w:hint="eastAsia" w:asciiTheme="minorEastAsia" w:hAnsiTheme="minorEastAsia" w:eastAsiaTheme="minorEastAsia"/>
          <w:color w:val="auto"/>
          <w:highlight w:val="none"/>
        </w:rPr>
        <w:t>评标原则</w:t>
      </w:r>
      <w:bookmarkEnd w:id="60"/>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评标活动遵循公平、公正、科学和择优的原则。</w:t>
      </w:r>
    </w:p>
    <w:p>
      <w:pPr>
        <w:pStyle w:val="5"/>
        <w:spacing w:before="48" w:beforeLines="20" w:after="48" w:afterLines="20"/>
        <w:jc w:val="left"/>
        <w:rPr>
          <w:rFonts w:asciiTheme="minorEastAsia" w:hAnsiTheme="minorEastAsia" w:eastAsiaTheme="minorEastAsia"/>
          <w:color w:val="auto"/>
          <w:highlight w:val="none"/>
        </w:rPr>
      </w:pPr>
      <w:bookmarkStart w:id="61" w:name="_Toc532744118"/>
      <w:r>
        <w:rPr>
          <w:rFonts w:asciiTheme="minorEastAsia" w:hAnsiTheme="minorEastAsia" w:eastAsiaTheme="minorEastAsia"/>
          <w:color w:val="auto"/>
          <w:highlight w:val="none"/>
        </w:rPr>
        <w:t xml:space="preserve">6.3 </w:t>
      </w:r>
      <w:r>
        <w:rPr>
          <w:rFonts w:hint="eastAsia" w:asciiTheme="minorEastAsia" w:hAnsiTheme="minorEastAsia" w:eastAsiaTheme="minorEastAsia"/>
          <w:color w:val="auto"/>
          <w:highlight w:val="none"/>
        </w:rPr>
        <w:t>评标</w:t>
      </w:r>
      <w:bookmarkEnd w:id="61"/>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6.3.1 </w:t>
      </w:r>
      <w:r>
        <w:rPr>
          <w:rFonts w:hint="eastAsia" w:asciiTheme="minorEastAsia" w:hAnsiTheme="minorEastAsia" w:eastAsiaTheme="minorEastAsia"/>
          <w:color w:val="auto"/>
          <w:highlight w:val="none"/>
        </w:rPr>
        <w:t>评标委员会按照第三章“评标办法”规定的方法、评审因素、标准和程序对投标文件进行评审。第三章“评标办法”没有规定的方法、评审因素和标准，不作为评标依据。</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6.3.2 </w:t>
      </w:r>
      <w:r>
        <w:rPr>
          <w:rFonts w:hint="eastAsia" w:asciiTheme="minorEastAsia" w:hAnsiTheme="minorEastAsia" w:eastAsiaTheme="minorEastAsia"/>
          <w:color w:val="auto"/>
          <w:highlight w:val="none"/>
        </w:rPr>
        <w:t>评标完成后，评标委员会应当向招标人提交书面评标报告和中标候选人名单。评标委员会推荐中标候选人的人数见投标人须知前附表。</w:t>
      </w:r>
    </w:p>
    <w:p>
      <w:pPr>
        <w:pStyle w:val="4"/>
        <w:rPr>
          <w:rFonts w:asciiTheme="minorEastAsia" w:hAnsiTheme="minorEastAsia" w:eastAsiaTheme="minorEastAsia"/>
          <w:color w:val="auto"/>
          <w:highlight w:val="none"/>
        </w:rPr>
      </w:pPr>
      <w:bookmarkStart w:id="62" w:name="_Toc31443"/>
      <w:bookmarkStart w:id="63" w:name="_Toc532744119"/>
      <w:r>
        <w:rPr>
          <w:rFonts w:asciiTheme="minorEastAsia" w:hAnsiTheme="minorEastAsia" w:eastAsiaTheme="minorEastAsia"/>
          <w:color w:val="auto"/>
          <w:highlight w:val="none"/>
        </w:rPr>
        <w:t xml:space="preserve">7. </w:t>
      </w:r>
      <w:r>
        <w:rPr>
          <w:rFonts w:hint="eastAsia" w:asciiTheme="minorEastAsia" w:hAnsiTheme="minorEastAsia" w:eastAsiaTheme="minorEastAsia"/>
          <w:color w:val="auto"/>
          <w:highlight w:val="none"/>
        </w:rPr>
        <w:t>合同授予</w:t>
      </w:r>
      <w:bookmarkEnd w:id="62"/>
      <w:bookmarkEnd w:id="63"/>
    </w:p>
    <w:p>
      <w:pPr>
        <w:pStyle w:val="5"/>
        <w:spacing w:before="48" w:beforeLines="20" w:after="48" w:afterLines="20"/>
        <w:jc w:val="left"/>
        <w:rPr>
          <w:rFonts w:asciiTheme="minorEastAsia" w:hAnsiTheme="minorEastAsia" w:eastAsiaTheme="minorEastAsia"/>
          <w:color w:val="auto"/>
          <w:highlight w:val="none"/>
        </w:rPr>
      </w:pPr>
      <w:bookmarkStart w:id="64" w:name="_Toc532744120"/>
      <w:r>
        <w:rPr>
          <w:rFonts w:asciiTheme="minorEastAsia" w:hAnsiTheme="minorEastAsia" w:eastAsiaTheme="minorEastAsia"/>
          <w:color w:val="auto"/>
          <w:highlight w:val="none"/>
        </w:rPr>
        <w:t xml:space="preserve">7.1 </w:t>
      </w:r>
      <w:r>
        <w:rPr>
          <w:rFonts w:hint="eastAsia" w:asciiTheme="minorEastAsia" w:hAnsiTheme="minorEastAsia" w:eastAsiaTheme="minorEastAsia"/>
          <w:color w:val="auto"/>
          <w:highlight w:val="none"/>
        </w:rPr>
        <w:t>中标候选人公示</w:t>
      </w:r>
      <w:bookmarkEnd w:id="64"/>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招标人在收到评标报告之日起</w:t>
      </w:r>
      <w:r>
        <w:rPr>
          <w:rFonts w:asciiTheme="minorEastAsia" w:hAnsiTheme="minorEastAsia" w:eastAsiaTheme="minorEastAsia"/>
          <w:color w:val="auto"/>
          <w:highlight w:val="none"/>
        </w:rPr>
        <w:t xml:space="preserve"> 3 </w:t>
      </w:r>
      <w:r>
        <w:rPr>
          <w:rFonts w:hint="eastAsia" w:asciiTheme="minorEastAsia" w:hAnsiTheme="minorEastAsia" w:eastAsiaTheme="minorEastAsia"/>
          <w:color w:val="auto"/>
          <w:highlight w:val="none"/>
        </w:rPr>
        <w:t>日内，按照投标人须知前附表规定的公示媒介和期限公示中标候选人，公示期不得少于</w:t>
      </w:r>
      <w:r>
        <w:rPr>
          <w:rFonts w:asciiTheme="minorEastAsia" w:hAnsiTheme="minorEastAsia" w:eastAsiaTheme="minorEastAsia"/>
          <w:color w:val="auto"/>
          <w:highlight w:val="none"/>
        </w:rPr>
        <w:t xml:space="preserve"> 3 </w:t>
      </w:r>
      <w:r>
        <w:rPr>
          <w:rFonts w:hint="eastAsia" w:asciiTheme="minorEastAsia" w:hAnsiTheme="minorEastAsia" w:eastAsiaTheme="minorEastAsia"/>
          <w:color w:val="auto"/>
          <w:highlight w:val="none"/>
        </w:rPr>
        <w:t>天。</w:t>
      </w:r>
    </w:p>
    <w:p>
      <w:pPr>
        <w:pStyle w:val="5"/>
        <w:spacing w:before="48" w:beforeLines="20" w:after="48" w:afterLines="20"/>
        <w:jc w:val="left"/>
        <w:rPr>
          <w:rFonts w:asciiTheme="minorEastAsia" w:hAnsiTheme="minorEastAsia" w:eastAsiaTheme="minorEastAsia"/>
          <w:color w:val="auto"/>
          <w:highlight w:val="none"/>
        </w:rPr>
      </w:pPr>
      <w:bookmarkStart w:id="65" w:name="_Toc532744121"/>
      <w:r>
        <w:rPr>
          <w:rFonts w:asciiTheme="minorEastAsia" w:hAnsiTheme="minorEastAsia" w:eastAsiaTheme="minorEastAsia"/>
          <w:color w:val="auto"/>
          <w:highlight w:val="none"/>
        </w:rPr>
        <w:t xml:space="preserve">7.2 </w:t>
      </w:r>
      <w:r>
        <w:rPr>
          <w:rFonts w:hint="eastAsia" w:asciiTheme="minorEastAsia" w:hAnsiTheme="minorEastAsia" w:eastAsiaTheme="minorEastAsia"/>
          <w:color w:val="auto"/>
          <w:highlight w:val="none"/>
        </w:rPr>
        <w:t>评标结果异议</w:t>
      </w:r>
      <w:bookmarkEnd w:id="65"/>
    </w:p>
    <w:p>
      <w:pPr>
        <w:spacing w:before="48" w:beforeLines="20" w:after="48" w:afterLines="20"/>
        <w:ind w:firstLine="420" w:firstLineChars="200"/>
        <w:jc w:val="left"/>
        <w:rPr>
          <w:rFonts w:hint="eastAsia" w:asciiTheme="minorEastAsia" w:hAnsiTheme="minorEastAsia" w:eastAsiaTheme="minorEastAsia"/>
          <w:color w:val="auto"/>
          <w:highlight w:val="none"/>
        </w:rPr>
      </w:pPr>
      <w:bookmarkStart w:id="66" w:name="_Toc532744122"/>
      <w:r>
        <w:rPr>
          <w:rFonts w:hint="eastAsia" w:asciiTheme="minorEastAsia" w:hAnsiTheme="minorEastAsia" w:eastAsiaTheme="minorEastAsia"/>
          <w:color w:val="auto"/>
          <w:highlight w:val="none"/>
        </w:rPr>
        <w:t>投标人或者其他利害关系人对依法必须进行招标的项目的评标结果有异议的，应当在中标候选人公示期间通过电子交易系统提出。招标人应当在规定的异议答复期限内作出答复；作出答复前，应当暂停招标投标活动。</w:t>
      </w:r>
    </w:p>
    <w:p>
      <w:pPr>
        <w:pStyle w:val="5"/>
        <w:spacing w:before="48" w:beforeLines="20" w:after="48" w:afterLines="20"/>
        <w:jc w:val="left"/>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7.3 </w:t>
      </w:r>
      <w:r>
        <w:rPr>
          <w:rFonts w:hint="eastAsia" w:asciiTheme="minorEastAsia" w:hAnsiTheme="minorEastAsia" w:eastAsiaTheme="minorEastAsia"/>
          <w:color w:val="auto"/>
          <w:highlight w:val="none"/>
        </w:rPr>
        <w:t>中标候选人履约能力审查</w:t>
      </w:r>
      <w:bookmarkEnd w:id="66"/>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5"/>
        <w:spacing w:before="48" w:beforeLines="20" w:after="48" w:afterLines="20"/>
        <w:jc w:val="left"/>
        <w:rPr>
          <w:rFonts w:asciiTheme="minorEastAsia" w:hAnsiTheme="minorEastAsia" w:eastAsiaTheme="minorEastAsia"/>
          <w:color w:val="auto"/>
          <w:highlight w:val="none"/>
        </w:rPr>
      </w:pPr>
      <w:bookmarkStart w:id="67" w:name="_Toc532744123"/>
      <w:r>
        <w:rPr>
          <w:rFonts w:asciiTheme="minorEastAsia" w:hAnsiTheme="minorEastAsia" w:eastAsiaTheme="minorEastAsia"/>
          <w:color w:val="auto"/>
          <w:highlight w:val="none"/>
        </w:rPr>
        <w:t xml:space="preserve">7.4 </w:t>
      </w:r>
      <w:r>
        <w:rPr>
          <w:rFonts w:hint="eastAsia" w:asciiTheme="minorEastAsia" w:hAnsiTheme="minorEastAsia" w:eastAsiaTheme="minorEastAsia"/>
          <w:color w:val="auto"/>
          <w:highlight w:val="none"/>
        </w:rPr>
        <w:t>定标</w:t>
      </w:r>
      <w:bookmarkEnd w:id="67"/>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按照投标人须知前附表的规定，招标人或招标人授权的评标委员会依法确定中标人。</w:t>
      </w:r>
    </w:p>
    <w:p>
      <w:pPr>
        <w:pStyle w:val="5"/>
        <w:spacing w:before="48" w:beforeLines="20" w:after="48" w:afterLines="20"/>
        <w:jc w:val="left"/>
        <w:rPr>
          <w:rFonts w:asciiTheme="minorEastAsia" w:hAnsiTheme="minorEastAsia" w:eastAsiaTheme="minorEastAsia"/>
          <w:color w:val="auto"/>
          <w:highlight w:val="none"/>
        </w:rPr>
      </w:pPr>
      <w:bookmarkStart w:id="68" w:name="_Toc532744124"/>
      <w:r>
        <w:rPr>
          <w:rFonts w:asciiTheme="minorEastAsia" w:hAnsiTheme="minorEastAsia" w:eastAsiaTheme="minorEastAsia"/>
          <w:color w:val="auto"/>
          <w:highlight w:val="none"/>
        </w:rPr>
        <w:t xml:space="preserve">7.5 </w:t>
      </w:r>
      <w:r>
        <w:rPr>
          <w:rFonts w:hint="eastAsia" w:asciiTheme="minorEastAsia" w:hAnsiTheme="minorEastAsia" w:eastAsiaTheme="minorEastAsia"/>
          <w:color w:val="auto"/>
          <w:highlight w:val="none"/>
        </w:rPr>
        <w:t>中标通知</w:t>
      </w:r>
      <w:bookmarkEnd w:id="68"/>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在本章第</w:t>
      </w:r>
      <w:r>
        <w:rPr>
          <w:rFonts w:asciiTheme="minorEastAsia" w:hAnsiTheme="minorEastAsia" w:eastAsiaTheme="minorEastAsia"/>
          <w:color w:val="auto"/>
          <w:highlight w:val="none"/>
        </w:rPr>
        <w:t xml:space="preserve"> 3.3 </w:t>
      </w:r>
      <w:r>
        <w:rPr>
          <w:rFonts w:hint="eastAsia" w:asciiTheme="minorEastAsia" w:hAnsiTheme="minorEastAsia" w:eastAsiaTheme="minorEastAsia"/>
          <w:color w:val="auto"/>
          <w:highlight w:val="none"/>
        </w:rPr>
        <w:t>款规定的投标有效期内，招标人以书面形式向中标人发出中标通知书，同时将中标结果通知未中标的投标人。</w:t>
      </w:r>
    </w:p>
    <w:p>
      <w:pPr>
        <w:pStyle w:val="5"/>
        <w:spacing w:before="48" w:beforeLines="20" w:after="48" w:afterLines="20"/>
        <w:jc w:val="left"/>
        <w:rPr>
          <w:rFonts w:hint="eastAsia" w:asciiTheme="minorEastAsia" w:hAnsiTheme="minorEastAsia" w:eastAsiaTheme="minorEastAsia"/>
          <w:color w:val="auto"/>
          <w:highlight w:val="none"/>
        </w:rPr>
      </w:pPr>
      <w:bookmarkStart w:id="69" w:name="_Toc532744125"/>
      <w:r>
        <w:rPr>
          <w:rFonts w:asciiTheme="minorEastAsia" w:hAnsiTheme="minorEastAsia" w:eastAsiaTheme="minorEastAsia"/>
          <w:color w:val="auto"/>
          <w:highlight w:val="none"/>
        </w:rPr>
        <w:t xml:space="preserve">7.6 </w:t>
      </w:r>
      <w:r>
        <w:rPr>
          <w:rFonts w:hint="eastAsia" w:asciiTheme="minorEastAsia" w:hAnsiTheme="minorEastAsia" w:eastAsiaTheme="minorEastAsia"/>
          <w:color w:val="auto"/>
          <w:highlight w:val="none"/>
        </w:rPr>
        <w:t>履约保证金</w:t>
      </w:r>
      <w:bookmarkEnd w:id="69"/>
    </w:p>
    <w:p>
      <w:pPr>
        <w:rPr>
          <w:rFonts w:hint="default" w:eastAsiaTheme="minorEastAsia"/>
          <w:lang w:val="en-US" w:eastAsia="zh-CN"/>
        </w:rPr>
      </w:pPr>
      <w:r>
        <w:rPr>
          <w:rFonts w:hint="eastAsia" w:asciiTheme="minorEastAsia" w:hAnsiTheme="minorEastAsia" w:eastAsiaTheme="minorEastAsia"/>
          <w:color w:val="auto"/>
          <w:highlight w:val="none"/>
          <w:lang w:val="en-US" w:eastAsia="zh-CN"/>
        </w:rPr>
        <w:t>本项目不收取履约保证金。</w:t>
      </w:r>
    </w:p>
    <w:p>
      <w:pPr>
        <w:spacing w:line="360" w:lineRule="auto"/>
        <w:ind w:firstLine="420" w:firstLineChars="200"/>
        <w:rPr>
          <w:rFonts w:asciiTheme="minorEastAsia" w:hAnsiTheme="minorEastAsia" w:eastAsiaTheme="minorEastAsia"/>
          <w:strike/>
          <w:color w:val="auto"/>
          <w:highlight w:val="none"/>
        </w:rPr>
      </w:pPr>
      <w:r>
        <w:rPr>
          <w:rFonts w:asciiTheme="minorEastAsia" w:hAnsiTheme="minorEastAsia" w:eastAsiaTheme="minorEastAsia"/>
          <w:strike/>
          <w:color w:val="auto"/>
          <w:highlight w:val="none"/>
        </w:rPr>
        <w:t xml:space="preserve">7.6.1 </w:t>
      </w:r>
      <w:r>
        <w:rPr>
          <w:rFonts w:hint="eastAsia" w:asciiTheme="minorEastAsia" w:hAnsiTheme="minorEastAsia" w:eastAsiaTheme="minorEastAsia"/>
          <w:strike/>
          <w:color w:val="auto"/>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Theme="minorEastAsia" w:hAnsiTheme="minorEastAsia" w:eastAsiaTheme="minorEastAsia"/>
          <w:strike/>
          <w:color w:val="auto"/>
          <w:highlight w:val="none"/>
        </w:rPr>
        <w:t xml:space="preserve"> 10%。联合体中标的，其履约保证金以联合体各方或者联合体中牵头人的名义提交。</w:t>
      </w:r>
    </w:p>
    <w:p>
      <w:pPr>
        <w:spacing w:line="360" w:lineRule="auto"/>
        <w:ind w:firstLine="420" w:firstLineChars="200"/>
        <w:rPr>
          <w:rFonts w:asciiTheme="minorEastAsia" w:hAnsiTheme="minorEastAsia" w:eastAsiaTheme="minorEastAsia"/>
          <w:strike/>
          <w:color w:val="auto"/>
          <w:highlight w:val="none"/>
        </w:rPr>
      </w:pPr>
      <w:r>
        <w:rPr>
          <w:rFonts w:asciiTheme="minorEastAsia" w:hAnsiTheme="minorEastAsia" w:eastAsiaTheme="minorEastAsia"/>
          <w:strike/>
          <w:color w:val="auto"/>
          <w:highlight w:val="none"/>
        </w:rPr>
        <w:t xml:space="preserve">7.6.2 </w:t>
      </w:r>
      <w:r>
        <w:rPr>
          <w:rFonts w:hint="eastAsia" w:asciiTheme="minorEastAsia" w:hAnsiTheme="minorEastAsia" w:eastAsiaTheme="minorEastAsia"/>
          <w:strike/>
          <w:color w:val="auto"/>
          <w:highlight w:val="none"/>
        </w:rPr>
        <w:t>中标人不能按本章第</w:t>
      </w:r>
      <w:r>
        <w:rPr>
          <w:rFonts w:asciiTheme="minorEastAsia" w:hAnsiTheme="minorEastAsia" w:eastAsiaTheme="minorEastAsia"/>
          <w:strike/>
          <w:color w:val="auto"/>
          <w:highlight w:val="none"/>
        </w:rPr>
        <w:t xml:space="preserve"> 7.6.1 </w:t>
      </w:r>
      <w:r>
        <w:rPr>
          <w:rFonts w:hint="eastAsia" w:asciiTheme="minorEastAsia" w:hAnsiTheme="minorEastAsia" w:eastAsiaTheme="minorEastAsia"/>
          <w:strike/>
          <w:color w:val="auto"/>
          <w:highlight w:val="none"/>
        </w:rPr>
        <w:t>项要求提交履约保证金的，视为放弃中标，其投标保证金不予退还，给招标人造成的损失超过投标保证金数额的，中标人还应当对超过部分予以赔偿。</w:t>
      </w:r>
    </w:p>
    <w:p>
      <w:pPr>
        <w:pStyle w:val="5"/>
        <w:spacing w:before="48" w:beforeLines="20" w:after="48" w:afterLines="20"/>
        <w:jc w:val="left"/>
        <w:rPr>
          <w:rFonts w:asciiTheme="minorEastAsia" w:hAnsiTheme="minorEastAsia" w:eastAsiaTheme="minorEastAsia"/>
          <w:color w:val="auto"/>
          <w:highlight w:val="none"/>
        </w:rPr>
      </w:pPr>
      <w:bookmarkStart w:id="70" w:name="_Toc532744126"/>
      <w:r>
        <w:rPr>
          <w:rFonts w:asciiTheme="minorEastAsia" w:hAnsiTheme="minorEastAsia" w:eastAsiaTheme="minorEastAsia"/>
          <w:color w:val="auto"/>
          <w:highlight w:val="none"/>
        </w:rPr>
        <w:t xml:space="preserve">7.7 </w:t>
      </w:r>
      <w:r>
        <w:rPr>
          <w:rFonts w:hint="eastAsia" w:asciiTheme="minorEastAsia" w:hAnsiTheme="minorEastAsia" w:eastAsiaTheme="minorEastAsia"/>
          <w:color w:val="auto"/>
          <w:highlight w:val="none"/>
        </w:rPr>
        <w:t>签订合同</w:t>
      </w:r>
      <w:bookmarkEnd w:id="70"/>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7.7.1 </w:t>
      </w:r>
      <w:r>
        <w:rPr>
          <w:rFonts w:hint="eastAsia" w:asciiTheme="minorEastAsia" w:hAnsiTheme="minorEastAsia" w:eastAsiaTheme="minorEastAsia"/>
          <w:color w:val="auto"/>
          <w:highlight w:val="none"/>
        </w:rPr>
        <w:t>招标人和中标人应当在中标通知书发出之日起</w:t>
      </w:r>
      <w:r>
        <w:rPr>
          <w:rFonts w:asciiTheme="minorEastAsia" w:hAnsiTheme="minorEastAsia" w:eastAsiaTheme="minorEastAsia"/>
          <w:color w:val="auto"/>
          <w:highlight w:val="none"/>
        </w:rPr>
        <w:t xml:space="preserve"> 30 </w:t>
      </w:r>
      <w:r>
        <w:rPr>
          <w:rFonts w:hint="eastAsia" w:asciiTheme="minorEastAsia" w:hAnsiTheme="minorEastAsia" w:eastAsiaTheme="minorEastAsia"/>
          <w:color w:val="auto"/>
          <w:highlight w:val="none"/>
        </w:rPr>
        <w:t>日内，根据招标文件和中标人的投标文件订立书面合同。中标人无正当理由拒签合同，在签订合同时向招标人提出附加条件，</w:t>
      </w:r>
      <w:r>
        <w:rPr>
          <w:rFonts w:hint="eastAsia" w:asciiTheme="minorEastAsia" w:hAnsiTheme="minorEastAsia" w:eastAsiaTheme="minorEastAsia"/>
          <w:strike/>
          <w:color w:val="auto"/>
          <w:highlight w:val="none"/>
        </w:rPr>
        <w:t>或者不按照招标文件要求提交履约保证金的，</w:t>
      </w:r>
      <w:r>
        <w:rPr>
          <w:rFonts w:hint="eastAsia" w:asciiTheme="minorEastAsia" w:hAnsiTheme="minorEastAsia" w:eastAsiaTheme="minorEastAsia"/>
          <w:color w:val="auto"/>
          <w:highlight w:val="none"/>
        </w:rPr>
        <w:t>招标人有权取消其中标资格</w:t>
      </w:r>
      <w:r>
        <w:rPr>
          <w:rFonts w:hint="eastAsia" w:asciiTheme="minorEastAsia" w:hAnsiTheme="minorEastAsia" w:eastAsiaTheme="minorEastAsia"/>
          <w:strike/>
          <w:color w:val="auto"/>
          <w:highlight w:val="none"/>
        </w:rPr>
        <w:t>，其投标保证金不予退还；给招标人造成的损失超过投标保证金数额的，中标人还应当对超过部分予以赔偿</w:t>
      </w:r>
      <w:r>
        <w:rPr>
          <w:rFonts w:hint="eastAsia" w:asciiTheme="minorEastAsia" w:hAnsiTheme="minorEastAsia" w:eastAsiaTheme="minorEastAsia"/>
          <w:color w:val="auto"/>
          <w:highlight w:val="none"/>
        </w:rPr>
        <w:t>。</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7.7.2 </w:t>
      </w:r>
      <w:r>
        <w:rPr>
          <w:rFonts w:hint="eastAsia" w:asciiTheme="minorEastAsia" w:hAnsiTheme="minorEastAsia" w:eastAsiaTheme="minorEastAsia"/>
          <w:color w:val="auto"/>
          <w:highlight w:val="none"/>
        </w:rPr>
        <w:t>发出中标通知书后，招标人无正当理由拒签合同，或者在签订合同时向中标人提出附加条件的，</w:t>
      </w:r>
      <w:r>
        <w:rPr>
          <w:rFonts w:hint="eastAsia" w:asciiTheme="minorEastAsia" w:hAnsiTheme="minorEastAsia" w:eastAsiaTheme="minorEastAsia"/>
          <w:strike/>
          <w:color w:val="auto"/>
          <w:highlight w:val="none"/>
        </w:rPr>
        <w:t>招标人向中标人退还投标保证金；</w:t>
      </w:r>
      <w:r>
        <w:rPr>
          <w:rFonts w:hint="eastAsia" w:asciiTheme="minorEastAsia" w:hAnsiTheme="minorEastAsia" w:eastAsiaTheme="minorEastAsia"/>
          <w:color w:val="auto"/>
          <w:highlight w:val="none"/>
        </w:rPr>
        <w:t>给中标人造成损失的，还应当赔偿损失。</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7.7.3 </w:t>
      </w:r>
      <w:r>
        <w:rPr>
          <w:rFonts w:hint="eastAsia" w:asciiTheme="minorEastAsia" w:hAnsiTheme="minorEastAsia" w:eastAsiaTheme="minorEastAsia"/>
          <w:color w:val="auto"/>
          <w:highlight w:val="none"/>
        </w:rPr>
        <w:t>联合体中标的，联合体各方应当共同与招标人签订合同，就中标项目向招标人承担连带责任。</w:t>
      </w:r>
    </w:p>
    <w:p>
      <w:pPr>
        <w:pStyle w:val="4"/>
        <w:rPr>
          <w:rFonts w:asciiTheme="minorEastAsia" w:hAnsiTheme="minorEastAsia" w:eastAsiaTheme="minorEastAsia"/>
          <w:color w:val="auto"/>
          <w:highlight w:val="none"/>
        </w:rPr>
      </w:pPr>
      <w:bookmarkStart w:id="71" w:name="_Toc532744127"/>
      <w:bookmarkStart w:id="72" w:name="_Toc24490"/>
      <w:r>
        <w:rPr>
          <w:rFonts w:asciiTheme="minorEastAsia" w:hAnsiTheme="minorEastAsia" w:eastAsiaTheme="minorEastAsia"/>
          <w:color w:val="auto"/>
          <w:highlight w:val="none"/>
        </w:rPr>
        <w:t xml:space="preserve">8. </w:t>
      </w:r>
      <w:r>
        <w:rPr>
          <w:rFonts w:hint="eastAsia" w:asciiTheme="minorEastAsia" w:hAnsiTheme="minorEastAsia" w:eastAsiaTheme="minorEastAsia"/>
          <w:color w:val="auto"/>
          <w:highlight w:val="none"/>
        </w:rPr>
        <w:t>纪律和监督</w:t>
      </w:r>
      <w:bookmarkEnd w:id="71"/>
      <w:bookmarkEnd w:id="72"/>
    </w:p>
    <w:p>
      <w:pPr>
        <w:pStyle w:val="5"/>
        <w:spacing w:before="48" w:beforeLines="20" w:after="48" w:afterLines="20"/>
        <w:jc w:val="left"/>
        <w:rPr>
          <w:rFonts w:asciiTheme="minorEastAsia" w:hAnsiTheme="minorEastAsia" w:eastAsiaTheme="minorEastAsia"/>
          <w:color w:val="auto"/>
          <w:highlight w:val="none"/>
        </w:rPr>
      </w:pPr>
      <w:bookmarkStart w:id="73" w:name="_Toc532744128"/>
      <w:r>
        <w:rPr>
          <w:rFonts w:asciiTheme="minorEastAsia" w:hAnsiTheme="minorEastAsia" w:eastAsiaTheme="minorEastAsia"/>
          <w:color w:val="auto"/>
          <w:highlight w:val="none"/>
        </w:rPr>
        <w:t xml:space="preserve">8.1 </w:t>
      </w:r>
      <w:r>
        <w:rPr>
          <w:rFonts w:hint="eastAsia" w:asciiTheme="minorEastAsia" w:hAnsiTheme="minorEastAsia" w:eastAsiaTheme="minorEastAsia"/>
          <w:color w:val="auto"/>
          <w:highlight w:val="none"/>
        </w:rPr>
        <w:t>对招标人的纪律要求</w:t>
      </w:r>
      <w:bookmarkEnd w:id="73"/>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招标人不得泄露招标投标活动中应当保密的情况和资料，不得与投标人串通损害国家利益、社会公共利益或者他人合法权益。</w:t>
      </w:r>
    </w:p>
    <w:p>
      <w:pPr>
        <w:pStyle w:val="5"/>
        <w:spacing w:before="48" w:beforeLines="20" w:after="48" w:afterLines="20"/>
        <w:jc w:val="left"/>
        <w:rPr>
          <w:rFonts w:asciiTheme="minorEastAsia" w:hAnsiTheme="minorEastAsia" w:eastAsiaTheme="minorEastAsia"/>
          <w:color w:val="auto"/>
          <w:highlight w:val="none"/>
        </w:rPr>
      </w:pPr>
      <w:bookmarkStart w:id="74" w:name="_Toc532744129"/>
      <w:r>
        <w:rPr>
          <w:rFonts w:asciiTheme="minorEastAsia" w:hAnsiTheme="minorEastAsia" w:eastAsiaTheme="minorEastAsia"/>
          <w:color w:val="auto"/>
          <w:highlight w:val="none"/>
        </w:rPr>
        <w:t xml:space="preserve">8.2 </w:t>
      </w:r>
      <w:r>
        <w:rPr>
          <w:rFonts w:hint="eastAsia" w:asciiTheme="minorEastAsia" w:hAnsiTheme="minorEastAsia" w:eastAsiaTheme="minorEastAsia"/>
          <w:color w:val="auto"/>
          <w:highlight w:val="none"/>
        </w:rPr>
        <w:t>对投标人的纪律要求</w:t>
      </w:r>
      <w:bookmarkEnd w:id="74"/>
    </w:p>
    <w:p>
      <w:pPr>
        <w:spacing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spacing w:before="48" w:beforeLines="20" w:after="48" w:afterLines="20"/>
        <w:jc w:val="left"/>
        <w:rPr>
          <w:rFonts w:asciiTheme="minorEastAsia" w:hAnsiTheme="minorEastAsia" w:eastAsiaTheme="minorEastAsia"/>
          <w:color w:val="auto"/>
          <w:highlight w:val="none"/>
        </w:rPr>
      </w:pPr>
      <w:bookmarkStart w:id="75" w:name="_Toc532744130"/>
      <w:r>
        <w:rPr>
          <w:rFonts w:asciiTheme="minorEastAsia" w:hAnsiTheme="minorEastAsia" w:eastAsiaTheme="minorEastAsia"/>
          <w:color w:val="auto"/>
          <w:highlight w:val="none"/>
        </w:rPr>
        <w:t xml:space="preserve">8.3 </w:t>
      </w:r>
      <w:r>
        <w:rPr>
          <w:rFonts w:hint="eastAsia" w:asciiTheme="minorEastAsia" w:hAnsiTheme="minorEastAsia" w:eastAsiaTheme="minorEastAsia"/>
          <w:color w:val="auto"/>
          <w:highlight w:val="none"/>
        </w:rPr>
        <w:t>对评标委员会成员的纪律要求</w:t>
      </w:r>
      <w:bookmarkEnd w:id="75"/>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spacing w:before="48" w:beforeLines="20" w:after="48" w:afterLines="20"/>
        <w:jc w:val="left"/>
        <w:rPr>
          <w:rFonts w:asciiTheme="minorEastAsia" w:hAnsiTheme="minorEastAsia" w:eastAsiaTheme="minorEastAsia"/>
          <w:color w:val="auto"/>
          <w:highlight w:val="none"/>
        </w:rPr>
      </w:pPr>
      <w:bookmarkStart w:id="76" w:name="_Toc532744131"/>
      <w:r>
        <w:rPr>
          <w:rFonts w:asciiTheme="minorEastAsia" w:hAnsiTheme="minorEastAsia" w:eastAsiaTheme="minorEastAsia"/>
          <w:color w:val="auto"/>
          <w:highlight w:val="none"/>
        </w:rPr>
        <w:t xml:space="preserve">8.4 </w:t>
      </w:r>
      <w:r>
        <w:rPr>
          <w:rFonts w:hint="eastAsia" w:asciiTheme="minorEastAsia" w:hAnsiTheme="minorEastAsia" w:eastAsiaTheme="minorEastAsia"/>
          <w:color w:val="auto"/>
          <w:highlight w:val="none"/>
        </w:rPr>
        <w:t>对与评标活动有关的工作人员的纪律要求</w:t>
      </w:r>
      <w:bookmarkEnd w:id="76"/>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spacing w:before="48" w:beforeLines="20" w:after="48" w:afterLines="20"/>
        <w:jc w:val="left"/>
        <w:rPr>
          <w:rFonts w:asciiTheme="minorEastAsia" w:hAnsiTheme="minorEastAsia" w:eastAsiaTheme="minorEastAsia"/>
          <w:color w:val="auto"/>
          <w:highlight w:val="none"/>
        </w:rPr>
      </w:pPr>
      <w:bookmarkStart w:id="77" w:name="_Toc532744132"/>
      <w:r>
        <w:rPr>
          <w:rFonts w:asciiTheme="minorEastAsia" w:hAnsiTheme="minorEastAsia" w:eastAsiaTheme="minorEastAsia"/>
          <w:color w:val="auto"/>
          <w:highlight w:val="none"/>
        </w:rPr>
        <w:t xml:space="preserve">8.5 </w:t>
      </w:r>
      <w:r>
        <w:rPr>
          <w:rFonts w:hint="eastAsia" w:asciiTheme="minorEastAsia" w:hAnsiTheme="minorEastAsia" w:eastAsiaTheme="minorEastAsia"/>
          <w:color w:val="auto"/>
          <w:highlight w:val="none"/>
        </w:rPr>
        <w:t>投诉</w:t>
      </w:r>
      <w:bookmarkEnd w:id="77"/>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8.5.1</w:t>
      </w:r>
      <w:r>
        <w:rPr>
          <w:rFonts w:hint="eastAsia" w:asciiTheme="minorEastAsia" w:hAnsiTheme="minorEastAsia" w:eastAsiaTheme="minorEastAsia"/>
          <w:color w:val="auto"/>
          <w:highlight w:val="none"/>
        </w:rPr>
        <w:t xml:space="preserve"> 投标人或者其他利害关系人认为招标投标活动不符合法律、行政法规规定的，可以自知道或者应当知道之日起</w:t>
      </w:r>
      <w:r>
        <w:rPr>
          <w:rFonts w:asciiTheme="minorEastAsia" w:hAnsiTheme="minorEastAsia" w:eastAsiaTheme="minorEastAsia"/>
          <w:color w:val="auto"/>
          <w:highlight w:val="none"/>
        </w:rPr>
        <w:t>10</w:t>
      </w:r>
      <w:r>
        <w:rPr>
          <w:rFonts w:hint="eastAsia" w:asciiTheme="minorEastAsia" w:hAnsiTheme="minorEastAsia" w:eastAsiaTheme="minorEastAsia"/>
          <w:color w:val="auto"/>
          <w:highlight w:val="none"/>
        </w:rPr>
        <w:t>日内向有关行政监督部门投诉。投诉应当有明确的请求和必要的证明材料。</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8.5.2</w:t>
      </w:r>
      <w:r>
        <w:rPr>
          <w:rFonts w:hint="eastAsia" w:asciiTheme="minorEastAsia" w:hAnsiTheme="minorEastAsia" w:eastAsiaTheme="minorEastAsia"/>
          <w:color w:val="auto"/>
          <w:highlight w:val="none"/>
        </w:rPr>
        <w:t xml:space="preserve"> 投标人或者其他利害关系人对招标文件、开标和评标结果提出投诉的，应当按照投标人须知第</w:t>
      </w:r>
      <w:r>
        <w:rPr>
          <w:rFonts w:asciiTheme="minorEastAsia" w:hAnsiTheme="minorEastAsia" w:eastAsiaTheme="minorEastAsia"/>
          <w:color w:val="auto"/>
          <w:highlight w:val="none"/>
        </w:rPr>
        <w:t>2.4</w:t>
      </w:r>
      <w:r>
        <w:rPr>
          <w:rFonts w:hint="eastAsia" w:asciiTheme="minorEastAsia" w:hAnsiTheme="minorEastAsia" w:eastAsiaTheme="minorEastAsia"/>
          <w:color w:val="auto"/>
          <w:highlight w:val="none"/>
        </w:rPr>
        <w:t>款、第</w:t>
      </w:r>
      <w:r>
        <w:rPr>
          <w:rFonts w:asciiTheme="minorEastAsia" w:hAnsiTheme="minorEastAsia" w:eastAsiaTheme="minorEastAsia"/>
          <w:color w:val="auto"/>
          <w:highlight w:val="none"/>
        </w:rPr>
        <w:t>5.3</w:t>
      </w:r>
      <w:r>
        <w:rPr>
          <w:rFonts w:hint="eastAsia" w:asciiTheme="minorEastAsia" w:hAnsiTheme="minorEastAsia" w:eastAsiaTheme="minorEastAsia"/>
          <w:color w:val="auto"/>
          <w:highlight w:val="none"/>
        </w:rPr>
        <w:t>款和第</w:t>
      </w:r>
      <w:r>
        <w:rPr>
          <w:rFonts w:asciiTheme="minorEastAsia" w:hAnsiTheme="minorEastAsia" w:eastAsiaTheme="minorEastAsia"/>
          <w:color w:val="auto"/>
          <w:highlight w:val="none"/>
        </w:rPr>
        <w:t>7.2</w:t>
      </w:r>
      <w:r>
        <w:rPr>
          <w:rFonts w:hint="eastAsia" w:asciiTheme="minorEastAsia" w:hAnsiTheme="minorEastAsia" w:eastAsiaTheme="minorEastAsia"/>
          <w:color w:val="auto"/>
          <w:highlight w:val="none"/>
        </w:rPr>
        <w:t>款的规定先向招标人提出异议。异议答复期间不计算在第</w:t>
      </w:r>
      <w:r>
        <w:rPr>
          <w:rFonts w:asciiTheme="minorEastAsia" w:hAnsiTheme="minorEastAsia" w:eastAsiaTheme="minorEastAsia"/>
          <w:color w:val="auto"/>
          <w:highlight w:val="none"/>
        </w:rPr>
        <w:t>8.5.1</w:t>
      </w:r>
      <w:r>
        <w:rPr>
          <w:rFonts w:hint="eastAsia" w:asciiTheme="minorEastAsia" w:hAnsiTheme="minorEastAsia" w:eastAsiaTheme="minorEastAsia"/>
          <w:color w:val="auto"/>
          <w:highlight w:val="none"/>
        </w:rPr>
        <w:t>项规定的期限内。</w:t>
      </w:r>
    </w:p>
    <w:p>
      <w:pPr>
        <w:pStyle w:val="4"/>
        <w:rPr>
          <w:rFonts w:asciiTheme="minorEastAsia" w:hAnsiTheme="minorEastAsia" w:eastAsiaTheme="minorEastAsia"/>
          <w:color w:val="auto"/>
          <w:highlight w:val="none"/>
        </w:rPr>
      </w:pPr>
      <w:bookmarkStart w:id="78" w:name="_Toc532744133"/>
      <w:bookmarkStart w:id="79" w:name="_Toc28718"/>
      <w:r>
        <w:rPr>
          <w:rFonts w:asciiTheme="minorEastAsia" w:hAnsiTheme="minorEastAsia" w:eastAsiaTheme="minorEastAsia"/>
          <w:color w:val="auto"/>
          <w:highlight w:val="none"/>
        </w:rPr>
        <w:t xml:space="preserve">9. </w:t>
      </w:r>
      <w:r>
        <w:rPr>
          <w:rFonts w:hint="eastAsia" w:asciiTheme="minorEastAsia" w:hAnsiTheme="minorEastAsia" w:eastAsiaTheme="minorEastAsia"/>
          <w:color w:val="auto"/>
          <w:highlight w:val="none"/>
        </w:rPr>
        <w:t>是否采用电子招标投标</w:t>
      </w:r>
      <w:bookmarkEnd w:id="78"/>
      <w:bookmarkEnd w:id="79"/>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u w:val="single"/>
        </w:rPr>
        <w:t>本招标项目采用电子招标投标方式</w:t>
      </w:r>
      <w:r>
        <w:rPr>
          <w:rFonts w:hint="eastAsia" w:asciiTheme="minorEastAsia" w:hAnsiTheme="minorEastAsia" w:eastAsiaTheme="minorEastAsia"/>
          <w:color w:val="auto"/>
          <w:highlight w:val="none"/>
        </w:rPr>
        <w:t>，见投标人须知前附表。</w:t>
      </w:r>
    </w:p>
    <w:p>
      <w:pPr>
        <w:pStyle w:val="4"/>
        <w:rPr>
          <w:rFonts w:asciiTheme="minorEastAsia" w:hAnsiTheme="minorEastAsia" w:eastAsiaTheme="minorEastAsia"/>
          <w:color w:val="auto"/>
          <w:highlight w:val="none"/>
        </w:rPr>
      </w:pPr>
      <w:bookmarkStart w:id="80" w:name="_Toc10616"/>
      <w:bookmarkStart w:id="81" w:name="_Toc532744134"/>
      <w:r>
        <w:rPr>
          <w:rFonts w:asciiTheme="minorEastAsia" w:hAnsiTheme="minorEastAsia" w:eastAsiaTheme="minorEastAsia"/>
          <w:color w:val="auto"/>
          <w:highlight w:val="none"/>
        </w:rPr>
        <w:t xml:space="preserve">10. </w:t>
      </w:r>
      <w:r>
        <w:rPr>
          <w:rFonts w:hint="eastAsia" w:asciiTheme="minorEastAsia" w:hAnsiTheme="minorEastAsia" w:eastAsiaTheme="minorEastAsia"/>
          <w:color w:val="auto"/>
          <w:highlight w:val="none"/>
        </w:rPr>
        <w:t>需要补充的其他内容</w:t>
      </w:r>
      <w:bookmarkEnd w:id="80"/>
      <w:bookmarkEnd w:id="81"/>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需要补充的其他内容：见投标人须知前附表。</w:t>
      </w:r>
    </w:p>
    <w:p>
      <w:pPr>
        <w:spacing w:line="361"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br w:type="page"/>
      </w:r>
    </w:p>
    <w:p>
      <w:pPr>
        <w:pStyle w:val="5"/>
        <w:spacing w:line="413" w:lineRule="auto"/>
        <w:ind w:firstLine="137"/>
        <w:rPr>
          <w:rFonts w:asciiTheme="minorEastAsia" w:hAnsiTheme="minorEastAsia" w:eastAsiaTheme="minorEastAsia"/>
          <w:color w:val="auto"/>
          <w:highlight w:val="none"/>
        </w:rPr>
      </w:pPr>
      <w:bookmarkStart w:id="82" w:name="_Toc525063247"/>
      <w:r>
        <w:rPr>
          <w:rFonts w:hint="eastAsia" w:asciiTheme="minorEastAsia" w:hAnsiTheme="minorEastAsia" w:eastAsiaTheme="minorEastAsia"/>
          <w:color w:val="auto"/>
          <w:highlight w:val="none"/>
        </w:rPr>
        <w:t>附件一：开标记录表</w:t>
      </w:r>
      <w:bookmarkEnd w:id="82"/>
    </w:p>
    <w:p>
      <w:pPr>
        <w:spacing w:line="440" w:lineRule="exact"/>
        <w:jc w:val="center"/>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8"/>
          <w:highlight w:val="none"/>
        </w:rPr>
        <w:t>开标记录表</w:t>
      </w:r>
    </w:p>
    <w:p>
      <w:pPr>
        <w:spacing w:before="120" w:beforeLines="50" w:after="120" w:afterLines="50" w:line="400" w:lineRule="exact"/>
        <w:ind w:right="42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项目编号：</w:t>
      </w:r>
    </w:p>
    <w:p>
      <w:pPr>
        <w:spacing w:before="120" w:beforeLines="50" w:after="120" w:afterLines="50" w:line="400" w:lineRule="exact"/>
        <w:ind w:right="420"/>
        <w:jc w:val="left"/>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rPr>
        <w:t>项目名称：</w:t>
      </w:r>
    </w:p>
    <w:p>
      <w:pPr>
        <w:spacing w:before="120" w:beforeLines="50" w:after="120" w:afterLines="50" w:line="400" w:lineRule="exact"/>
        <w:ind w:right="420"/>
        <w:jc w:val="left"/>
        <w:rPr>
          <w:rFonts w:ascii="宋体" w:hAnsi="宋体" w:eastAsia="宋体" w:cs="宋体"/>
          <w:color w:val="auto"/>
          <w:highlight w:val="none"/>
        </w:rPr>
      </w:pPr>
      <w:r>
        <w:rPr>
          <w:rFonts w:hint="eastAsia" w:ascii="宋体" w:hAnsi="宋体" w:eastAsia="宋体" w:cs="宋体"/>
          <w:color w:val="auto"/>
          <w:highlight w:val="none"/>
        </w:rPr>
        <w:t>开标时间：</w:t>
      </w:r>
      <w:r>
        <w:rPr>
          <w:rFonts w:hint="eastAsia" w:ascii="宋体" w:hAnsi="宋体" w:eastAsia="宋体" w:cs="宋体"/>
          <w:color w:val="auto"/>
          <w:spacing w:val="-2"/>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r>
        <w:rPr>
          <w:rFonts w:hint="eastAsia" w:ascii="宋体" w:hAnsi="宋体" w:eastAsia="宋体" w:cs="宋体"/>
          <w:color w:val="auto"/>
          <w:highlight w:val="none"/>
          <w:u w:val="single"/>
        </w:rPr>
        <w:tab/>
      </w:r>
      <w:r>
        <w:rPr>
          <w:rFonts w:hint="eastAsia" w:ascii="宋体" w:hAnsi="宋体" w:eastAsia="宋体" w:cs="宋体"/>
          <w:color w:val="auto"/>
          <w:highlight w:val="none"/>
        </w:rPr>
        <w:t>时</w:t>
      </w:r>
      <w:r>
        <w:rPr>
          <w:rFonts w:hint="eastAsia" w:ascii="宋体" w:hAnsi="宋体" w:eastAsia="宋体" w:cs="宋体"/>
          <w:color w:val="auto"/>
          <w:highlight w:val="none"/>
          <w:u w:val="single"/>
        </w:rPr>
        <w:tab/>
      </w:r>
      <w:r>
        <w:rPr>
          <w:rFonts w:hint="eastAsia" w:ascii="宋体" w:hAnsi="宋体" w:eastAsia="宋体" w:cs="宋体"/>
          <w:color w:val="auto"/>
          <w:highlight w:val="none"/>
        </w:rPr>
        <w:t>分</w:t>
      </w:r>
    </w:p>
    <w:tbl>
      <w:tblPr>
        <w:tblStyle w:val="41"/>
        <w:tblW w:w="8655" w:type="dxa"/>
        <w:jc w:val="center"/>
        <w:tblLayout w:type="fixed"/>
        <w:tblCellMar>
          <w:top w:w="0" w:type="dxa"/>
          <w:left w:w="108" w:type="dxa"/>
          <w:bottom w:w="0" w:type="dxa"/>
          <w:right w:w="108" w:type="dxa"/>
        </w:tblCellMar>
      </w:tblPr>
      <w:tblGrid>
        <w:gridCol w:w="774"/>
        <w:gridCol w:w="1931"/>
        <w:gridCol w:w="750"/>
        <w:gridCol w:w="1066"/>
        <w:gridCol w:w="1017"/>
        <w:gridCol w:w="933"/>
        <w:gridCol w:w="850"/>
        <w:gridCol w:w="1334"/>
      </w:tblGrid>
      <w:tr>
        <w:tblPrEx>
          <w:tblCellMar>
            <w:top w:w="0" w:type="dxa"/>
            <w:left w:w="108" w:type="dxa"/>
            <w:bottom w:w="0" w:type="dxa"/>
            <w:right w:w="108" w:type="dxa"/>
          </w:tblCellMar>
        </w:tblPrEx>
        <w:trPr>
          <w:trHeight w:val="694"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w:t>
            </w: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密封情况</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w:t>
            </w:r>
          </w:p>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0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bCs/>
                <w:color w:val="auto"/>
                <w:szCs w:val="21"/>
                <w:highlight w:val="none"/>
              </w:rPr>
              <w:t>保</w:t>
            </w:r>
            <w:r>
              <w:rPr>
                <w:rFonts w:hint="eastAsia" w:ascii="宋体" w:hAnsi="宋体" w:eastAsia="宋体" w:cs="宋体"/>
                <w:color w:val="auto"/>
                <w:szCs w:val="21"/>
                <w:highlight w:val="none"/>
              </w:rPr>
              <w:t>险费费率</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投标人代表签名</w:t>
            </w:r>
          </w:p>
        </w:tc>
      </w:tr>
      <w:tr>
        <w:tblPrEx>
          <w:tblCellMar>
            <w:top w:w="0" w:type="dxa"/>
            <w:left w:w="108" w:type="dxa"/>
            <w:bottom w:w="0" w:type="dxa"/>
            <w:right w:w="108" w:type="dxa"/>
          </w:tblCellMar>
        </w:tblPrEx>
        <w:trPr>
          <w:trHeight w:val="3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931"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33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931"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33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931"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33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931"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33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931"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33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931"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33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931"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33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931"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33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931"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33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931"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33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bookmarkStart w:id="83" w:name="_Toc17638"/>
          </w:p>
        </w:tc>
        <w:tc>
          <w:tcPr>
            <w:tcW w:w="1931"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c>
          <w:tcPr>
            <w:tcW w:w="1334" w:type="dxa"/>
            <w:tcBorders>
              <w:top w:val="single" w:color="auto" w:sz="4" w:space="0"/>
              <w:left w:val="single" w:color="auto" w:sz="4" w:space="0"/>
              <w:bottom w:val="single" w:color="auto" w:sz="4" w:space="0"/>
              <w:right w:val="single" w:color="auto" w:sz="4" w:space="0"/>
            </w:tcBorders>
            <w:vAlign w:val="center"/>
          </w:tcPr>
          <w:p>
            <w:pPr>
              <w:keepNext/>
              <w:keepLines/>
              <w:spacing w:line="576" w:lineRule="auto"/>
              <w:jc w:val="center"/>
              <w:outlineLvl w:val="0"/>
              <w:rPr>
                <w:rFonts w:ascii="宋体" w:hAnsi="宋体" w:eastAsia="宋体" w:cs="宋体"/>
                <w:color w:val="auto"/>
                <w:szCs w:val="21"/>
                <w:highlight w:val="none"/>
              </w:rPr>
            </w:pPr>
          </w:p>
        </w:tc>
      </w:tr>
      <w:bookmarkEnd w:id="83"/>
    </w:tbl>
    <w:p>
      <w:pPr>
        <w:spacing w:line="44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w:t>
      </w:r>
    </w:p>
    <w:p>
      <w:pPr>
        <w:spacing w:line="440" w:lineRule="exact"/>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本表仅供参考，具体以开标时的开标记录表为准。</w:t>
      </w:r>
    </w:p>
    <w:p>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w:t>
      </w:r>
    </w:p>
    <w:p>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招标人代表：               记录人：              监标人：       </w:t>
      </w:r>
    </w:p>
    <w:p>
      <w:pPr>
        <w:spacing w:line="440" w:lineRule="exact"/>
        <w:jc w:val="right"/>
        <w:rPr>
          <w:rFonts w:ascii="宋体" w:hAnsi="宋体" w:eastAsia="宋体" w:cs="宋体"/>
          <w:color w:val="auto"/>
          <w:highlight w:val="none"/>
        </w:rPr>
      </w:pPr>
      <w:r>
        <w:rPr>
          <w:rFonts w:hint="eastAsia" w:ascii="宋体" w:hAnsi="宋体" w:eastAsia="宋体" w:cs="宋体"/>
          <w:color w:val="auto"/>
          <w:szCs w:val="21"/>
          <w:highlight w:val="none"/>
        </w:rPr>
        <w:t xml:space="preserve">       年       月       日</w:t>
      </w:r>
    </w:p>
    <w:p>
      <w:pPr>
        <w:pStyle w:val="5"/>
        <w:ind w:firstLine="137"/>
        <w:rPr>
          <w:rFonts w:asciiTheme="minorEastAsia" w:hAnsiTheme="minorEastAsia" w:eastAsiaTheme="minorEastAsia"/>
          <w:color w:val="auto"/>
          <w:highlight w:val="none"/>
        </w:rPr>
      </w:pPr>
      <w:bookmarkStart w:id="84" w:name="_Toc525063248"/>
      <w:r>
        <w:rPr>
          <w:rFonts w:hint="eastAsia" w:asciiTheme="minorEastAsia" w:hAnsiTheme="minorEastAsia" w:eastAsiaTheme="minorEastAsia"/>
          <w:color w:val="auto"/>
          <w:highlight w:val="none"/>
        </w:rPr>
        <w:t>附件二：问题澄清通知</w:t>
      </w:r>
      <w:bookmarkEnd w:id="84"/>
    </w:p>
    <w:p>
      <w:pPr>
        <w:spacing w:line="440" w:lineRule="exact"/>
        <w:jc w:val="center"/>
        <w:rPr>
          <w:rFonts w:asciiTheme="minorEastAsia" w:hAnsiTheme="minorEastAsia" w:eastAsiaTheme="minorEastAsia"/>
          <w:color w:val="auto"/>
          <w:highlight w:val="none"/>
        </w:rPr>
      </w:pPr>
    </w:p>
    <w:p>
      <w:pPr>
        <w:spacing w:line="440" w:lineRule="exact"/>
        <w:jc w:val="center"/>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8"/>
          <w:highlight w:val="none"/>
        </w:rPr>
        <w:t>问题澄清通知</w:t>
      </w:r>
    </w:p>
    <w:p>
      <w:pPr>
        <w:pStyle w:val="18"/>
        <w:tabs>
          <w:tab w:val="left" w:pos="2937"/>
        </w:tabs>
        <w:kinsoku w:val="0"/>
        <w:overflowPunct w:val="0"/>
        <w:ind w:right="22"/>
        <w:jc w:val="center"/>
        <w:rPr>
          <w:color w:val="auto"/>
          <w:highlight w:val="none"/>
        </w:rPr>
      </w:pPr>
      <w:bookmarkStart w:id="85" w:name="_Toc152042355"/>
      <w:bookmarkStart w:id="86" w:name="_Toc144974546"/>
      <w:r>
        <w:rPr>
          <w:color w:val="auto"/>
          <w:highlight w:val="none"/>
        </w:rPr>
        <w:t>（编</w:t>
      </w:r>
      <w:r>
        <w:rPr>
          <w:color w:val="auto"/>
          <w:spacing w:val="-3"/>
          <w:highlight w:val="none"/>
        </w:rPr>
        <w:t>号</w:t>
      </w:r>
      <w:r>
        <w:rPr>
          <w:color w:val="auto"/>
          <w:spacing w:val="-1"/>
          <w:highlight w:val="none"/>
        </w:rPr>
        <w:t>：</w:t>
      </w:r>
      <w:r>
        <w:rPr>
          <w:color w:val="auto"/>
          <w:spacing w:val="-1"/>
          <w:highlight w:val="none"/>
          <w:u w:val="single"/>
        </w:rPr>
        <w:tab/>
      </w:r>
      <w:r>
        <w:rPr>
          <w:color w:val="auto"/>
          <w:highlight w:val="none"/>
        </w:rPr>
        <w:t>）</w:t>
      </w:r>
    </w:p>
    <w:p>
      <w:pPr>
        <w:kinsoku w:val="0"/>
        <w:overflowPunct w:val="0"/>
        <w:spacing w:before="7" w:line="160" w:lineRule="exact"/>
        <w:rPr>
          <w:color w:val="auto"/>
          <w:sz w:val="16"/>
          <w:highlight w:val="none"/>
        </w:rPr>
      </w:pPr>
    </w:p>
    <w:p>
      <w:pPr>
        <w:kinsoku w:val="0"/>
        <w:overflowPunct w:val="0"/>
        <w:spacing w:line="200" w:lineRule="exact"/>
        <w:rPr>
          <w:color w:val="auto"/>
          <w:highlight w:val="none"/>
        </w:rPr>
      </w:pPr>
    </w:p>
    <w:p>
      <w:pPr>
        <w:kinsoku w:val="0"/>
        <w:overflowPunct w:val="0"/>
        <w:spacing w:line="200" w:lineRule="exact"/>
        <w:rPr>
          <w:color w:val="auto"/>
          <w:highlight w:val="none"/>
        </w:rPr>
      </w:pPr>
    </w:p>
    <w:p>
      <w:pPr>
        <w:pStyle w:val="54"/>
        <w:rPr>
          <w:color w:val="auto"/>
          <w:highlight w:val="none"/>
        </w:rPr>
      </w:pPr>
      <w:r>
        <w:rPr>
          <w:rFonts w:hint="eastAsia" w:asciiTheme="minorEastAsia" w:hAnsiTheme="minorEastAsia" w:eastAsiaTheme="minorEastAsia"/>
          <w:color w:val="auto"/>
          <w:highlight w:val="none"/>
        </w:rPr>
        <w:t>（按</w:t>
      </w:r>
      <w:r>
        <w:rPr>
          <w:rFonts w:hint="eastAsia" w:asciiTheme="minorEastAsia" w:hAnsiTheme="minorEastAsia" w:eastAsiaTheme="minorEastAsia"/>
          <w:color w:val="auto"/>
          <w:highlight w:val="none"/>
          <w:lang w:eastAsia="zh-CN"/>
        </w:rPr>
        <w:t>广州交易集团有限公司（广州公共资源交易中心）</w:t>
      </w:r>
      <w:r>
        <w:rPr>
          <w:rFonts w:hint="eastAsia" w:asciiTheme="minorEastAsia" w:hAnsiTheme="minorEastAsia" w:eastAsiaTheme="minorEastAsia"/>
          <w:color w:val="auto"/>
          <w:highlight w:val="none"/>
        </w:rPr>
        <w:t>规定格式）</w:t>
      </w:r>
    </w:p>
    <w:p>
      <w:pPr>
        <w:spacing w:line="400" w:lineRule="exact"/>
        <w:rPr>
          <w:rFonts w:asciiTheme="minorEastAsia" w:hAnsiTheme="minorEastAsia" w:eastAsiaTheme="minorEastAsia"/>
          <w:color w:val="auto"/>
          <w:highlight w:val="none"/>
        </w:rPr>
      </w:pPr>
    </w:p>
    <w:p>
      <w:pPr>
        <w:spacing w:line="400" w:lineRule="exact"/>
        <w:rPr>
          <w:rFonts w:asciiTheme="minorEastAsia" w:hAnsiTheme="minorEastAsia" w:eastAsiaTheme="minorEastAsia"/>
          <w:color w:val="auto"/>
          <w:highlight w:val="none"/>
        </w:rPr>
      </w:pPr>
    </w:p>
    <w:p>
      <w:pPr>
        <w:spacing w:line="400" w:lineRule="exact"/>
        <w:rPr>
          <w:rFonts w:asciiTheme="minorEastAsia" w:hAnsiTheme="minorEastAsia" w:eastAsiaTheme="minorEastAsia"/>
          <w:color w:val="auto"/>
          <w:highlight w:val="none"/>
        </w:rPr>
      </w:pPr>
    </w:p>
    <w:p>
      <w:pPr>
        <w:ind w:firstLine="137"/>
        <w:rPr>
          <w:rFonts w:asciiTheme="minorEastAsia" w:hAnsiTheme="minorEastAsia" w:eastAsiaTheme="minorEastAsia"/>
          <w:color w:val="auto"/>
          <w:highlight w:val="none"/>
        </w:rPr>
      </w:pPr>
      <w:bookmarkStart w:id="87" w:name="_Toc525063249"/>
      <w:r>
        <w:rPr>
          <w:rFonts w:hint="eastAsia" w:asciiTheme="minorEastAsia" w:hAnsiTheme="minorEastAsia" w:eastAsiaTheme="minorEastAsia"/>
          <w:color w:val="auto"/>
          <w:highlight w:val="none"/>
        </w:rPr>
        <w:br w:type="page"/>
      </w:r>
    </w:p>
    <w:p>
      <w:pPr>
        <w:pStyle w:val="5"/>
        <w:ind w:firstLine="137"/>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附件三：问题的澄清</w:t>
      </w:r>
      <w:bookmarkEnd w:id="87"/>
    </w:p>
    <w:p>
      <w:pPr>
        <w:spacing w:line="400" w:lineRule="exact"/>
        <w:jc w:val="center"/>
        <w:rPr>
          <w:rFonts w:asciiTheme="minorEastAsia" w:hAnsiTheme="minorEastAsia" w:eastAsiaTheme="minorEastAsia"/>
          <w:color w:val="auto"/>
          <w:sz w:val="28"/>
          <w:highlight w:val="none"/>
        </w:rPr>
      </w:pPr>
    </w:p>
    <w:p>
      <w:pPr>
        <w:spacing w:line="400" w:lineRule="exact"/>
        <w:jc w:val="center"/>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8"/>
          <w:highlight w:val="none"/>
        </w:rPr>
        <w:t>问</w:t>
      </w:r>
      <w:bookmarkEnd w:id="85"/>
      <w:r>
        <w:rPr>
          <w:rFonts w:hint="eastAsia" w:asciiTheme="minorEastAsia" w:hAnsiTheme="minorEastAsia" w:eastAsiaTheme="minorEastAsia"/>
          <w:color w:val="auto"/>
          <w:sz w:val="28"/>
          <w:highlight w:val="none"/>
        </w:rPr>
        <w:t>题</w:t>
      </w:r>
      <w:bookmarkStart w:id="88" w:name="_Toc247527604"/>
      <w:bookmarkStart w:id="89" w:name="_Toc152042356"/>
      <w:bookmarkStart w:id="90" w:name="_Toc152045579"/>
      <w:bookmarkStart w:id="91" w:name="_Toc369531568"/>
      <w:bookmarkStart w:id="92" w:name="_Toc352691524"/>
      <w:bookmarkStart w:id="93" w:name="_Toc3622"/>
      <w:bookmarkStart w:id="94" w:name="_Toc300834999"/>
      <w:bookmarkStart w:id="95" w:name="_Toc384308263"/>
      <w:bookmarkStart w:id="96" w:name="_Toc361508637"/>
      <w:bookmarkStart w:id="97" w:name="_Toc247514003"/>
      <w:r>
        <w:rPr>
          <w:rFonts w:hint="eastAsia" w:asciiTheme="minorEastAsia" w:hAnsiTheme="minorEastAsia" w:eastAsiaTheme="minorEastAsia"/>
          <w:color w:val="auto"/>
          <w:sz w:val="28"/>
          <w:highlight w:val="none"/>
        </w:rPr>
        <w:t>的澄清</w:t>
      </w:r>
    </w:p>
    <w:bookmarkEnd w:id="86"/>
    <w:bookmarkEnd w:id="88"/>
    <w:bookmarkEnd w:id="89"/>
    <w:bookmarkEnd w:id="90"/>
    <w:bookmarkEnd w:id="91"/>
    <w:bookmarkEnd w:id="92"/>
    <w:bookmarkEnd w:id="93"/>
    <w:bookmarkEnd w:id="94"/>
    <w:bookmarkEnd w:id="95"/>
    <w:bookmarkEnd w:id="96"/>
    <w:bookmarkEnd w:id="97"/>
    <w:p>
      <w:pPr>
        <w:pStyle w:val="18"/>
        <w:tabs>
          <w:tab w:val="left" w:pos="5947"/>
        </w:tabs>
        <w:kinsoku w:val="0"/>
        <w:overflowPunct w:val="0"/>
        <w:spacing w:before="79"/>
        <w:ind w:left="3566"/>
        <w:rPr>
          <w:color w:val="auto"/>
          <w:highlight w:val="none"/>
        </w:rPr>
      </w:pPr>
      <w:r>
        <w:rPr>
          <w:color w:val="auto"/>
          <w:highlight w:val="none"/>
        </w:rPr>
        <w:t>（编</w:t>
      </w:r>
      <w:r>
        <w:rPr>
          <w:color w:val="auto"/>
          <w:spacing w:val="-3"/>
          <w:highlight w:val="none"/>
        </w:rPr>
        <w:t>号</w:t>
      </w:r>
      <w:r>
        <w:rPr>
          <w:color w:val="auto"/>
          <w:spacing w:val="-1"/>
          <w:highlight w:val="none"/>
        </w:rPr>
        <w:t>：</w:t>
      </w:r>
      <w:r>
        <w:rPr>
          <w:color w:val="auto"/>
          <w:spacing w:val="-1"/>
          <w:highlight w:val="none"/>
          <w:u w:val="single"/>
        </w:rPr>
        <w:tab/>
      </w:r>
      <w:r>
        <w:rPr>
          <w:color w:val="auto"/>
          <w:highlight w:val="none"/>
        </w:rPr>
        <w:t>）</w:t>
      </w:r>
    </w:p>
    <w:p>
      <w:pPr>
        <w:kinsoku w:val="0"/>
        <w:overflowPunct w:val="0"/>
        <w:spacing w:before="4" w:line="120" w:lineRule="exact"/>
        <w:rPr>
          <w:color w:val="auto"/>
          <w:sz w:val="12"/>
          <w:highlight w:val="none"/>
        </w:rPr>
      </w:pPr>
    </w:p>
    <w:p>
      <w:pPr>
        <w:kinsoku w:val="0"/>
        <w:overflowPunct w:val="0"/>
        <w:spacing w:line="200" w:lineRule="exact"/>
        <w:rPr>
          <w:color w:val="auto"/>
          <w:highlight w:val="none"/>
        </w:rPr>
      </w:pPr>
    </w:p>
    <w:p>
      <w:pPr>
        <w:kinsoku w:val="0"/>
        <w:overflowPunct w:val="0"/>
        <w:spacing w:line="200" w:lineRule="exact"/>
        <w:rPr>
          <w:color w:val="auto"/>
          <w:highlight w:val="none"/>
        </w:rPr>
      </w:pPr>
    </w:p>
    <w:p>
      <w:pPr>
        <w:spacing w:line="48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（按</w:t>
      </w:r>
      <w:r>
        <w:rPr>
          <w:rFonts w:hint="eastAsia" w:asciiTheme="minorEastAsia" w:hAnsiTheme="minorEastAsia" w:eastAsiaTheme="minorEastAsia"/>
          <w:color w:val="auto"/>
          <w:highlight w:val="none"/>
          <w:lang w:eastAsia="zh-CN"/>
        </w:rPr>
        <w:t>广州交易集团有限公司（广州公共资源交易中心）</w:t>
      </w:r>
      <w:r>
        <w:rPr>
          <w:rFonts w:hint="eastAsia" w:asciiTheme="minorEastAsia" w:hAnsiTheme="minorEastAsia" w:eastAsiaTheme="minorEastAsia"/>
          <w:color w:val="auto"/>
          <w:highlight w:val="none"/>
        </w:rPr>
        <w:t>规定格式）　　　　　　　　　　　　　　</w:t>
      </w:r>
    </w:p>
    <w:p>
      <w:pPr>
        <w:spacing w:line="400" w:lineRule="exact"/>
        <w:rPr>
          <w:rFonts w:asciiTheme="minorEastAsia" w:hAnsiTheme="minorEastAsia" w:eastAsiaTheme="minorEastAsia"/>
          <w:color w:val="auto"/>
          <w:highlight w:val="none"/>
        </w:rPr>
      </w:pPr>
    </w:p>
    <w:p>
      <w:pPr>
        <w:pStyle w:val="5"/>
        <w:ind w:firstLine="137"/>
        <w:rPr>
          <w:rFonts w:asciiTheme="minorEastAsia" w:hAnsiTheme="minorEastAsia" w:eastAsiaTheme="minorEastAsia"/>
          <w:color w:val="auto"/>
          <w:highlight w:val="none"/>
        </w:rPr>
        <w:sectPr>
          <w:footerReference r:id="rId3" w:type="default"/>
          <w:pgSz w:w="12240" w:h="15840"/>
          <w:pgMar w:top="1440" w:right="1588" w:bottom="1440" w:left="1588" w:header="720" w:footer="720" w:gutter="0"/>
          <w:pgNumType w:start="2"/>
          <w:cols w:space="0" w:num="1"/>
          <w:docGrid w:linePitch="286" w:charSpace="0"/>
        </w:sectPr>
      </w:pPr>
      <w:bookmarkStart w:id="98" w:name="_Toc492300623"/>
      <w:bookmarkStart w:id="99" w:name="_Toc520363149"/>
    </w:p>
    <w:bookmarkEnd w:id="98"/>
    <w:bookmarkEnd w:id="99"/>
    <w:p>
      <w:pPr>
        <w:pStyle w:val="3"/>
        <w:jc w:val="center"/>
        <w:rPr>
          <w:color w:val="auto"/>
          <w:highlight w:val="none"/>
        </w:rPr>
      </w:pPr>
      <w:bookmarkStart w:id="100" w:name="_Toc1355"/>
      <w:bookmarkStart w:id="101" w:name="_Toc26987"/>
      <w:bookmarkStart w:id="102" w:name="_Toc4512"/>
      <w:bookmarkStart w:id="103" w:name="_Toc19788"/>
      <w:bookmarkStart w:id="104" w:name="_Hlk18338202"/>
      <w:r>
        <w:rPr>
          <w:rFonts w:hint="eastAsia"/>
          <w:color w:val="auto"/>
          <w:highlight w:val="none"/>
        </w:rPr>
        <w:t>第三章 评标办法（综合评估法）</w:t>
      </w:r>
      <w:bookmarkEnd w:id="100"/>
      <w:bookmarkEnd w:id="101"/>
      <w:bookmarkEnd w:id="102"/>
      <w:bookmarkEnd w:id="103"/>
    </w:p>
    <w:p>
      <w:pPr>
        <w:pStyle w:val="144"/>
        <w:kinsoku w:val="0"/>
        <w:overflowPunct w:val="0"/>
        <w:ind w:left="100"/>
        <w:jc w:val="center"/>
        <w:rPr>
          <w:rFonts w:hint="default" w:asciiTheme="minorEastAsia" w:hAnsiTheme="minorEastAsia" w:eastAsiaTheme="minorEastAsia"/>
          <w:color w:val="auto"/>
          <w:highlight w:val="none"/>
        </w:rPr>
      </w:pPr>
      <w:bookmarkStart w:id="105" w:name="bookmark83"/>
      <w:bookmarkEnd w:id="105"/>
      <w:bookmarkStart w:id="106" w:name="_Toc30612"/>
      <w:bookmarkStart w:id="107" w:name="_Toc16937"/>
      <w:r>
        <w:rPr>
          <w:b/>
          <w:bCs/>
          <w:color w:val="auto"/>
          <w:spacing w:val="2"/>
          <w:highlight w:val="none"/>
        </w:rPr>
        <w:t>评标办法前附表</w:t>
      </w:r>
      <w:bookmarkEnd w:id="106"/>
      <w:bookmarkEnd w:id="107"/>
    </w:p>
    <w:tbl>
      <w:tblPr>
        <w:tblStyle w:val="41"/>
        <w:tblW w:w="935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5"/>
        <w:gridCol w:w="1099"/>
        <w:gridCol w:w="2654"/>
        <w:gridCol w:w="46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blHeader/>
        </w:trPr>
        <w:tc>
          <w:tcPr>
            <w:tcW w:w="2024" w:type="dxa"/>
            <w:gridSpan w:val="3"/>
            <w:tcBorders>
              <w:top w:val="single" w:color="auto" w:sz="4" w:space="0"/>
              <w:bottom w:val="single" w:color="auto" w:sz="4" w:space="0"/>
              <w:right w:val="single" w:color="auto" w:sz="4" w:space="0"/>
            </w:tcBorders>
            <w:vAlign w:val="center"/>
          </w:tcPr>
          <w:p>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4679" w:type="dxa"/>
            <w:tcBorders>
              <w:top w:val="single" w:color="auto" w:sz="4" w:space="0"/>
              <w:left w:val="single" w:color="auto" w:sz="4" w:space="0"/>
              <w:bottom w:val="single" w:color="auto" w:sz="4" w:space="0"/>
            </w:tcBorders>
            <w:vAlign w:val="center"/>
          </w:tcPr>
          <w:p>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6" w:hRule="atLeast"/>
        </w:trPr>
        <w:tc>
          <w:tcPr>
            <w:tcW w:w="900" w:type="dxa"/>
            <w:tcBorders>
              <w:top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中标候选人排序方法</w:t>
            </w:r>
          </w:p>
        </w:tc>
        <w:tc>
          <w:tcPr>
            <w:tcW w:w="4679" w:type="dxa"/>
            <w:tcBorders>
              <w:top w:val="single" w:color="auto" w:sz="4" w:space="0"/>
              <w:left w:val="single" w:color="auto" w:sz="4" w:space="0"/>
              <w:bottom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u w:val="single"/>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分相等时，以投标报价低的优先；投标报价也相等的，以技术部分得分高的优先；如果技术部分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trPr>
        <w:tc>
          <w:tcPr>
            <w:tcW w:w="900" w:type="dxa"/>
            <w:vMerge w:val="restart"/>
            <w:tcBorders>
              <w:top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1124" w:type="dxa"/>
            <w:gridSpan w:val="2"/>
            <w:vMerge w:val="restart"/>
            <w:tcBorders>
              <w:top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形式评审标准</w:t>
            </w: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4679" w:type="dxa"/>
            <w:tcBorders>
              <w:top w:val="single" w:color="auto" w:sz="4" w:space="0"/>
              <w:left w:val="single" w:color="auto" w:sz="4" w:space="0"/>
              <w:bottom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7" w:hRule="atLeast"/>
        </w:trPr>
        <w:tc>
          <w:tcPr>
            <w:tcW w:w="900" w:type="dxa"/>
            <w:vMerge w:val="continue"/>
            <w:tcBorders>
              <w:right w:val="single" w:color="auto" w:sz="4" w:space="0"/>
            </w:tcBorders>
            <w:vAlign w:val="center"/>
          </w:tcPr>
          <w:p>
            <w:pPr>
              <w:keepNext/>
              <w:keepLines/>
              <w:jc w:val="center"/>
              <w:outlineLvl w:val="2"/>
              <w:rPr>
                <w:rFonts w:ascii="宋体" w:hAnsi="宋体" w:eastAsia="宋体" w:cs="宋体"/>
                <w:color w:val="auto"/>
                <w:szCs w:val="21"/>
                <w:highlight w:val="none"/>
              </w:rPr>
            </w:pPr>
          </w:p>
        </w:tc>
        <w:tc>
          <w:tcPr>
            <w:tcW w:w="1124" w:type="dxa"/>
            <w:gridSpan w:val="2"/>
            <w:vMerge w:val="continue"/>
            <w:tcBorders>
              <w:right w:val="single" w:color="auto" w:sz="4" w:space="0"/>
            </w:tcBorders>
            <w:vAlign w:val="center"/>
          </w:tcPr>
          <w:p>
            <w:pPr>
              <w:keepNext/>
              <w:keepLines/>
              <w:jc w:val="center"/>
              <w:outlineLvl w:val="2"/>
              <w:rPr>
                <w:rFonts w:ascii="宋体" w:hAnsi="宋体" w:eastAsia="宋体" w:cs="宋体"/>
                <w:color w:val="auto"/>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投标函及投标函附录签字盖章</w:t>
            </w:r>
          </w:p>
        </w:tc>
        <w:tc>
          <w:tcPr>
            <w:tcW w:w="4679" w:type="dxa"/>
            <w:tcBorders>
              <w:top w:val="single" w:color="auto" w:sz="4" w:space="0"/>
              <w:left w:val="single" w:color="auto" w:sz="4" w:space="0"/>
              <w:bottom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由法定代表人</w:t>
            </w:r>
            <w:r>
              <w:rPr>
                <w:rFonts w:hint="eastAsia" w:ascii="宋体" w:hAnsi="宋体" w:eastAsia="宋体" w:cs="Calibri"/>
                <w:color w:val="auto"/>
                <w:szCs w:val="21"/>
                <w:highlight w:val="none"/>
              </w:rPr>
              <w:t>（负责人）</w:t>
            </w:r>
            <w:r>
              <w:rPr>
                <w:rFonts w:hint="eastAsia" w:ascii="宋体" w:hAnsi="宋体" w:eastAsia="宋体" w:cs="宋体"/>
                <w:color w:val="auto"/>
                <w:szCs w:val="21"/>
                <w:highlight w:val="none"/>
              </w:rPr>
              <w:t>或其委托代理人签字或盖章并加盖单位章。由法定代表人</w:t>
            </w:r>
            <w:r>
              <w:rPr>
                <w:rFonts w:hint="eastAsia" w:ascii="宋体" w:hAnsi="宋体" w:eastAsia="宋体" w:cs="Calibri"/>
                <w:color w:val="auto"/>
                <w:szCs w:val="21"/>
                <w:highlight w:val="none"/>
              </w:rPr>
              <w:t>（负责人）</w:t>
            </w:r>
            <w:r>
              <w:rPr>
                <w:rFonts w:hint="eastAsia" w:ascii="宋体" w:hAnsi="宋体" w:eastAsia="宋体" w:cs="宋体"/>
                <w:color w:val="auto"/>
                <w:szCs w:val="21"/>
                <w:highlight w:val="none"/>
              </w:rPr>
              <w:t>签字的，应附法定代表人</w:t>
            </w:r>
            <w:r>
              <w:rPr>
                <w:rFonts w:hint="eastAsia" w:ascii="宋体" w:hAnsi="宋体" w:eastAsia="宋体" w:cs="Calibri"/>
                <w:color w:val="auto"/>
                <w:szCs w:val="21"/>
                <w:highlight w:val="none"/>
              </w:rPr>
              <w:t>（负责人）</w:t>
            </w:r>
            <w:r>
              <w:rPr>
                <w:rFonts w:hint="eastAsia" w:ascii="宋体" w:hAnsi="宋体" w:eastAsia="宋体" w:cs="宋体"/>
                <w:color w:val="auto"/>
                <w:szCs w:val="21"/>
                <w:highlight w:val="none"/>
              </w:rPr>
              <w:t>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trPr>
        <w:tc>
          <w:tcPr>
            <w:tcW w:w="900" w:type="dxa"/>
            <w:vMerge w:val="continue"/>
            <w:tcBorders>
              <w:right w:val="single" w:color="auto" w:sz="4" w:space="0"/>
            </w:tcBorders>
            <w:vAlign w:val="center"/>
          </w:tcPr>
          <w:p>
            <w:pPr>
              <w:keepNext/>
              <w:keepLines/>
              <w:jc w:val="center"/>
              <w:outlineLvl w:val="2"/>
              <w:rPr>
                <w:rFonts w:ascii="宋体" w:hAnsi="宋体" w:eastAsia="宋体" w:cs="宋体"/>
                <w:color w:val="auto"/>
                <w:szCs w:val="21"/>
                <w:highlight w:val="none"/>
              </w:rPr>
            </w:pPr>
          </w:p>
        </w:tc>
        <w:tc>
          <w:tcPr>
            <w:tcW w:w="1124" w:type="dxa"/>
            <w:gridSpan w:val="2"/>
            <w:vMerge w:val="continue"/>
            <w:tcBorders>
              <w:right w:val="single" w:color="auto" w:sz="4" w:space="0"/>
            </w:tcBorders>
            <w:vAlign w:val="center"/>
          </w:tcPr>
          <w:p>
            <w:pPr>
              <w:keepNext/>
              <w:keepLines/>
              <w:jc w:val="center"/>
              <w:outlineLvl w:val="2"/>
              <w:rPr>
                <w:rFonts w:ascii="宋体" w:hAnsi="宋体" w:eastAsia="宋体" w:cs="宋体"/>
                <w:color w:val="auto"/>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4679" w:type="dxa"/>
            <w:tcBorders>
              <w:top w:val="single" w:color="auto" w:sz="4" w:space="0"/>
              <w:left w:val="single" w:color="auto" w:sz="4" w:space="0"/>
              <w:bottom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符合第六章“投标文件格式”的规定</w:t>
            </w:r>
            <w:r>
              <w:rPr>
                <w:rFonts w:hint="eastAsia" w:ascii="宋体" w:hAnsi="宋体" w:eastAsia="宋体" w:cs="宋体"/>
                <w:b/>
                <w:bCs/>
                <w:color w:val="auto"/>
                <w:szCs w:val="21"/>
                <w:highlight w:val="none"/>
                <w:u w:val="single"/>
              </w:rPr>
              <w:t>（规定格式为</w:t>
            </w:r>
            <w:r>
              <w:rPr>
                <w:rFonts w:ascii="宋体" w:hAnsi="宋体" w:eastAsia="宋体" w:cs="宋体"/>
                <w:b/>
                <w:bCs/>
                <w:color w:val="auto"/>
                <w:szCs w:val="21"/>
                <w:highlight w:val="none"/>
                <w:u w:val="single"/>
              </w:rPr>
              <w:t>1.1</w:t>
            </w:r>
            <w:r>
              <w:rPr>
                <w:rFonts w:hint="eastAsia" w:ascii="宋体" w:hAnsi="宋体" w:eastAsia="宋体" w:cs="宋体"/>
                <w:b/>
                <w:bCs/>
                <w:color w:val="auto"/>
                <w:szCs w:val="21"/>
                <w:highlight w:val="none"/>
                <w:u w:val="single"/>
              </w:rPr>
              <w:t>、</w:t>
            </w:r>
            <w:r>
              <w:rPr>
                <w:rFonts w:ascii="宋体" w:hAnsi="宋体" w:eastAsia="宋体" w:cs="宋体"/>
                <w:b/>
                <w:bCs/>
                <w:color w:val="auto"/>
                <w:szCs w:val="21"/>
                <w:highlight w:val="none"/>
                <w:u w:val="single"/>
              </w:rPr>
              <w:t>1.2</w:t>
            </w:r>
            <w:r>
              <w:rPr>
                <w:rFonts w:hint="eastAsia" w:ascii="宋体" w:hAnsi="宋体" w:eastAsia="宋体" w:cs="宋体"/>
                <w:b/>
                <w:bCs/>
                <w:color w:val="auto"/>
                <w:szCs w:val="21"/>
                <w:highlight w:val="none"/>
                <w:u w:val="single"/>
              </w:rPr>
              <w:t>、</w:t>
            </w:r>
            <w:r>
              <w:rPr>
                <w:rFonts w:ascii="宋体" w:hAnsi="宋体" w:eastAsia="宋体" w:cs="宋体"/>
                <w:b/>
                <w:bCs/>
                <w:color w:val="auto"/>
                <w:szCs w:val="21"/>
                <w:highlight w:val="none"/>
                <w:u w:val="single"/>
              </w:rPr>
              <w:t>3.2</w:t>
            </w:r>
            <w:r>
              <w:rPr>
                <w:rFonts w:hint="eastAsia" w:ascii="宋体" w:hAnsi="宋体" w:eastAsia="宋体" w:cs="宋体"/>
                <w:b/>
                <w:bCs/>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0" w:hRule="atLeast"/>
        </w:trPr>
        <w:tc>
          <w:tcPr>
            <w:tcW w:w="900" w:type="dxa"/>
            <w:vMerge w:val="continue"/>
            <w:tcBorders>
              <w:right w:val="single" w:color="auto" w:sz="4" w:space="0"/>
            </w:tcBorders>
            <w:vAlign w:val="center"/>
          </w:tcPr>
          <w:p>
            <w:pPr>
              <w:keepNext/>
              <w:keepLines/>
              <w:jc w:val="center"/>
              <w:outlineLvl w:val="2"/>
              <w:rPr>
                <w:rFonts w:ascii="宋体" w:hAnsi="宋体" w:eastAsia="宋体" w:cs="宋体"/>
                <w:color w:val="auto"/>
                <w:szCs w:val="21"/>
                <w:highlight w:val="none"/>
              </w:rPr>
            </w:pPr>
          </w:p>
        </w:tc>
        <w:tc>
          <w:tcPr>
            <w:tcW w:w="1124" w:type="dxa"/>
            <w:gridSpan w:val="2"/>
            <w:vMerge w:val="continue"/>
            <w:tcBorders>
              <w:right w:val="single" w:color="auto" w:sz="4" w:space="0"/>
            </w:tcBorders>
            <w:vAlign w:val="center"/>
          </w:tcPr>
          <w:p>
            <w:pPr>
              <w:keepNext/>
              <w:keepLines/>
              <w:jc w:val="center"/>
              <w:outlineLvl w:val="2"/>
              <w:rPr>
                <w:rFonts w:ascii="宋体" w:hAnsi="宋体" w:eastAsia="宋体" w:cs="宋体"/>
                <w:color w:val="auto"/>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投标人加密打包投标文件电脑机器特征码</w:t>
            </w:r>
          </w:p>
        </w:tc>
        <w:tc>
          <w:tcPr>
            <w:tcW w:w="4679" w:type="dxa"/>
            <w:tcBorders>
              <w:top w:val="single" w:color="auto" w:sz="4" w:space="0"/>
              <w:left w:val="single" w:color="auto" w:sz="4" w:space="0"/>
              <w:bottom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u w:val="single"/>
              </w:rPr>
              <w:t>投标人与其他投标人加密打包投标文件电脑机器特征码一致的（以</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评标系统的检索信息为准）将被否决。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5" w:hRule="atLeast"/>
        </w:trPr>
        <w:tc>
          <w:tcPr>
            <w:tcW w:w="900" w:type="dxa"/>
            <w:vMerge w:val="continue"/>
            <w:tcBorders>
              <w:bottom w:val="single" w:color="auto" w:sz="4" w:space="0"/>
              <w:right w:val="single" w:color="auto" w:sz="4" w:space="0"/>
            </w:tcBorders>
            <w:vAlign w:val="center"/>
          </w:tcPr>
          <w:p>
            <w:pPr>
              <w:keepNext/>
              <w:keepLines/>
              <w:jc w:val="center"/>
              <w:outlineLvl w:val="2"/>
              <w:rPr>
                <w:rFonts w:ascii="宋体" w:hAnsi="宋体" w:eastAsia="宋体" w:cs="宋体"/>
                <w:color w:val="auto"/>
                <w:szCs w:val="21"/>
                <w:highlight w:val="none"/>
              </w:rPr>
            </w:pPr>
          </w:p>
        </w:tc>
        <w:tc>
          <w:tcPr>
            <w:tcW w:w="1124" w:type="dxa"/>
            <w:gridSpan w:val="2"/>
            <w:vMerge w:val="continue"/>
            <w:tcBorders>
              <w:right w:val="single" w:color="auto" w:sz="4" w:space="0"/>
            </w:tcBorders>
            <w:vAlign w:val="center"/>
          </w:tcPr>
          <w:p>
            <w:pPr>
              <w:keepNext/>
              <w:keepLines/>
              <w:jc w:val="center"/>
              <w:outlineLvl w:val="2"/>
              <w:rPr>
                <w:rFonts w:ascii="宋体" w:hAnsi="宋体" w:eastAsia="宋体" w:cs="宋体"/>
                <w:color w:val="auto"/>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备选投标方案</w:t>
            </w:r>
          </w:p>
        </w:tc>
        <w:tc>
          <w:tcPr>
            <w:tcW w:w="4679" w:type="dxa"/>
            <w:tcBorders>
              <w:top w:val="single" w:color="auto" w:sz="4" w:space="0"/>
              <w:left w:val="single" w:color="auto" w:sz="4" w:space="0"/>
              <w:bottom w:val="single" w:color="auto" w:sz="4" w:space="0"/>
            </w:tcBorders>
            <w:vAlign w:val="center"/>
          </w:tcPr>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3" w:hRule="atLeast"/>
        </w:trPr>
        <w:tc>
          <w:tcPr>
            <w:tcW w:w="900" w:type="dxa"/>
            <w:vMerge w:val="restart"/>
            <w:tcBorders>
              <w:top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1124"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营业执照和组织机构代码证</w:t>
            </w:r>
          </w:p>
        </w:tc>
        <w:tc>
          <w:tcPr>
            <w:tcW w:w="4679" w:type="dxa"/>
            <w:tcBorders>
              <w:top w:val="single" w:color="auto" w:sz="4" w:space="0"/>
              <w:left w:val="single" w:color="auto" w:sz="4" w:space="0"/>
              <w:bottom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符合第二章“投标人须知”第3.5.1项规定，具备有效的营业执照和组织机构代码证。按照“三证合一”或“五证合一”登记制度进行登记的投标人，可仅提供营业执照扫描件。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trPr>
        <w:tc>
          <w:tcPr>
            <w:tcW w:w="900" w:type="dxa"/>
            <w:vMerge w:val="continue"/>
            <w:tcBorders>
              <w:right w:val="single" w:color="auto" w:sz="4" w:space="0"/>
            </w:tcBorders>
            <w:vAlign w:val="center"/>
          </w:tcPr>
          <w:p>
            <w:pPr>
              <w:jc w:val="center"/>
              <w:rPr>
                <w:rFonts w:ascii="宋体" w:hAnsi="宋体" w:eastAsia="宋体" w:cs="宋体"/>
                <w:color w:val="auto"/>
                <w:szCs w:val="21"/>
                <w:highlight w:val="none"/>
              </w:rPr>
            </w:pPr>
          </w:p>
        </w:tc>
        <w:tc>
          <w:tcPr>
            <w:tcW w:w="1124" w:type="dxa"/>
            <w:gridSpan w:val="2"/>
            <w:vMerge w:val="continue"/>
            <w:tcBorders>
              <w:left w:val="single" w:color="auto" w:sz="4" w:space="0"/>
              <w:right w:val="single" w:color="auto" w:sz="4" w:space="0"/>
            </w:tcBorders>
            <w:vAlign w:val="center"/>
          </w:tcPr>
          <w:p>
            <w:pPr>
              <w:jc w:val="center"/>
              <w:rPr>
                <w:rFonts w:ascii="宋体" w:hAnsi="宋体" w:eastAsia="宋体" w:cs="宋体"/>
                <w:color w:val="auto"/>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资质要求</w:t>
            </w:r>
          </w:p>
        </w:tc>
        <w:tc>
          <w:tcPr>
            <w:tcW w:w="4679" w:type="dxa"/>
            <w:tcBorders>
              <w:top w:val="single" w:color="auto" w:sz="4" w:space="0"/>
              <w:left w:val="single" w:color="auto" w:sz="4" w:space="0"/>
              <w:bottom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900" w:type="dxa"/>
            <w:vMerge w:val="continue"/>
            <w:tcBorders>
              <w:right w:val="single" w:color="auto" w:sz="4" w:space="0"/>
            </w:tcBorders>
            <w:vAlign w:val="center"/>
          </w:tcPr>
          <w:p>
            <w:pPr>
              <w:jc w:val="center"/>
              <w:rPr>
                <w:rFonts w:ascii="宋体" w:hAnsi="宋体" w:eastAsia="宋体" w:cs="宋体"/>
                <w:color w:val="auto"/>
                <w:szCs w:val="21"/>
                <w:highlight w:val="none"/>
              </w:rPr>
            </w:pPr>
          </w:p>
        </w:tc>
        <w:tc>
          <w:tcPr>
            <w:tcW w:w="1124" w:type="dxa"/>
            <w:gridSpan w:val="2"/>
            <w:vMerge w:val="continue"/>
            <w:tcBorders>
              <w:left w:val="single" w:color="auto" w:sz="4" w:space="0"/>
              <w:right w:val="single" w:color="auto" w:sz="4" w:space="0"/>
            </w:tcBorders>
            <w:vAlign w:val="center"/>
          </w:tcPr>
          <w:p>
            <w:pPr>
              <w:jc w:val="center"/>
              <w:rPr>
                <w:rFonts w:ascii="宋体" w:hAnsi="宋体" w:eastAsia="宋体" w:cs="宋体"/>
                <w:color w:val="auto"/>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4679" w:type="dxa"/>
            <w:tcBorders>
              <w:top w:val="single" w:color="auto" w:sz="4" w:space="0"/>
              <w:left w:val="single" w:color="auto" w:sz="4" w:space="0"/>
              <w:bottom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900" w:type="dxa"/>
            <w:vMerge w:val="continue"/>
            <w:tcBorders>
              <w:right w:val="single" w:color="auto" w:sz="4" w:space="0"/>
            </w:tcBorders>
            <w:vAlign w:val="center"/>
          </w:tcPr>
          <w:p>
            <w:pPr>
              <w:jc w:val="center"/>
              <w:rPr>
                <w:rFonts w:ascii="宋体" w:hAnsi="宋体" w:eastAsia="宋体" w:cs="宋体"/>
                <w:color w:val="auto"/>
                <w:szCs w:val="21"/>
                <w:highlight w:val="none"/>
              </w:rPr>
            </w:pPr>
          </w:p>
        </w:tc>
        <w:tc>
          <w:tcPr>
            <w:tcW w:w="1124" w:type="dxa"/>
            <w:gridSpan w:val="2"/>
            <w:vMerge w:val="continue"/>
            <w:tcBorders>
              <w:left w:val="single" w:color="auto" w:sz="4" w:space="0"/>
              <w:right w:val="single" w:color="auto" w:sz="4" w:space="0"/>
            </w:tcBorders>
            <w:vAlign w:val="center"/>
          </w:tcPr>
          <w:p>
            <w:pPr>
              <w:jc w:val="center"/>
              <w:rPr>
                <w:rFonts w:ascii="宋体" w:hAnsi="宋体" w:eastAsia="宋体" w:cs="宋体"/>
                <w:color w:val="auto"/>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联合体投标人</w:t>
            </w:r>
          </w:p>
        </w:tc>
        <w:tc>
          <w:tcPr>
            <w:tcW w:w="4679" w:type="dxa"/>
            <w:tcBorders>
              <w:top w:val="single" w:color="auto" w:sz="4" w:space="0"/>
              <w:left w:val="single" w:color="auto" w:sz="4" w:space="0"/>
              <w:bottom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不允许联合体投标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900" w:type="dxa"/>
            <w:vMerge w:val="continue"/>
            <w:tcBorders>
              <w:right w:val="single" w:color="auto" w:sz="4" w:space="0"/>
            </w:tcBorders>
            <w:vAlign w:val="center"/>
          </w:tcPr>
          <w:p>
            <w:pPr>
              <w:jc w:val="center"/>
              <w:rPr>
                <w:rFonts w:ascii="宋体" w:hAnsi="宋体" w:eastAsia="宋体" w:cs="宋体"/>
                <w:color w:val="auto"/>
                <w:szCs w:val="21"/>
                <w:highlight w:val="none"/>
              </w:rPr>
            </w:pPr>
          </w:p>
        </w:tc>
        <w:tc>
          <w:tcPr>
            <w:tcW w:w="1124" w:type="dxa"/>
            <w:gridSpan w:val="2"/>
            <w:vMerge w:val="continue"/>
            <w:tcBorders>
              <w:left w:val="single" w:color="auto" w:sz="4" w:space="0"/>
              <w:right w:val="single" w:color="auto" w:sz="4" w:space="0"/>
            </w:tcBorders>
            <w:vAlign w:val="center"/>
          </w:tcPr>
          <w:p>
            <w:pPr>
              <w:jc w:val="center"/>
              <w:rPr>
                <w:rFonts w:ascii="宋体" w:hAnsi="宋体" w:eastAsia="宋体" w:cs="宋体"/>
                <w:color w:val="auto"/>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不存在禁止投标的情形</w:t>
            </w:r>
          </w:p>
        </w:tc>
        <w:tc>
          <w:tcPr>
            <w:tcW w:w="4679" w:type="dxa"/>
            <w:tcBorders>
              <w:top w:val="single" w:color="auto" w:sz="4" w:space="0"/>
              <w:left w:val="single" w:color="auto" w:sz="4" w:space="0"/>
              <w:bottom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49" w:hRule="atLeast"/>
        </w:trPr>
        <w:tc>
          <w:tcPr>
            <w:tcW w:w="900" w:type="dxa"/>
            <w:vMerge w:val="restart"/>
            <w:tcBorders>
              <w:top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1124"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响应性评审标准</w:t>
            </w: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4679" w:type="dxa"/>
            <w:tcBorders>
              <w:top w:val="single" w:color="auto" w:sz="4" w:space="0"/>
              <w:left w:val="single" w:color="auto" w:sz="4" w:space="0"/>
              <w:bottom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符合第二章“投标人须知”第3.2款规定进行投标报价的；对同一招标项目没有出现两个或以上的投标报价，且修正无依据；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0" w:hRule="atLeast"/>
        </w:trPr>
        <w:tc>
          <w:tcPr>
            <w:tcW w:w="900" w:type="dxa"/>
            <w:vMerge w:val="continue"/>
            <w:tcBorders>
              <w:top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4679" w:type="dxa"/>
            <w:tcBorders>
              <w:top w:val="single" w:color="auto" w:sz="4" w:space="0"/>
              <w:left w:val="single" w:color="auto" w:sz="4" w:space="0"/>
              <w:bottom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trPr>
        <w:tc>
          <w:tcPr>
            <w:tcW w:w="900" w:type="dxa"/>
            <w:vMerge w:val="continue"/>
            <w:tcBorders>
              <w:top w:val="single" w:color="auto" w:sz="4" w:space="0"/>
              <w:bottom w:val="single" w:color="auto" w:sz="4" w:space="0"/>
              <w:right w:val="single" w:color="auto" w:sz="4" w:space="0"/>
            </w:tcBorders>
            <w:vAlign w:val="center"/>
          </w:tcPr>
          <w:p>
            <w:pPr>
              <w:rPr>
                <w:rFonts w:ascii="宋体" w:hAnsi="宋体" w:eastAsia="宋体" w:cs="宋体"/>
                <w:color w:val="auto"/>
                <w:szCs w:val="21"/>
                <w:highlight w:val="none"/>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4679" w:type="dxa"/>
            <w:tcBorders>
              <w:top w:val="single" w:color="auto" w:sz="4" w:space="0"/>
              <w:left w:val="single" w:color="auto" w:sz="4" w:space="0"/>
              <w:bottom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0" w:hRule="atLeast"/>
        </w:trPr>
        <w:tc>
          <w:tcPr>
            <w:tcW w:w="900" w:type="dxa"/>
            <w:vMerge w:val="continue"/>
            <w:tcBorders>
              <w:top w:val="single" w:color="auto" w:sz="4" w:space="0"/>
              <w:bottom w:val="single" w:color="auto" w:sz="4" w:space="0"/>
              <w:right w:val="single" w:color="auto" w:sz="4" w:space="0"/>
            </w:tcBorders>
            <w:vAlign w:val="center"/>
          </w:tcPr>
          <w:p>
            <w:pPr>
              <w:keepNext/>
              <w:keepLines/>
              <w:jc w:val="center"/>
              <w:outlineLvl w:val="2"/>
              <w:rPr>
                <w:rFonts w:ascii="宋体" w:hAnsi="宋体" w:eastAsia="宋体" w:cs="宋体"/>
                <w:color w:val="auto"/>
                <w:szCs w:val="21"/>
                <w:highlight w:val="none"/>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pPr>
              <w:keepNext/>
              <w:keepLines/>
              <w:jc w:val="center"/>
              <w:outlineLvl w:val="2"/>
              <w:rPr>
                <w:rFonts w:ascii="宋体" w:hAnsi="宋体" w:eastAsia="宋体" w:cs="宋体"/>
                <w:color w:val="auto"/>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trike/>
                <w:color w:val="auto"/>
                <w:szCs w:val="21"/>
                <w:highlight w:val="none"/>
              </w:rPr>
            </w:pPr>
            <w:r>
              <w:rPr>
                <w:rFonts w:hint="eastAsia" w:ascii="宋体" w:hAnsi="宋体" w:eastAsia="宋体" w:cs="宋体"/>
                <w:strike/>
                <w:color w:val="auto"/>
                <w:szCs w:val="21"/>
                <w:highlight w:val="none"/>
              </w:rPr>
              <w:t>投标保证金</w:t>
            </w:r>
          </w:p>
        </w:tc>
        <w:tc>
          <w:tcPr>
            <w:tcW w:w="4679" w:type="dxa"/>
            <w:tcBorders>
              <w:top w:val="single" w:color="auto" w:sz="4" w:space="0"/>
              <w:left w:val="single" w:color="auto" w:sz="4" w:space="0"/>
              <w:bottom w:val="single" w:color="auto" w:sz="4" w:space="0"/>
            </w:tcBorders>
            <w:vAlign w:val="center"/>
          </w:tcPr>
          <w:p>
            <w:pPr>
              <w:rPr>
                <w:rFonts w:ascii="宋体" w:hAnsi="宋体" w:eastAsia="宋体" w:cs="宋体"/>
                <w:strike/>
                <w:color w:val="auto"/>
                <w:szCs w:val="21"/>
                <w:highlight w:val="none"/>
              </w:rPr>
            </w:pPr>
            <w:r>
              <w:rPr>
                <w:rFonts w:hint="eastAsia" w:ascii="宋体" w:hAnsi="宋体" w:eastAsia="宋体" w:cs="宋体"/>
                <w:strike/>
                <w:color w:val="auto"/>
                <w:szCs w:val="21"/>
                <w:highlight w:val="none"/>
              </w:rPr>
              <w:t>符合第二章“投标人须知”第 3.4.1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1" w:hRule="atLeast"/>
        </w:trPr>
        <w:tc>
          <w:tcPr>
            <w:tcW w:w="900" w:type="dxa"/>
            <w:vMerge w:val="continue"/>
            <w:tcBorders>
              <w:top w:val="single" w:color="auto" w:sz="4" w:space="0"/>
              <w:bottom w:val="single" w:color="auto" w:sz="4" w:space="0"/>
              <w:right w:val="single" w:color="auto" w:sz="4" w:space="0"/>
            </w:tcBorders>
            <w:vAlign w:val="center"/>
          </w:tcPr>
          <w:p>
            <w:pPr>
              <w:keepNext/>
              <w:keepLines/>
              <w:jc w:val="center"/>
              <w:outlineLvl w:val="2"/>
              <w:rPr>
                <w:rFonts w:ascii="宋体" w:hAnsi="宋体" w:eastAsia="宋体" w:cs="宋体"/>
                <w:color w:val="auto"/>
                <w:szCs w:val="21"/>
                <w:highlight w:val="none"/>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pPr>
              <w:keepNext/>
              <w:keepLines/>
              <w:jc w:val="center"/>
              <w:outlineLvl w:val="2"/>
              <w:rPr>
                <w:rFonts w:ascii="宋体" w:hAnsi="宋体" w:eastAsia="宋体" w:cs="宋体"/>
                <w:color w:val="auto"/>
                <w:szCs w:val="21"/>
                <w:highlight w:val="none"/>
              </w:rPr>
            </w:pPr>
          </w:p>
        </w:tc>
        <w:tc>
          <w:tcPr>
            <w:tcW w:w="2654"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串通投标情形</w:t>
            </w:r>
          </w:p>
        </w:tc>
        <w:tc>
          <w:tcPr>
            <w:tcW w:w="4679" w:type="dxa"/>
            <w:tcBorders>
              <w:top w:val="single" w:color="auto" w:sz="4" w:space="0"/>
              <w:left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u w:val="singl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6" w:hRule="atLeast"/>
        </w:trPr>
        <w:tc>
          <w:tcPr>
            <w:tcW w:w="2024" w:type="dxa"/>
            <w:gridSpan w:val="3"/>
            <w:tcBorders>
              <w:bottom w:val="single" w:color="auto" w:sz="4" w:space="0"/>
              <w:right w:val="single" w:color="auto" w:sz="4" w:space="0"/>
            </w:tcBorders>
            <w:vAlign w:val="center"/>
          </w:tcPr>
          <w:p>
            <w:pPr>
              <w:spacing w:after="120"/>
              <w:ind w:firstLine="210" w:firstLineChars="1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2654" w:type="dxa"/>
            <w:tcBorders>
              <w:top w:val="single" w:color="auto" w:sz="4" w:space="0"/>
              <w:left w:val="single" w:color="auto" w:sz="4" w:space="0"/>
              <w:bottom w:val="single" w:color="auto" w:sz="4" w:space="0"/>
              <w:right w:val="single" w:color="auto" w:sz="4" w:space="0"/>
            </w:tcBorders>
            <w:vAlign w:val="center"/>
          </w:tcPr>
          <w:p>
            <w:pPr>
              <w:spacing w:after="120"/>
              <w:ind w:firstLine="210" w:firstLineChars="1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分值构成</w:t>
            </w:r>
          </w:p>
          <w:p>
            <w:pPr>
              <w:spacing w:after="120"/>
              <w:ind w:firstLine="210" w:firstLineChars="1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4679" w:type="dxa"/>
            <w:tcBorders>
              <w:top w:val="single" w:color="auto" w:sz="4" w:space="0"/>
              <w:left w:val="single" w:color="auto" w:sz="4" w:space="0"/>
              <w:bottom w:val="single" w:color="auto" w:sz="4" w:space="0"/>
            </w:tcBorders>
            <w:vAlign w:val="center"/>
          </w:tcPr>
          <w:p>
            <w:pPr>
              <w:spacing w:after="8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投标人总得分＝资信业绩部分得分＋技术部分得分+投标报价部分得分。</w:t>
            </w:r>
          </w:p>
          <w:p>
            <w:pPr>
              <w:spacing w:after="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资信业绩部分：</w:t>
            </w:r>
            <w:r>
              <w:rPr>
                <w:rFonts w:hint="eastAsia" w:ascii="宋体" w:hAnsi="宋体" w:eastAsia="宋体" w:cs="宋体"/>
                <w:color w:val="auto"/>
                <w:kern w:val="0"/>
                <w:szCs w:val="21"/>
                <w:highlight w:val="none"/>
                <w:u w:val="single"/>
                <w:lang w:val="en-US" w:eastAsia="zh-CN"/>
              </w:rPr>
              <w:t>40</w:t>
            </w:r>
            <w:r>
              <w:rPr>
                <w:rFonts w:hint="eastAsia" w:ascii="宋体" w:hAnsi="宋体" w:eastAsia="宋体" w:cs="宋体"/>
                <w:color w:val="auto"/>
                <w:kern w:val="0"/>
                <w:szCs w:val="21"/>
                <w:highlight w:val="none"/>
                <w:u w:val="single"/>
              </w:rPr>
              <w:t>分</w:t>
            </w:r>
          </w:p>
          <w:p>
            <w:pPr>
              <w:spacing w:after="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技术部分：</w:t>
            </w:r>
            <w:r>
              <w:rPr>
                <w:rFonts w:hint="eastAsia" w:ascii="宋体" w:hAnsi="宋体" w:eastAsia="宋体" w:cs="宋体"/>
                <w:color w:val="auto"/>
                <w:kern w:val="0"/>
                <w:szCs w:val="21"/>
                <w:highlight w:val="none"/>
                <w:u w:val="single"/>
                <w:lang w:val="en-US" w:eastAsia="zh-CN"/>
              </w:rPr>
              <w:t>4</w:t>
            </w:r>
            <w:r>
              <w:rPr>
                <w:rFonts w:hint="eastAsia" w:ascii="宋体" w:hAnsi="宋体" w:eastAsia="宋体" w:cs="宋体"/>
                <w:color w:val="auto"/>
                <w:kern w:val="0"/>
                <w:szCs w:val="21"/>
                <w:highlight w:val="none"/>
                <w:u w:val="single"/>
              </w:rPr>
              <w:t>0分</w:t>
            </w:r>
          </w:p>
          <w:p>
            <w:pPr>
              <w:spacing w:after="80"/>
              <w:rPr>
                <w:rFonts w:ascii="宋体" w:hAnsi="宋体" w:eastAsia="宋体" w:cs="宋体"/>
                <w:color w:val="auto"/>
                <w:szCs w:val="21"/>
                <w:highlight w:val="none"/>
              </w:rPr>
            </w:pPr>
            <w:r>
              <w:rPr>
                <w:rFonts w:hint="eastAsia" w:ascii="宋体" w:hAnsi="宋体" w:eastAsia="宋体" w:cs="宋体"/>
                <w:color w:val="auto"/>
                <w:kern w:val="0"/>
                <w:szCs w:val="21"/>
                <w:highlight w:val="none"/>
              </w:rPr>
              <w:t>投标报价部分：</w:t>
            </w:r>
            <w:r>
              <w:rPr>
                <w:rFonts w:hint="eastAsia" w:ascii="宋体" w:hAnsi="宋体" w:eastAsia="宋体" w:cs="宋体"/>
                <w:color w:val="auto"/>
                <w:kern w:val="0"/>
                <w:szCs w:val="21"/>
                <w:highlight w:val="none"/>
                <w:u w:val="single"/>
              </w:rPr>
              <w:t>20分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1" w:hRule="atLeast"/>
        </w:trPr>
        <w:tc>
          <w:tcPr>
            <w:tcW w:w="2024" w:type="dxa"/>
            <w:gridSpan w:val="3"/>
            <w:tcBorders>
              <w:top w:val="single" w:color="auto" w:sz="4" w:space="0"/>
              <w:bottom w:val="single" w:color="auto" w:sz="4" w:space="0"/>
              <w:right w:val="single" w:color="auto" w:sz="4" w:space="0"/>
            </w:tcBorders>
            <w:vAlign w:val="center"/>
          </w:tcPr>
          <w:p>
            <w:pPr>
              <w:spacing w:after="120"/>
              <w:ind w:firstLine="210" w:firstLineChars="1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2654" w:type="dxa"/>
            <w:tcBorders>
              <w:top w:val="single" w:color="auto" w:sz="4" w:space="0"/>
              <w:left w:val="single" w:color="auto" w:sz="4" w:space="0"/>
              <w:bottom w:val="single" w:color="auto" w:sz="4" w:space="0"/>
              <w:right w:val="single" w:color="auto" w:sz="4" w:space="0"/>
            </w:tcBorders>
            <w:vAlign w:val="center"/>
          </w:tcPr>
          <w:p>
            <w:pPr>
              <w:spacing w:after="120"/>
              <w:ind w:firstLine="210" w:firstLineChars="1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评标基准价</w:t>
            </w:r>
            <w:r>
              <w:rPr>
                <w:rFonts w:hint="eastAsia" w:ascii="宋体" w:hAnsi="宋体" w:eastAsia="宋体" w:cs="宋体"/>
                <w:color w:val="auto"/>
                <w:kern w:val="0"/>
                <w:szCs w:val="21"/>
                <w:highlight w:val="none"/>
              </w:rPr>
              <w:t>（即评标基准价）</w:t>
            </w:r>
            <w:r>
              <w:rPr>
                <w:rFonts w:hint="eastAsia" w:ascii="宋体" w:hAnsi="宋体" w:eastAsia="宋体" w:cs="宋体"/>
                <w:color w:val="auto"/>
                <w:szCs w:val="21"/>
                <w:highlight w:val="none"/>
              </w:rPr>
              <w:t>计算方法</w:t>
            </w:r>
          </w:p>
        </w:tc>
        <w:tc>
          <w:tcPr>
            <w:tcW w:w="4679" w:type="dxa"/>
            <w:tcBorders>
              <w:top w:val="single" w:color="auto" w:sz="4" w:space="0"/>
              <w:left w:val="single" w:color="auto" w:sz="4" w:space="0"/>
              <w:bottom w:val="single" w:color="auto" w:sz="4" w:space="0"/>
            </w:tcBorders>
            <w:vAlign w:val="center"/>
          </w:tcPr>
          <w:p>
            <w:pPr>
              <w:pStyle w:val="54"/>
              <w:rPr>
                <w:rFonts w:ascii="宋体" w:hAnsi="宋体" w:cs="宋体"/>
                <w:color w:val="auto"/>
                <w:szCs w:val="21"/>
                <w:highlight w:val="none"/>
              </w:rPr>
            </w:pPr>
            <w:r>
              <w:rPr>
                <w:rFonts w:hint="eastAsia" w:ascii="宋体" w:hAnsi="宋体" w:cs="宋体"/>
                <w:color w:val="auto"/>
                <w:kern w:val="0"/>
                <w:szCs w:val="21"/>
                <w:highlight w:val="none"/>
              </w:rPr>
              <w:t>①当通过初步评审的有效投标价者（有效投标价者是指位于[招标控制价×80%，招标控制价]区间的投标价）大于5名时，去掉一个最高价和一个最低价，取余下投标价的算术平均值作为评标参考价（PC）；②当通过初步评审的有效投标价者（有效投标价者是指位于[招标控制价×80%，招标控制价]区间的投标价）少于或等于5名时，则取所有入围的有效投标价的算术平均值作为评标参考价（P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2024" w:type="dxa"/>
            <w:gridSpan w:val="3"/>
            <w:tcBorders>
              <w:top w:val="single" w:color="auto" w:sz="4" w:space="0"/>
              <w:bottom w:val="single" w:color="auto" w:sz="4" w:space="0"/>
              <w:right w:val="single" w:color="auto" w:sz="4" w:space="0"/>
            </w:tcBorders>
            <w:vAlign w:val="center"/>
          </w:tcPr>
          <w:p>
            <w:pPr>
              <w:spacing w:after="120"/>
              <w:ind w:firstLine="210" w:firstLineChars="1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2654" w:type="dxa"/>
            <w:tcBorders>
              <w:top w:val="single" w:color="auto" w:sz="4" w:space="0"/>
              <w:left w:val="single" w:color="auto" w:sz="4" w:space="0"/>
              <w:bottom w:val="single" w:color="auto" w:sz="4" w:space="0"/>
              <w:right w:val="single" w:color="auto" w:sz="4" w:space="0"/>
            </w:tcBorders>
            <w:vAlign w:val="center"/>
          </w:tcPr>
          <w:p>
            <w:pPr>
              <w:spacing w:after="120"/>
              <w:ind w:firstLine="210" w:firstLineChars="1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投标报价的偏差率</w:t>
            </w:r>
          </w:p>
          <w:p>
            <w:pPr>
              <w:spacing w:after="120"/>
              <w:ind w:firstLine="210" w:firstLineChars="1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计算公式</w:t>
            </w:r>
          </w:p>
        </w:tc>
        <w:tc>
          <w:tcPr>
            <w:tcW w:w="4679" w:type="dxa"/>
            <w:tcBorders>
              <w:top w:val="single" w:color="auto" w:sz="4" w:space="0"/>
              <w:left w:val="single" w:color="auto" w:sz="4" w:space="0"/>
              <w:bottom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u w:val="single"/>
              </w:rPr>
              <w:t>偏差率=∣投标报价—评标基准价∣/评标基准价*100%</w:t>
            </w:r>
          </w:p>
          <w:p>
            <w:pPr>
              <w:rPr>
                <w:rFonts w:ascii="宋体" w:hAnsi="宋体" w:eastAsia="宋体" w:cs="宋体"/>
                <w:color w:val="auto"/>
                <w:szCs w:val="21"/>
                <w:highlight w:val="none"/>
              </w:rPr>
            </w:pPr>
            <w:r>
              <w:rPr>
                <w:rFonts w:hint="eastAsia" w:ascii="宋体" w:hAnsi="宋体" w:eastAsia="宋体" w:cs="宋体"/>
                <w:color w:val="auto"/>
                <w:szCs w:val="21"/>
                <w:highlight w:val="none"/>
              </w:rPr>
              <w:t>（偏差率四舍五入保留2位小数，报价偏差率不足1%的，按直线内插法计算投标报价得分）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925" w:type="dxa"/>
            <w:gridSpan w:val="2"/>
            <w:vMerge w:val="restart"/>
            <w:tcBorders>
              <w:top w:val="single" w:color="auto" w:sz="4" w:space="0"/>
              <w:right w:val="single" w:color="000000" w:sz="4" w:space="0"/>
            </w:tcBorders>
            <w:vAlign w:val="center"/>
          </w:tcPr>
          <w:p>
            <w:pPr>
              <w:spacing w:after="120"/>
              <w:rPr>
                <w:rFonts w:ascii="宋体" w:hAnsi="宋体" w:eastAsia="宋体" w:cs="宋体"/>
                <w:color w:val="auto"/>
                <w:szCs w:val="21"/>
                <w:highlight w:val="none"/>
              </w:rPr>
            </w:pPr>
            <w:bookmarkStart w:id="108" w:name="_Hlk18322720"/>
            <w:r>
              <w:rPr>
                <w:rFonts w:hint="eastAsia" w:ascii="宋体" w:hAnsi="宋体" w:eastAsia="宋体" w:cs="宋体"/>
                <w:color w:val="auto"/>
                <w:szCs w:val="21"/>
                <w:highlight w:val="none"/>
              </w:rPr>
              <w:t>2.2.4（1）</w:t>
            </w:r>
          </w:p>
        </w:tc>
        <w:tc>
          <w:tcPr>
            <w:tcW w:w="1099" w:type="dxa"/>
            <w:vMerge w:val="restart"/>
            <w:tcBorders>
              <w:top w:val="single" w:color="auto" w:sz="4" w:space="0"/>
              <w:left w:val="single" w:color="000000" w:sz="4" w:space="0"/>
              <w:right w:val="single" w:color="auto" w:sz="4" w:space="0"/>
            </w:tcBorders>
            <w:vAlign w:val="center"/>
          </w:tcPr>
          <w:p>
            <w:pPr>
              <w:spacing w:after="120"/>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资信业绩部分</w:t>
            </w:r>
          </w:p>
          <w:p>
            <w:pPr>
              <w:pStyle w:val="54"/>
              <w:rPr>
                <w:color w:val="auto"/>
                <w:highlight w:val="none"/>
              </w:rPr>
            </w:pPr>
            <w:r>
              <w:rPr>
                <w:rFonts w:hint="eastAsia" w:ascii="宋体" w:hAnsi="宋体" w:cs="宋体"/>
                <w:b/>
                <w:bCs/>
                <w:color w:val="auto"/>
                <w:kern w:val="0"/>
                <w:szCs w:val="21"/>
                <w:highlight w:val="none"/>
              </w:rPr>
              <w:t>(</w:t>
            </w:r>
            <w:r>
              <w:rPr>
                <w:rFonts w:ascii="宋体" w:hAnsi="宋体" w:cs="宋体"/>
                <w:b/>
                <w:bCs/>
                <w:color w:val="auto"/>
                <w:kern w:val="0"/>
                <w:szCs w:val="21"/>
                <w:highlight w:val="none"/>
              </w:rPr>
              <w:t>4</w:t>
            </w:r>
            <w:r>
              <w:rPr>
                <w:rFonts w:hint="eastAsia" w:ascii="宋体" w:hAnsi="宋体" w:cs="宋体"/>
                <w:b/>
                <w:bCs/>
                <w:color w:val="auto"/>
                <w:kern w:val="0"/>
                <w:szCs w:val="21"/>
                <w:highlight w:val="none"/>
              </w:rPr>
              <w:t>0分)</w:t>
            </w:r>
          </w:p>
        </w:tc>
        <w:tc>
          <w:tcPr>
            <w:tcW w:w="2654" w:type="dxa"/>
            <w:tcBorders>
              <w:top w:val="single" w:color="auto" w:sz="4" w:space="0"/>
              <w:left w:val="single" w:color="auto" w:sz="4" w:space="0"/>
              <w:bottom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color w:val="auto"/>
                <w:kern w:val="0"/>
                <w:szCs w:val="21"/>
                <w:highlight w:val="none"/>
              </w:rPr>
              <w:t>20</w:t>
            </w: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年至202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年平均单一危险单位最大承保能力</w:t>
            </w:r>
            <w:r>
              <w:rPr>
                <w:rFonts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分</w:t>
            </w:r>
            <w:r>
              <w:rPr>
                <w:rFonts w:ascii="宋体" w:hAnsi="宋体" w:eastAsia="宋体" w:cs="宋体"/>
                <w:bCs/>
                <w:color w:val="auto"/>
                <w:kern w:val="0"/>
                <w:szCs w:val="21"/>
                <w:highlight w:val="none"/>
              </w:rPr>
              <w:t>)</w:t>
            </w:r>
          </w:p>
        </w:tc>
        <w:tc>
          <w:tcPr>
            <w:tcW w:w="4679" w:type="dxa"/>
            <w:tcBorders>
              <w:top w:val="single" w:color="auto" w:sz="4" w:space="0"/>
              <w:left w:val="single" w:color="auto" w:sz="4" w:space="0"/>
              <w:bottom w:val="single" w:color="auto" w:sz="4" w:space="0"/>
            </w:tcBorders>
            <w:vAlign w:val="center"/>
          </w:tcPr>
          <w:p>
            <w:pPr>
              <w:pStyle w:val="16"/>
              <w:rPr>
                <w:rFonts w:ascii="宋体" w:hAnsi="宋体" w:eastAsia="宋体"/>
                <w:color w:val="auto"/>
                <w:kern w:val="0"/>
                <w:szCs w:val="21"/>
                <w:highlight w:val="none"/>
              </w:rPr>
            </w:pPr>
          </w:p>
          <w:p>
            <w:pPr>
              <w:pStyle w:val="16"/>
              <w:rPr>
                <w:rFonts w:ascii="宋体" w:hAnsi="宋体" w:eastAsia="宋体"/>
                <w:color w:val="auto"/>
                <w:kern w:val="0"/>
                <w:szCs w:val="21"/>
                <w:highlight w:val="none"/>
              </w:rPr>
            </w:pPr>
            <w:r>
              <w:rPr>
                <w:rFonts w:hint="eastAsia" w:ascii="宋体" w:hAnsi="宋体" w:eastAsia="宋体"/>
                <w:color w:val="auto"/>
                <w:kern w:val="0"/>
                <w:szCs w:val="21"/>
                <w:highlight w:val="none"/>
              </w:rPr>
              <w:t>各投标人总公司20</w:t>
            </w:r>
            <w:r>
              <w:rPr>
                <w:rFonts w:hint="eastAsia" w:ascii="宋体" w:hAnsi="宋体"/>
                <w:color w:val="auto"/>
                <w:kern w:val="0"/>
                <w:szCs w:val="21"/>
                <w:highlight w:val="none"/>
                <w:lang w:val="en-US" w:eastAsia="zh-CN"/>
              </w:rPr>
              <w:t>20</w:t>
            </w:r>
            <w:r>
              <w:rPr>
                <w:rFonts w:hint="eastAsia" w:ascii="宋体" w:hAnsi="宋体" w:eastAsia="宋体"/>
                <w:color w:val="auto"/>
                <w:kern w:val="0"/>
                <w:szCs w:val="21"/>
                <w:highlight w:val="none"/>
              </w:rPr>
              <w:t>年至202</w:t>
            </w:r>
            <w:r>
              <w:rPr>
                <w:rFonts w:hint="eastAsia" w:ascii="宋体" w:hAnsi="宋体"/>
                <w:color w:val="auto"/>
                <w:kern w:val="0"/>
                <w:szCs w:val="21"/>
                <w:highlight w:val="none"/>
                <w:lang w:val="en-US" w:eastAsia="zh-CN"/>
              </w:rPr>
              <w:t>2</w:t>
            </w:r>
            <w:r>
              <w:rPr>
                <w:rFonts w:hint="eastAsia" w:ascii="宋体" w:hAnsi="宋体" w:eastAsia="宋体"/>
                <w:color w:val="auto"/>
                <w:kern w:val="0"/>
                <w:szCs w:val="21"/>
                <w:highlight w:val="none"/>
              </w:rPr>
              <w:t>年平均单一危险单位最大承保能力：≥</w:t>
            </w:r>
            <w:r>
              <w:rPr>
                <w:rFonts w:hint="eastAsia" w:ascii="宋体" w:hAnsi="宋体" w:eastAsia="宋体"/>
                <w:color w:val="auto"/>
                <w:kern w:val="0"/>
                <w:szCs w:val="21"/>
                <w:highlight w:val="none"/>
                <w:lang w:eastAsia="zh-CN"/>
              </w:rPr>
              <w:t>7</w:t>
            </w:r>
            <w:r>
              <w:rPr>
                <w:rFonts w:hint="eastAsia" w:ascii="宋体" w:hAnsi="宋体" w:eastAsia="宋体"/>
                <w:color w:val="auto"/>
                <w:kern w:val="0"/>
                <w:szCs w:val="21"/>
                <w:highlight w:val="none"/>
              </w:rPr>
              <w:t>亿以上的得</w:t>
            </w:r>
            <w:r>
              <w:rPr>
                <w:rFonts w:hint="eastAsia" w:ascii="宋体" w:hAnsi="宋体" w:eastAsia="宋体"/>
                <w:color w:val="auto"/>
                <w:kern w:val="0"/>
                <w:szCs w:val="21"/>
                <w:highlight w:val="none"/>
                <w:lang w:val="en-US" w:eastAsia="zh-CN"/>
              </w:rPr>
              <w:t>6</w:t>
            </w:r>
            <w:r>
              <w:rPr>
                <w:rFonts w:hint="eastAsia" w:ascii="宋体" w:hAnsi="宋体" w:eastAsia="宋体"/>
                <w:color w:val="auto"/>
                <w:kern w:val="0"/>
                <w:szCs w:val="21"/>
                <w:highlight w:val="none"/>
              </w:rPr>
              <w:t>分，</w:t>
            </w:r>
            <w:r>
              <w:rPr>
                <w:rFonts w:hint="eastAsia" w:ascii="宋体" w:hAnsi="宋体" w:eastAsia="宋体"/>
                <w:color w:val="auto"/>
                <w:kern w:val="0"/>
                <w:szCs w:val="21"/>
                <w:highlight w:val="none"/>
                <w:lang w:val="en-US" w:eastAsia="zh-CN"/>
              </w:rPr>
              <w:t>本相</w:t>
            </w:r>
            <w:r>
              <w:rPr>
                <w:rFonts w:hint="eastAsia" w:ascii="宋体" w:hAnsi="宋体" w:eastAsia="宋体"/>
                <w:color w:val="auto"/>
                <w:kern w:val="0"/>
                <w:szCs w:val="21"/>
                <w:highlight w:val="none"/>
              </w:rPr>
              <w:t>最高加</w:t>
            </w:r>
            <w:r>
              <w:rPr>
                <w:rFonts w:hint="eastAsia" w:ascii="宋体" w:hAnsi="宋体" w:eastAsia="宋体"/>
                <w:color w:val="auto"/>
                <w:kern w:val="0"/>
                <w:szCs w:val="21"/>
                <w:highlight w:val="none"/>
                <w:lang w:val="en-US" w:eastAsia="zh-CN"/>
              </w:rPr>
              <w:t>6</w:t>
            </w:r>
            <w:r>
              <w:rPr>
                <w:rFonts w:hint="eastAsia" w:ascii="宋体" w:hAnsi="宋体" w:eastAsia="宋体"/>
                <w:color w:val="auto"/>
                <w:kern w:val="0"/>
                <w:szCs w:val="21"/>
                <w:highlight w:val="none"/>
              </w:rPr>
              <w:t>分。</w:t>
            </w:r>
          </w:p>
          <w:p>
            <w:pPr>
              <w:pStyle w:val="16"/>
              <w:rPr>
                <w:color w:val="auto"/>
                <w:highlight w:val="none"/>
              </w:rPr>
            </w:pPr>
            <w:r>
              <w:rPr>
                <w:color w:val="auto"/>
                <w:highlight w:val="none"/>
              </w:rPr>
              <w:t>注：需提供</w:t>
            </w:r>
            <w:r>
              <w:rPr>
                <w:rFonts w:hint="eastAsia"/>
                <w:color w:val="auto"/>
                <w:highlight w:val="none"/>
              </w:rPr>
              <w:t>20</w:t>
            </w:r>
            <w:r>
              <w:rPr>
                <w:rFonts w:hint="eastAsia"/>
                <w:color w:val="auto"/>
                <w:highlight w:val="none"/>
                <w:lang w:val="en-US" w:eastAsia="zh-CN"/>
              </w:rPr>
              <w:t>20</w:t>
            </w:r>
            <w:r>
              <w:rPr>
                <w:rFonts w:hint="eastAsia"/>
                <w:color w:val="auto"/>
                <w:highlight w:val="none"/>
              </w:rPr>
              <w:t>年至20</w:t>
            </w:r>
            <w:r>
              <w:rPr>
                <w:rFonts w:hint="eastAsia"/>
                <w:color w:val="auto"/>
                <w:highlight w:val="none"/>
                <w:lang w:val="en-US" w:eastAsia="zh-CN"/>
              </w:rPr>
              <w:t>22</w:t>
            </w:r>
            <w:r>
              <w:rPr>
                <w:rFonts w:hint="eastAsia"/>
                <w:color w:val="auto"/>
                <w:highlight w:val="none"/>
              </w:rPr>
              <w:t>年</w:t>
            </w:r>
            <w:r>
              <w:rPr>
                <w:color w:val="auto"/>
                <w:highlight w:val="none"/>
              </w:rPr>
              <w:t>经经会计师事务所审计的的财务会计报表(包括资产负债表、利润表、现金流量表和财务状况说明书等)扫描件。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925" w:type="dxa"/>
            <w:gridSpan w:val="2"/>
            <w:vMerge w:val="continue"/>
            <w:tcBorders>
              <w:top w:val="single" w:color="auto" w:sz="4" w:space="0"/>
              <w:right w:val="single" w:color="000000" w:sz="4" w:space="0"/>
            </w:tcBorders>
            <w:vAlign w:val="center"/>
          </w:tcPr>
          <w:p>
            <w:pPr>
              <w:spacing w:after="120"/>
              <w:rPr>
                <w:rFonts w:ascii="宋体" w:hAnsi="宋体" w:eastAsia="宋体" w:cs="宋体"/>
                <w:color w:val="auto"/>
                <w:szCs w:val="21"/>
                <w:highlight w:val="none"/>
              </w:rPr>
            </w:pPr>
          </w:p>
        </w:tc>
        <w:tc>
          <w:tcPr>
            <w:tcW w:w="1099" w:type="dxa"/>
            <w:vMerge w:val="continue"/>
            <w:tcBorders>
              <w:top w:val="single" w:color="auto" w:sz="4" w:space="0"/>
              <w:left w:val="single" w:color="000000" w:sz="4" w:space="0"/>
              <w:right w:val="single" w:color="auto" w:sz="4" w:space="0"/>
            </w:tcBorders>
            <w:vAlign w:val="center"/>
          </w:tcPr>
          <w:p>
            <w:pPr>
              <w:spacing w:after="120"/>
              <w:jc w:val="center"/>
              <w:rPr>
                <w:rFonts w:ascii="宋体" w:hAnsi="宋体" w:eastAsia="宋体" w:cs="宋体"/>
                <w:b/>
                <w:bCs/>
                <w:color w:val="auto"/>
                <w:kern w:val="0"/>
                <w:szCs w:val="21"/>
                <w:highlight w:val="none"/>
              </w:rPr>
            </w:pPr>
          </w:p>
        </w:tc>
        <w:tc>
          <w:tcPr>
            <w:tcW w:w="2654" w:type="dxa"/>
            <w:tcBorders>
              <w:top w:val="single" w:color="auto" w:sz="4" w:space="0"/>
              <w:left w:val="single" w:color="auto" w:sz="4" w:space="0"/>
              <w:bottom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bCs/>
                <w:color w:val="auto"/>
                <w:kern w:val="0"/>
                <w:szCs w:val="21"/>
                <w:highlight w:val="none"/>
              </w:rPr>
              <w:t>经营评价 (</w:t>
            </w:r>
            <w:r>
              <w:rPr>
                <w:rFonts w:hint="eastAsia" w:ascii="宋体" w:hAnsi="宋体" w:eastAsia="宋体" w:cs="宋体"/>
                <w:bCs/>
                <w:color w:val="auto"/>
                <w:kern w:val="0"/>
                <w:szCs w:val="21"/>
                <w:highlight w:val="none"/>
                <w:lang w:val="en-US" w:eastAsia="zh-CN"/>
              </w:rPr>
              <w:t>8</w:t>
            </w:r>
            <w:r>
              <w:rPr>
                <w:rFonts w:hint="eastAsia" w:ascii="宋体" w:hAnsi="宋体" w:eastAsia="宋体" w:cs="宋体"/>
                <w:bCs/>
                <w:color w:val="auto"/>
                <w:kern w:val="0"/>
                <w:szCs w:val="21"/>
                <w:highlight w:val="none"/>
              </w:rPr>
              <w:t>分)</w:t>
            </w:r>
          </w:p>
        </w:tc>
        <w:tc>
          <w:tcPr>
            <w:tcW w:w="4679" w:type="dxa"/>
            <w:tcBorders>
              <w:top w:val="single" w:color="auto" w:sz="4" w:space="0"/>
              <w:left w:val="single" w:color="auto" w:sz="4" w:space="0"/>
              <w:bottom w:val="single" w:color="auto" w:sz="4" w:space="0"/>
            </w:tcBorders>
            <w:vAlign w:val="center"/>
          </w:tcPr>
          <w:p>
            <w:pPr>
              <w:rPr>
                <w:rFonts w:ascii="宋体" w:hAnsi="宋体" w:eastAsia="宋体"/>
                <w:color w:val="auto"/>
                <w:kern w:val="0"/>
                <w:szCs w:val="21"/>
                <w:highlight w:val="none"/>
              </w:rPr>
            </w:pPr>
          </w:p>
          <w:p>
            <w:pPr>
              <w:rPr>
                <w:rFonts w:ascii="宋体" w:hAnsi="宋体" w:eastAsia="宋体"/>
                <w:color w:val="auto"/>
                <w:kern w:val="0"/>
                <w:szCs w:val="21"/>
                <w:highlight w:val="none"/>
              </w:rPr>
            </w:pPr>
            <w:r>
              <w:rPr>
                <w:rFonts w:hint="eastAsia" w:ascii="宋体" w:hAnsi="宋体" w:eastAsia="宋体"/>
                <w:color w:val="auto"/>
                <w:kern w:val="0"/>
                <w:szCs w:val="21"/>
                <w:highlight w:val="none"/>
              </w:rPr>
              <w:t>根据20</w:t>
            </w:r>
            <w:r>
              <w:rPr>
                <w:rFonts w:ascii="宋体" w:hAnsi="宋体" w:eastAsia="宋体"/>
                <w:color w:val="auto"/>
                <w:kern w:val="0"/>
                <w:szCs w:val="21"/>
                <w:highlight w:val="none"/>
              </w:rPr>
              <w:t>21</w:t>
            </w:r>
            <w:r>
              <w:rPr>
                <w:rFonts w:hint="eastAsia" w:ascii="宋体" w:hAnsi="宋体" w:eastAsia="宋体"/>
                <w:color w:val="auto"/>
                <w:kern w:val="0"/>
                <w:szCs w:val="21"/>
                <w:highlight w:val="none"/>
              </w:rPr>
              <w:t>年度财产险公司经营评价结果进行评分：评为A级的，得</w:t>
            </w:r>
            <w:r>
              <w:rPr>
                <w:rFonts w:hint="eastAsia" w:ascii="宋体" w:hAnsi="宋体" w:eastAsia="宋体"/>
                <w:color w:val="auto"/>
                <w:kern w:val="0"/>
                <w:szCs w:val="21"/>
                <w:highlight w:val="none"/>
                <w:lang w:val="en-US" w:eastAsia="zh-CN"/>
              </w:rPr>
              <w:t>8</w:t>
            </w:r>
            <w:r>
              <w:rPr>
                <w:rFonts w:hint="eastAsia" w:ascii="宋体" w:hAnsi="宋体" w:eastAsia="宋体"/>
                <w:color w:val="auto"/>
                <w:kern w:val="0"/>
                <w:szCs w:val="21"/>
                <w:highlight w:val="none"/>
              </w:rPr>
              <w:t>分；评为B级的，得</w:t>
            </w:r>
            <w:r>
              <w:rPr>
                <w:rFonts w:ascii="宋体" w:hAnsi="宋体" w:eastAsia="宋体"/>
                <w:color w:val="auto"/>
                <w:kern w:val="0"/>
                <w:szCs w:val="21"/>
                <w:highlight w:val="none"/>
              </w:rPr>
              <w:t>4</w:t>
            </w:r>
            <w:r>
              <w:rPr>
                <w:rFonts w:hint="eastAsia" w:ascii="宋体" w:hAnsi="宋体" w:eastAsia="宋体"/>
                <w:color w:val="auto"/>
                <w:kern w:val="0"/>
                <w:szCs w:val="21"/>
                <w:highlight w:val="none"/>
              </w:rPr>
              <w:t>分；其他得</w:t>
            </w:r>
            <w:r>
              <w:rPr>
                <w:rFonts w:ascii="宋体" w:hAnsi="宋体" w:eastAsia="宋体"/>
                <w:color w:val="auto"/>
                <w:kern w:val="0"/>
                <w:szCs w:val="21"/>
                <w:highlight w:val="none"/>
              </w:rPr>
              <w:t>1</w:t>
            </w:r>
            <w:r>
              <w:rPr>
                <w:rFonts w:hint="eastAsia" w:ascii="宋体" w:hAnsi="宋体" w:eastAsia="宋体"/>
                <w:color w:val="auto"/>
                <w:kern w:val="0"/>
                <w:szCs w:val="21"/>
                <w:highlight w:val="none"/>
              </w:rPr>
              <w:t>分。</w:t>
            </w:r>
          </w:p>
          <w:p>
            <w:pPr>
              <w:rPr>
                <w:rFonts w:ascii="宋体" w:hAnsi="宋体" w:eastAsia="宋体"/>
                <w:color w:val="auto"/>
                <w:kern w:val="0"/>
                <w:szCs w:val="21"/>
                <w:highlight w:val="none"/>
              </w:rPr>
            </w:pPr>
            <w:r>
              <w:rPr>
                <w:rFonts w:hint="eastAsia" w:ascii="宋体" w:hAnsi="宋体" w:eastAsia="宋体"/>
                <w:color w:val="auto"/>
                <w:kern w:val="0"/>
                <w:szCs w:val="21"/>
                <w:highlight w:val="none"/>
              </w:rPr>
              <w:t>注：以中国保险行业协会网站公告的数据为准，提供网站截图并加盖投标人公章。</w:t>
            </w:r>
          </w:p>
          <w:p>
            <w:pPr>
              <w:rPr>
                <w:rFonts w:ascii="宋体" w:hAnsi="宋体" w:eastAsia="宋体"/>
                <w:color w:val="auto"/>
                <w:kern w:val="0"/>
                <w:szCs w:val="21"/>
                <w:highlight w:val="none"/>
              </w:rPr>
            </w:pPr>
            <w:r>
              <w:rPr>
                <w:rFonts w:hint="eastAsia" w:ascii="宋体" w:hAnsi="宋体" w:eastAsia="宋体"/>
                <w:color w:val="auto"/>
                <w:kern w:val="0"/>
                <w:szCs w:val="21"/>
                <w:highlight w:val="none"/>
              </w:rPr>
              <w:t>查询网址：</w:t>
            </w:r>
          </w:p>
          <w:p>
            <w:pPr>
              <w:rPr>
                <w:rFonts w:ascii="宋体" w:hAnsi="宋体" w:eastAsia="宋体"/>
                <w:color w:val="auto"/>
                <w:kern w:val="0"/>
                <w:szCs w:val="21"/>
                <w:highlight w:val="none"/>
              </w:rPr>
            </w:pPr>
            <w:r>
              <w:rPr>
                <w:color w:val="auto"/>
                <w:highlight w:val="none"/>
              </w:rPr>
              <w:fldChar w:fldCharType="begin"/>
            </w:r>
            <w:r>
              <w:rPr>
                <w:color w:val="auto"/>
                <w:highlight w:val="none"/>
              </w:rPr>
              <w:instrText xml:space="preserve"> HYPERLINK "http://www.iachina.cn/art/2023/1/20/art_24_106636.html" </w:instrText>
            </w:r>
            <w:r>
              <w:rPr>
                <w:color w:val="auto"/>
                <w:highlight w:val="none"/>
              </w:rPr>
              <w:fldChar w:fldCharType="separate"/>
            </w:r>
            <w:r>
              <w:rPr>
                <w:rStyle w:val="49"/>
                <w:rFonts w:ascii="宋体" w:hAnsi="宋体" w:eastAsia="宋体"/>
                <w:color w:val="auto"/>
                <w:kern w:val="0"/>
                <w:szCs w:val="21"/>
                <w:highlight w:val="none"/>
              </w:rPr>
              <w:t>http://www.iachina.cn/art/2023/1/20/art_24_106636.html</w:t>
            </w:r>
            <w:r>
              <w:rPr>
                <w:rStyle w:val="49"/>
                <w:rFonts w:ascii="宋体" w:hAnsi="宋体" w:eastAsia="宋体"/>
                <w:color w:val="auto"/>
                <w:kern w:val="0"/>
                <w:szCs w:val="21"/>
                <w:highlight w:val="none"/>
              </w:rPr>
              <w:fldChar w:fldCharType="end"/>
            </w:r>
          </w:p>
          <w:p>
            <w:pPr>
              <w:pStyle w:val="54"/>
              <w:rPr>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925" w:type="dxa"/>
            <w:gridSpan w:val="2"/>
            <w:vMerge w:val="continue"/>
            <w:tcBorders>
              <w:top w:val="single" w:color="auto" w:sz="4" w:space="0"/>
              <w:right w:val="single" w:color="000000" w:sz="4" w:space="0"/>
            </w:tcBorders>
            <w:vAlign w:val="center"/>
          </w:tcPr>
          <w:p>
            <w:pPr>
              <w:spacing w:after="120"/>
              <w:rPr>
                <w:rFonts w:ascii="宋体" w:hAnsi="宋体" w:eastAsia="宋体" w:cs="宋体"/>
                <w:color w:val="auto"/>
                <w:szCs w:val="21"/>
                <w:highlight w:val="none"/>
              </w:rPr>
            </w:pPr>
          </w:p>
        </w:tc>
        <w:tc>
          <w:tcPr>
            <w:tcW w:w="1099" w:type="dxa"/>
            <w:vMerge w:val="continue"/>
            <w:tcBorders>
              <w:top w:val="single" w:color="auto" w:sz="4" w:space="0"/>
              <w:left w:val="single" w:color="000000" w:sz="4" w:space="0"/>
              <w:right w:val="single" w:color="auto" w:sz="4" w:space="0"/>
            </w:tcBorders>
            <w:vAlign w:val="center"/>
          </w:tcPr>
          <w:p>
            <w:pPr>
              <w:spacing w:after="120"/>
              <w:jc w:val="center"/>
              <w:rPr>
                <w:rFonts w:ascii="宋体" w:hAnsi="宋体" w:eastAsia="宋体" w:cs="宋体"/>
                <w:b/>
                <w:bCs/>
                <w:color w:val="auto"/>
                <w:kern w:val="0"/>
                <w:szCs w:val="21"/>
                <w:highlight w:val="none"/>
              </w:rPr>
            </w:pPr>
          </w:p>
        </w:tc>
        <w:tc>
          <w:tcPr>
            <w:tcW w:w="2654" w:type="dxa"/>
            <w:tcBorders>
              <w:top w:val="single" w:color="auto" w:sz="4" w:space="0"/>
              <w:left w:val="single" w:color="auto" w:sz="4" w:space="0"/>
              <w:bottom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color w:val="auto"/>
                <w:kern w:val="0"/>
                <w:szCs w:val="21"/>
                <w:highlight w:val="none"/>
              </w:rPr>
              <w:t>投标人财险总公司综合偿付能力充足率</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6</w:t>
            </w:r>
            <w:r>
              <w:rPr>
                <w:rFonts w:hint="eastAsia" w:ascii="宋体" w:hAnsi="宋体" w:eastAsia="宋体" w:cs="宋体"/>
                <w:bCs/>
                <w:color w:val="auto"/>
                <w:kern w:val="0"/>
                <w:szCs w:val="21"/>
                <w:highlight w:val="none"/>
              </w:rPr>
              <w:t>分)</w:t>
            </w:r>
          </w:p>
        </w:tc>
        <w:tc>
          <w:tcPr>
            <w:tcW w:w="4679" w:type="dxa"/>
            <w:tcBorders>
              <w:top w:val="single" w:color="auto" w:sz="4" w:space="0"/>
              <w:left w:val="single" w:color="auto" w:sz="4" w:space="0"/>
              <w:bottom w:val="single" w:color="auto" w:sz="4" w:space="0"/>
            </w:tcBorders>
            <w:vAlign w:val="center"/>
          </w:tcPr>
          <w:p>
            <w:pPr>
              <w:pStyle w:val="16"/>
              <w:rPr>
                <w:rFonts w:ascii="宋体" w:hAnsi="宋体" w:eastAsia="宋体"/>
                <w:color w:val="auto"/>
                <w:kern w:val="0"/>
                <w:szCs w:val="21"/>
                <w:highlight w:val="none"/>
              </w:rPr>
            </w:pPr>
          </w:p>
          <w:p>
            <w:pPr>
              <w:pStyle w:val="16"/>
              <w:rPr>
                <w:rFonts w:ascii="宋体" w:hAnsi="宋体" w:eastAsia="宋体"/>
                <w:color w:val="auto"/>
                <w:kern w:val="0"/>
                <w:szCs w:val="21"/>
                <w:highlight w:val="none"/>
              </w:rPr>
            </w:pPr>
            <w:r>
              <w:rPr>
                <w:rFonts w:hint="eastAsia" w:ascii="宋体" w:hAnsi="宋体" w:eastAsia="宋体"/>
                <w:color w:val="auto"/>
                <w:kern w:val="0"/>
                <w:szCs w:val="21"/>
                <w:highlight w:val="none"/>
              </w:rPr>
              <w:t>各投标人总公司20</w:t>
            </w:r>
            <w:r>
              <w:rPr>
                <w:rFonts w:hint="eastAsia" w:ascii="宋体" w:hAnsi="宋体"/>
                <w:color w:val="auto"/>
                <w:kern w:val="0"/>
                <w:szCs w:val="21"/>
                <w:highlight w:val="none"/>
                <w:lang w:val="en-US" w:eastAsia="zh-CN"/>
              </w:rPr>
              <w:t>20</w:t>
            </w:r>
            <w:r>
              <w:rPr>
                <w:rFonts w:hint="eastAsia" w:ascii="宋体" w:hAnsi="宋体" w:eastAsia="宋体"/>
                <w:color w:val="auto"/>
                <w:kern w:val="0"/>
                <w:szCs w:val="21"/>
                <w:highlight w:val="none"/>
              </w:rPr>
              <w:t>年至202</w:t>
            </w:r>
            <w:r>
              <w:rPr>
                <w:rFonts w:hint="eastAsia" w:ascii="宋体" w:hAnsi="宋体"/>
                <w:color w:val="auto"/>
                <w:kern w:val="0"/>
                <w:szCs w:val="21"/>
                <w:highlight w:val="none"/>
                <w:lang w:val="en-US" w:eastAsia="zh-CN"/>
              </w:rPr>
              <w:t>2</w:t>
            </w:r>
            <w:r>
              <w:rPr>
                <w:rFonts w:hint="eastAsia" w:ascii="宋体" w:hAnsi="宋体" w:eastAsia="宋体"/>
                <w:color w:val="auto"/>
                <w:kern w:val="0"/>
                <w:szCs w:val="21"/>
                <w:highlight w:val="none"/>
              </w:rPr>
              <w:t>年平均综合偿付能力充足率：</w:t>
            </w:r>
          </w:p>
          <w:p>
            <w:pPr>
              <w:pStyle w:val="16"/>
              <w:rPr>
                <w:rFonts w:ascii="宋体" w:hAnsi="宋体" w:eastAsia="宋体"/>
                <w:color w:val="auto"/>
                <w:kern w:val="0"/>
                <w:szCs w:val="21"/>
                <w:highlight w:val="none"/>
              </w:rPr>
            </w:pPr>
            <w:r>
              <w:rPr>
                <w:rFonts w:hint="eastAsia" w:ascii="宋体" w:hAnsi="宋体" w:eastAsia="宋体" w:cs="微软雅黑"/>
                <w:color w:val="auto"/>
                <w:kern w:val="0"/>
                <w:szCs w:val="21"/>
                <w:highlight w:val="none"/>
              </w:rPr>
              <w:t>≧</w:t>
            </w:r>
            <w:r>
              <w:rPr>
                <w:rFonts w:hint="eastAsia" w:ascii="宋体" w:hAnsi="宋体" w:eastAsia="宋体"/>
                <w:color w:val="auto"/>
                <w:kern w:val="0"/>
                <w:szCs w:val="21"/>
                <w:highlight w:val="none"/>
              </w:rPr>
              <w:t>1</w:t>
            </w:r>
            <w:r>
              <w:rPr>
                <w:rFonts w:ascii="宋体" w:hAnsi="宋体" w:eastAsia="宋体"/>
                <w:color w:val="auto"/>
                <w:kern w:val="0"/>
                <w:szCs w:val="21"/>
                <w:highlight w:val="none"/>
              </w:rPr>
              <w:t>0</w:t>
            </w:r>
            <w:r>
              <w:rPr>
                <w:rFonts w:hint="eastAsia" w:ascii="宋体" w:hAnsi="宋体" w:eastAsia="宋体"/>
                <w:color w:val="auto"/>
                <w:kern w:val="0"/>
                <w:szCs w:val="21"/>
                <w:highlight w:val="none"/>
              </w:rPr>
              <w:t>0%以上的得3分，在此基础上每增加</w:t>
            </w:r>
            <w:r>
              <w:rPr>
                <w:rFonts w:ascii="宋体" w:hAnsi="宋体" w:eastAsia="宋体"/>
                <w:color w:val="auto"/>
                <w:kern w:val="0"/>
                <w:szCs w:val="21"/>
                <w:highlight w:val="none"/>
              </w:rPr>
              <w:t>30</w:t>
            </w:r>
            <w:r>
              <w:rPr>
                <w:rFonts w:hint="eastAsia" w:ascii="宋体" w:hAnsi="宋体" w:eastAsia="宋体"/>
                <w:color w:val="auto"/>
                <w:kern w:val="0"/>
                <w:szCs w:val="21"/>
                <w:highlight w:val="none"/>
              </w:rPr>
              <w:t>%得</w:t>
            </w:r>
            <w:r>
              <w:rPr>
                <w:rFonts w:ascii="宋体" w:hAnsi="宋体" w:eastAsia="宋体"/>
                <w:color w:val="auto"/>
                <w:kern w:val="0"/>
                <w:szCs w:val="21"/>
                <w:highlight w:val="none"/>
              </w:rPr>
              <w:t>0.5</w:t>
            </w:r>
            <w:r>
              <w:rPr>
                <w:rFonts w:hint="eastAsia" w:ascii="宋体" w:hAnsi="宋体" w:eastAsia="宋体"/>
                <w:color w:val="auto"/>
                <w:kern w:val="0"/>
                <w:szCs w:val="21"/>
                <w:highlight w:val="none"/>
              </w:rPr>
              <w:t>分，最高增加</w:t>
            </w:r>
            <w:r>
              <w:rPr>
                <w:rFonts w:ascii="宋体" w:hAnsi="宋体" w:eastAsia="宋体"/>
                <w:color w:val="auto"/>
                <w:kern w:val="0"/>
                <w:szCs w:val="21"/>
                <w:highlight w:val="none"/>
              </w:rPr>
              <w:t>3</w:t>
            </w:r>
            <w:r>
              <w:rPr>
                <w:rFonts w:hint="eastAsia" w:ascii="宋体" w:hAnsi="宋体" w:eastAsia="宋体"/>
                <w:color w:val="auto"/>
                <w:kern w:val="0"/>
                <w:szCs w:val="21"/>
                <w:highlight w:val="none"/>
              </w:rPr>
              <w:t>分，以</w:t>
            </w:r>
            <w:r>
              <w:rPr>
                <w:rFonts w:ascii="宋体" w:hAnsi="宋体" w:eastAsia="宋体"/>
                <w:color w:val="auto"/>
                <w:kern w:val="0"/>
                <w:szCs w:val="21"/>
                <w:highlight w:val="none"/>
              </w:rPr>
              <w:t>30</w:t>
            </w:r>
            <w:r>
              <w:rPr>
                <w:rFonts w:hint="eastAsia" w:ascii="宋体" w:hAnsi="宋体" w:eastAsia="宋体"/>
                <w:color w:val="auto"/>
                <w:kern w:val="0"/>
                <w:szCs w:val="21"/>
                <w:highlight w:val="none"/>
              </w:rPr>
              <w:t>%为一档加分，不足</w:t>
            </w:r>
            <w:r>
              <w:rPr>
                <w:rFonts w:ascii="宋体" w:hAnsi="宋体" w:eastAsia="宋体"/>
                <w:color w:val="auto"/>
                <w:kern w:val="0"/>
                <w:szCs w:val="21"/>
                <w:highlight w:val="none"/>
              </w:rPr>
              <w:t>30</w:t>
            </w:r>
            <w:r>
              <w:rPr>
                <w:rFonts w:hint="eastAsia" w:ascii="宋体" w:hAnsi="宋体" w:eastAsia="宋体"/>
                <w:color w:val="auto"/>
                <w:kern w:val="0"/>
                <w:szCs w:val="21"/>
                <w:highlight w:val="none"/>
              </w:rPr>
              <w:t>%的不计算得分。</w:t>
            </w:r>
          </w:p>
          <w:p>
            <w:pPr>
              <w:pStyle w:val="16"/>
              <w:rPr>
                <w:color w:val="auto"/>
                <w:highlight w:val="none"/>
              </w:rPr>
            </w:pPr>
            <w:r>
              <w:rPr>
                <w:rFonts w:hint="eastAsia"/>
                <w:color w:val="auto"/>
                <w:highlight w:val="none"/>
                <w:lang w:val="en-US" w:eastAsia="zh-CN"/>
              </w:rPr>
              <w:t>注：需提供</w:t>
            </w:r>
            <w:r>
              <w:rPr>
                <w:rFonts w:hint="eastAsia"/>
                <w:color w:val="auto"/>
                <w:highlight w:val="none"/>
              </w:rPr>
              <w:t>20</w:t>
            </w:r>
            <w:r>
              <w:rPr>
                <w:rFonts w:hint="eastAsia"/>
                <w:color w:val="auto"/>
                <w:highlight w:val="none"/>
                <w:lang w:val="en-US" w:eastAsia="zh-CN"/>
              </w:rPr>
              <w:t>20</w:t>
            </w:r>
            <w:r>
              <w:rPr>
                <w:rFonts w:hint="eastAsia"/>
                <w:color w:val="auto"/>
                <w:highlight w:val="none"/>
              </w:rPr>
              <w:t>年至202</w:t>
            </w:r>
            <w:r>
              <w:rPr>
                <w:rFonts w:hint="eastAsia"/>
                <w:color w:val="auto"/>
                <w:highlight w:val="none"/>
                <w:lang w:val="en-US" w:eastAsia="zh-CN"/>
              </w:rPr>
              <w:t>2</w:t>
            </w:r>
            <w:r>
              <w:rPr>
                <w:rFonts w:hint="eastAsia"/>
                <w:color w:val="auto"/>
                <w:highlight w:val="none"/>
              </w:rPr>
              <w:t>年</w:t>
            </w:r>
            <w:r>
              <w:rPr>
                <w:color w:val="auto"/>
                <w:highlight w:val="none"/>
              </w:rPr>
              <w:t>经会计师事务所审计的的财务会计报表(包括资产负债表、利润表、现金流量表和财务状况说明书等)和偿付能力报告扫描件。</w:t>
            </w:r>
          </w:p>
        </w:tc>
      </w:tr>
      <w:bookmarkEnd w:id="108"/>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925" w:type="dxa"/>
            <w:gridSpan w:val="2"/>
            <w:vMerge w:val="continue"/>
            <w:tcBorders>
              <w:top w:val="single" w:color="auto" w:sz="4" w:space="0"/>
              <w:right w:val="single" w:color="000000" w:sz="4" w:space="0"/>
            </w:tcBorders>
            <w:vAlign w:val="center"/>
          </w:tcPr>
          <w:p>
            <w:pPr>
              <w:spacing w:after="120"/>
              <w:rPr>
                <w:rFonts w:ascii="宋体" w:hAnsi="宋体" w:eastAsia="宋体" w:cs="宋体"/>
                <w:color w:val="auto"/>
                <w:szCs w:val="21"/>
                <w:highlight w:val="none"/>
              </w:rPr>
            </w:pPr>
          </w:p>
        </w:tc>
        <w:tc>
          <w:tcPr>
            <w:tcW w:w="1099" w:type="dxa"/>
            <w:vMerge w:val="continue"/>
            <w:tcBorders>
              <w:top w:val="single" w:color="auto" w:sz="4" w:space="0"/>
              <w:left w:val="single" w:color="000000" w:sz="4" w:space="0"/>
              <w:right w:val="single" w:color="auto" w:sz="4" w:space="0"/>
            </w:tcBorders>
            <w:vAlign w:val="center"/>
          </w:tcPr>
          <w:p>
            <w:pPr>
              <w:spacing w:after="120"/>
              <w:jc w:val="center"/>
              <w:rPr>
                <w:rFonts w:ascii="宋体" w:hAnsi="宋体" w:eastAsia="宋体" w:cs="宋体"/>
                <w:b/>
                <w:bCs/>
                <w:color w:val="auto"/>
                <w:kern w:val="0"/>
                <w:szCs w:val="21"/>
                <w:highlight w:val="none"/>
              </w:rPr>
            </w:pPr>
          </w:p>
        </w:tc>
        <w:tc>
          <w:tcPr>
            <w:tcW w:w="2654" w:type="dxa"/>
            <w:tcBorders>
              <w:top w:val="single" w:color="auto" w:sz="4" w:space="0"/>
              <w:left w:val="single" w:color="auto" w:sz="4" w:space="0"/>
              <w:bottom w:val="single" w:color="auto" w:sz="4" w:space="0"/>
            </w:tcBorders>
            <w:vAlign w:val="center"/>
          </w:tcPr>
          <w:p>
            <w:pPr>
              <w:rPr>
                <w:rFonts w:ascii="宋体" w:hAnsi="宋体" w:eastAsia="宋体" w:cs="宋体"/>
                <w:color w:val="auto"/>
                <w:szCs w:val="21"/>
                <w:highlight w:val="none"/>
              </w:rPr>
            </w:pPr>
            <w:r>
              <w:rPr>
                <w:rFonts w:hint="eastAsia" w:ascii="宋体" w:hAnsi="宋体" w:eastAsia="宋体" w:cs="宋体"/>
                <w:color w:val="auto"/>
                <w:kern w:val="0"/>
                <w:szCs w:val="21"/>
                <w:highlight w:val="none"/>
              </w:rPr>
              <w:t>企业承保经验</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10</w:t>
            </w:r>
            <w:r>
              <w:rPr>
                <w:rFonts w:hint="eastAsia" w:ascii="宋体" w:hAnsi="宋体" w:eastAsia="宋体" w:cs="宋体"/>
                <w:bCs/>
                <w:color w:val="auto"/>
                <w:kern w:val="0"/>
                <w:szCs w:val="21"/>
                <w:highlight w:val="none"/>
              </w:rPr>
              <w:t>分)</w:t>
            </w:r>
          </w:p>
        </w:tc>
        <w:tc>
          <w:tcPr>
            <w:tcW w:w="4679" w:type="dxa"/>
            <w:tcBorders>
              <w:top w:val="single" w:color="auto" w:sz="4" w:space="0"/>
              <w:left w:val="single" w:color="auto" w:sz="4" w:space="0"/>
              <w:bottom w:val="single" w:color="auto" w:sz="4" w:space="0"/>
            </w:tcBorders>
            <w:vAlign w:val="center"/>
          </w:tcPr>
          <w:p>
            <w:pPr>
              <w:rPr>
                <w:rFonts w:ascii="宋体" w:hAnsi="宋体" w:eastAsia="宋体" w:cs="宋体"/>
                <w:color w:val="auto"/>
                <w:kern w:val="0"/>
                <w:szCs w:val="21"/>
                <w:highlight w:val="none"/>
              </w:rPr>
            </w:pPr>
          </w:p>
          <w:p>
            <w:pP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投标人自20</w:t>
            </w: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年1月 1 日至今独家或首席承保过工程保险金额在人民币</w:t>
            </w:r>
            <w:r>
              <w:rPr>
                <w:rFonts w:hint="eastAsia" w:ascii="宋体" w:hAnsi="宋体" w:eastAsia="宋体" w:cs="宋体"/>
                <w:color w:val="auto"/>
                <w:kern w:val="0"/>
                <w:szCs w:val="21"/>
                <w:highlight w:val="none"/>
                <w:lang w:eastAsia="zh-CN"/>
              </w:rPr>
              <w:t>7</w:t>
            </w:r>
            <w:r>
              <w:rPr>
                <w:rFonts w:hint="eastAsia" w:ascii="宋体" w:hAnsi="宋体" w:eastAsia="宋体" w:cs="宋体"/>
                <w:color w:val="auto"/>
                <w:kern w:val="0"/>
                <w:szCs w:val="21"/>
                <w:highlight w:val="none"/>
              </w:rPr>
              <w:t>亿以上的道路、桥梁、隧道或地铁工程建设项目的承保业绩，每提供1项得2分，最多得10分。</w:t>
            </w:r>
          </w:p>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注：无论是总公司或分支机构为投标人，总公司及分支机构的业绩均可以作为计算依据。需提供合同扫描件，时间以合同为准。</w:t>
            </w:r>
          </w:p>
          <w:p>
            <w:pPr>
              <w:pStyle w:val="54"/>
              <w:rPr>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925" w:type="dxa"/>
            <w:gridSpan w:val="2"/>
            <w:vMerge w:val="continue"/>
            <w:tcBorders>
              <w:top w:val="single" w:color="auto" w:sz="4" w:space="0"/>
              <w:right w:val="single" w:color="000000" w:sz="4" w:space="0"/>
            </w:tcBorders>
            <w:vAlign w:val="center"/>
          </w:tcPr>
          <w:p>
            <w:pPr>
              <w:spacing w:after="120"/>
              <w:rPr>
                <w:rFonts w:ascii="宋体" w:hAnsi="宋体" w:eastAsia="宋体" w:cs="宋体"/>
                <w:color w:val="auto"/>
                <w:szCs w:val="21"/>
                <w:highlight w:val="none"/>
              </w:rPr>
            </w:pPr>
          </w:p>
        </w:tc>
        <w:tc>
          <w:tcPr>
            <w:tcW w:w="1099" w:type="dxa"/>
            <w:vMerge w:val="continue"/>
            <w:tcBorders>
              <w:top w:val="single" w:color="auto" w:sz="4" w:space="0"/>
              <w:left w:val="single" w:color="000000" w:sz="4" w:space="0"/>
              <w:right w:val="single" w:color="auto" w:sz="4" w:space="0"/>
            </w:tcBorders>
            <w:vAlign w:val="center"/>
          </w:tcPr>
          <w:p>
            <w:pPr>
              <w:spacing w:after="120"/>
              <w:jc w:val="center"/>
              <w:rPr>
                <w:rFonts w:ascii="宋体" w:hAnsi="宋体" w:eastAsia="宋体" w:cs="宋体"/>
                <w:b/>
                <w:bCs/>
                <w:color w:val="auto"/>
                <w:kern w:val="0"/>
                <w:szCs w:val="21"/>
                <w:highlight w:val="none"/>
              </w:rPr>
            </w:pPr>
          </w:p>
        </w:tc>
        <w:tc>
          <w:tcPr>
            <w:tcW w:w="2654" w:type="dxa"/>
            <w:tcBorders>
              <w:top w:val="single" w:color="auto" w:sz="4" w:space="0"/>
              <w:left w:val="single" w:color="auto" w:sz="4" w:space="0"/>
              <w:bottom w:val="single" w:color="auto" w:sz="4" w:space="0"/>
            </w:tcBorders>
            <w:vAlign w:val="center"/>
          </w:tcPr>
          <w:p>
            <w:pPr>
              <w:pStyle w:val="54"/>
              <w:rPr>
                <w:rFonts w:ascii="宋体" w:hAnsi="宋体" w:cs="宋体"/>
                <w:color w:val="auto"/>
                <w:szCs w:val="21"/>
                <w:highlight w:val="none"/>
              </w:rPr>
            </w:pPr>
            <w:r>
              <w:rPr>
                <w:rFonts w:hint="eastAsia" w:ascii="宋体" w:hAnsi="宋体" w:cs="宋体"/>
                <w:color w:val="auto"/>
                <w:kern w:val="0"/>
                <w:szCs w:val="21"/>
                <w:highlight w:val="none"/>
              </w:rPr>
              <w:t>企业理赔经验</w:t>
            </w:r>
            <w:r>
              <w:rPr>
                <w:rFonts w:hint="eastAsia" w:ascii="宋体" w:hAnsi="宋体" w:cs="宋体"/>
                <w:bCs/>
                <w:color w:val="auto"/>
                <w:kern w:val="0"/>
                <w:szCs w:val="21"/>
                <w:highlight w:val="none"/>
              </w:rPr>
              <w:t>(</w:t>
            </w:r>
            <w:r>
              <w:rPr>
                <w:rFonts w:ascii="宋体" w:hAnsi="宋体" w:cs="宋体"/>
                <w:bCs/>
                <w:color w:val="auto"/>
                <w:kern w:val="0"/>
                <w:szCs w:val="21"/>
                <w:highlight w:val="none"/>
              </w:rPr>
              <w:t>10</w:t>
            </w:r>
            <w:r>
              <w:rPr>
                <w:rFonts w:hint="eastAsia" w:ascii="宋体" w:hAnsi="宋体" w:cs="宋体"/>
                <w:bCs/>
                <w:color w:val="auto"/>
                <w:kern w:val="0"/>
                <w:szCs w:val="21"/>
                <w:highlight w:val="none"/>
              </w:rPr>
              <w:t>分)</w:t>
            </w:r>
          </w:p>
        </w:tc>
        <w:tc>
          <w:tcPr>
            <w:tcW w:w="4679" w:type="dxa"/>
            <w:tcBorders>
              <w:top w:val="single" w:color="auto" w:sz="4" w:space="0"/>
              <w:left w:val="single" w:color="auto" w:sz="4" w:space="0"/>
              <w:bottom w:val="single" w:color="auto" w:sz="4" w:space="0"/>
            </w:tcBorders>
            <w:vAlign w:val="center"/>
          </w:tcPr>
          <w:p>
            <w:pPr>
              <w:pStyle w:val="54"/>
              <w:rPr>
                <w:rFonts w:ascii="宋体" w:hAnsi="宋体" w:cs="宋体"/>
                <w:color w:val="auto"/>
                <w:kern w:val="0"/>
                <w:szCs w:val="21"/>
                <w:highlight w:val="none"/>
              </w:rPr>
            </w:pPr>
          </w:p>
          <w:p>
            <w:pPr>
              <w:pStyle w:val="54"/>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投标人自20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年1月 1 日至今（以赔付日期为准）独家或首席承保的道路、桥梁、隧道或地铁工程建设项目，理赔单次赔付金额超过150万元人民币或同一项目累计赔偿金额超过200万元人民币的案例，每提供1项得2分，最多得10分。</w:t>
            </w:r>
          </w:p>
          <w:p>
            <w:pPr>
              <w:pStyle w:val="54"/>
              <w:rPr>
                <w:rFonts w:ascii="宋体" w:hAnsi="宋体" w:cs="宋体"/>
                <w:color w:val="auto"/>
                <w:kern w:val="0"/>
                <w:szCs w:val="21"/>
                <w:highlight w:val="none"/>
              </w:rPr>
            </w:pPr>
            <w:r>
              <w:rPr>
                <w:rFonts w:hint="eastAsia" w:ascii="宋体" w:hAnsi="宋体" w:cs="宋体"/>
                <w:color w:val="auto"/>
                <w:kern w:val="0"/>
                <w:szCs w:val="21"/>
                <w:highlight w:val="none"/>
              </w:rPr>
              <w:t>注：无论是总公司或分支机构为投标人，总公司及分支机构的业绩均可以作为计算依据。需提供赔案赔偿确认书或理赔计算书、赔款收据或支付凭证等相关理赔证明材料以及相应合同扫描件，时间以赔案赔偿确认书或理赔计算书为准。</w:t>
            </w:r>
          </w:p>
          <w:p>
            <w:pPr>
              <w:pStyle w:val="54"/>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25" w:type="dxa"/>
            <w:gridSpan w:val="2"/>
            <w:vMerge w:val="restart"/>
            <w:tcBorders>
              <w:top w:val="single" w:color="auto" w:sz="4" w:space="0"/>
              <w:left w:val="single" w:color="000000" w:sz="4" w:space="0"/>
              <w:right w:val="single" w:color="000000" w:sz="4" w:space="0"/>
            </w:tcBorders>
            <w:vAlign w:val="center"/>
          </w:tcPr>
          <w:p>
            <w:pPr>
              <w:spacing w:after="120"/>
              <w:rPr>
                <w:rFonts w:ascii="宋体" w:hAnsi="宋体" w:eastAsia="宋体" w:cs="宋体"/>
                <w:color w:val="auto"/>
                <w:szCs w:val="21"/>
                <w:highlight w:val="none"/>
              </w:rPr>
            </w:pPr>
            <w:bookmarkStart w:id="109" w:name="_Hlk18222369"/>
            <w:r>
              <w:rPr>
                <w:rFonts w:hint="eastAsia" w:ascii="宋体" w:hAnsi="宋体" w:eastAsia="宋体" w:cs="宋体"/>
                <w:color w:val="auto"/>
                <w:szCs w:val="21"/>
                <w:highlight w:val="none"/>
              </w:rPr>
              <w:t>2.2.4（2）</w:t>
            </w:r>
          </w:p>
        </w:tc>
        <w:tc>
          <w:tcPr>
            <w:tcW w:w="1099" w:type="dxa"/>
            <w:vMerge w:val="restart"/>
            <w:tcBorders>
              <w:top w:val="single" w:color="auto" w:sz="4" w:space="0"/>
              <w:left w:val="single" w:color="000000" w:sz="4" w:space="0"/>
              <w:right w:val="single" w:color="auto" w:sz="4" w:space="0"/>
            </w:tcBorders>
            <w:vAlign w:val="center"/>
          </w:tcPr>
          <w:p>
            <w:pPr>
              <w:spacing w:after="120"/>
              <w:jc w:val="center"/>
              <w:rPr>
                <w:rFonts w:ascii="宋体" w:hAnsi="宋体" w:eastAsia="宋体" w:cs="宋体"/>
                <w:b/>
                <w:bCs/>
                <w:color w:val="auto"/>
                <w:highlight w:val="none"/>
              </w:rPr>
            </w:pPr>
            <w:r>
              <w:rPr>
                <w:rFonts w:hint="eastAsia" w:ascii="宋体" w:hAnsi="宋体" w:eastAsia="宋体" w:cs="宋体"/>
                <w:b/>
                <w:bCs/>
                <w:color w:val="auto"/>
                <w:highlight w:val="none"/>
              </w:rPr>
              <w:t>技术部分</w:t>
            </w:r>
          </w:p>
          <w:p>
            <w:pPr>
              <w:spacing w:after="120"/>
              <w:jc w:val="center"/>
              <w:rPr>
                <w:rFonts w:ascii="宋体" w:hAnsi="宋体" w:eastAsia="宋体" w:cs="宋体"/>
                <w:color w:val="auto"/>
                <w:szCs w:val="21"/>
                <w:highlight w:val="none"/>
              </w:rPr>
            </w:pPr>
            <w:r>
              <w:rPr>
                <w:rFonts w:hint="eastAsia" w:ascii="宋体" w:hAnsi="宋体" w:eastAsia="宋体" w:cs="宋体"/>
                <w:b/>
                <w:bCs/>
                <w:color w:val="auto"/>
                <w:highlight w:val="none"/>
              </w:rPr>
              <w:t>（</w:t>
            </w:r>
            <w:r>
              <w:rPr>
                <w:rFonts w:ascii="宋体" w:hAnsi="宋体" w:eastAsia="宋体" w:cs="宋体"/>
                <w:b/>
                <w:bCs/>
                <w:color w:val="auto"/>
                <w:highlight w:val="none"/>
              </w:rPr>
              <w:t>4</w:t>
            </w:r>
            <w:r>
              <w:rPr>
                <w:rFonts w:hint="eastAsia" w:ascii="宋体" w:hAnsi="宋体" w:eastAsia="宋体" w:cs="宋体"/>
                <w:b/>
                <w:bCs/>
                <w:color w:val="auto"/>
                <w:highlight w:val="none"/>
              </w:rPr>
              <w:t>0分）</w:t>
            </w:r>
          </w:p>
        </w:tc>
        <w:tc>
          <w:tcPr>
            <w:tcW w:w="2654" w:type="dxa"/>
            <w:tcBorders>
              <w:top w:val="single" w:color="auto" w:sz="4" w:space="0"/>
              <w:left w:val="single" w:color="auto" w:sz="4" w:space="0"/>
              <w:bottom w:val="single" w:color="auto" w:sz="4" w:space="0"/>
            </w:tcBorders>
            <w:vAlign w:val="center"/>
          </w:tcPr>
          <w:p>
            <w:pPr>
              <w:pStyle w:val="54"/>
              <w:rPr>
                <w:rFonts w:ascii="宋体" w:hAnsi="宋体"/>
                <w:color w:val="auto"/>
                <w:szCs w:val="21"/>
                <w:highlight w:val="none"/>
              </w:rPr>
            </w:pPr>
            <w:r>
              <w:rPr>
                <w:rFonts w:hint="eastAsia" w:ascii="宋体" w:hAnsi="宋体" w:cs="宋体"/>
                <w:color w:val="auto"/>
                <w:kern w:val="0"/>
                <w:szCs w:val="21"/>
                <w:highlight w:val="none"/>
              </w:rPr>
              <w:t>优惠条款</w:t>
            </w:r>
            <w:r>
              <w:rPr>
                <w:rFonts w:hint="eastAsia" w:ascii="宋体" w:hAnsi="宋体" w:cs="宋体"/>
                <w:bCs/>
                <w:color w:val="auto"/>
                <w:kern w:val="0"/>
                <w:szCs w:val="21"/>
                <w:highlight w:val="none"/>
              </w:rPr>
              <w:t>(</w:t>
            </w:r>
            <w:r>
              <w:rPr>
                <w:rFonts w:ascii="宋体" w:hAnsi="宋体" w:cs="宋体"/>
                <w:bCs/>
                <w:color w:val="auto"/>
                <w:kern w:val="0"/>
                <w:szCs w:val="21"/>
                <w:highlight w:val="none"/>
              </w:rPr>
              <w:t>10</w:t>
            </w:r>
            <w:r>
              <w:rPr>
                <w:rFonts w:hint="eastAsia" w:ascii="宋体" w:hAnsi="宋体" w:cs="宋体"/>
                <w:bCs/>
                <w:color w:val="auto"/>
                <w:kern w:val="0"/>
                <w:szCs w:val="21"/>
                <w:highlight w:val="none"/>
              </w:rPr>
              <w:t>分)</w:t>
            </w:r>
          </w:p>
        </w:tc>
        <w:tc>
          <w:tcPr>
            <w:tcW w:w="4679" w:type="dxa"/>
            <w:tcBorders>
              <w:top w:val="single" w:color="auto" w:sz="4" w:space="0"/>
              <w:left w:val="single" w:color="auto" w:sz="4" w:space="0"/>
              <w:bottom w:val="single" w:color="auto" w:sz="4" w:space="0"/>
            </w:tcBorders>
            <w:vAlign w:val="center"/>
          </w:tcPr>
          <w:p>
            <w:pPr>
              <w:pStyle w:val="54"/>
              <w:rPr>
                <w:rFonts w:ascii="宋体" w:hAnsi="宋体" w:cs="宋体"/>
                <w:color w:val="auto"/>
                <w:kern w:val="0"/>
                <w:szCs w:val="21"/>
                <w:highlight w:val="none"/>
              </w:rPr>
            </w:pPr>
          </w:p>
          <w:p>
            <w:pPr>
              <w:pStyle w:val="54"/>
              <w:rPr>
                <w:rFonts w:ascii="宋体" w:hAnsi="宋体" w:cs="宋体"/>
                <w:color w:val="auto"/>
                <w:kern w:val="0"/>
                <w:szCs w:val="21"/>
                <w:highlight w:val="none"/>
              </w:rPr>
            </w:pPr>
            <w:r>
              <w:rPr>
                <w:rFonts w:hint="eastAsia" w:ascii="宋体" w:hAnsi="宋体" w:cs="宋体"/>
                <w:color w:val="auto"/>
                <w:kern w:val="0"/>
                <w:szCs w:val="21"/>
                <w:highlight w:val="none"/>
              </w:rPr>
              <w:t>《优惠条款承诺函》中承诺的，每增加一条扩展条款（非限制性条款），得1.5分，最高得10分。</w:t>
            </w:r>
          </w:p>
          <w:p>
            <w:pPr>
              <w:pStyle w:val="54"/>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25" w:type="dxa"/>
            <w:gridSpan w:val="2"/>
            <w:vMerge w:val="continue"/>
            <w:tcBorders>
              <w:left w:val="single" w:color="000000" w:sz="4" w:space="0"/>
              <w:right w:val="single" w:color="000000" w:sz="4" w:space="0"/>
            </w:tcBorders>
            <w:vAlign w:val="center"/>
          </w:tcPr>
          <w:p>
            <w:pPr>
              <w:spacing w:after="120"/>
              <w:rPr>
                <w:rFonts w:ascii="宋体" w:hAnsi="宋体" w:eastAsia="宋体" w:cs="宋体"/>
                <w:color w:val="auto"/>
                <w:szCs w:val="21"/>
                <w:highlight w:val="none"/>
              </w:rPr>
            </w:pPr>
          </w:p>
        </w:tc>
        <w:tc>
          <w:tcPr>
            <w:tcW w:w="1099" w:type="dxa"/>
            <w:vMerge w:val="continue"/>
            <w:tcBorders>
              <w:left w:val="single" w:color="000000" w:sz="4" w:space="0"/>
              <w:right w:val="single" w:color="auto" w:sz="4" w:space="0"/>
            </w:tcBorders>
            <w:vAlign w:val="center"/>
          </w:tcPr>
          <w:p>
            <w:pPr>
              <w:spacing w:after="120"/>
              <w:jc w:val="center"/>
              <w:rPr>
                <w:rFonts w:ascii="宋体" w:hAnsi="宋体" w:eastAsia="宋体" w:cs="宋体"/>
                <w:b/>
                <w:bCs/>
                <w:color w:val="auto"/>
                <w:highlight w:val="none"/>
              </w:rPr>
            </w:pPr>
          </w:p>
        </w:tc>
        <w:tc>
          <w:tcPr>
            <w:tcW w:w="2654" w:type="dxa"/>
            <w:tcBorders>
              <w:top w:val="single" w:color="auto" w:sz="4" w:space="0"/>
              <w:left w:val="single" w:color="auto" w:sz="4" w:space="0"/>
              <w:bottom w:val="single" w:color="auto" w:sz="4" w:space="0"/>
            </w:tcBorders>
            <w:vAlign w:val="center"/>
          </w:tcPr>
          <w:p>
            <w:pPr>
              <w:pStyle w:val="54"/>
              <w:rPr>
                <w:rFonts w:ascii="宋体" w:hAnsi="宋体" w:cs="宋体"/>
                <w:color w:val="auto"/>
                <w:kern w:val="0"/>
                <w:szCs w:val="21"/>
                <w:highlight w:val="none"/>
              </w:rPr>
            </w:pPr>
            <w:r>
              <w:rPr>
                <w:rFonts w:hint="eastAsia"/>
                <w:color w:val="auto"/>
                <w:szCs w:val="21"/>
                <w:highlight w:val="none"/>
              </w:rPr>
              <w:t>理赔服务方案</w:t>
            </w:r>
            <w:r>
              <w:rPr>
                <w:rFonts w:hint="eastAsia" w:ascii="宋体" w:hAnsi="宋体" w:cs="宋体"/>
                <w:bCs/>
                <w:color w:val="auto"/>
                <w:kern w:val="0"/>
                <w:szCs w:val="21"/>
                <w:highlight w:val="none"/>
              </w:rPr>
              <w:t>(</w:t>
            </w:r>
            <w:r>
              <w:rPr>
                <w:rFonts w:ascii="宋体" w:hAnsi="宋体" w:cs="宋体"/>
                <w:bCs/>
                <w:color w:val="auto"/>
                <w:kern w:val="0"/>
                <w:szCs w:val="21"/>
                <w:highlight w:val="none"/>
              </w:rPr>
              <w:t>10</w:t>
            </w:r>
            <w:r>
              <w:rPr>
                <w:rFonts w:hint="eastAsia" w:ascii="宋体" w:hAnsi="宋体" w:cs="宋体"/>
                <w:bCs/>
                <w:color w:val="auto"/>
                <w:kern w:val="0"/>
                <w:szCs w:val="21"/>
                <w:highlight w:val="none"/>
              </w:rPr>
              <w:t>分)</w:t>
            </w:r>
          </w:p>
        </w:tc>
        <w:tc>
          <w:tcPr>
            <w:tcW w:w="4679" w:type="dxa"/>
            <w:tcBorders>
              <w:top w:val="single" w:color="auto" w:sz="4" w:space="0"/>
              <w:left w:val="single" w:color="auto" w:sz="4" w:space="0"/>
              <w:bottom w:val="single" w:color="auto" w:sz="4" w:space="0"/>
            </w:tcBorders>
            <w:vAlign w:val="center"/>
          </w:tcPr>
          <w:p>
            <w:pPr>
              <w:pStyle w:val="54"/>
              <w:rPr>
                <w:rFonts w:ascii="宋体" w:hAnsi="宋体" w:cs="宋体"/>
                <w:color w:val="auto"/>
                <w:kern w:val="0"/>
                <w:szCs w:val="21"/>
                <w:highlight w:val="none"/>
              </w:rPr>
            </w:pPr>
          </w:p>
          <w:p>
            <w:pPr>
              <w:pStyle w:val="54"/>
              <w:rPr>
                <w:rFonts w:ascii="宋体" w:hAnsi="宋体" w:cs="宋体"/>
                <w:color w:val="auto"/>
                <w:kern w:val="0"/>
                <w:szCs w:val="21"/>
                <w:highlight w:val="none"/>
              </w:rPr>
            </w:pPr>
            <w:r>
              <w:rPr>
                <w:rFonts w:hint="eastAsia" w:ascii="宋体" w:hAnsi="宋体" w:cs="宋体"/>
                <w:color w:val="auto"/>
                <w:kern w:val="0"/>
                <w:szCs w:val="21"/>
                <w:highlight w:val="none"/>
              </w:rPr>
              <w:t>理赔服务方案分析全面，解决方案具体可行。</w:t>
            </w:r>
          </w:p>
          <w:p>
            <w:pPr>
              <w:pStyle w:val="54"/>
              <w:rPr>
                <w:rFonts w:ascii="宋体" w:hAnsi="宋体" w:cs="宋体"/>
                <w:color w:val="auto"/>
                <w:kern w:val="0"/>
                <w:szCs w:val="21"/>
                <w:highlight w:val="none"/>
              </w:rPr>
            </w:pPr>
            <w:r>
              <w:rPr>
                <w:rFonts w:hint="eastAsia" w:ascii="宋体" w:hAnsi="宋体" w:cs="宋体"/>
                <w:color w:val="auto"/>
                <w:kern w:val="0"/>
                <w:szCs w:val="21"/>
                <w:highlight w:val="none"/>
              </w:rPr>
              <w:t xml:space="preserve">评定为优的得 </w:t>
            </w:r>
            <w:r>
              <w:rPr>
                <w:rFonts w:hint="default" w:ascii="宋体" w:hAnsi="宋体" w:cs="宋体"/>
                <w:color w:val="auto"/>
                <w:kern w:val="0"/>
                <w:szCs w:val="21"/>
                <w:highlight w:val="none"/>
                <w:lang w:val="en-US"/>
              </w:rPr>
              <w:t>(7-10]</w:t>
            </w:r>
            <w:r>
              <w:rPr>
                <w:rFonts w:hint="eastAsia" w:ascii="宋体" w:hAnsi="宋体" w:cs="宋体"/>
                <w:color w:val="auto"/>
                <w:kern w:val="0"/>
                <w:szCs w:val="21"/>
                <w:highlight w:val="none"/>
              </w:rPr>
              <w:t>分；评定为良，得</w:t>
            </w:r>
            <w:r>
              <w:rPr>
                <w:rFonts w:hint="default" w:ascii="宋体" w:hAnsi="宋体" w:cs="宋体"/>
                <w:color w:val="auto"/>
                <w:kern w:val="0"/>
                <w:szCs w:val="21"/>
                <w:highlight w:val="none"/>
                <w:lang w:val="en-US"/>
              </w:rPr>
              <w:t>（4-7]</w:t>
            </w:r>
            <w:r>
              <w:rPr>
                <w:rFonts w:hint="eastAsia" w:ascii="宋体" w:hAnsi="宋体" w:cs="宋体"/>
                <w:color w:val="auto"/>
                <w:kern w:val="0"/>
                <w:szCs w:val="21"/>
                <w:highlight w:val="none"/>
              </w:rPr>
              <w:t>分；评定为中，得</w:t>
            </w:r>
            <w:r>
              <w:rPr>
                <w:rFonts w:hint="default" w:ascii="宋体" w:hAnsi="宋体" w:cs="宋体"/>
                <w:color w:val="auto"/>
                <w:kern w:val="0"/>
                <w:szCs w:val="21"/>
                <w:highlight w:val="none"/>
                <w:lang w:val="en-US"/>
              </w:rPr>
              <w:t>（1-4]</w:t>
            </w:r>
            <w:r>
              <w:rPr>
                <w:rFonts w:hint="eastAsia" w:ascii="宋体" w:hAnsi="宋体" w:cs="宋体"/>
                <w:color w:val="auto"/>
                <w:kern w:val="0"/>
                <w:szCs w:val="21"/>
                <w:highlight w:val="none"/>
              </w:rPr>
              <w:t>分；评定为差，得</w:t>
            </w:r>
            <w:r>
              <w:rPr>
                <w:rFonts w:hint="default" w:ascii="宋体" w:hAnsi="宋体" w:cs="宋体"/>
                <w:color w:val="auto"/>
                <w:kern w:val="0"/>
                <w:szCs w:val="21"/>
                <w:highlight w:val="none"/>
                <w:lang w:val="en-US"/>
              </w:rPr>
              <w:t>[0-1]</w:t>
            </w:r>
            <w:r>
              <w:rPr>
                <w:rFonts w:hint="eastAsia" w:ascii="宋体" w:hAnsi="宋体" w:cs="宋体"/>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25" w:type="dxa"/>
            <w:gridSpan w:val="2"/>
            <w:vMerge w:val="continue"/>
            <w:tcBorders>
              <w:left w:val="single" w:color="000000" w:sz="4" w:space="0"/>
              <w:right w:val="single" w:color="000000" w:sz="4" w:space="0"/>
            </w:tcBorders>
            <w:vAlign w:val="center"/>
          </w:tcPr>
          <w:p>
            <w:pPr>
              <w:spacing w:after="120"/>
              <w:rPr>
                <w:rFonts w:ascii="宋体" w:hAnsi="宋体" w:eastAsia="宋体" w:cs="宋体"/>
                <w:color w:val="auto"/>
                <w:szCs w:val="21"/>
                <w:highlight w:val="none"/>
              </w:rPr>
            </w:pPr>
          </w:p>
        </w:tc>
        <w:tc>
          <w:tcPr>
            <w:tcW w:w="1099" w:type="dxa"/>
            <w:vMerge w:val="continue"/>
            <w:tcBorders>
              <w:left w:val="single" w:color="000000" w:sz="4" w:space="0"/>
              <w:right w:val="single" w:color="auto" w:sz="4" w:space="0"/>
            </w:tcBorders>
            <w:vAlign w:val="center"/>
          </w:tcPr>
          <w:p>
            <w:pPr>
              <w:spacing w:after="120"/>
              <w:jc w:val="center"/>
              <w:rPr>
                <w:rFonts w:ascii="宋体" w:hAnsi="宋体" w:eastAsia="宋体" w:cs="宋体"/>
                <w:b/>
                <w:bCs/>
                <w:color w:val="auto"/>
                <w:highlight w:val="none"/>
              </w:rPr>
            </w:pPr>
          </w:p>
        </w:tc>
        <w:tc>
          <w:tcPr>
            <w:tcW w:w="2654" w:type="dxa"/>
            <w:tcBorders>
              <w:top w:val="single" w:color="auto" w:sz="4" w:space="0"/>
              <w:left w:val="single" w:color="auto" w:sz="4" w:space="0"/>
              <w:bottom w:val="single" w:color="auto" w:sz="4" w:space="0"/>
            </w:tcBorders>
            <w:vAlign w:val="center"/>
          </w:tcPr>
          <w:p>
            <w:pPr>
              <w:pStyle w:val="54"/>
              <w:rPr>
                <w:rFonts w:ascii="宋体" w:hAnsi="宋体" w:cs="宋体"/>
                <w:color w:val="auto"/>
                <w:kern w:val="0"/>
                <w:szCs w:val="21"/>
                <w:highlight w:val="none"/>
              </w:rPr>
            </w:pPr>
            <w:r>
              <w:rPr>
                <w:rFonts w:hint="eastAsia" w:ascii="宋体" w:hAnsi="宋体" w:cs="宋体"/>
                <w:color w:val="auto"/>
                <w:szCs w:val="21"/>
                <w:highlight w:val="none"/>
              </w:rPr>
              <w:t>风控建议或措施</w:t>
            </w:r>
            <w:r>
              <w:rPr>
                <w:rFonts w:hint="eastAsia" w:ascii="宋体" w:hAnsi="宋体" w:cs="宋体"/>
                <w:bCs/>
                <w:color w:val="auto"/>
                <w:kern w:val="0"/>
                <w:szCs w:val="21"/>
                <w:highlight w:val="none"/>
              </w:rPr>
              <w:t>(</w:t>
            </w:r>
            <w:r>
              <w:rPr>
                <w:rFonts w:ascii="宋体" w:hAnsi="宋体" w:cs="宋体"/>
                <w:bCs/>
                <w:color w:val="auto"/>
                <w:kern w:val="0"/>
                <w:szCs w:val="21"/>
                <w:highlight w:val="none"/>
              </w:rPr>
              <w:t>10</w:t>
            </w:r>
            <w:r>
              <w:rPr>
                <w:rFonts w:hint="eastAsia" w:ascii="宋体" w:hAnsi="宋体" w:cs="宋体"/>
                <w:bCs/>
                <w:color w:val="auto"/>
                <w:kern w:val="0"/>
                <w:szCs w:val="21"/>
                <w:highlight w:val="none"/>
              </w:rPr>
              <w:t>分)</w:t>
            </w:r>
          </w:p>
        </w:tc>
        <w:tc>
          <w:tcPr>
            <w:tcW w:w="4679" w:type="dxa"/>
            <w:tcBorders>
              <w:top w:val="single" w:color="auto" w:sz="4" w:space="0"/>
              <w:left w:val="single" w:color="auto" w:sz="4" w:space="0"/>
              <w:bottom w:val="single" w:color="auto" w:sz="4" w:space="0"/>
            </w:tcBorders>
            <w:vAlign w:val="center"/>
          </w:tcPr>
          <w:p>
            <w:pPr>
              <w:pStyle w:val="54"/>
              <w:rPr>
                <w:rFonts w:ascii="宋体" w:hAnsi="宋体" w:cs="宋体"/>
                <w:color w:val="auto"/>
                <w:szCs w:val="21"/>
                <w:highlight w:val="none"/>
              </w:rPr>
            </w:pPr>
            <w:r>
              <w:rPr>
                <w:rFonts w:hint="eastAsia" w:ascii="宋体" w:hAnsi="宋体" w:cs="宋体"/>
                <w:color w:val="auto"/>
                <w:szCs w:val="21"/>
                <w:highlight w:val="none"/>
              </w:rPr>
              <w:t>提出有效风控建议及措施方案具体、科学、可行性高。</w:t>
            </w:r>
          </w:p>
          <w:p>
            <w:pPr>
              <w:pStyle w:val="54"/>
              <w:rPr>
                <w:rFonts w:ascii="宋体" w:hAnsi="宋体" w:cs="宋体"/>
                <w:color w:val="auto"/>
                <w:kern w:val="0"/>
                <w:szCs w:val="21"/>
                <w:highlight w:val="none"/>
              </w:rPr>
            </w:pPr>
            <w:r>
              <w:rPr>
                <w:rFonts w:hint="eastAsia" w:ascii="宋体" w:hAnsi="宋体" w:cs="宋体"/>
                <w:color w:val="auto"/>
                <w:kern w:val="0"/>
                <w:szCs w:val="21"/>
                <w:highlight w:val="none"/>
              </w:rPr>
              <w:t>评定为优的得 (7-10]分；评定为良，得（4-7]分；评定为中，得（1-4]分；评定为差，得[0-1]分。</w:t>
            </w:r>
          </w:p>
          <w:p>
            <w:pPr>
              <w:pStyle w:val="54"/>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25" w:type="dxa"/>
            <w:gridSpan w:val="2"/>
            <w:vMerge w:val="continue"/>
            <w:tcBorders>
              <w:left w:val="single" w:color="000000" w:sz="4" w:space="0"/>
              <w:right w:val="single" w:color="000000" w:sz="4" w:space="0"/>
            </w:tcBorders>
            <w:vAlign w:val="center"/>
          </w:tcPr>
          <w:p>
            <w:pPr>
              <w:spacing w:after="120"/>
              <w:rPr>
                <w:rFonts w:ascii="宋体" w:hAnsi="宋体" w:eastAsia="宋体" w:cs="宋体"/>
                <w:color w:val="auto"/>
                <w:szCs w:val="21"/>
                <w:highlight w:val="none"/>
              </w:rPr>
            </w:pPr>
          </w:p>
        </w:tc>
        <w:tc>
          <w:tcPr>
            <w:tcW w:w="1099" w:type="dxa"/>
            <w:vMerge w:val="continue"/>
            <w:tcBorders>
              <w:left w:val="single" w:color="000000" w:sz="4" w:space="0"/>
              <w:right w:val="single" w:color="auto" w:sz="4" w:space="0"/>
            </w:tcBorders>
            <w:vAlign w:val="center"/>
          </w:tcPr>
          <w:p>
            <w:pPr>
              <w:spacing w:after="120"/>
              <w:jc w:val="center"/>
              <w:rPr>
                <w:rFonts w:ascii="宋体" w:hAnsi="宋体" w:eastAsia="宋体" w:cs="宋体"/>
                <w:b/>
                <w:bCs/>
                <w:color w:val="auto"/>
                <w:highlight w:val="none"/>
              </w:rPr>
            </w:pPr>
          </w:p>
        </w:tc>
        <w:tc>
          <w:tcPr>
            <w:tcW w:w="2654" w:type="dxa"/>
            <w:tcBorders>
              <w:top w:val="single" w:color="auto" w:sz="4" w:space="0"/>
              <w:left w:val="single" w:color="auto" w:sz="4" w:space="0"/>
              <w:bottom w:val="single" w:color="auto" w:sz="4" w:space="0"/>
            </w:tcBorders>
            <w:vAlign w:val="center"/>
          </w:tcPr>
          <w:p>
            <w:pPr>
              <w:pStyle w:val="54"/>
              <w:rPr>
                <w:rFonts w:ascii="宋体" w:hAnsi="宋体" w:cs="宋体"/>
                <w:color w:val="auto"/>
                <w:kern w:val="0"/>
                <w:szCs w:val="21"/>
                <w:highlight w:val="none"/>
              </w:rPr>
            </w:pPr>
            <w:r>
              <w:rPr>
                <w:rFonts w:hint="eastAsia" w:ascii="宋体" w:hAnsi="宋体" w:cs="宋体"/>
                <w:color w:val="auto"/>
                <w:kern w:val="0"/>
                <w:szCs w:val="21"/>
                <w:highlight w:val="none"/>
              </w:rPr>
              <w:t>保险服务方案</w:t>
            </w:r>
            <w:r>
              <w:rPr>
                <w:rFonts w:hint="eastAsia" w:ascii="宋体" w:hAnsi="宋体" w:cs="宋体"/>
                <w:bCs/>
                <w:color w:val="auto"/>
                <w:kern w:val="0"/>
                <w:szCs w:val="21"/>
                <w:highlight w:val="none"/>
              </w:rPr>
              <w:t>(</w:t>
            </w:r>
            <w:r>
              <w:rPr>
                <w:rFonts w:ascii="宋体" w:hAnsi="宋体" w:cs="宋体"/>
                <w:bCs/>
                <w:color w:val="auto"/>
                <w:kern w:val="0"/>
                <w:szCs w:val="21"/>
                <w:highlight w:val="none"/>
              </w:rPr>
              <w:t>10</w:t>
            </w:r>
            <w:r>
              <w:rPr>
                <w:rFonts w:hint="eastAsia" w:ascii="宋体" w:hAnsi="宋体" w:cs="宋体"/>
                <w:bCs/>
                <w:color w:val="auto"/>
                <w:kern w:val="0"/>
                <w:szCs w:val="21"/>
                <w:highlight w:val="none"/>
              </w:rPr>
              <w:t>分)</w:t>
            </w:r>
          </w:p>
        </w:tc>
        <w:tc>
          <w:tcPr>
            <w:tcW w:w="4679" w:type="dxa"/>
            <w:tcBorders>
              <w:top w:val="single" w:color="auto" w:sz="4" w:space="0"/>
              <w:left w:val="single" w:color="auto" w:sz="4" w:space="0"/>
              <w:bottom w:val="single" w:color="auto" w:sz="4" w:space="0"/>
            </w:tcBorders>
            <w:vAlign w:val="center"/>
          </w:tcPr>
          <w:p>
            <w:pPr>
              <w:pStyle w:val="54"/>
              <w:rPr>
                <w:rFonts w:ascii="宋体" w:hAnsi="宋体" w:cs="宋体"/>
                <w:color w:val="auto"/>
                <w:kern w:val="0"/>
                <w:szCs w:val="21"/>
                <w:highlight w:val="none"/>
              </w:rPr>
            </w:pPr>
          </w:p>
          <w:p>
            <w:pPr>
              <w:pStyle w:val="54"/>
              <w:rPr>
                <w:rFonts w:ascii="宋体" w:hAnsi="宋体" w:cs="宋体"/>
                <w:color w:val="auto"/>
                <w:kern w:val="0"/>
                <w:szCs w:val="21"/>
                <w:highlight w:val="none"/>
              </w:rPr>
            </w:pPr>
            <w:r>
              <w:rPr>
                <w:rFonts w:hint="eastAsia" w:ascii="宋体" w:hAnsi="宋体" w:cs="宋体"/>
                <w:color w:val="auto"/>
                <w:kern w:val="0"/>
                <w:szCs w:val="21"/>
                <w:highlight w:val="none"/>
              </w:rPr>
              <w:t>保险方案响应招标文件的各项要求，日常服务方案详细、切实可行。</w:t>
            </w:r>
          </w:p>
          <w:p>
            <w:pPr>
              <w:pStyle w:val="54"/>
              <w:rPr>
                <w:rFonts w:ascii="宋体" w:hAnsi="宋体" w:cs="宋体"/>
                <w:color w:val="auto"/>
                <w:kern w:val="0"/>
                <w:szCs w:val="21"/>
                <w:highlight w:val="none"/>
              </w:rPr>
            </w:pPr>
            <w:r>
              <w:rPr>
                <w:rFonts w:hint="eastAsia" w:ascii="宋体" w:hAnsi="宋体" w:cs="宋体"/>
                <w:color w:val="auto"/>
                <w:kern w:val="0"/>
                <w:szCs w:val="21"/>
                <w:highlight w:val="none"/>
              </w:rPr>
              <w:t>评定为优的得 (7-10]分；评定为良，得（4-7]分；评定为中，得（1-4]分；评定为差，得[0-1]分。</w:t>
            </w:r>
          </w:p>
          <w:p>
            <w:pPr>
              <w:pStyle w:val="54"/>
              <w:rPr>
                <w:rFonts w:ascii="宋体" w:hAnsi="宋体" w:cs="宋体"/>
                <w:color w:val="auto"/>
                <w:szCs w:val="21"/>
                <w:highlight w:val="none"/>
              </w:rPr>
            </w:pPr>
          </w:p>
        </w:tc>
      </w:tr>
      <w:bookmarkEnd w:id="109"/>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2" w:hRule="atLeast"/>
        </w:trPr>
        <w:tc>
          <w:tcPr>
            <w:tcW w:w="925" w:type="dxa"/>
            <w:gridSpan w:val="2"/>
            <w:tcBorders>
              <w:top w:val="single" w:color="000000" w:sz="4" w:space="0"/>
              <w:left w:val="single" w:color="000000" w:sz="4" w:space="0"/>
              <w:bottom w:val="single" w:color="000000" w:sz="4" w:space="0"/>
              <w:right w:val="single" w:color="000000" w:sz="4" w:space="0"/>
            </w:tcBorders>
            <w:vAlign w:val="center"/>
          </w:tcPr>
          <w:p>
            <w:pPr>
              <w:spacing w:after="12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2.2.4（3）</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after="12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投标报价部分</w:t>
            </w:r>
          </w:p>
          <w:p>
            <w:pPr>
              <w:spacing w:after="120"/>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（20分）</w:t>
            </w:r>
          </w:p>
        </w:tc>
        <w:tc>
          <w:tcPr>
            <w:tcW w:w="7333" w:type="dxa"/>
            <w:gridSpan w:val="2"/>
            <w:tcBorders>
              <w:top w:val="single" w:color="000000" w:sz="4" w:space="0"/>
              <w:left w:val="single" w:color="000000" w:sz="4" w:space="0"/>
              <w:bottom w:val="single" w:color="000000" w:sz="4" w:space="0"/>
              <w:right w:val="single" w:color="000000" w:sz="4" w:space="0"/>
            </w:tcBorders>
            <w:vAlign w:val="center"/>
          </w:tcPr>
          <w:p>
            <w:pPr>
              <w:ind w:right="-21" w:rightChars="-10"/>
              <w:jc w:val="left"/>
              <w:rPr>
                <w:rFonts w:ascii="宋体" w:hAnsi="宋体" w:eastAsia="宋体" w:cs="宋体"/>
                <w:color w:val="auto"/>
                <w:kern w:val="0"/>
                <w:szCs w:val="21"/>
                <w:highlight w:val="none"/>
              </w:rPr>
            </w:pPr>
          </w:p>
          <w:p>
            <w:pPr>
              <w:ind w:right="-21" w:rightChars="-1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当通过初步评审的有效投标价者（有效投标价者是指位于</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招标控制价×</w:t>
            </w:r>
            <w:r>
              <w:rPr>
                <w:rFonts w:ascii="宋体" w:hAnsi="宋体" w:eastAsia="宋体" w:cs="宋体"/>
                <w:color w:val="auto"/>
                <w:kern w:val="0"/>
                <w:szCs w:val="21"/>
                <w:highlight w:val="none"/>
              </w:rPr>
              <w:t>80%</w:t>
            </w:r>
            <w:r>
              <w:rPr>
                <w:rFonts w:hint="eastAsia" w:ascii="宋体" w:hAnsi="宋体" w:eastAsia="宋体" w:cs="宋体"/>
                <w:color w:val="auto"/>
                <w:kern w:val="0"/>
                <w:szCs w:val="21"/>
                <w:highlight w:val="none"/>
              </w:rPr>
              <w:t>，招标控制价</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区间的投标价）大于</w:t>
            </w:r>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rPr>
              <w:t>名时，去掉一个最高价和一个最低价，取余下投标价的算术平均值作为评标参考价（</w:t>
            </w:r>
            <w:r>
              <w:rPr>
                <w:rFonts w:ascii="宋体" w:hAnsi="宋体" w:eastAsia="宋体" w:cs="宋体"/>
                <w:color w:val="auto"/>
                <w:kern w:val="0"/>
                <w:szCs w:val="21"/>
                <w:highlight w:val="none"/>
              </w:rPr>
              <w:t>PC</w:t>
            </w:r>
            <w:r>
              <w:rPr>
                <w:rFonts w:hint="eastAsia" w:ascii="宋体" w:hAnsi="宋体" w:eastAsia="宋体" w:cs="宋体"/>
                <w:color w:val="auto"/>
                <w:kern w:val="0"/>
                <w:szCs w:val="21"/>
                <w:highlight w:val="none"/>
              </w:rPr>
              <w:t>）；②当通过初步评审的有效投标价者（有效投标价者是指位于</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招标控制价×</w:t>
            </w:r>
            <w:r>
              <w:rPr>
                <w:rFonts w:ascii="宋体" w:hAnsi="宋体" w:eastAsia="宋体" w:cs="宋体"/>
                <w:color w:val="auto"/>
                <w:kern w:val="0"/>
                <w:szCs w:val="21"/>
                <w:highlight w:val="none"/>
              </w:rPr>
              <w:t>80%</w:t>
            </w:r>
            <w:r>
              <w:rPr>
                <w:rFonts w:hint="eastAsia" w:ascii="宋体" w:hAnsi="宋体" w:eastAsia="宋体" w:cs="宋体"/>
                <w:color w:val="auto"/>
                <w:kern w:val="0"/>
                <w:szCs w:val="21"/>
                <w:highlight w:val="none"/>
              </w:rPr>
              <w:t>，招标控制价</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区间的投标价）少于或等于</w:t>
            </w:r>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rPr>
              <w:t>名时，则取所有入围的有效投标价的算术平均值作为评标参考价（</w:t>
            </w:r>
            <w:r>
              <w:rPr>
                <w:rFonts w:ascii="宋体" w:hAnsi="宋体" w:eastAsia="宋体" w:cs="宋体"/>
                <w:color w:val="auto"/>
                <w:kern w:val="0"/>
                <w:szCs w:val="21"/>
                <w:highlight w:val="none"/>
              </w:rPr>
              <w:t>PC</w:t>
            </w:r>
            <w:r>
              <w:rPr>
                <w:rFonts w:hint="eastAsia" w:ascii="宋体" w:hAnsi="宋体" w:eastAsia="宋体" w:cs="宋体"/>
                <w:color w:val="auto"/>
                <w:kern w:val="0"/>
                <w:szCs w:val="21"/>
                <w:highlight w:val="none"/>
              </w:rPr>
              <w:t>）；③以评标参考价作为计算各有效投标价得分的基础。当有效投标价（</w:t>
            </w:r>
            <w:r>
              <w:rPr>
                <w:rFonts w:ascii="宋体" w:hAnsi="宋体" w:eastAsia="宋体" w:cs="宋体"/>
                <w:color w:val="auto"/>
                <w:kern w:val="0"/>
                <w:szCs w:val="21"/>
                <w:highlight w:val="none"/>
              </w:rPr>
              <w:t>PT</w:t>
            </w:r>
            <w:r>
              <w:rPr>
                <w:rFonts w:hint="eastAsia" w:ascii="宋体" w:hAnsi="宋体" w:eastAsia="宋体" w:cs="宋体"/>
                <w:color w:val="auto"/>
                <w:kern w:val="0"/>
                <w:szCs w:val="21"/>
                <w:highlight w:val="none"/>
              </w:rPr>
              <w:t>）等于评标参考价（PC）时，有效投标价得分</w:t>
            </w:r>
            <w:r>
              <w:rPr>
                <w:rFonts w:ascii="宋体" w:hAnsi="宋体" w:eastAsia="宋体" w:cs="宋体"/>
                <w:color w:val="auto"/>
                <w:kern w:val="0"/>
                <w:szCs w:val="21"/>
                <w:highlight w:val="none"/>
              </w:rPr>
              <w:t>I=20</w:t>
            </w:r>
            <w:r>
              <w:rPr>
                <w:rFonts w:hint="eastAsia" w:ascii="宋体" w:hAnsi="宋体" w:eastAsia="宋体" w:cs="宋体"/>
                <w:color w:val="auto"/>
                <w:kern w:val="0"/>
                <w:szCs w:val="21"/>
                <w:highlight w:val="none"/>
              </w:rPr>
              <w:t>分；有效投标价（</w:t>
            </w:r>
            <w:r>
              <w:rPr>
                <w:rFonts w:ascii="宋体" w:hAnsi="宋体" w:eastAsia="宋体" w:cs="宋体"/>
                <w:color w:val="auto"/>
                <w:kern w:val="0"/>
                <w:szCs w:val="21"/>
                <w:highlight w:val="none"/>
              </w:rPr>
              <w:t>PT</w:t>
            </w:r>
            <w:r>
              <w:rPr>
                <w:rFonts w:hint="eastAsia" w:ascii="宋体" w:hAnsi="宋体" w:eastAsia="宋体" w:cs="宋体"/>
                <w:color w:val="auto"/>
                <w:kern w:val="0"/>
                <w:szCs w:val="21"/>
                <w:highlight w:val="none"/>
              </w:rPr>
              <w:t>）比评标参考价（</w:t>
            </w:r>
            <w:r>
              <w:rPr>
                <w:rFonts w:ascii="宋体" w:hAnsi="宋体" w:eastAsia="宋体" w:cs="宋体"/>
                <w:color w:val="auto"/>
                <w:kern w:val="0"/>
                <w:szCs w:val="21"/>
                <w:highlight w:val="none"/>
              </w:rPr>
              <w:t>PC</w:t>
            </w:r>
            <w:r>
              <w:rPr>
                <w:rFonts w:hint="eastAsia" w:ascii="宋体" w:hAnsi="宋体" w:eastAsia="宋体" w:cs="宋体"/>
                <w:color w:val="auto"/>
                <w:kern w:val="0"/>
                <w:szCs w:val="21"/>
                <w:highlight w:val="none"/>
              </w:rPr>
              <w:t>）上偏差</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减</w:t>
            </w:r>
            <w:r>
              <w:rPr>
                <w:rFonts w:ascii="宋体" w:hAnsi="宋体" w:eastAsia="宋体" w:cs="宋体"/>
                <w:color w:val="auto"/>
                <w:kern w:val="0"/>
                <w:szCs w:val="21"/>
                <w:highlight w:val="none"/>
              </w:rPr>
              <w:t>0.5</w:t>
            </w:r>
            <w:r>
              <w:rPr>
                <w:rFonts w:hint="eastAsia" w:ascii="宋体" w:hAnsi="宋体" w:eastAsia="宋体" w:cs="宋体"/>
                <w:color w:val="auto"/>
                <w:kern w:val="0"/>
                <w:szCs w:val="21"/>
                <w:highlight w:val="none"/>
              </w:rPr>
              <w:t>分，下偏差</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减</w:t>
            </w:r>
            <w:r>
              <w:rPr>
                <w:rFonts w:ascii="宋体" w:hAnsi="宋体" w:eastAsia="宋体" w:cs="宋体"/>
                <w:color w:val="auto"/>
                <w:kern w:val="0"/>
                <w:szCs w:val="21"/>
                <w:highlight w:val="none"/>
              </w:rPr>
              <w:t>0.25</w:t>
            </w:r>
            <w:r>
              <w:rPr>
                <w:rFonts w:hint="eastAsia" w:ascii="宋体" w:hAnsi="宋体" w:eastAsia="宋体" w:cs="宋体"/>
                <w:color w:val="auto"/>
                <w:kern w:val="0"/>
                <w:szCs w:val="21"/>
                <w:highlight w:val="none"/>
              </w:rPr>
              <w:t>分，最多减至</w:t>
            </w:r>
            <w:r>
              <w:rPr>
                <w:rFonts w:ascii="宋体" w:hAnsi="宋体" w:eastAsia="宋体" w:cs="宋体"/>
                <w:color w:val="auto"/>
                <w:kern w:val="0"/>
                <w:szCs w:val="21"/>
                <w:highlight w:val="none"/>
              </w:rPr>
              <w:t>0</w:t>
            </w:r>
            <w:r>
              <w:rPr>
                <w:rFonts w:hint="eastAsia" w:ascii="宋体" w:hAnsi="宋体" w:eastAsia="宋体" w:cs="宋体"/>
                <w:color w:val="auto"/>
                <w:kern w:val="0"/>
                <w:szCs w:val="21"/>
                <w:highlight w:val="none"/>
              </w:rPr>
              <w:t>分止。</w:t>
            </w:r>
          </w:p>
          <w:p>
            <w:pPr>
              <w:pStyle w:val="54"/>
              <w:rPr>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9357" w:type="dxa"/>
            <w:gridSpan w:val="5"/>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olor w:val="auto"/>
                <w:highlight w:val="none"/>
              </w:rPr>
            </w:pPr>
          </w:p>
          <w:p>
            <w:pPr>
              <w:rPr>
                <w:rFonts w:ascii="宋体" w:hAnsi="宋体" w:eastAsia="宋体"/>
                <w:color w:val="auto"/>
                <w:highlight w:val="none"/>
              </w:rPr>
            </w:pPr>
            <w:r>
              <w:rPr>
                <w:rFonts w:hint="eastAsia" w:ascii="宋体" w:hAnsi="宋体" w:eastAsia="宋体"/>
                <w:color w:val="auto"/>
                <w:highlight w:val="none"/>
              </w:rPr>
              <w:t>注：</w:t>
            </w:r>
          </w:p>
          <w:p>
            <w:pPr>
              <w:ind w:left="0" w:firstLine="0" w:firstLineChars="0"/>
              <w:jc w:val="left"/>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、报价得分保留小数点后二位，第三位小数四舍五入。</w:t>
            </w:r>
          </w:p>
          <w:p>
            <w:pPr>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、投标人的综合得分为各评委的评分去掉一个最高分和一个最低分后计取的算术平均分（分数出现小数点时，保留小数点后二位，第三位小数四舍五入）。</w:t>
            </w:r>
          </w:p>
          <w:p>
            <w:pPr>
              <w:rPr>
                <w:color w:val="auto"/>
                <w:highlight w:val="none"/>
              </w:rPr>
            </w:pPr>
            <w:r>
              <w:rPr>
                <w:rFonts w:ascii="宋体" w:hAnsi="宋体" w:eastAsia="宋体"/>
                <w:color w:val="auto"/>
                <w:highlight w:val="none"/>
              </w:rPr>
              <w:t>3</w:t>
            </w:r>
            <w:r>
              <w:rPr>
                <w:rFonts w:hint="eastAsia" w:ascii="宋体" w:hAnsi="宋体" w:eastAsia="宋体"/>
                <w:color w:val="auto"/>
                <w:highlight w:val="none"/>
              </w:rPr>
              <w:t>、分值范围“</w:t>
            </w:r>
            <w:r>
              <w:rPr>
                <w:rFonts w:ascii="宋体" w:hAnsi="宋体" w:eastAsia="宋体"/>
                <w:color w:val="auto"/>
                <w:highlight w:val="none"/>
              </w:rPr>
              <w:t>[</w:t>
            </w:r>
            <w:r>
              <w:rPr>
                <w:rFonts w:hint="eastAsia" w:ascii="宋体" w:hAnsi="宋体" w:eastAsia="宋体"/>
                <w:color w:val="auto"/>
                <w:highlight w:val="none"/>
              </w:rPr>
              <w:t>”和“</w:t>
            </w:r>
            <w:r>
              <w:rPr>
                <w:rFonts w:ascii="宋体" w:hAnsi="宋体" w:eastAsia="宋体"/>
                <w:color w:val="auto"/>
                <w:highlight w:val="none"/>
              </w:rPr>
              <w:t>]</w:t>
            </w:r>
            <w:r>
              <w:rPr>
                <w:rFonts w:hint="eastAsia" w:ascii="宋体" w:hAnsi="宋体" w:eastAsia="宋体"/>
                <w:color w:val="auto"/>
                <w:highlight w:val="none"/>
              </w:rPr>
              <w:t>”的数值表示包含在所在区间内，“（”和“）”的数值表示不包含所在区间内。</w:t>
            </w:r>
          </w:p>
        </w:tc>
      </w:tr>
      <w:bookmarkEnd w:id="104"/>
    </w:tbl>
    <w:p>
      <w:pPr>
        <w:rPr>
          <w:rFonts w:asciiTheme="minorEastAsia" w:hAnsiTheme="minorEastAsia" w:eastAsiaTheme="minorEastAsia"/>
          <w:color w:val="auto"/>
          <w:highlight w:val="none"/>
        </w:rPr>
      </w:pPr>
      <w:bookmarkStart w:id="110" w:name="_Toc492300637"/>
      <w:r>
        <w:rPr>
          <w:rFonts w:asciiTheme="minorEastAsia" w:hAnsiTheme="minorEastAsia" w:eastAsiaTheme="minorEastAsia"/>
          <w:color w:val="auto"/>
          <w:highlight w:val="none"/>
        </w:rPr>
        <w:br w:type="page"/>
      </w:r>
    </w:p>
    <w:p>
      <w:pPr>
        <w:pStyle w:val="4"/>
        <w:jc w:val="left"/>
        <w:rPr>
          <w:rFonts w:asciiTheme="minorEastAsia" w:hAnsiTheme="minorEastAsia" w:eastAsiaTheme="minorEastAsia"/>
          <w:color w:val="auto"/>
          <w:highlight w:val="none"/>
        </w:rPr>
      </w:pPr>
      <w:bookmarkStart w:id="111" w:name="_Toc532744141"/>
      <w:bookmarkStart w:id="112" w:name="_Toc9275"/>
      <w:r>
        <w:rPr>
          <w:rFonts w:asciiTheme="minorEastAsia" w:hAnsiTheme="minorEastAsia" w:eastAsiaTheme="minorEastAsia"/>
          <w:color w:val="auto"/>
          <w:highlight w:val="none"/>
        </w:rPr>
        <w:t xml:space="preserve">1. </w:t>
      </w:r>
      <w:r>
        <w:rPr>
          <w:rFonts w:hint="eastAsia" w:asciiTheme="minorEastAsia" w:hAnsiTheme="minorEastAsia" w:eastAsiaTheme="minorEastAsia"/>
          <w:color w:val="auto"/>
          <w:highlight w:val="none"/>
        </w:rPr>
        <w:t>评标方法</w:t>
      </w:r>
      <w:bookmarkEnd w:id="111"/>
      <w:bookmarkEnd w:id="112"/>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本次评标采用综合评估法。评标委员会对满足招标文件实质性要求的投标文件，按照本章第</w:t>
      </w:r>
      <w:r>
        <w:rPr>
          <w:rFonts w:asciiTheme="minorEastAsia" w:hAnsiTheme="minorEastAsia" w:eastAsiaTheme="minorEastAsia"/>
          <w:color w:val="auto"/>
          <w:highlight w:val="none"/>
        </w:rPr>
        <w:t>2.2款规定的评分标准进行打分，并按得分由高到低顺序推荐中标候选人，排序的前一～三名为第一中标候选人、第二中标候选人和第三中标候选人。</w:t>
      </w:r>
      <w:r>
        <w:rPr>
          <w:rFonts w:hint="eastAsia" w:asciiTheme="minorEastAsia" w:hAnsiTheme="minorEastAsia" w:eastAsiaTheme="minorEastAsia"/>
          <w:color w:val="auto"/>
          <w:highlight w:val="none"/>
          <w:u w:val="single"/>
        </w:rPr>
        <w:t>总分相等时，按</w:t>
      </w:r>
      <w:r>
        <w:rPr>
          <w:rFonts w:asciiTheme="minorEastAsia" w:hAnsiTheme="minorEastAsia" w:eastAsiaTheme="minorEastAsia"/>
          <w:color w:val="auto"/>
          <w:highlight w:val="none"/>
          <w:u w:val="single"/>
        </w:rPr>
        <w:t>评标办法前附表要求，确定中标候选人的顺序</w:t>
      </w:r>
      <w:r>
        <w:rPr>
          <w:rFonts w:asciiTheme="minorEastAsia" w:hAnsiTheme="minorEastAsia" w:eastAsiaTheme="minorEastAsia"/>
          <w:color w:val="auto"/>
          <w:highlight w:val="none"/>
        </w:rPr>
        <w:t>。</w:t>
      </w:r>
    </w:p>
    <w:p>
      <w:pPr>
        <w:pStyle w:val="4"/>
        <w:rPr>
          <w:rFonts w:asciiTheme="minorEastAsia" w:hAnsiTheme="minorEastAsia" w:eastAsiaTheme="minorEastAsia"/>
          <w:color w:val="auto"/>
          <w:highlight w:val="none"/>
        </w:rPr>
      </w:pPr>
      <w:bookmarkStart w:id="113" w:name="_Toc22257"/>
      <w:bookmarkStart w:id="114" w:name="_Toc532744142"/>
      <w:r>
        <w:rPr>
          <w:rFonts w:asciiTheme="minorEastAsia" w:hAnsiTheme="minorEastAsia" w:eastAsiaTheme="minorEastAsia"/>
          <w:color w:val="auto"/>
          <w:highlight w:val="none"/>
        </w:rPr>
        <w:t xml:space="preserve">2. </w:t>
      </w:r>
      <w:r>
        <w:rPr>
          <w:rFonts w:hint="eastAsia" w:asciiTheme="minorEastAsia" w:hAnsiTheme="minorEastAsia" w:eastAsiaTheme="minorEastAsia"/>
          <w:color w:val="auto"/>
          <w:highlight w:val="none"/>
        </w:rPr>
        <w:t>评审标准</w:t>
      </w:r>
      <w:bookmarkEnd w:id="113"/>
      <w:bookmarkEnd w:id="114"/>
    </w:p>
    <w:p>
      <w:pPr>
        <w:pStyle w:val="5"/>
        <w:spacing w:before="48" w:beforeLines="20" w:after="48" w:afterLines="20"/>
        <w:jc w:val="left"/>
        <w:rPr>
          <w:rFonts w:asciiTheme="minorEastAsia" w:hAnsiTheme="minorEastAsia" w:eastAsiaTheme="minorEastAsia"/>
          <w:color w:val="auto"/>
          <w:highlight w:val="none"/>
        </w:rPr>
      </w:pPr>
      <w:bookmarkStart w:id="115" w:name="_Toc532744143"/>
      <w:r>
        <w:rPr>
          <w:rFonts w:asciiTheme="minorEastAsia" w:hAnsiTheme="minorEastAsia" w:eastAsiaTheme="minorEastAsia"/>
          <w:color w:val="auto"/>
          <w:highlight w:val="none"/>
        </w:rPr>
        <w:t xml:space="preserve">2.1 </w:t>
      </w:r>
      <w:r>
        <w:rPr>
          <w:rFonts w:hint="eastAsia" w:asciiTheme="minorEastAsia" w:hAnsiTheme="minorEastAsia" w:eastAsiaTheme="minorEastAsia"/>
          <w:color w:val="auto"/>
          <w:highlight w:val="none"/>
        </w:rPr>
        <w:t>初步评审标准</w:t>
      </w:r>
      <w:bookmarkEnd w:id="115"/>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2.1.1 </w:t>
      </w:r>
      <w:r>
        <w:rPr>
          <w:rFonts w:hint="eastAsia" w:asciiTheme="minorEastAsia" w:hAnsiTheme="minorEastAsia" w:eastAsiaTheme="minorEastAsia"/>
          <w:color w:val="auto"/>
          <w:highlight w:val="none"/>
        </w:rPr>
        <w:t>形式评审标准：见评标办法前附表。</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2.1.2 </w:t>
      </w:r>
      <w:r>
        <w:rPr>
          <w:rFonts w:hint="eastAsia" w:asciiTheme="minorEastAsia" w:hAnsiTheme="minorEastAsia" w:eastAsiaTheme="minorEastAsia"/>
          <w:color w:val="auto"/>
          <w:highlight w:val="none"/>
        </w:rPr>
        <w:t>资格评审标准：见评标办法前附表。</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2.1.3 </w:t>
      </w:r>
      <w:r>
        <w:rPr>
          <w:rFonts w:hint="eastAsia" w:asciiTheme="minorEastAsia" w:hAnsiTheme="minorEastAsia" w:eastAsiaTheme="minorEastAsia"/>
          <w:color w:val="auto"/>
          <w:highlight w:val="none"/>
        </w:rPr>
        <w:t>响应性评审标准：见评标办法前附表。</w:t>
      </w:r>
    </w:p>
    <w:p>
      <w:pPr>
        <w:pStyle w:val="5"/>
        <w:spacing w:before="48" w:beforeLines="20" w:after="48" w:afterLines="20"/>
        <w:jc w:val="left"/>
        <w:rPr>
          <w:rFonts w:asciiTheme="minorEastAsia" w:hAnsiTheme="minorEastAsia" w:eastAsiaTheme="minorEastAsia"/>
          <w:color w:val="auto"/>
          <w:highlight w:val="none"/>
        </w:rPr>
      </w:pPr>
      <w:bookmarkStart w:id="116" w:name="_Toc532744144"/>
      <w:r>
        <w:rPr>
          <w:rFonts w:asciiTheme="minorEastAsia" w:hAnsiTheme="minorEastAsia" w:eastAsiaTheme="minorEastAsia"/>
          <w:color w:val="auto"/>
          <w:highlight w:val="none"/>
        </w:rPr>
        <w:t xml:space="preserve">2.2 </w:t>
      </w:r>
      <w:r>
        <w:rPr>
          <w:rFonts w:hint="eastAsia" w:asciiTheme="minorEastAsia" w:hAnsiTheme="minorEastAsia" w:eastAsiaTheme="minorEastAsia"/>
          <w:color w:val="auto"/>
          <w:highlight w:val="none"/>
        </w:rPr>
        <w:t>分值构成与评分标准</w:t>
      </w:r>
      <w:bookmarkEnd w:id="116"/>
    </w:p>
    <w:p>
      <w:pPr>
        <w:spacing w:line="36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2.2.1</w:t>
      </w:r>
      <w:r>
        <w:rPr>
          <w:rFonts w:hint="eastAsia" w:asciiTheme="minorEastAsia" w:hAnsiTheme="minorEastAsia" w:eastAsiaTheme="minorEastAsia"/>
          <w:color w:val="auto"/>
          <w:szCs w:val="21"/>
          <w:highlight w:val="none"/>
        </w:rPr>
        <w:t>分值构成</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（1）资信业绩部分：见评标办法前附表；</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（2）技术部分：见评标办法前附表；</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（3）投标报价部分：见评标办法前附表；</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（4）其他评分因素：无。</w:t>
      </w:r>
    </w:p>
    <w:p>
      <w:pPr>
        <w:spacing w:line="36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2.2.2</w:t>
      </w:r>
      <w:r>
        <w:rPr>
          <w:rFonts w:hint="eastAsia" w:asciiTheme="minorEastAsia" w:hAnsiTheme="minorEastAsia" w:eastAsiaTheme="minorEastAsia"/>
          <w:color w:val="auto"/>
          <w:szCs w:val="21"/>
          <w:highlight w:val="none"/>
        </w:rPr>
        <w:t>评标基准价计算</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评标基准价计算方法：见评标办法前附表。</w:t>
      </w:r>
    </w:p>
    <w:p>
      <w:pPr>
        <w:spacing w:line="36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2.2.3</w:t>
      </w:r>
      <w:r>
        <w:rPr>
          <w:rFonts w:hint="eastAsia" w:asciiTheme="minorEastAsia" w:hAnsiTheme="minorEastAsia" w:eastAsiaTheme="minorEastAsia"/>
          <w:color w:val="auto"/>
          <w:szCs w:val="21"/>
          <w:highlight w:val="none"/>
        </w:rPr>
        <w:t>投标报价的计算</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投标报价的偏差率计算公式：见评标办法前附表。</w:t>
      </w:r>
    </w:p>
    <w:p>
      <w:pPr>
        <w:spacing w:line="36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2.2.4</w:t>
      </w:r>
      <w:r>
        <w:rPr>
          <w:rFonts w:hint="eastAsia" w:asciiTheme="minorEastAsia" w:hAnsiTheme="minorEastAsia" w:eastAsiaTheme="minorEastAsia"/>
          <w:color w:val="auto"/>
          <w:szCs w:val="21"/>
          <w:highlight w:val="none"/>
        </w:rPr>
        <w:t>评分标准</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（1）资信业绩部分评分标准：见评标办法前附表；</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（2）技术部分评分标准：见评标办法前附表；</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（3）投标报价部分评分标准：见评标办法前附表；</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（4）其他因素评分标准：无。</w:t>
      </w:r>
    </w:p>
    <w:p>
      <w:pPr>
        <w:pStyle w:val="4"/>
        <w:rPr>
          <w:rFonts w:asciiTheme="minorEastAsia" w:hAnsiTheme="minorEastAsia" w:eastAsiaTheme="minorEastAsia"/>
          <w:color w:val="auto"/>
          <w:highlight w:val="none"/>
        </w:rPr>
      </w:pPr>
      <w:bookmarkStart w:id="117" w:name="_Toc2877"/>
      <w:bookmarkStart w:id="118" w:name="_Toc532744145"/>
      <w:r>
        <w:rPr>
          <w:rFonts w:asciiTheme="minorEastAsia" w:hAnsiTheme="minorEastAsia" w:eastAsiaTheme="minorEastAsia"/>
          <w:color w:val="auto"/>
          <w:highlight w:val="none"/>
        </w:rPr>
        <w:t xml:space="preserve">3. </w:t>
      </w:r>
      <w:r>
        <w:rPr>
          <w:rFonts w:hint="eastAsia" w:asciiTheme="minorEastAsia" w:hAnsiTheme="minorEastAsia" w:eastAsiaTheme="minorEastAsia"/>
          <w:color w:val="auto"/>
          <w:highlight w:val="none"/>
        </w:rPr>
        <w:t>评标程序</w:t>
      </w:r>
      <w:bookmarkEnd w:id="117"/>
      <w:bookmarkEnd w:id="118"/>
    </w:p>
    <w:p>
      <w:pPr>
        <w:pStyle w:val="5"/>
        <w:spacing w:before="48" w:beforeLines="20" w:after="48" w:afterLines="20"/>
        <w:jc w:val="left"/>
        <w:rPr>
          <w:rFonts w:asciiTheme="minorEastAsia" w:hAnsiTheme="minorEastAsia" w:eastAsiaTheme="minorEastAsia"/>
          <w:color w:val="auto"/>
          <w:highlight w:val="none"/>
        </w:rPr>
      </w:pPr>
      <w:bookmarkStart w:id="119" w:name="_Toc532744146"/>
      <w:r>
        <w:rPr>
          <w:rFonts w:asciiTheme="minorEastAsia" w:hAnsiTheme="minorEastAsia" w:eastAsiaTheme="minorEastAsia"/>
          <w:color w:val="auto"/>
          <w:highlight w:val="none"/>
        </w:rPr>
        <w:t xml:space="preserve">3.1 </w:t>
      </w:r>
      <w:r>
        <w:rPr>
          <w:rFonts w:hint="eastAsia" w:asciiTheme="minorEastAsia" w:hAnsiTheme="minorEastAsia" w:eastAsiaTheme="minorEastAsia"/>
          <w:color w:val="auto"/>
          <w:highlight w:val="none"/>
        </w:rPr>
        <w:t>初步评审</w:t>
      </w:r>
      <w:bookmarkEnd w:id="119"/>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3.1.1 </w:t>
      </w:r>
      <w:r>
        <w:rPr>
          <w:rFonts w:hint="eastAsia" w:asciiTheme="minorEastAsia" w:hAnsiTheme="minorEastAsia" w:eastAsiaTheme="minorEastAsia"/>
          <w:color w:val="auto"/>
          <w:highlight w:val="none"/>
        </w:rPr>
        <w:t>评标委员会可以要求投标人提交第二章“投标人须知”规定的有关证明和证件的原件，以便核验。评标委员会依据本章第</w:t>
      </w:r>
      <w:r>
        <w:rPr>
          <w:rFonts w:asciiTheme="minorEastAsia" w:hAnsiTheme="minorEastAsia" w:eastAsiaTheme="minorEastAsia"/>
          <w:color w:val="auto"/>
          <w:highlight w:val="none"/>
        </w:rPr>
        <w:t xml:space="preserve"> 2.1 </w:t>
      </w:r>
      <w:r>
        <w:rPr>
          <w:rFonts w:hint="eastAsia" w:asciiTheme="minorEastAsia" w:hAnsiTheme="minorEastAsia" w:eastAsiaTheme="minorEastAsia"/>
          <w:color w:val="auto"/>
          <w:highlight w:val="none"/>
        </w:rPr>
        <w:t>款规定的标准对投标文件进行初步评审。有一项不符合评审标准的，评标委员会应当否决其投标。</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3.1.2 </w:t>
      </w:r>
      <w:r>
        <w:rPr>
          <w:rFonts w:hint="eastAsia" w:asciiTheme="minorEastAsia" w:hAnsiTheme="minorEastAsia" w:eastAsiaTheme="minorEastAsia"/>
          <w:color w:val="auto"/>
          <w:highlight w:val="none"/>
        </w:rPr>
        <w:t>投标人有以下情形之一的，评标委员会应当否决其投标：</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1）投标文件没有对招标文件的实质性要求和条件作出响应，或者对招标文件的偏差超出招标文件规定的偏差范围或最高项数；</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2）有串通投标、弄虚作假、行贿等违法行为。</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3.1.3 </w:t>
      </w:r>
      <w:r>
        <w:rPr>
          <w:rFonts w:hint="eastAsia" w:asciiTheme="minorEastAsia" w:hAnsiTheme="minorEastAsia" w:eastAsiaTheme="minorEastAsia"/>
          <w:color w:val="auto"/>
          <w:highlight w:val="none"/>
        </w:rPr>
        <w:t>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1）投标文件中的大写金额与小写金额不一致的，以大写金额为准；</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2）总价金额与所报</w:t>
      </w:r>
      <w:r>
        <w:rPr>
          <w:rFonts w:hint="eastAsia" w:asciiTheme="minorEastAsia" w:hAnsiTheme="minorEastAsia" w:eastAsiaTheme="minorEastAsia"/>
          <w:color w:val="auto"/>
          <w:highlight w:val="none"/>
        </w:rPr>
        <w:t>费</w:t>
      </w:r>
      <w:r>
        <w:rPr>
          <w:rFonts w:asciiTheme="minorEastAsia" w:hAnsiTheme="minorEastAsia" w:eastAsiaTheme="minorEastAsia"/>
          <w:color w:val="auto"/>
          <w:highlight w:val="none"/>
        </w:rPr>
        <w:t>率算出金额</w:t>
      </w:r>
      <w:r>
        <w:rPr>
          <w:rFonts w:hint="eastAsia" w:asciiTheme="minorEastAsia" w:hAnsiTheme="minorEastAsia" w:eastAsiaTheme="minorEastAsia"/>
          <w:color w:val="auto"/>
          <w:highlight w:val="none"/>
        </w:rPr>
        <w:t>不一致的，以总价金额为准，修改费率</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但单价金额小数点有明显错误的除外。</w:t>
      </w:r>
    </w:p>
    <w:p>
      <w:pPr>
        <w:pStyle w:val="5"/>
        <w:spacing w:before="48" w:beforeLines="20" w:after="48" w:afterLines="20"/>
        <w:jc w:val="left"/>
        <w:rPr>
          <w:rFonts w:asciiTheme="minorEastAsia" w:hAnsiTheme="minorEastAsia" w:eastAsiaTheme="minorEastAsia"/>
          <w:color w:val="auto"/>
          <w:highlight w:val="none"/>
        </w:rPr>
      </w:pPr>
      <w:bookmarkStart w:id="120" w:name="_Toc532744147"/>
      <w:r>
        <w:rPr>
          <w:rFonts w:asciiTheme="minorEastAsia" w:hAnsiTheme="minorEastAsia" w:eastAsiaTheme="minorEastAsia"/>
          <w:color w:val="auto"/>
          <w:highlight w:val="none"/>
        </w:rPr>
        <w:t xml:space="preserve">3.2 </w:t>
      </w:r>
      <w:r>
        <w:rPr>
          <w:rFonts w:hint="eastAsia" w:asciiTheme="minorEastAsia" w:hAnsiTheme="minorEastAsia" w:eastAsiaTheme="minorEastAsia"/>
          <w:color w:val="auto"/>
          <w:highlight w:val="none"/>
        </w:rPr>
        <w:t>详细评审</w:t>
      </w:r>
      <w:bookmarkEnd w:id="120"/>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3.2.1</w:t>
      </w:r>
      <w:r>
        <w:rPr>
          <w:rFonts w:hint="eastAsia" w:asciiTheme="minorEastAsia" w:hAnsiTheme="minorEastAsia" w:eastAsiaTheme="minorEastAsia"/>
          <w:color w:val="auto"/>
          <w:highlight w:val="none"/>
        </w:rPr>
        <w:t>评标委员会按本章第</w:t>
      </w:r>
      <w:r>
        <w:rPr>
          <w:rFonts w:asciiTheme="minorEastAsia" w:hAnsiTheme="minorEastAsia" w:eastAsiaTheme="minorEastAsia"/>
          <w:color w:val="auto"/>
          <w:highlight w:val="none"/>
        </w:rPr>
        <w:t>2.2</w:t>
      </w:r>
      <w:r>
        <w:rPr>
          <w:rFonts w:hint="eastAsia" w:asciiTheme="minorEastAsia" w:hAnsiTheme="minorEastAsia" w:eastAsiaTheme="minorEastAsia"/>
          <w:color w:val="auto"/>
          <w:highlight w:val="none"/>
        </w:rPr>
        <w:t>款规定的量化因素和分值进行打分，并计算出综合评估得分。</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（1）按本章第2.2.4（1）目规定的评审因素和分值对资信业绩部分计算出得分A；</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（2）按本章第2.2.4（2）目规定的评审因素和分值对技术部分计算出得分B；</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（3）按本章第2.2.4（3）目规定的评审因素和分值对投标报价部分计算出得分C；</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3.2.2</w:t>
      </w:r>
      <w:r>
        <w:rPr>
          <w:rFonts w:hint="eastAsia" w:asciiTheme="minorEastAsia" w:hAnsiTheme="minorEastAsia" w:eastAsiaTheme="minorEastAsia"/>
          <w:color w:val="auto"/>
          <w:highlight w:val="none"/>
        </w:rPr>
        <w:t>评分分值计算保留小数点后两位，小数点后第三位</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四舍五入</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3.2.3</w:t>
      </w:r>
      <w:r>
        <w:rPr>
          <w:rFonts w:hint="eastAsia" w:asciiTheme="minorEastAsia" w:hAnsiTheme="minorEastAsia" w:eastAsiaTheme="minorEastAsia"/>
          <w:color w:val="auto"/>
          <w:highlight w:val="none"/>
        </w:rPr>
        <w:t>投标人得分</w:t>
      </w:r>
      <w:r>
        <w:rPr>
          <w:rFonts w:asciiTheme="minorEastAsia" w:hAnsiTheme="minorEastAsia" w:eastAsiaTheme="minorEastAsia"/>
          <w:color w:val="auto"/>
          <w:highlight w:val="none"/>
        </w:rPr>
        <w:t>=A+B+C</w:t>
      </w:r>
      <w:r>
        <w:rPr>
          <w:rFonts w:hint="eastAsia" w:asciiTheme="minorEastAsia" w:hAnsiTheme="minorEastAsia" w:eastAsiaTheme="minorEastAsia"/>
          <w:color w:val="auto"/>
          <w:highlight w:val="none"/>
        </w:rPr>
        <w:t>。</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3.2.4</w:t>
      </w:r>
      <w:r>
        <w:rPr>
          <w:rFonts w:hint="eastAsia" w:asciiTheme="minorEastAsia" w:hAnsiTheme="minorEastAsia" w:eastAsiaTheme="minorEastAsia"/>
          <w:color w:val="auto"/>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spacing w:before="48" w:beforeLines="20" w:after="48" w:afterLines="20"/>
        <w:jc w:val="left"/>
        <w:rPr>
          <w:rFonts w:asciiTheme="minorEastAsia" w:hAnsiTheme="minorEastAsia" w:eastAsiaTheme="minorEastAsia"/>
          <w:color w:val="auto"/>
          <w:highlight w:val="none"/>
        </w:rPr>
      </w:pPr>
      <w:bookmarkStart w:id="121" w:name="_Toc532744148"/>
      <w:r>
        <w:rPr>
          <w:rFonts w:asciiTheme="minorEastAsia" w:hAnsiTheme="minorEastAsia" w:eastAsiaTheme="minorEastAsia"/>
          <w:color w:val="auto"/>
          <w:highlight w:val="none"/>
        </w:rPr>
        <w:t xml:space="preserve">3.3 </w:t>
      </w:r>
      <w:r>
        <w:rPr>
          <w:rFonts w:hint="eastAsia" w:asciiTheme="minorEastAsia" w:hAnsiTheme="minorEastAsia" w:eastAsiaTheme="minorEastAsia"/>
          <w:color w:val="auto"/>
          <w:highlight w:val="none"/>
        </w:rPr>
        <w:t>投标文件的澄清</w:t>
      </w:r>
      <w:bookmarkEnd w:id="121"/>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3.3.1 </w:t>
      </w:r>
      <w:r>
        <w:rPr>
          <w:rFonts w:hint="eastAsia" w:asciiTheme="minorEastAsia" w:hAnsiTheme="minorEastAsia" w:eastAsiaTheme="minorEastAsia"/>
          <w:color w:val="auto"/>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3.3.2 </w:t>
      </w:r>
      <w:r>
        <w:rPr>
          <w:rFonts w:hint="eastAsia" w:asciiTheme="minorEastAsia" w:hAnsiTheme="minorEastAsia" w:eastAsiaTheme="minorEastAsia"/>
          <w:color w:val="auto"/>
          <w:highlight w:val="none"/>
        </w:rPr>
        <w:t>澄清、说明或补正不得超出投标文件的范围且不得改变投标文件的实质性内容，并构成投标文件的组成部分。</w:t>
      </w:r>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3.3.3 </w:t>
      </w:r>
      <w:r>
        <w:rPr>
          <w:rFonts w:hint="eastAsia" w:asciiTheme="minorEastAsia" w:hAnsiTheme="minorEastAsia" w:eastAsiaTheme="minorEastAsia"/>
          <w:color w:val="auto"/>
          <w:highlight w:val="none"/>
        </w:rPr>
        <w:t>评标委员会对投标人提交的澄清、说明或补正有疑问的，可以要求投标人进一步澄清、说明或补正，直至满足评标委员会的要求。</w:t>
      </w:r>
    </w:p>
    <w:p>
      <w:pPr>
        <w:pStyle w:val="5"/>
        <w:spacing w:before="48" w:beforeLines="20" w:after="48" w:afterLines="20"/>
        <w:jc w:val="left"/>
        <w:rPr>
          <w:rFonts w:asciiTheme="minorEastAsia" w:hAnsiTheme="minorEastAsia" w:eastAsiaTheme="minorEastAsia"/>
          <w:color w:val="auto"/>
          <w:highlight w:val="none"/>
        </w:rPr>
      </w:pPr>
      <w:bookmarkStart w:id="122" w:name="_Toc532744149"/>
      <w:r>
        <w:rPr>
          <w:rFonts w:asciiTheme="minorEastAsia" w:hAnsiTheme="minorEastAsia" w:eastAsiaTheme="minorEastAsia"/>
          <w:color w:val="auto"/>
          <w:highlight w:val="none"/>
        </w:rPr>
        <w:t xml:space="preserve">3.4 </w:t>
      </w:r>
      <w:r>
        <w:rPr>
          <w:rFonts w:hint="eastAsia" w:asciiTheme="minorEastAsia" w:hAnsiTheme="minorEastAsia" w:eastAsiaTheme="minorEastAsia"/>
          <w:color w:val="auto"/>
          <w:highlight w:val="none"/>
        </w:rPr>
        <w:t>评标结果</w:t>
      </w:r>
      <w:bookmarkEnd w:id="122"/>
    </w:p>
    <w:p>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3.4.1 </w:t>
      </w:r>
      <w:r>
        <w:rPr>
          <w:rFonts w:hint="eastAsia" w:asciiTheme="minorEastAsia" w:hAnsiTheme="minorEastAsia" w:eastAsiaTheme="minorEastAsia"/>
          <w:color w:val="auto"/>
          <w:highlight w:val="none"/>
        </w:rPr>
        <w:t>除第二章“投标人须知”前附表授权直接确定中标人外，评标委员会按照得分由高到低的顺序推荐中标候选人，并标明排序。</w:t>
      </w:r>
    </w:p>
    <w:p>
      <w:pPr>
        <w:spacing w:line="276" w:lineRule="auto"/>
        <w:ind w:left="-2" w:firstLine="367" w:firstLineChars="175"/>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highlight w:val="none"/>
        </w:rPr>
        <w:t xml:space="preserve">3.4.2 </w:t>
      </w:r>
      <w:r>
        <w:rPr>
          <w:rFonts w:hint="eastAsia" w:asciiTheme="minorEastAsia" w:hAnsiTheme="minorEastAsia" w:eastAsiaTheme="minorEastAsia"/>
          <w:color w:val="auto"/>
          <w:highlight w:val="none"/>
        </w:rPr>
        <w:t>评标委员会完成评标后，应当向招标人提交书面评标报告和中标候选人名单。</w:t>
      </w:r>
    </w:p>
    <w:p>
      <w:pPr>
        <w:spacing w:line="276" w:lineRule="auto"/>
        <w:ind w:left="-2" w:firstLine="420" w:firstLineChars="175"/>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br w:type="page"/>
      </w:r>
    </w:p>
    <w:p>
      <w:pPr>
        <w:pStyle w:val="3"/>
        <w:spacing w:line="240" w:lineRule="auto"/>
        <w:jc w:val="center"/>
        <w:rPr>
          <w:rFonts w:asciiTheme="minorEastAsia" w:hAnsiTheme="minorEastAsia" w:eastAsiaTheme="minorEastAsia"/>
          <w:color w:val="auto"/>
          <w:highlight w:val="none"/>
        </w:rPr>
      </w:pPr>
      <w:bookmarkStart w:id="123" w:name="_Toc17284"/>
      <w:bookmarkStart w:id="124" w:name="_Toc32520"/>
      <w:bookmarkStart w:id="125" w:name="_Toc25802"/>
      <w:bookmarkStart w:id="126" w:name="_Toc525063257"/>
      <w:r>
        <w:rPr>
          <w:rFonts w:hint="eastAsia" w:asciiTheme="minorEastAsia" w:hAnsiTheme="minorEastAsia" w:eastAsiaTheme="minorEastAsia"/>
          <w:color w:val="auto"/>
          <w:highlight w:val="none"/>
        </w:rPr>
        <w:t>第四章 合同条款及格式</w:t>
      </w:r>
      <w:bookmarkEnd w:id="123"/>
      <w:r>
        <w:rPr>
          <w:rFonts w:hint="eastAsia" w:asciiTheme="minorEastAsia" w:hAnsiTheme="minorEastAsia" w:eastAsiaTheme="minorEastAsia"/>
          <w:color w:val="auto"/>
          <w:highlight w:val="none"/>
        </w:rPr>
        <w:t>（另册）</w:t>
      </w:r>
      <w:bookmarkEnd w:id="124"/>
      <w:bookmarkEnd w:id="125"/>
    </w:p>
    <w:bookmarkEnd w:id="126"/>
    <w:p>
      <w:pPr>
        <w:widowControl/>
        <w:jc w:val="left"/>
        <w:rPr>
          <w:rFonts w:asciiTheme="minorEastAsia" w:hAnsiTheme="minorEastAsia" w:eastAsiaTheme="minorEastAsia"/>
          <w:color w:val="auto"/>
          <w:highlight w:val="none"/>
        </w:rPr>
      </w:pPr>
      <w:bookmarkStart w:id="127" w:name="_Toc19781"/>
      <w:r>
        <w:rPr>
          <w:rFonts w:asciiTheme="minorEastAsia" w:hAnsiTheme="minorEastAsia" w:eastAsiaTheme="minorEastAsia"/>
          <w:color w:val="auto"/>
          <w:highlight w:val="none"/>
        </w:rPr>
        <w:br w:type="page"/>
      </w:r>
    </w:p>
    <w:p>
      <w:pPr>
        <w:rPr>
          <w:color w:val="auto"/>
          <w:highlight w:val="none"/>
        </w:rPr>
      </w:pPr>
    </w:p>
    <w:p>
      <w:pPr>
        <w:rPr>
          <w:rFonts w:asciiTheme="minorEastAsia" w:hAnsiTheme="minorEastAsia" w:eastAsiaTheme="minorEastAsia"/>
          <w:color w:val="auto"/>
          <w:highlight w:val="none"/>
        </w:rPr>
      </w:pPr>
    </w:p>
    <w:p>
      <w:pPr>
        <w:pStyle w:val="54"/>
        <w:rPr>
          <w:rFonts w:asciiTheme="minorEastAsia" w:hAnsiTheme="minorEastAsia" w:eastAsiaTheme="minorEastAsia"/>
          <w:color w:val="auto"/>
          <w:highlight w:val="none"/>
        </w:rPr>
      </w:pPr>
    </w:p>
    <w:p>
      <w:pPr>
        <w:pStyle w:val="54"/>
        <w:rPr>
          <w:rFonts w:asciiTheme="minorEastAsia" w:hAnsiTheme="minorEastAsia" w:eastAsiaTheme="minorEastAsia"/>
          <w:color w:val="auto"/>
          <w:highlight w:val="none"/>
        </w:rPr>
      </w:pPr>
    </w:p>
    <w:p>
      <w:pPr>
        <w:pStyle w:val="3"/>
        <w:spacing w:line="240" w:lineRule="auto"/>
        <w:jc w:val="center"/>
        <w:rPr>
          <w:rFonts w:asciiTheme="minorEastAsia" w:hAnsiTheme="minorEastAsia" w:eastAsiaTheme="minorEastAsia"/>
          <w:color w:val="auto"/>
          <w:highlight w:val="none"/>
        </w:rPr>
      </w:pPr>
      <w:bookmarkStart w:id="128" w:name="_Toc5593"/>
      <w:bookmarkStart w:id="129" w:name="_Toc10665"/>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val="en-US" w:eastAsia="zh-CN"/>
        </w:rPr>
        <w:t>五</w:t>
      </w:r>
      <w:r>
        <w:rPr>
          <w:rFonts w:hint="eastAsia" w:asciiTheme="minorEastAsia" w:hAnsiTheme="minorEastAsia" w:eastAsiaTheme="minorEastAsia"/>
          <w:color w:val="auto"/>
          <w:highlight w:val="none"/>
        </w:rPr>
        <w:t>章 投标文件格式</w:t>
      </w:r>
      <w:bookmarkEnd w:id="127"/>
      <w:bookmarkEnd w:id="128"/>
      <w:bookmarkEnd w:id="129"/>
    </w:p>
    <w:p>
      <w:pPr>
        <w:rPr>
          <w:color w:val="auto"/>
          <w:highlight w:val="none"/>
        </w:rPr>
      </w:pPr>
    </w:p>
    <w:p>
      <w:pP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spacing w:before="240" w:after="240"/>
        <w:ind w:left="420"/>
        <w:jc w:val="center"/>
        <w:rPr>
          <w:rFonts w:asciiTheme="minorEastAsia" w:hAnsiTheme="minorEastAsia" w:eastAsiaTheme="minorEastAsia"/>
          <w:color w:val="auto"/>
          <w:sz w:val="30"/>
          <w:szCs w:val="30"/>
          <w:highlight w:val="none"/>
        </w:rPr>
      </w:pPr>
    </w:p>
    <w:p>
      <w:pPr>
        <w:pStyle w:val="54"/>
        <w:rPr>
          <w:rFonts w:asciiTheme="minorEastAsia" w:hAnsiTheme="minorEastAsia" w:eastAsiaTheme="minorEastAsia"/>
          <w:color w:val="auto"/>
          <w:sz w:val="30"/>
          <w:szCs w:val="30"/>
          <w:highlight w:val="none"/>
        </w:rPr>
      </w:pPr>
    </w:p>
    <w:p>
      <w:pPr>
        <w:pStyle w:val="54"/>
        <w:rPr>
          <w:rFonts w:asciiTheme="minorEastAsia" w:hAnsiTheme="minorEastAsia" w:eastAsiaTheme="minorEastAsia"/>
          <w:color w:val="auto"/>
          <w:sz w:val="30"/>
          <w:szCs w:val="30"/>
          <w:highlight w:val="none"/>
        </w:rPr>
      </w:pPr>
    </w:p>
    <w:p>
      <w:pPr>
        <w:spacing w:before="240" w:after="240"/>
        <w:jc w:val="center"/>
        <w:rPr>
          <w:rFonts w:ascii="宋体" w:hAnsi="宋体" w:eastAsia="宋体" w:cs="宋体"/>
          <w:color w:val="auto"/>
          <w:sz w:val="36"/>
          <w:szCs w:val="36"/>
          <w:highlight w:val="none"/>
        </w:rPr>
      </w:pPr>
      <w:bookmarkStart w:id="183" w:name="_GoBack"/>
      <w:r>
        <w:rPr>
          <w:rFonts w:hint="eastAsia" w:ascii="宋体" w:hAnsi="宋体" w:eastAsia="宋体" w:cs="宋体"/>
          <w:color w:val="auto"/>
          <w:sz w:val="36"/>
          <w:szCs w:val="36"/>
          <w:highlight w:val="none"/>
          <w:lang w:eastAsia="zh-CN"/>
        </w:rPr>
        <w:t>会展西路过江隧道工程工程一切险及第三者责任险</w:t>
      </w:r>
    </w:p>
    <w:p>
      <w:pPr>
        <w:rPr>
          <w:rFonts w:ascii="宋体" w:hAnsi="宋体" w:eastAsia="宋体" w:cs="宋体"/>
          <w:color w:val="auto"/>
          <w:sz w:val="20"/>
          <w:highlight w:val="none"/>
        </w:rPr>
      </w:pPr>
    </w:p>
    <w:p>
      <w:pPr>
        <w:rPr>
          <w:rFonts w:ascii="宋体" w:hAnsi="宋体" w:eastAsia="宋体" w:cs="宋体"/>
          <w:color w:val="auto"/>
          <w:sz w:val="20"/>
          <w:highlight w:val="none"/>
        </w:rPr>
      </w:pPr>
    </w:p>
    <w:p>
      <w:pPr>
        <w:rPr>
          <w:rFonts w:ascii="宋体" w:hAnsi="宋体" w:eastAsia="宋体" w:cs="宋体"/>
          <w:color w:val="auto"/>
          <w:sz w:val="20"/>
          <w:highlight w:val="none"/>
        </w:rPr>
      </w:pPr>
    </w:p>
    <w:p>
      <w:pPr>
        <w:pStyle w:val="54"/>
        <w:rPr>
          <w:rFonts w:ascii="宋体" w:hAnsi="宋体" w:cs="宋体"/>
          <w:color w:val="auto"/>
          <w:highlight w:val="none"/>
        </w:rPr>
      </w:pPr>
    </w:p>
    <w:p>
      <w:pPr>
        <w:rPr>
          <w:rFonts w:ascii="宋体" w:hAnsi="宋体" w:eastAsia="宋体" w:cs="宋体"/>
          <w:color w:val="auto"/>
          <w:sz w:val="20"/>
          <w:highlight w:val="none"/>
        </w:rPr>
      </w:pPr>
    </w:p>
    <w:p>
      <w:pPr>
        <w:rPr>
          <w:rFonts w:ascii="宋体" w:hAnsi="宋体" w:eastAsia="宋体" w:cs="宋体"/>
          <w:color w:val="auto"/>
          <w:sz w:val="20"/>
          <w:highlight w:val="none"/>
        </w:rPr>
      </w:pPr>
    </w:p>
    <w:p>
      <w:pPr>
        <w:rPr>
          <w:rFonts w:ascii="宋体" w:hAnsi="宋体" w:eastAsia="宋体" w:cs="宋体"/>
          <w:color w:val="auto"/>
          <w:sz w:val="20"/>
          <w:highlight w:val="none"/>
        </w:rPr>
      </w:pPr>
    </w:p>
    <w:p>
      <w:pPr>
        <w:rPr>
          <w:rFonts w:ascii="宋体" w:hAnsi="宋体" w:eastAsia="宋体" w:cs="宋体"/>
          <w:color w:val="auto"/>
          <w:sz w:val="20"/>
          <w:highlight w:val="none"/>
        </w:rPr>
      </w:pPr>
    </w:p>
    <w:p>
      <w:pPr>
        <w:rPr>
          <w:rFonts w:ascii="宋体" w:hAnsi="宋体" w:eastAsia="宋体" w:cs="宋体"/>
          <w:color w:val="auto"/>
          <w:sz w:val="20"/>
          <w:highlight w:val="none"/>
        </w:rPr>
      </w:pPr>
    </w:p>
    <w:p>
      <w:pPr>
        <w:jc w:val="center"/>
        <w:rPr>
          <w:rFonts w:ascii="宋体" w:hAnsi="宋体" w:eastAsia="宋体" w:cs="宋体"/>
          <w:color w:val="auto"/>
          <w:sz w:val="44"/>
          <w:highlight w:val="none"/>
        </w:rPr>
      </w:pPr>
      <w:r>
        <w:rPr>
          <w:rFonts w:hint="eastAsia" w:ascii="宋体" w:hAnsi="宋体" w:eastAsia="宋体" w:cs="宋体"/>
          <w:color w:val="auto"/>
          <w:sz w:val="44"/>
          <w:highlight w:val="none"/>
        </w:rPr>
        <w:t>投标文件</w:t>
      </w:r>
    </w:p>
    <w:p>
      <w:pPr>
        <w:jc w:val="center"/>
        <w:rPr>
          <w:rFonts w:ascii="宋体" w:hAnsi="宋体" w:eastAsia="宋体" w:cs="宋体"/>
          <w:color w:val="auto"/>
          <w:sz w:val="44"/>
          <w:highlight w:val="none"/>
        </w:rPr>
      </w:pPr>
    </w:p>
    <w:p>
      <w:pPr>
        <w:rPr>
          <w:rFonts w:ascii="宋体" w:hAnsi="宋体" w:eastAsia="宋体" w:cs="宋体"/>
          <w:color w:val="auto"/>
          <w:sz w:val="28"/>
          <w:highlight w:val="none"/>
        </w:rPr>
      </w:pPr>
    </w:p>
    <w:p>
      <w:pPr>
        <w:rPr>
          <w:rFonts w:ascii="宋体" w:hAnsi="宋体" w:eastAsia="宋体" w:cs="宋体"/>
          <w:color w:val="auto"/>
          <w:sz w:val="28"/>
          <w:highlight w:val="none"/>
        </w:rPr>
      </w:pPr>
    </w:p>
    <w:p>
      <w:pPr>
        <w:rPr>
          <w:rFonts w:ascii="宋体" w:hAnsi="宋体" w:eastAsia="宋体" w:cs="宋体"/>
          <w:color w:val="auto"/>
          <w:sz w:val="28"/>
          <w:highlight w:val="none"/>
        </w:rPr>
      </w:pPr>
    </w:p>
    <w:p>
      <w:pPr>
        <w:rPr>
          <w:rFonts w:ascii="宋体" w:hAnsi="宋体" w:eastAsia="宋体" w:cs="宋体"/>
          <w:color w:val="auto"/>
          <w:sz w:val="28"/>
          <w:highlight w:val="none"/>
        </w:rPr>
      </w:pPr>
    </w:p>
    <w:p>
      <w:pPr>
        <w:rPr>
          <w:rFonts w:ascii="宋体" w:hAnsi="宋体" w:eastAsia="宋体" w:cs="宋体"/>
          <w:color w:val="auto"/>
          <w:sz w:val="28"/>
          <w:highlight w:val="none"/>
        </w:rPr>
      </w:pPr>
    </w:p>
    <w:p>
      <w:pPr>
        <w:rPr>
          <w:rFonts w:ascii="宋体" w:hAnsi="宋体" w:eastAsia="宋体" w:cs="宋体"/>
          <w:color w:val="auto"/>
          <w:sz w:val="28"/>
          <w:highlight w:val="none"/>
        </w:rPr>
      </w:pPr>
    </w:p>
    <w:p>
      <w:pPr>
        <w:rPr>
          <w:rFonts w:ascii="宋体" w:hAnsi="宋体" w:eastAsia="宋体" w:cs="宋体"/>
          <w:color w:val="auto"/>
          <w:sz w:val="28"/>
          <w:highlight w:val="none"/>
        </w:rPr>
      </w:pPr>
    </w:p>
    <w:p>
      <w:pPr>
        <w:rPr>
          <w:rFonts w:ascii="宋体" w:hAnsi="宋体" w:eastAsia="宋体" w:cs="宋体"/>
          <w:color w:val="auto"/>
          <w:sz w:val="28"/>
          <w:highlight w:val="none"/>
        </w:rPr>
      </w:pPr>
    </w:p>
    <w:p>
      <w:pPr>
        <w:rPr>
          <w:rFonts w:ascii="宋体" w:hAnsi="宋体" w:eastAsia="宋体" w:cs="宋体"/>
          <w:color w:val="auto"/>
          <w:sz w:val="28"/>
          <w:highlight w:val="none"/>
        </w:rPr>
      </w:pPr>
    </w:p>
    <w:p>
      <w:pPr>
        <w:rPr>
          <w:rFonts w:ascii="宋体" w:hAnsi="宋体" w:eastAsia="宋体" w:cs="宋体"/>
          <w:color w:val="auto"/>
          <w:sz w:val="28"/>
          <w:highlight w:val="none"/>
        </w:rPr>
      </w:pPr>
    </w:p>
    <w:p>
      <w:pPr>
        <w:spacing w:line="360" w:lineRule="auto"/>
        <w:rPr>
          <w:rFonts w:ascii="宋体" w:hAnsi="宋体" w:eastAsia="宋体" w:cs="宋体"/>
          <w:color w:val="auto"/>
          <w:sz w:val="28"/>
          <w:highlight w:val="none"/>
        </w:rPr>
      </w:pPr>
    </w:p>
    <w:p>
      <w:pPr>
        <w:spacing w:line="360" w:lineRule="auto"/>
        <w:ind w:firstLine="960" w:firstLineChars="4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spacing w:line="360" w:lineRule="auto"/>
        <w:ind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法定代表人（负责人或其被授权人）：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bookmarkStart w:id="130" w:name="_Hlk13044278"/>
      <w:r>
        <w:rPr>
          <w:rFonts w:hint="eastAsia" w:ascii="宋体" w:hAnsi="宋体" w:eastAsia="宋体" w:cs="宋体"/>
          <w:color w:val="auto"/>
          <w:sz w:val="24"/>
          <w:szCs w:val="24"/>
          <w:highlight w:val="none"/>
        </w:rPr>
        <w:t>签字</w:t>
      </w:r>
      <w:bookmarkEnd w:id="130"/>
      <w:r>
        <w:rPr>
          <w:rFonts w:hint="eastAsia" w:ascii="宋体" w:hAnsi="宋体" w:eastAsia="宋体" w:cs="宋体"/>
          <w:color w:val="auto"/>
          <w:sz w:val="24"/>
          <w:szCs w:val="24"/>
          <w:highlight w:val="none"/>
        </w:rPr>
        <w:t>或盖章）</w:t>
      </w:r>
    </w:p>
    <w:p>
      <w:pPr>
        <w:jc w:val="center"/>
        <w:rPr>
          <w:rFonts w:ascii="宋体" w:hAnsi="宋体" w:eastAsia="宋体" w:cs="宋体"/>
          <w:color w:val="auto"/>
          <w:sz w:val="28"/>
          <w:highlight w:val="none"/>
        </w:rPr>
      </w:pPr>
    </w:p>
    <w:p>
      <w:pPr>
        <w:spacing w:line="400" w:lineRule="exact"/>
        <w:jc w:val="center"/>
        <w:rPr>
          <w:rFonts w:ascii="宋体" w:hAnsi="宋体" w:eastAsia="宋体" w:cs="宋体"/>
          <w:color w:val="auto"/>
          <w:highlight w:val="none"/>
        </w:rPr>
      </w:pPr>
      <w:r>
        <w:rPr>
          <w:rFonts w:hint="eastAsia" w:ascii="宋体" w:hAnsi="宋体" w:eastAsia="宋体" w:cs="宋体"/>
          <w:color w:val="auto"/>
          <w:sz w:val="28"/>
          <w:highlight w:val="none"/>
        </w:rPr>
        <w:t>年  月  日</w:t>
      </w:r>
    </w:p>
    <w:p>
      <w:pPr>
        <w:spacing w:line="540" w:lineRule="exact"/>
        <w:rPr>
          <w:rFonts w:asciiTheme="minorEastAsia" w:hAnsiTheme="minorEastAsia" w:eastAsiaTheme="minorEastAsia"/>
          <w:color w:val="auto"/>
          <w:highlight w:val="none"/>
        </w:rPr>
      </w:pPr>
      <w:bookmarkStart w:id="131" w:name="_Toc531360695"/>
      <w:r>
        <w:rPr>
          <w:rFonts w:asciiTheme="minorEastAsia" w:hAnsiTheme="minorEastAsia" w:eastAsiaTheme="minorEastAsia"/>
          <w:color w:val="auto"/>
          <w:highlight w:val="none"/>
        </w:rPr>
        <w:br w:type="page"/>
      </w:r>
      <w:bookmarkEnd w:id="131"/>
      <w:bookmarkStart w:id="132" w:name="_Toc352691655"/>
      <w:bookmarkStart w:id="133" w:name="_Toc369531691"/>
      <w:bookmarkStart w:id="134" w:name="_Toc7039"/>
    </w:p>
    <w:bookmarkEnd w:id="132"/>
    <w:bookmarkEnd w:id="133"/>
    <w:bookmarkEnd w:id="134"/>
    <w:p>
      <w:pPr>
        <w:pStyle w:val="4"/>
        <w:spacing w:line="360" w:lineRule="auto"/>
        <w:jc w:val="center"/>
        <w:rPr>
          <w:rFonts w:ascii="宋体" w:hAnsi="宋体" w:eastAsia="宋体" w:cs="宋体"/>
          <w:color w:val="auto"/>
          <w:highlight w:val="none"/>
        </w:rPr>
      </w:pPr>
      <w:bookmarkStart w:id="135" w:name="_Toc28648"/>
      <w:r>
        <w:rPr>
          <w:rFonts w:hint="eastAsia" w:ascii="宋体" w:hAnsi="宋体" w:eastAsia="宋体" w:cs="宋体"/>
          <w:color w:val="auto"/>
          <w:highlight w:val="none"/>
        </w:rPr>
        <w:t>1.投标函及投标函附录</w:t>
      </w:r>
      <w:bookmarkEnd w:id="135"/>
    </w:p>
    <w:p>
      <w:pPr>
        <w:pStyle w:val="5"/>
        <w:rPr>
          <w:rFonts w:cs="宋体"/>
          <w:color w:val="auto"/>
          <w:kern w:val="0"/>
          <w:highlight w:val="none"/>
        </w:rPr>
      </w:pPr>
      <w:r>
        <w:rPr>
          <w:rFonts w:hint="eastAsia" w:cs="宋体"/>
          <w:color w:val="auto"/>
          <w:highlight w:val="none"/>
        </w:rPr>
        <w:t>1.1投标函</w:t>
      </w:r>
    </w:p>
    <w:p>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lang w:eastAsia="zh-CN"/>
        </w:rPr>
        <w:t>广州市广园市政建设有限公司</w:t>
      </w:r>
      <w:r>
        <w:rPr>
          <w:rFonts w:hint="eastAsia" w:ascii="宋体" w:hAnsi="宋体" w:eastAsia="宋体" w:cs="宋体"/>
          <w:color w:val="auto"/>
          <w:szCs w:val="21"/>
          <w:highlight w:val="none"/>
        </w:rPr>
        <w:t>：</w:t>
      </w:r>
    </w:p>
    <w:p>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1．我方已仔细研究了（项目名称）招标项目招标文件的全部内容，愿意以人民币（大写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元）的投标总报价，其中：</w:t>
      </w:r>
      <w:r>
        <w:rPr>
          <w:rFonts w:hint="eastAsia" w:ascii="宋体" w:hAnsi="宋体" w:eastAsia="宋体" w:cs="宋体"/>
          <w:color w:val="auto"/>
          <w:szCs w:val="21"/>
          <w:highlight w:val="none"/>
          <w:lang w:eastAsia="zh-CN"/>
        </w:rPr>
        <w:t>建设期：</w:t>
      </w:r>
      <w:r>
        <w:rPr>
          <w:rFonts w:hint="eastAsia" w:ascii="宋体" w:hAnsi="宋体" w:eastAsia="宋体" w:cs="宋体"/>
          <w:color w:val="auto"/>
          <w:szCs w:val="21"/>
          <w:highlight w:val="none"/>
        </w:rPr>
        <w:t>第一部分 工程一切险保险费率：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；第二部分 第三者责任险保险费率：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运维期：</w:t>
      </w:r>
      <w:r>
        <w:rPr>
          <w:rFonts w:hint="eastAsia" w:ascii="宋体" w:hAnsi="宋体" w:eastAsia="宋体" w:cs="宋体"/>
          <w:color w:val="auto"/>
          <w:szCs w:val="21"/>
          <w:highlight w:val="none"/>
        </w:rPr>
        <w:t>第一部分 工程一切险保险费率：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；第二部分 第三者责任险保险费率：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；保险服务期限：</w:t>
      </w:r>
      <w:r>
        <w:rPr>
          <w:rFonts w:hint="eastAsia" w:ascii="宋体" w:hAnsi="宋体" w:eastAsia="宋体" w:cs="宋体"/>
          <w:color w:val="auto"/>
          <w:szCs w:val="21"/>
          <w:highlight w:val="none"/>
          <w:u w:val="single"/>
        </w:rPr>
        <w:t>按招标文件要求</w:t>
      </w:r>
      <w:r>
        <w:rPr>
          <w:rFonts w:hint="eastAsia" w:ascii="宋体" w:hAnsi="宋体" w:eastAsia="宋体" w:cs="宋体"/>
          <w:color w:val="auto"/>
          <w:szCs w:val="21"/>
          <w:highlight w:val="none"/>
        </w:rPr>
        <w:t>，按合同约定完成保险工作。</w:t>
      </w:r>
    </w:p>
    <w:p>
      <w:pPr>
        <w:spacing w:line="360" w:lineRule="auto"/>
        <w:ind w:firstLine="420" w:firstLineChars="200"/>
        <w:rPr>
          <w:rFonts w:ascii="宋体" w:hAnsi="宋体" w:eastAsia="宋体" w:cs="宋体"/>
          <w:color w:val="auto"/>
          <w:szCs w:val="21"/>
          <w:highlight w:val="none"/>
          <w:u w:val="single"/>
        </w:rPr>
      </w:pPr>
    </w:p>
    <w:p>
      <w:pPr>
        <w:spacing w:line="360" w:lineRule="auto"/>
        <w:ind w:firstLine="420"/>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我方确认的投标函是我单位投标文件的组成部分。</w:t>
      </w:r>
    </w:p>
    <w:p>
      <w:pPr>
        <w:spacing w:line="360" w:lineRule="auto"/>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3．我方承诺在招标文件规定的投标有效期内不撤销投标文件。</w:t>
      </w:r>
    </w:p>
    <w:p>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4．如我方中标，我方承诺：</w:t>
      </w:r>
    </w:p>
    <w:p>
      <w:pPr>
        <w:spacing w:line="440" w:lineRule="exact"/>
        <w:ind w:left="945" w:leftChars="400" w:hanging="105" w:hangingChars="50"/>
        <w:rPr>
          <w:rFonts w:ascii="宋体" w:hAnsi="宋体" w:eastAsia="宋体" w:cs="宋体"/>
          <w:color w:val="auto"/>
          <w:szCs w:val="21"/>
          <w:highlight w:val="none"/>
        </w:rPr>
      </w:pPr>
      <w:r>
        <w:rPr>
          <w:rFonts w:hint="eastAsia" w:ascii="宋体" w:hAnsi="宋体" w:eastAsia="宋体" w:cs="宋体"/>
          <w:color w:val="auto"/>
          <w:szCs w:val="21"/>
          <w:highlight w:val="none"/>
        </w:rPr>
        <w:t>（1）在收到中标通知书后30日内与你方签订合同；</w:t>
      </w:r>
    </w:p>
    <w:p>
      <w:pPr>
        <w:spacing w:line="44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（2）在签订合同时不向你方提出附加条件；</w:t>
      </w:r>
    </w:p>
    <w:p>
      <w:pPr>
        <w:spacing w:line="440" w:lineRule="exact"/>
        <w:ind w:left="420" w:firstLine="420" w:firstLineChars="200"/>
        <w:rPr>
          <w:rFonts w:ascii="宋体" w:hAnsi="宋体" w:eastAsia="宋体" w:cs="宋体"/>
          <w:strike/>
          <w:color w:val="auto"/>
          <w:szCs w:val="21"/>
          <w:highlight w:val="none"/>
        </w:rPr>
      </w:pPr>
      <w:r>
        <w:rPr>
          <w:rFonts w:hint="eastAsia" w:ascii="宋体" w:hAnsi="宋体" w:eastAsia="宋体" w:cs="宋体"/>
          <w:strike/>
          <w:color w:val="auto"/>
          <w:szCs w:val="21"/>
          <w:highlight w:val="none"/>
        </w:rPr>
        <w:t>（3）按照招标文件要求提交履约保证金；</w:t>
      </w:r>
    </w:p>
    <w:p>
      <w:pPr>
        <w:spacing w:line="440" w:lineRule="exact"/>
        <w:ind w:left="945" w:leftChars="400" w:hanging="105" w:hangingChars="50"/>
        <w:rPr>
          <w:rFonts w:ascii="宋体" w:hAnsi="宋体" w:eastAsia="宋体" w:cs="宋体"/>
          <w:color w:val="auto"/>
          <w:szCs w:val="21"/>
          <w:highlight w:val="none"/>
        </w:rPr>
      </w:pPr>
      <w:r>
        <w:rPr>
          <w:rFonts w:hint="eastAsia" w:ascii="宋体" w:hAnsi="宋体" w:eastAsia="宋体" w:cs="宋体"/>
          <w:color w:val="auto"/>
          <w:szCs w:val="21"/>
          <w:highlight w:val="none"/>
        </w:rPr>
        <w:t>（4）</w:t>
      </w:r>
      <w:bookmarkStart w:id="136" w:name="_Toc1187"/>
      <w:bookmarkStart w:id="137" w:name="_Toc369531694"/>
      <w:bookmarkStart w:id="138" w:name="_Toc352691658"/>
      <w:r>
        <w:rPr>
          <w:rFonts w:hint="eastAsia" w:ascii="宋体" w:hAnsi="宋体" w:eastAsia="宋体" w:cs="宋体"/>
          <w:color w:val="auto"/>
          <w:szCs w:val="21"/>
          <w:highlight w:val="none"/>
        </w:rPr>
        <w:t>在合同约定的期限内完成合同规定的全部义务。</w:t>
      </w:r>
    </w:p>
    <w:bookmarkEnd w:id="136"/>
    <w:bookmarkEnd w:id="137"/>
    <w:bookmarkEnd w:id="138"/>
    <w:p>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5．我方在此声明，所递交的投标文件及有关资料内容完整、真实和准确，且不存在第二章“投标人须知”</w:t>
      </w:r>
      <w:r>
        <w:rPr>
          <w:rFonts w:hint="eastAsia" w:ascii="宋体" w:hAnsi="宋体" w:eastAsia="宋体" w:cs="宋体"/>
          <w:b/>
          <w:bCs/>
          <w:color w:val="auto"/>
          <w:szCs w:val="21"/>
          <w:highlight w:val="none"/>
        </w:rPr>
        <w:t>第1.4.3项</w:t>
      </w:r>
      <w:r>
        <w:rPr>
          <w:rFonts w:hint="eastAsia" w:ascii="宋体" w:hAnsi="宋体" w:eastAsia="宋体" w:cs="宋体"/>
          <w:color w:val="auto"/>
          <w:szCs w:val="21"/>
          <w:highlight w:val="none"/>
        </w:rPr>
        <w:t>规定的任何一种情形。</w:t>
      </w:r>
    </w:p>
    <w:p>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ascii="宋体" w:hAnsi="宋体" w:eastAsia="宋体" w:cs="宋体"/>
          <w:color w:val="auto"/>
          <w:szCs w:val="21"/>
          <w:highlight w:val="none"/>
        </w:rPr>
        <w:tab/>
      </w:r>
      <w:r>
        <w:rPr>
          <w:rFonts w:hint="eastAsia" w:ascii="宋体" w:hAnsi="宋体" w:eastAsia="宋体" w:cs="宋体"/>
          <w:color w:val="auto"/>
          <w:szCs w:val="21"/>
          <w:highlight w:val="none"/>
          <w:u w:val="single"/>
        </w:rPr>
        <w:t>（其他补充说明）</w:t>
      </w:r>
      <w:r>
        <w:rPr>
          <w:rFonts w:hint="eastAsia" w:ascii="宋体" w:hAnsi="宋体" w:eastAsia="宋体" w:cs="宋体"/>
          <w:color w:val="auto"/>
          <w:szCs w:val="21"/>
          <w:highlight w:val="none"/>
        </w:rPr>
        <w:t>。</w:t>
      </w:r>
    </w:p>
    <w:p>
      <w:pPr>
        <w:spacing w:line="360" w:lineRule="auto"/>
        <w:ind w:firstLine="2520" w:firstLineChars="1200"/>
        <w:rPr>
          <w:rFonts w:ascii="宋体" w:hAnsi="宋体" w:eastAsia="宋体" w:cs="宋体"/>
          <w:color w:val="auto"/>
          <w:szCs w:val="21"/>
          <w:highlight w:val="none"/>
        </w:rPr>
      </w:pPr>
      <w:bookmarkStart w:id="139" w:name="_Toc369531696"/>
      <w:bookmarkEnd w:id="139"/>
      <w:bookmarkStart w:id="140" w:name="_Toc352691660"/>
      <w:bookmarkEnd w:id="140"/>
      <w:bookmarkStart w:id="141" w:name="_Toc369531695"/>
      <w:bookmarkEnd w:id="141"/>
      <w:bookmarkStart w:id="142" w:name="_Toc16568"/>
      <w:bookmarkEnd w:id="142"/>
      <w:bookmarkStart w:id="143" w:name="_Toc352691659"/>
      <w:bookmarkEnd w:id="143"/>
      <w:bookmarkStart w:id="144" w:name="_Toc16824"/>
      <w:bookmarkEnd w:id="144"/>
    </w:p>
    <w:p>
      <w:pPr>
        <w:spacing w:line="360" w:lineRule="auto"/>
        <w:ind w:firstLine="2520" w:firstLineChars="1200"/>
        <w:rPr>
          <w:rFonts w:ascii="宋体" w:hAnsi="宋体" w:eastAsia="宋体" w:cs="宋体"/>
          <w:color w:val="auto"/>
          <w:szCs w:val="21"/>
          <w:highlight w:val="none"/>
        </w:rPr>
      </w:pPr>
    </w:p>
    <w:p>
      <w:pPr>
        <w:spacing w:line="360" w:lineRule="auto"/>
        <w:ind w:firstLine="2520" w:firstLineChars="1200"/>
        <w:rPr>
          <w:rFonts w:ascii="宋体" w:hAnsi="宋体" w:eastAsia="宋体" w:cs="宋体"/>
          <w:color w:val="auto"/>
          <w:szCs w:val="21"/>
          <w:highlight w:val="none"/>
        </w:rPr>
      </w:pPr>
    </w:p>
    <w:p>
      <w:pPr>
        <w:spacing w:line="360" w:lineRule="auto"/>
        <w:ind w:firstLine="2520" w:firstLineChars="1200"/>
        <w:rPr>
          <w:rFonts w:ascii="宋体" w:hAnsi="宋体" w:eastAsia="宋体" w:cs="宋体"/>
          <w:color w:val="auto"/>
          <w:szCs w:val="21"/>
          <w:highlight w:val="none"/>
        </w:rPr>
      </w:pPr>
      <w:r>
        <w:rPr>
          <w:rFonts w:hint="eastAsia" w:ascii="宋体" w:hAnsi="宋体" w:eastAsia="宋体" w:cs="宋体"/>
          <w:color w:val="auto"/>
          <w:szCs w:val="21"/>
          <w:highlight w:val="none"/>
        </w:rPr>
        <w:t>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adjustRightInd w:val="0"/>
        <w:snapToGrid w:val="0"/>
        <w:spacing w:line="360" w:lineRule="auto"/>
        <w:rPr>
          <w:rFonts w:ascii="宋体" w:hAnsi="宋体"/>
          <w:color w:val="auto"/>
          <w:sz w:val="24"/>
          <w:highlight w:val="none"/>
          <w:u w:val="single"/>
        </w:rPr>
      </w:pPr>
      <w:r>
        <w:rPr>
          <w:rFonts w:hint="eastAsia" w:ascii="宋体" w:hAnsi="宋体" w:eastAsia="宋体" w:cs="宋体"/>
          <w:color w:val="auto"/>
          <w:szCs w:val="21"/>
          <w:highlight w:val="none"/>
        </w:rPr>
        <w:t xml:space="preserve">                        法定代表人（负责人或其被授权人）（签字或盖章）：  </w:t>
      </w:r>
      <w:r>
        <w:rPr>
          <w:rFonts w:hint="eastAsia" w:ascii="宋体" w:hAnsi="宋体"/>
          <w:color w:val="auto"/>
          <w:sz w:val="24"/>
          <w:highlight w:val="none"/>
          <w:u w:val="single"/>
        </w:rPr>
        <w:t xml:space="preserve">              </w:t>
      </w:r>
    </w:p>
    <w:p>
      <w:pPr>
        <w:spacing w:line="360" w:lineRule="auto"/>
        <w:ind w:firstLine="2520" w:firstLineChars="1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pPr>
        <w:spacing w:line="360" w:lineRule="auto"/>
        <w:ind w:firstLine="2520" w:firstLineChars="1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网    址：</w:t>
      </w:r>
      <w:r>
        <w:rPr>
          <w:rFonts w:hint="eastAsia" w:ascii="宋体" w:hAnsi="宋体" w:eastAsia="宋体" w:cs="宋体"/>
          <w:color w:val="auto"/>
          <w:szCs w:val="21"/>
          <w:highlight w:val="none"/>
          <w:u w:val="single"/>
        </w:rPr>
        <w:t xml:space="preserve">                          </w:t>
      </w:r>
    </w:p>
    <w:p>
      <w:pPr>
        <w:spacing w:line="360" w:lineRule="auto"/>
        <w:ind w:firstLine="2520" w:firstLineChars="1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pPr>
        <w:spacing w:line="360" w:lineRule="auto"/>
        <w:ind w:firstLine="2520" w:firstLineChars="1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p>
    <w:p>
      <w:pPr>
        <w:spacing w:line="360" w:lineRule="auto"/>
        <w:ind w:firstLine="2520" w:firstLineChars="1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pPr>
        <w:spacing w:line="360" w:lineRule="auto"/>
        <w:ind w:firstLine="2520" w:firstLineChars="1200"/>
        <w:rPr>
          <w:color w:val="auto"/>
          <w:highlight w:val="none"/>
        </w:rPr>
      </w:pPr>
      <w:r>
        <w:rPr>
          <w:rFonts w:hint="eastAsia" w:ascii="宋体" w:hAnsi="宋体" w:eastAsia="宋体" w:cs="宋体"/>
          <w:color w:val="auto"/>
          <w:szCs w:val="21"/>
          <w:highlight w:val="none"/>
        </w:rPr>
        <w:t>年   月   日</w:t>
      </w:r>
      <w:r>
        <w:rPr>
          <w:color w:val="auto"/>
          <w:highlight w:val="none"/>
        </w:rPr>
        <w:br w:type="page"/>
      </w:r>
    </w:p>
    <w:p>
      <w:pPr>
        <w:tabs>
          <w:tab w:val="center" w:pos="4496"/>
        </w:tabs>
        <w:adjustRightInd w:val="0"/>
        <w:snapToGri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1.2投标函附录</w:t>
      </w:r>
    </w:p>
    <w:p>
      <w:pPr>
        <w:tabs>
          <w:tab w:val="center" w:pos="4496"/>
        </w:tabs>
        <w:adjustRightInd w:val="0"/>
        <w:snapToGri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（1）技术服务承诺函</w:t>
      </w:r>
    </w:p>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广州市广园市政建设有限公司</w:t>
      </w:r>
      <w:r>
        <w:rPr>
          <w:rFonts w:hint="eastAsia" w:ascii="宋体" w:hAnsi="宋体" w:eastAsia="宋体" w:cs="宋体"/>
          <w:color w:val="auto"/>
          <w:kern w:val="0"/>
          <w:szCs w:val="21"/>
          <w:highlight w:val="none"/>
        </w:rPr>
        <w:t>：</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本公司就参加</w:t>
      </w:r>
      <w:r>
        <w:rPr>
          <w:rFonts w:hint="eastAsia" w:ascii="宋体" w:hAnsi="宋体" w:eastAsia="宋体" w:cs="宋体"/>
          <w:color w:val="auto"/>
          <w:szCs w:val="21"/>
          <w:highlight w:val="none"/>
          <w:u w:val="single"/>
          <w:lang w:eastAsia="zh-CN"/>
        </w:rPr>
        <w:t>会展西路过江隧道工程工程一切险及第三者责任险</w:t>
      </w:r>
      <w:r>
        <w:rPr>
          <w:rFonts w:hint="eastAsia" w:ascii="宋体" w:hAnsi="宋体" w:eastAsia="宋体" w:cs="宋体"/>
          <w:color w:val="auto"/>
          <w:kern w:val="0"/>
          <w:szCs w:val="21"/>
          <w:highlight w:val="none"/>
        </w:rPr>
        <w:t>投标</w:t>
      </w:r>
      <w:r>
        <w:rPr>
          <w:rFonts w:hint="eastAsia" w:ascii="宋体" w:hAnsi="宋体" w:eastAsia="宋体" w:cs="宋体"/>
          <w:color w:val="auto"/>
          <w:kern w:val="0"/>
          <w:szCs w:val="21"/>
          <w:highlight w:val="none"/>
          <w:lang w:val="zh-CN"/>
        </w:rPr>
        <w:t>工作，按照如下规定作出免赔处理：</w:t>
      </w:r>
    </w:p>
    <w:p>
      <w:pPr>
        <w:autoSpaceDE w:val="0"/>
        <w:autoSpaceDN w:val="0"/>
        <w:spacing w:line="360" w:lineRule="auto"/>
        <w:ind w:left="2377" w:leftChars="57" w:hanging="2257" w:hangingChars="1075"/>
        <w:jc w:val="left"/>
        <w:textAlignment w:val="bottom"/>
        <w:rPr>
          <w:rFonts w:ascii="宋体" w:hAnsi="宋体" w:eastAsia="宋体" w:cs="宋体"/>
          <w:color w:val="auto"/>
          <w:kern w:val="0"/>
          <w:szCs w:val="21"/>
          <w:highlight w:val="none"/>
          <w:lang w:val="zh-CN"/>
        </w:rPr>
      </w:pPr>
    </w:p>
    <w:p>
      <w:pPr>
        <w:autoSpaceDE w:val="0"/>
        <w:autoSpaceDN w:val="0"/>
        <w:spacing w:line="360" w:lineRule="auto"/>
        <w:ind w:left="2377" w:leftChars="57" w:hanging="2257" w:hangingChars="1075"/>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一</w:t>
      </w:r>
      <w:r>
        <w:rPr>
          <w:rFonts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zh-CN"/>
        </w:rPr>
        <w:t>建筑</w:t>
      </w:r>
      <w:r>
        <w:rPr>
          <w:rFonts w:ascii="宋体" w:hAnsi="宋体" w:eastAsia="宋体" w:cs="宋体"/>
          <w:color w:val="auto"/>
          <w:kern w:val="0"/>
          <w:szCs w:val="21"/>
          <w:highlight w:val="none"/>
          <w:lang w:val="zh-CN"/>
        </w:rPr>
        <w:t>部分：</w:t>
      </w:r>
    </w:p>
    <w:p>
      <w:pPr>
        <w:autoSpaceDE w:val="0"/>
        <w:autoSpaceDN w:val="0"/>
        <w:spacing w:line="360" w:lineRule="auto"/>
        <w:ind w:left="2377" w:leftChars="57" w:hanging="2257" w:hangingChars="1075"/>
        <w:jc w:val="left"/>
        <w:textAlignment w:val="bottom"/>
        <w:rPr>
          <w:rFonts w:ascii="宋体" w:hAnsi="宋体" w:eastAsia="宋体" w:cs="宋体"/>
          <w:color w:val="auto"/>
          <w:kern w:val="0"/>
          <w:szCs w:val="21"/>
          <w:highlight w:val="none"/>
          <w:lang w:val="zh-CN"/>
        </w:rPr>
      </w:pPr>
    </w:p>
    <w:p>
      <w:pPr>
        <w:autoSpaceDE w:val="0"/>
        <w:autoSpaceDN w:val="0"/>
        <w:spacing w:line="360" w:lineRule="auto"/>
        <w:ind w:left="2377" w:leftChars="57" w:hanging="2257" w:hangingChars="1075"/>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（一）适用于第一部分“财产损失”项下的每次保险责任事故免赔额（率）：</w:t>
      </w:r>
    </w:p>
    <w:p>
      <w:pPr>
        <w:autoSpaceDE w:val="0"/>
        <w:autoSpaceDN w:val="0"/>
        <w:spacing w:line="360" w:lineRule="auto"/>
        <w:ind w:left="2377" w:leftChars="57" w:hanging="2257" w:hangingChars="1075"/>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1、地震、海啸：每次事故绝对免赔为人民币100万元或损失金额的10%，以高者为准；</w:t>
      </w:r>
    </w:p>
    <w:p>
      <w:pPr>
        <w:autoSpaceDE w:val="0"/>
        <w:autoSpaceDN w:val="0"/>
        <w:spacing w:line="360" w:lineRule="auto"/>
        <w:ind w:left="2377" w:leftChars="57" w:hanging="2257" w:hangingChars="1075"/>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2、风灾、暴风雨及洪水：每次事故绝对免赔为人民币50万元或损失金额的10%，以高者为准； </w:t>
      </w:r>
    </w:p>
    <w:p>
      <w:pPr>
        <w:autoSpaceDE w:val="0"/>
        <w:autoSpaceDN w:val="0"/>
        <w:spacing w:line="360" w:lineRule="auto"/>
        <w:ind w:left="2377" w:leftChars="57" w:hanging="2257" w:hangingChars="1075"/>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3、塌方及地面下沉下陷：每次事故绝对免赔为人民币60万元或损失金额的10%，以高者为准；</w:t>
      </w:r>
    </w:p>
    <w:p>
      <w:pPr>
        <w:autoSpaceDE w:val="0"/>
        <w:autoSpaceDN w:val="0"/>
        <w:spacing w:line="360" w:lineRule="auto"/>
        <w:ind w:left="2377" w:leftChars="57" w:hanging="2257" w:hangingChars="1075"/>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4、火灾及爆炸：每次事故绝对免赔为人民币5万元或损失金额的10%，以高者为准；</w:t>
      </w:r>
    </w:p>
    <w:p>
      <w:pPr>
        <w:autoSpaceDE w:val="0"/>
        <w:autoSpaceDN w:val="0"/>
        <w:spacing w:line="360" w:lineRule="auto"/>
        <w:ind w:left="2377" w:leftChars="57" w:hanging="2257" w:hangingChars="1075"/>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5、人工疏忽及失误：每次事故绝对免赔为人民币20万元或损失金额的5%，以高者为准；</w:t>
      </w:r>
    </w:p>
    <w:p>
      <w:pPr>
        <w:autoSpaceDE w:val="0"/>
        <w:autoSpaceDN w:val="0"/>
        <w:spacing w:line="360" w:lineRule="auto"/>
        <w:ind w:left="120" w:leftChars="57"/>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6、设计错误、工艺不善及原材料缺陷造成其他保险财产的损失：每次事故绝对免赔为人民币20万元或损失金额的5%，以高者为准；</w:t>
      </w:r>
    </w:p>
    <w:p>
      <w:pPr>
        <w:autoSpaceDE w:val="0"/>
        <w:autoSpaceDN w:val="0"/>
        <w:spacing w:line="360" w:lineRule="auto"/>
        <w:ind w:left="2377" w:leftChars="57" w:hanging="2257" w:hangingChars="1075"/>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7、偷盗：每次事故绝对免赔为人民币5万元或损失金额的5%，以高者为准；</w:t>
      </w:r>
    </w:p>
    <w:p>
      <w:pPr>
        <w:autoSpaceDE w:val="0"/>
        <w:autoSpaceDN w:val="0"/>
        <w:spacing w:line="360" w:lineRule="auto"/>
        <w:ind w:left="2377" w:leftChars="57" w:hanging="2257" w:hangingChars="1075"/>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8、其他原因的损失：每次事故绝对免赔为人民币5万元或损失金额的10%，以高者为准。</w:t>
      </w:r>
    </w:p>
    <w:p>
      <w:pPr>
        <w:autoSpaceDE w:val="0"/>
        <w:autoSpaceDN w:val="0"/>
        <w:spacing w:line="360" w:lineRule="auto"/>
        <w:ind w:left="2377" w:leftChars="57" w:hanging="2257" w:hangingChars="1075"/>
        <w:jc w:val="left"/>
        <w:textAlignment w:val="bottom"/>
        <w:rPr>
          <w:rFonts w:ascii="宋体" w:hAnsi="宋体" w:eastAsia="宋体" w:cs="宋体"/>
          <w:color w:val="auto"/>
          <w:kern w:val="0"/>
          <w:szCs w:val="21"/>
          <w:highlight w:val="none"/>
          <w:lang w:val="zh-CN"/>
        </w:rPr>
      </w:pPr>
    </w:p>
    <w:p>
      <w:pPr>
        <w:autoSpaceDE w:val="0"/>
        <w:autoSpaceDN w:val="0"/>
        <w:spacing w:line="360" w:lineRule="auto"/>
        <w:ind w:left="2377" w:leftChars="57" w:hanging="2257" w:hangingChars="1075"/>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（二）适用于第二部分“第三者责任”项下的每次保险责任事故免赔额（率）：</w:t>
      </w:r>
    </w:p>
    <w:p>
      <w:pPr>
        <w:autoSpaceDE w:val="0"/>
        <w:autoSpaceDN w:val="0"/>
        <w:spacing w:line="360" w:lineRule="auto"/>
        <w:ind w:left="120" w:leftChars="57"/>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1、地下管线： 图纸上正确标明位置的：人民币5万元；图纸上错误标明位置的：人民币2万元或损失金额的5%，以高者为准。</w:t>
      </w:r>
    </w:p>
    <w:p>
      <w:pPr>
        <w:autoSpaceDE w:val="0"/>
        <w:autoSpaceDN w:val="0"/>
        <w:spacing w:line="360" w:lineRule="auto"/>
        <w:ind w:left="2377" w:leftChars="57" w:hanging="2257" w:hangingChars="1075"/>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2、其他第三者财产损失：人民币2万元或损失金额5%，以高者为准。</w:t>
      </w:r>
    </w:p>
    <w:p>
      <w:pPr>
        <w:autoSpaceDE w:val="0"/>
        <w:autoSpaceDN w:val="0"/>
        <w:spacing w:line="360" w:lineRule="auto"/>
        <w:ind w:left="2377" w:leftChars="57" w:hanging="2257" w:hangingChars="1075"/>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3、第三者责任导致的人身伤亡事故：无免赔。</w:t>
      </w:r>
    </w:p>
    <w:p>
      <w:pPr>
        <w:autoSpaceDE w:val="0"/>
        <w:autoSpaceDN w:val="0"/>
        <w:spacing w:line="360" w:lineRule="auto"/>
        <w:ind w:left="2377" w:leftChars="57" w:hanging="2257" w:hangingChars="1075"/>
        <w:jc w:val="left"/>
        <w:textAlignment w:val="bottom"/>
        <w:rPr>
          <w:rFonts w:ascii="宋体" w:hAnsi="宋体" w:eastAsia="宋体" w:cs="宋体"/>
          <w:color w:val="auto"/>
          <w:kern w:val="0"/>
          <w:szCs w:val="21"/>
          <w:highlight w:val="none"/>
          <w:lang w:val="zh-CN"/>
        </w:rPr>
      </w:pPr>
    </w:p>
    <w:p>
      <w:pPr>
        <w:autoSpaceDE w:val="0"/>
        <w:autoSpaceDN w:val="0"/>
        <w:spacing w:line="360" w:lineRule="auto"/>
        <w:ind w:left="2377" w:leftChars="57" w:hanging="2257" w:hangingChars="1075"/>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（三）免赔额（率）的适用原则：如果以上免赔发生重合，应只适用一个最高的免赔。</w:t>
      </w:r>
    </w:p>
    <w:p>
      <w:pPr>
        <w:autoSpaceDE w:val="0"/>
        <w:autoSpaceDN w:val="0"/>
        <w:spacing w:line="360" w:lineRule="auto"/>
        <w:ind w:left="120" w:leftChars="57"/>
        <w:jc w:val="left"/>
        <w:textAlignment w:val="bottom"/>
        <w:rPr>
          <w:rFonts w:ascii="宋体" w:hAnsi="宋体" w:eastAsia="宋体" w:cs="宋体"/>
          <w:color w:val="auto"/>
          <w:kern w:val="0"/>
          <w:szCs w:val="21"/>
          <w:highlight w:val="none"/>
          <w:lang w:val="zh-CN"/>
        </w:rPr>
      </w:pPr>
    </w:p>
    <w:p>
      <w:pPr>
        <w:autoSpaceDE w:val="0"/>
        <w:autoSpaceDN w:val="0"/>
        <w:spacing w:line="360" w:lineRule="auto"/>
        <w:ind w:left="120" w:leftChars="57"/>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二</w:t>
      </w:r>
      <w:r>
        <w:rPr>
          <w:rFonts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运维</w:t>
      </w:r>
      <w:r>
        <w:rPr>
          <w:rFonts w:ascii="宋体" w:hAnsi="宋体" w:eastAsia="宋体" w:cs="宋体"/>
          <w:color w:val="auto"/>
          <w:kern w:val="0"/>
          <w:szCs w:val="21"/>
          <w:highlight w:val="none"/>
          <w:lang w:val="zh-CN"/>
        </w:rPr>
        <w:t>部分：</w:t>
      </w:r>
    </w:p>
    <w:p>
      <w:pPr>
        <w:autoSpaceDE w:val="0"/>
        <w:autoSpaceDN w:val="0"/>
        <w:spacing w:line="360" w:lineRule="auto"/>
        <w:ind w:left="120" w:leftChars="57"/>
        <w:jc w:val="left"/>
        <w:textAlignment w:val="bottom"/>
        <w:rPr>
          <w:rFonts w:ascii="宋体" w:hAnsi="宋体" w:eastAsia="宋体" w:cs="宋体"/>
          <w:color w:val="auto"/>
          <w:kern w:val="0"/>
          <w:szCs w:val="21"/>
          <w:highlight w:val="none"/>
          <w:lang w:val="zh-CN"/>
        </w:rPr>
      </w:pPr>
    </w:p>
    <w:p>
      <w:pPr>
        <w:autoSpaceDE w:val="0"/>
        <w:autoSpaceDN w:val="0"/>
        <w:spacing w:line="360" w:lineRule="auto"/>
        <w:ind w:left="120" w:leftChars="57"/>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（一）第一部分（物质损失）：</w:t>
      </w:r>
    </w:p>
    <w:p>
      <w:pPr>
        <w:autoSpaceDE w:val="0"/>
        <w:autoSpaceDN w:val="0"/>
        <w:spacing w:line="360" w:lineRule="auto"/>
        <w:ind w:left="120" w:leftChars="57"/>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1.地震、海啸每次事故免赔额40万或损失金额10%，以高者为准；</w:t>
      </w:r>
    </w:p>
    <w:p>
      <w:pPr>
        <w:autoSpaceDE w:val="0"/>
        <w:autoSpaceDN w:val="0"/>
        <w:spacing w:line="360" w:lineRule="auto"/>
        <w:ind w:left="120" w:leftChars="57"/>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2.暴风、台风、暴雨、洪水：每次事故绝对免赔额为RMB2万元或损失金额的15％，以高者为准； </w:t>
      </w:r>
    </w:p>
    <w:p>
      <w:pPr>
        <w:autoSpaceDE w:val="0"/>
        <w:autoSpaceDN w:val="0"/>
        <w:spacing w:line="360" w:lineRule="auto"/>
        <w:ind w:left="120" w:leftChars="57"/>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3.盗窃风险：每次事故绝对免赔额为RMB1万元或损失金额的10％，以高者为准；   </w:t>
      </w:r>
    </w:p>
    <w:p>
      <w:pPr>
        <w:autoSpaceDE w:val="0"/>
        <w:autoSpaceDN w:val="0"/>
        <w:spacing w:line="360" w:lineRule="auto"/>
        <w:ind w:left="120" w:leftChars="57"/>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4.其他：每次事故绝对免赔额为RMB2万元或损失金额的10％，以高者为准；</w:t>
      </w:r>
    </w:p>
    <w:p>
      <w:pPr>
        <w:autoSpaceDE w:val="0"/>
        <w:autoSpaceDN w:val="0"/>
        <w:spacing w:line="360" w:lineRule="auto"/>
        <w:ind w:left="120" w:leftChars="57"/>
        <w:jc w:val="left"/>
        <w:textAlignment w:val="bottom"/>
        <w:rPr>
          <w:rFonts w:ascii="宋体" w:hAnsi="宋体" w:eastAsia="宋体" w:cs="宋体"/>
          <w:color w:val="auto"/>
          <w:kern w:val="0"/>
          <w:szCs w:val="21"/>
          <w:highlight w:val="none"/>
          <w:lang w:val="zh-CN"/>
        </w:rPr>
      </w:pPr>
    </w:p>
    <w:p>
      <w:pPr>
        <w:autoSpaceDE w:val="0"/>
        <w:autoSpaceDN w:val="0"/>
        <w:spacing w:line="360" w:lineRule="auto"/>
        <w:ind w:left="120" w:leftChars="57"/>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（二）第二部分（第三者责任）：</w:t>
      </w:r>
    </w:p>
    <w:p>
      <w:pPr>
        <w:autoSpaceDE w:val="0"/>
        <w:autoSpaceDN w:val="0"/>
        <w:spacing w:line="360" w:lineRule="auto"/>
        <w:ind w:left="120" w:leftChars="57"/>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1.第三者财产损失：RMB2万或损失金额的10%，以高者为准；</w:t>
      </w:r>
    </w:p>
    <w:p>
      <w:pPr>
        <w:autoSpaceDE w:val="0"/>
        <w:autoSpaceDN w:val="0"/>
        <w:spacing w:line="360" w:lineRule="auto"/>
        <w:ind w:left="120" w:leftChars="57"/>
        <w:jc w:val="left"/>
        <w:textAlignment w:val="bottom"/>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2.第三者人身伤亡:无。</w:t>
      </w:r>
    </w:p>
    <w:p>
      <w:pPr>
        <w:spacing w:line="360" w:lineRule="auto"/>
        <w:ind w:firstLine="2520" w:firstLineChars="1200"/>
        <w:rPr>
          <w:rFonts w:ascii="宋体" w:hAnsi="宋体" w:eastAsia="宋体" w:cs="宋体"/>
          <w:color w:val="auto"/>
          <w:szCs w:val="21"/>
          <w:highlight w:val="none"/>
        </w:rPr>
      </w:pPr>
    </w:p>
    <w:p>
      <w:pPr>
        <w:spacing w:line="360" w:lineRule="auto"/>
        <w:ind w:firstLine="2520" w:firstLineChars="1200"/>
        <w:rPr>
          <w:rFonts w:ascii="宋体" w:hAnsi="宋体" w:eastAsia="宋体" w:cs="宋体"/>
          <w:color w:val="auto"/>
          <w:szCs w:val="21"/>
          <w:highlight w:val="none"/>
        </w:rPr>
      </w:pPr>
      <w:r>
        <w:rPr>
          <w:rFonts w:hint="eastAsia" w:ascii="宋体" w:hAnsi="宋体" w:eastAsia="宋体" w:cs="宋体"/>
          <w:color w:val="auto"/>
          <w:szCs w:val="21"/>
          <w:highlight w:val="none"/>
        </w:rPr>
        <w:t>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法定代表人（负责人或其被授权人）：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pStyle w:val="2"/>
        <w:adjustRightInd w:val="0"/>
        <w:snapToGrid w:val="0"/>
        <w:ind w:firstLine="2520" w:firstLineChars="1200"/>
        <w:rPr>
          <w:rFonts w:hAnsi="宋体" w:cs="宋体"/>
          <w:b/>
          <w:bCs/>
          <w:color w:val="auto"/>
          <w:highlight w:val="none"/>
        </w:rPr>
      </w:pPr>
      <w:r>
        <w:rPr>
          <w:rFonts w:hint="eastAsia" w:hAnsi="宋体" w:cs="宋体"/>
          <w:color w:val="auto"/>
          <w:highlight w:val="none"/>
        </w:rPr>
        <w:t>日   期 ：202</w:t>
      </w:r>
      <w:r>
        <w:rPr>
          <w:rFonts w:hAnsi="宋体" w:cs="宋体"/>
          <w:color w:val="auto"/>
          <w:highlight w:val="none"/>
        </w:rPr>
        <w:t>3</w:t>
      </w:r>
      <w:r>
        <w:rPr>
          <w:rFonts w:hint="eastAsia" w:hAnsi="宋体" w:cs="宋体"/>
          <w:color w:val="auto"/>
          <w:highlight w:val="none"/>
        </w:rPr>
        <w:t>年   月   日</w:t>
      </w:r>
    </w:p>
    <w:p>
      <w:pPr>
        <w:adjustRightInd w:val="0"/>
        <w:snapToGrid w:val="0"/>
        <w:spacing w:line="360" w:lineRule="auto"/>
        <w:jc w:val="left"/>
        <w:rPr>
          <w:rFonts w:ascii="宋体" w:hAnsi="宋体"/>
          <w:b/>
          <w:bCs/>
          <w:color w:val="auto"/>
          <w:sz w:val="28"/>
          <w:szCs w:val="28"/>
          <w:highlight w:val="none"/>
        </w:rPr>
      </w:pPr>
      <w:r>
        <w:rPr>
          <w:rFonts w:ascii="宋体" w:hAnsi="宋体"/>
          <w:b/>
          <w:bCs/>
          <w:color w:val="auto"/>
          <w:sz w:val="32"/>
          <w:szCs w:val="32"/>
          <w:highlight w:val="none"/>
        </w:rPr>
        <w:br w:type="page"/>
      </w:r>
    </w:p>
    <w:p>
      <w:pPr>
        <w:tabs>
          <w:tab w:val="center" w:pos="4496"/>
        </w:tabs>
        <w:adjustRightInd w:val="0"/>
        <w:snapToGri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（2）优惠条款承诺函</w:t>
      </w:r>
    </w:p>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广州市广园市政建设有限公司</w:t>
      </w:r>
      <w:r>
        <w:rPr>
          <w:rFonts w:hint="eastAsia" w:ascii="宋体" w:hAnsi="宋体" w:eastAsia="宋体" w:cs="宋体"/>
          <w:color w:val="auto"/>
          <w:kern w:val="0"/>
          <w:szCs w:val="21"/>
          <w:highlight w:val="none"/>
        </w:rPr>
        <w:t>：</w:t>
      </w:r>
    </w:p>
    <w:p>
      <w:pPr>
        <w:tabs>
          <w:tab w:val="center" w:pos="4496"/>
        </w:tabs>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本公司就参加</w:t>
      </w:r>
      <w:r>
        <w:rPr>
          <w:rFonts w:hint="eastAsia" w:ascii="宋体" w:hAnsi="宋体" w:eastAsia="宋体" w:cs="宋体"/>
          <w:color w:val="auto"/>
          <w:szCs w:val="21"/>
          <w:highlight w:val="none"/>
          <w:u w:val="single"/>
          <w:lang w:eastAsia="zh-CN"/>
        </w:rPr>
        <w:t>会展西路过江隧道工程工程一切险及第三者责任险</w:t>
      </w:r>
      <w:r>
        <w:rPr>
          <w:rFonts w:hint="eastAsia" w:ascii="宋体" w:hAnsi="宋体" w:eastAsia="宋体" w:cs="宋体"/>
          <w:color w:val="auto"/>
          <w:kern w:val="0"/>
          <w:szCs w:val="21"/>
          <w:highlight w:val="none"/>
        </w:rPr>
        <w:t>投标</w:t>
      </w:r>
      <w:r>
        <w:rPr>
          <w:rFonts w:hint="eastAsia" w:ascii="宋体" w:hAnsi="宋体" w:eastAsia="宋体" w:cs="宋体"/>
          <w:color w:val="auto"/>
          <w:kern w:val="0"/>
          <w:szCs w:val="21"/>
          <w:highlight w:val="none"/>
          <w:lang w:val="zh-CN"/>
        </w:rPr>
        <w:t>工作，除《技术服务承诺函》承诺的内容外，还承诺提供额外附加扩展条款，具体如下：</w:t>
      </w:r>
    </w:p>
    <w:tbl>
      <w:tblPr>
        <w:tblStyle w:val="41"/>
        <w:tblW w:w="8851" w:type="dxa"/>
        <w:tblInd w:w="96" w:type="dxa"/>
        <w:tblLayout w:type="fixed"/>
        <w:tblCellMar>
          <w:top w:w="0" w:type="dxa"/>
          <w:left w:w="108" w:type="dxa"/>
          <w:bottom w:w="0" w:type="dxa"/>
          <w:right w:w="108" w:type="dxa"/>
        </w:tblCellMar>
      </w:tblPr>
      <w:tblGrid>
        <w:gridCol w:w="657"/>
        <w:gridCol w:w="3881"/>
        <w:gridCol w:w="4313"/>
      </w:tblGrid>
      <w:tr>
        <w:tblPrEx>
          <w:tblCellMar>
            <w:top w:w="0" w:type="dxa"/>
            <w:left w:w="108" w:type="dxa"/>
            <w:bottom w:w="0" w:type="dxa"/>
            <w:right w:w="108" w:type="dxa"/>
          </w:tblCellMar>
        </w:tblPrEx>
        <w:trPr>
          <w:trHeight w:val="612"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38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附加扩展条款名称</w:t>
            </w:r>
          </w:p>
        </w:tc>
        <w:tc>
          <w:tcPr>
            <w:tcW w:w="43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附加条款明细</w:t>
            </w:r>
          </w:p>
        </w:tc>
      </w:tr>
      <w:tr>
        <w:tblPrEx>
          <w:tblCellMar>
            <w:top w:w="0" w:type="dxa"/>
            <w:left w:w="108" w:type="dxa"/>
            <w:bottom w:w="0" w:type="dxa"/>
            <w:right w:w="108" w:type="dxa"/>
          </w:tblCellMar>
        </w:tblPrEx>
        <w:trPr>
          <w:trHeight w:val="612" w:hRule="atLeast"/>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38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12" w:hRule="atLeast"/>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38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12" w:hRule="atLeast"/>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38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12" w:hRule="atLeast"/>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38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12" w:hRule="atLeast"/>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38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12" w:hRule="atLeast"/>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38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12" w:hRule="atLeast"/>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38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12" w:hRule="atLeast"/>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38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12" w:hRule="atLeast"/>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38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12" w:hRule="atLeast"/>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38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495"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p>
        </w:tc>
        <w:tc>
          <w:tcPr>
            <w:tcW w:w="38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总计额外附加条款条数</w:t>
            </w:r>
          </w:p>
        </w:tc>
        <w:tc>
          <w:tcPr>
            <w:tcW w:w="43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p>
        </w:tc>
      </w:tr>
    </w:tbl>
    <w:p>
      <w:pPr>
        <w:adjustRightInd w:val="0"/>
        <w:snapToGrid w:val="0"/>
        <w:rPr>
          <w:rFonts w:ascii="宋体" w:hAnsi="宋体"/>
          <w:color w:val="auto"/>
          <w:sz w:val="22"/>
          <w:highlight w:val="none"/>
        </w:rPr>
      </w:pPr>
    </w:p>
    <w:p>
      <w:pPr>
        <w:spacing w:line="360" w:lineRule="auto"/>
        <w:jc w:val="left"/>
        <w:rPr>
          <w:rFonts w:ascii="宋体" w:hAnsi="宋体" w:eastAsia="宋体" w:cs="宋体"/>
          <w:color w:val="auto"/>
          <w:szCs w:val="21"/>
          <w:highlight w:val="none"/>
        </w:rPr>
      </w:pPr>
      <w:r>
        <w:rPr>
          <w:rFonts w:hint="eastAsia" w:ascii="宋体" w:hAnsi="宋体" w:eastAsia="宋体" w:cs="宋体"/>
          <w:color w:val="auto"/>
          <w:sz w:val="22"/>
          <w:highlight w:val="none"/>
        </w:rPr>
        <w:t>备注：如投标单位无优惠条款的，可填写“无”。</w:t>
      </w:r>
    </w:p>
    <w:p>
      <w:pPr>
        <w:spacing w:line="360" w:lineRule="auto"/>
        <w:ind w:firstLine="2520" w:firstLineChars="1200"/>
        <w:rPr>
          <w:rFonts w:ascii="宋体" w:hAnsi="宋体" w:eastAsia="宋体" w:cs="宋体"/>
          <w:color w:val="auto"/>
          <w:szCs w:val="21"/>
          <w:highlight w:val="none"/>
        </w:rPr>
      </w:pPr>
      <w:r>
        <w:rPr>
          <w:rFonts w:hint="eastAsia" w:ascii="宋体" w:hAnsi="宋体" w:eastAsia="宋体" w:cs="宋体"/>
          <w:color w:val="auto"/>
          <w:szCs w:val="21"/>
          <w:highlight w:val="none"/>
        </w:rPr>
        <w:t>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法定代表人（负责人或其被授权人）：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pStyle w:val="2"/>
        <w:adjustRightInd w:val="0"/>
        <w:snapToGrid w:val="0"/>
        <w:ind w:firstLine="2520" w:firstLineChars="1200"/>
        <w:rPr>
          <w:rFonts w:hAnsi="宋体" w:cs="宋体"/>
          <w:b/>
          <w:bCs/>
          <w:color w:val="auto"/>
          <w:highlight w:val="none"/>
        </w:rPr>
      </w:pPr>
      <w:r>
        <w:rPr>
          <w:rFonts w:hint="eastAsia" w:hAnsi="宋体" w:cs="宋体"/>
          <w:color w:val="auto"/>
          <w:highlight w:val="none"/>
        </w:rPr>
        <w:t>日   期 ：2023年   月   日</w:t>
      </w:r>
    </w:p>
    <w:p>
      <w:pPr>
        <w:rPr>
          <w:color w:val="auto"/>
          <w:highlight w:val="none"/>
        </w:rPr>
      </w:pPr>
      <w:r>
        <w:rPr>
          <w:color w:val="auto"/>
          <w:highlight w:val="none"/>
        </w:rPr>
        <w:br w:type="page"/>
      </w:r>
    </w:p>
    <w:p>
      <w:pPr>
        <w:pStyle w:val="54"/>
        <w:rPr>
          <w:color w:val="auto"/>
          <w:highlight w:val="none"/>
        </w:rPr>
      </w:pPr>
    </w:p>
    <w:p>
      <w:pPr>
        <w:pStyle w:val="54"/>
        <w:rPr>
          <w:color w:val="auto"/>
          <w:highlight w:val="none"/>
        </w:rPr>
      </w:pPr>
    </w:p>
    <w:p>
      <w:pPr>
        <w:keepNext/>
        <w:keepLines/>
        <w:spacing w:after="260"/>
        <w:jc w:val="center"/>
        <w:outlineLvl w:val="2"/>
        <w:rPr>
          <w:rFonts w:ascii="宋体" w:hAnsi="宋体" w:eastAsia="宋体" w:cs="宋体"/>
          <w:b/>
          <w:bCs/>
          <w:kern w:val="0"/>
          <w:sz w:val="28"/>
          <w:szCs w:val="28"/>
        </w:rPr>
      </w:pPr>
      <w:bookmarkStart w:id="145" w:name="_Toc144974856"/>
      <w:bookmarkStart w:id="146" w:name="_Toc152042576"/>
      <w:bookmarkStart w:id="147" w:name="_Toc369531697"/>
      <w:bookmarkStart w:id="148" w:name="_Toc300835209"/>
      <w:bookmarkStart w:id="149" w:name="_Toc247514246"/>
      <w:bookmarkStart w:id="150" w:name="_Toc352691661"/>
      <w:bookmarkStart w:id="151" w:name="_Toc361508752"/>
      <w:bookmarkStart w:id="152" w:name="_Toc384308375"/>
      <w:bookmarkStart w:id="153" w:name="_Toc152045787"/>
      <w:bookmarkStart w:id="154" w:name="_Toc17960"/>
      <w:bookmarkStart w:id="155" w:name="_Toc247527827"/>
      <w:bookmarkStart w:id="156" w:name="_Toc531360699"/>
      <w:r>
        <w:rPr>
          <w:rFonts w:hint="eastAsia" w:ascii="宋体" w:hAnsi="宋体" w:eastAsia="宋体" w:cs="宋体"/>
          <w:b/>
          <w:bCs/>
          <w:kern w:val="0"/>
          <w:sz w:val="28"/>
          <w:szCs w:val="28"/>
        </w:rPr>
        <w:t>（3）投标函附录</w:t>
      </w:r>
    </w:p>
    <w:tbl>
      <w:tblPr>
        <w:tblStyle w:val="41"/>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709"/>
        <w:gridCol w:w="2516"/>
        <w:gridCol w:w="1134"/>
        <w:gridCol w:w="155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1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条款名称</w:t>
            </w:r>
          </w:p>
        </w:tc>
        <w:tc>
          <w:tcPr>
            <w:tcW w:w="520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约定内容</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保险服务期限</w:t>
            </w:r>
          </w:p>
        </w:tc>
        <w:tc>
          <w:tcPr>
            <w:tcW w:w="5209"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按招标文件要求</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投标有效期</w:t>
            </w:r>
          </w:p>
        </w:tc>
        <w:tc>
          <w:tcPr>
            <w:tcW w:w="520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u w:val="single"/>
                <w14:textFill>
                  <w14:solidFill>
                    <w14:schemeClr w14:val="tx1"/>
                  </w14:solidFill>
                </w14:textFill>
              </w:rPr>
              <w:t>为90日历天（从投标截止之日算起）</w:t>
            </w:r>
            <w:r>
              <w:rPr>
                <w:rFonts w:hint="eastAsia" w:ascii="宋体" w:hAnsi="宋体" w:eastAsia="宋体" w:cs="宋体"/>
                <w:bCs/>
                <w:color w:val="000000" w:themeColor="text1"/>
                <w:szCs w:val="21"/>
                <w14:textFill>
                  <w14:solidFill>
                    <w14:schemeClr w14:val="tx1"/>
                  </w14:solidFill>
                </w14:textFill>
              </w:rPr>
              <w:t>。</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908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建设期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1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险种</w:t>
            </w:r>
          </w:p>
        </w:tc>
        <w:tc>
          <w:tcPr>
            <w:tcW w:w="251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投保金额</w:t>
            </w:r>
          </w:p>
          <w:p>
            <w:pPr>
              <w:spacing w:line="480" w:lineRule="exact"/>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保险费率（‰）</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保费(元)</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 xml:space="preserve">第一部分 </w:t>
            </w:r>
          </w:p>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工程一切险</w:t>
            </w:r>
          </w:p>
        </w:tc>
        <w:tc>
          <w:tcPr>
            <w:tcW w:w="251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人民币</w:t>
            </w:r>
            <w:r>
              <w:rPr>
                <w:rFonts w:ascii="宋体" w:hAnsi="宋体" w:eastAsia="宋体" w:cs="宋体"/>
                <w:bCs/>
                <w:color w:val="000000" w:themeColor="text1"/>
                <w:szCs w:val="21"/>
                <w:u w:val="single"/>
                <w14:textFill>
                  <w14:solidFill>
                    <w14:schemeClr w14:val="tx1"/>
                  </w14:solidFill>
                </w14:textFill>
              </w:rPr>
              <w:t>2,391,092,735.65</w:t>
            </w:r>
            <w:r>
              <w:rPr>
                <w:rFonts w:hint="eastAsia" w:ascii="宋体" w:hAnsi="宋体" w:eastAsia="宋体" w:cs="宋体"/>
                <w:bCs/>
                <w:color w:val="000000" w:themeColor="text1"/>
                <w:szCs w:val="21"/>
                <w14:textFill>
                  <w14:solidFill>
                    <w14:schemeClr w14:val="tx1"/>
                  </w14:solidFill>
                </w14:textFill>
              </w:rPr>
              <w:t>元</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000000" w:themeColor="text1"/>
                <w:szCs w:val="21"/>
                <w14:textFill>
                  <w14:solidFill>
                    <w14:schemeClr w14:val="tx1"/>
                  </w14:solidFill>
                </w14:textFill>
              </w:rPr>
            </w:pP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 xml:space="preserve">第二部分 </w:t>
            </w:r>
          </w:p>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第三者责任险</w:t>
            </w:r>
          </w:p>
        </w:tc>
        <w:tc>
          <w:tcPr>
            <w:tcW w:w="251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累计赔偿限额：人民币200,000,000.00元</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000000" w:themeColor="text1"/>
                <w:szCs w:val="21"/>
                <w14:textFill>
                  <w14:solidFill>
                    <w14:schemeClr w14:val="tx1"/>
                  </w14:solidFill>
                </w14:textFill>
              </w:rPr>
            </w:pP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投标报价</w:t>
            </w:r>
          </w:p>
        </w:tc>
        <w:tc>
          <w:tcPr>
            <w:tcW w:w="5209"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总保费（人民币）（元）：</w:t>
            </w:r>
            <w:r>
              <w:rPr>
                <w:rFonts w:hint="eastAsia" w:ascii="宋体" w:hAnsi="宋体" w:eastAsia="宋体" w:cs="宋体"/>
                <w:color w:val="000000" w:themeColor="text1"/>
                <w:szCs w:val="21"/>
                <w:u w:val="single"/>
                <w14:textFill>
                  <w14:solidFill>
                    <w14:schemeClr w14:val="tx1"/>
                  </w14:solidFill>
                </w14:textFill>
              </w:rPr>
              <w:t xml:space="preserve">         </w:t>
            </w:r>
          </w:p>
          <w:p>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u w:val="single"/>
                <w14:textFill>
                  <w14:solidFill>
                    <w14:schemeClr w14:val="tx1"/>
                  </w14:solidFill>
                </w14:textFill>
              </w:rPr>
              <w:t>2,391,092,735.65元</w:t>
            </w:r>
            <w:r>
              <w:rPr>
                <w:rFonts w:hint="eastAsia" w:ascii="宋体" w:hAnsi="宋体" w:eastAsia="宋体" w:cs="宋体"/>
                <w:color w:val="000000" w:themeColor="text1"/>
                <w:szCs w:val="21"/>
                <w14:textFill>
                  <w14:solidFill>
                    <w14:schemeClr w14:val="tx1"/>
                  </w14:solidFill>
                </w14:textFill>
              </w:rPr>
              <w:t>×（第一部分费率）+</w:t>
            </w:r>
          </w:p>
          <w:p>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u w:val="single"/>
                <w14:textFill>
                  <w14:solidFill>
                    <w14:schemeClr w14:val="tx1"/>
                  </w14:solidFill>
                </w14:textFill>
              </w:rPr>
              <w:t>200,000,000.00元</w:t>
            </w:r>
            <w:r>
              <w:rPr>
                <w:rFonts w:hint="eastAsia" w:ascii="宋体" w:hAnsi="宋体" w:eastAsia="宋体" w:cs="宋体"/>
                <w:color w:val="000000" w:themeColor="text1"/>
                <w:szCs w:val="21"/>
                <w14:textFill>
                  <w14:solidFill>
                    <w14:schemeClr w14:val="tx1"/>
                  </w14:solidFill>
                </w14:textFill>
              </w:rPr>
              <w:t>×（第二部分费率）</w:t>
            </w:r>
          </w:p>
        </w:tc>
        <w:tc>
          <w:tcPr>
            <w:tcW w:w="12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9080"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运维期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 xml:space="preserve">第一部分 </w:t>
            </w:r>
          </w:p>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工程一切险</w:t>
            </w:r>
          </w:p>
        </w:tc>
        <w:tc>
          <w:tcPr>
            <w:tcW w:w="2516"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人民币</w:t>
            </w:r>
            <w:r>
              <w:rPr>
                <w:rFonts w:ascii="宋体" w:hAnsi="宋体" w:eastAsia="宋体" w:cs="宋体"/>
                <w:bCs/>
                <w:color w:val="000000" w:themeColor="text1"/>
                <w:szCs w:val="21"/>
                <w:u w:val="single"/>
                <w14:textFill>
                  <w14:solidFill>
                    <w14:schemeClr w14:val="tx1"/>
                  </w14:solidFill>
                </w14:textFill>
              </w:rPr>
              <w:t>32,894,962.40</w:t>
            </w:r>
            <w:r>
              <w:rPr>
                <w:rFonts w:hint="eastAsia" w:ascii="宋体" w:hAnsi="宋体" w:eastAsia="宋体" w:cs="宋体"/>
                <w:bCs/>
                <w:color w:val="000000" w:themeColor="text1"/>
                <w:szCs w:val="21"/>
                <w:u w:val="single"/>
                <w14:textFill>
                  <w14:solidFill>
                    <w14:schemeClr w14:val="tx1"/>
                  </w14:solidFill>
                </w14:textFill>
              </w:rPr>
              <w:t>元</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000000" w:themeColor="text1"/>
                <w:szCs w:val="21"/>
                <w14:textFill>
                  <w14:solidFill>
                    <w14:schemeClr w14:val="tx1"/>
                  </w14:solidFill>
                </w14:textFill>
              </w:rPr>
            </w:pP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 xml:space="preserve">第二部分 </w:t>
            </w:r>
          </w:p>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第三者责任险</w:t>
            </w:r>
          </w:p>
        </w:tc>
        <w:tc>
          <w:tcPr>
            <w:tcW w:w="251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累计赔偿限额：人民币20,000,000.00元</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000000" w:themeColor="text1"/>
                <w:szCs w:val="21"/>
                <w14:textFill>
                  <w14:solidFill>
                    <w14:schemeClr w14:val="tx1"/>
                  </w14:solidFill>
                </w14:textFill>
              </w:rPr>
            </w:pP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投标报价</w:t>
            </w:r>
          </w:p>
        </w:tc>
        <w:tc>
          <w:tcPr>
            <w:tcW w:w="5209"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总保费（人民币）（元）：</w:t>
            </w:r>
            <w:r>
              <w:rPr>
                <w:rFonts w:hint="eastAsia" w:ascii="宋体" w:hAnsi="宋体" w:eastAsia="宋体" w:cs="宋体"/>
                <w:color w:val="000000" w:themeColor="text1"/>
                <w:szCs w:val="21"/>
                <w:u w:val="single"/>
                <w14:textFill>
                  <w14:solidFill>
                    <w14:schemeClr w14:val="tx1"/>
                  </w14:solidFill>
                </w14:textFill>
              </w:rPr>
              <w:t xml:space="preserve">         </w:t>
            </w:r>
          </w:p>
          <w:p>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u w:val="single"/>
                <w14:textFill>
                  <w14:solidFill>
                    <w14:schemeClr w14:val="tx1"/>
                  </w14:solidFill>
                </w14:textFill>
              </w:rPr>
              <w:t>32,894,962.40元</w:t>
            </w:r>
            <w:r>
              <w:rPr>
                <w:rFonts w:hint="eastAsia" w:ascii="宋体" w:hAnsi="宋体" w:eastAsia="宋体" w:cs="宋体"/>
                <w:color w:val="000000" w:themeColor="text1"/>
                <w:szCs w:val="21"/>
                <w14:textFill>
                  <w14:solidFill>
                    <w14:schemeClr w14:val="tx1"/>
                  </w14:solidFill>
                </w14:textFill>
              </w:rPr>
              <w:t>×（第一部分费率）+</w:t>
            </w:r>
          </w:p>
          <w:p>
            <w:pPr>
              <w:adjustRightInd w:val="0"/>
              <w:snapToGrid w:val="0"/>
              <w:rPr>
                <w:rFonts w:ascii="宋体" w:hAnsi="宋体" w:eastAsia="宋体" w:cs="宋体"/>
                <w:color w:val="000000" w:themeColor="text1"/>
                <w:szCs w:val="21"/>
                <w14:textFill>
                  <w14:solidFill>
                    <w14:schemeClr w14:val="tx1"/>
                  </w14:solidFill>
                </w14:textFill>
              </w:rPr>
            </w:pPr>
            <w:r>
              <w:rPr>
                <w:rFonts w:ascii="宋体" w:hAnsi="宋体" w:eastAsia="宋体" w:cs="宋体"/>
                <w:bCs/>
                <w:color w:val="000000" w:themeColor="text1"/>
                <w:szCs w:val="21"/>
                <w:u w:val="single"/>
                <w14:textFill>
                  <w14:solidFill>
                    <w14:schemeClr w14:val="tx1"/>
                  </w14:solidFill>
                </w14:textFill>
              </w:rPr>
              <w:t>20,000,000.00</w:t>
            </w:r>
            <w:r>
              <w:rPr>
                <w:rFonts w:hint="eastAsia" w:ascii="宋体" w:hAnsi="宋体" w:eastAsia="宋体" w:cs="宋体"/>
                <w:bCs/>
                <w:color w:val="000000" w:themeColor="text1"/>
                <w:szCs w:val="21"/>
                <w14:textFill>
                  <w14:solidFill>
                    <w14:schemeClr w14:val="tx1"/>
                  </w14:solidFill>
                </w14:textFill>
              </w:rPr>
              <w:t>元</w:t>
            </w:r>
            <w:r>
              <w:rPr>
                <w:rFonts w:hint="eastAsia" w:ascii="宋体" w:hAnsi="宋体" w:eastAsia="宋体" w:cs="宋体"/>
                <w:color w:val="000000" w:themeColor="text1"/>
                <w:szCs w:val="21"/>
                <w14:textFill>
                  <w14:solidFill>
                    <w14:schemeClr w14:val="tx1"/>
                  </w14:solidFill>
                </w14:textFill>
              </w:rPr>
              <w:t>×（第二部分费率）</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000000" w:themeColor="text1"/>
                <w:szCs w:val="21"/>
                <w14:textFill>
                  <w14:solidFill>
                    <w14:schemeClr w14:val="tx1"/>
                  </w14:solidFill>
                </w14:textFill>
              </w:rPr>
            </w:pPr>
          </w:p>
        </w:tc>
      </w:tr>
    </w:tbl>
    <w:p>
      <w:pPr>
        <w:rPr>
          <w:rFonts w:asciiTheme="minorEastAsia" w:hAnsiTheme="minorEastAsia" w:eastAsiaTheme="minorEastAsia"/>
        </w:rPr>
      </w:pPr>
    </w:p>
    <w:p>
      <w:pPr>
        <w:spacing w:line="360" w:lineRule="auto"/>
        <w:ind w:firstLine="2520" w:firstLineChars="1200"/>
        <w:rPr>
          <w:rFonts w:ascii="宋体" w:hAnsi="宋体" w:eastAsia="宋体" w:cs="宋体"/>
          <w:szCs w:val="21"/>
        </w:rPr>
      </w:pPr>
    </w:p>
    <w:p>
      <w:pPr>
        <w:spacing w:line="360" w:lineRule="auto"/>
        <w:ind w:firstLine="2520" w:firstLineChars="1200"/>
        <w:rPr>
          <w:rFonts w:ascii="宋体" w:hAnsi="宋体" w:eastAsia="宋体" w:cs="宋体"/>
          <w:szCs w:val="21"/>
        </w:rPr>
      </w:pPr>
    </w:p>
    <w:p>
      <w:pPr>
        <w:spacing w:line="360" w:lineRule="auto"/>
        <w:ind w:firstLine="2520" w:firstLineChars="1200"/>
        <w:rPr>
          <w:rFonts w:ascii="宋体" w:hAnsi="宋体" w:eastAsia="宋体" w:cs="宋体"/>
          <w:szCs w:val="21"/>
        </w:rPr>
      </w:pPr>
      <w:r>
        <w:rPr>
          <w:rFonts w:hint="eastAsia" w:ascii="宋体" w:hAnsi="宋体" w:eastAsia="宋体" w:cs="宋体"/>
          <w:szCs w:val="21"/>
        </w:rPr>
        <w:t>投 标 人：</w:t>
      </w:r>
      <w:r>
        <w:rPr>
          <w:rFonts w:hint="eastAsia" w:ascii="宋体" w:hAnsi="宋体" w:eastAsia="宋体" w:cs="宋体"/>
          <w:szCs w:val="21"/>
          <w:u w:val="single"/>
        </w:rPr>
        <w:t xml:space="preserve">                        </w:t>
      </w:r>
      <w:r>
        <w:rPr>
          <w:rFonts w:hint="eastAsia" w:ascii="宋体" w:hAnsi="宋体" w:eastAsia="宋体" w:cs="宋体"/>
          <w:szCs w:val="21"/>
        </w:rPr>
        <w:t>（盖单位章）</w:t>
      </w:r>
    </w:p>
    <w:p>
      <w:pPr>
        <w:spacing w:line="360" w:lineRule="auto"/>
        <w:rPr>
          <w:rFonts w:ascii="宋体" w:hAnsi="宋体" w:eastAsia="宋体" w:cs="宋体"/>
          <w:szCs w:val="21"/>
        </w:rPr>
      </w:pPr>
      <w:r>
        <w:rPr>
          <w:rFonts w:hint="eastAsia" w:ascii="宋体" w:hAnsi="宋体" w:eastAsia="宋体" w:cs="宋体"/>
          <w:szCs w:val="21"/>
        </w:rPr>
        <w:t xml:space="preserve">                         法定代表人（负责人或其被授权人）：</w:t>
      </w:r>
      <w:r>
        <w:rPr>
          <w:rFonts w:hint="eastAsia" w:ascii="宋体" w:hAnsi="宋体" w:eastAsia="宋体" w:cs="宋体"/>
          <w:szCs w:val="21"/>
          <w:u w:val="single"/>
        </w:rPr>
        <w:t xml:space="preserve">         </w:t>
      </w:r>
      <w:r>
        <w:rPr>
          <w:rFonts w:hint="eastAsia" w:ascii="宋体" w:hAnsi="宋体" w:eastAsia="宋体" w:cs="宋体"/>
          <w:szCs w:val="21"/>
        </w:rPr>
        <w:t>（签字或盖章）</w:t>
      </w:r>
    </w:p>
    <w:p>
      <w:pPr>
        <w:pStyle w:val="2"/>
        <w:adjustRightInd w:val="0"/>
        <w:snapToGrid w:val="0"/>
        <w:ind w:firstLine="2520" w:firstLineChars="1200"/>
        <w:rPr>
          <w:rFonts w:hAnsi="宋体" w:cs="宋体"/>
          <w:b/>
          <w:bCs/>
        </w:rPr>
      </w:pPr>
      <w:r>
        <w:rPr>
          <w:rFonts w:hint="eastAsia" w:hAnsi="宋体" w:cs="宋体"/>
        </w:rPr>
        <w:t>日   期 ：202</w:t>
      </w:r>
      <w:r>
        <w:rPr>
          <w:rFonts w:hAnsi="宋体" w:cs="宋体"/>
        </w:rPr>
        <w:t>3</w:t>
      </w:r>
      <w:r>
        <w:rPr>
          <w:rFonts w:hint="eastAsia" w:hAnsi="宋体" w:cs="宋体"/>
        </w:rPr>
        <w:t>年   月   日</w:t>
      </w:r>
    </w:p>
    <w:p>
      <w:pPr>
        <w:tabs>
          <w:tab w:val="left" w:pos="540"/>
          <w:tab w:val="left" w:pos="900"/>
        </w:tabs>
        <w:adjustRightInd w:val="0"/>
        <w:snapToGrid w:val="0"/>
        <w:spacing w:line="360" w:lineRule="auto"/>
        <w:rPr>
          <w:rFonts w:ascii="宋体" w:hAnsi="宋体" w:eastAsia="宋体" w:cs="宋体"/>
          <w:sz w:val="22"/>
        </w:rPr>
      </w:pPr>
    </w:p>
    <w:p>
      <w:pPr>
        <w:tabs>
          <w:tab w:val="left" w:pos="540"/>
          <w:tab w:val="left" w:pos="900"/>
        </w:tabs>
        <w:adjustRightInd w:val="0"/>
        <w:snapToGrid w:val="0"/>
        <w:spacing w:line="360" w:lineRule="auto"/>
        <w:rPr>
          <w:rFonts w:ascii="宋体" w:hAnsi="宋体" w:eastAsia="宋体" w:cs="宋体"/>
          <w:sz w:val="22"/>
        </w:rPr>
      </w:pPr>
      <w:r>
        <w:rPr>
          <w:rFonts w:hint="eastAsia" w:ascii="宋体" w:hAnsi="宋体" w:eastAsia="宋体" w:cs="宋体"/>
          <w:sz w:val="22"/>
        </w:rPr>
        <w:t>备注：保险费率=投标报价÷投保金额×1000（按四舍五入精确到小数点后3位）</w:t>
      </w:r>
    </w:p>
    <w:p/>
    <w:p>
      <w:pPr>
        <w:rPr>
          <w:rFonts w:asciiTheme="minorEastAsia" w:hAnsiTheme="minorEastAsia" w:eastAsiaTheme="minorEastAsia"/>
          <w:color w:val="auto"/>
          <w:highlight w:val="none"/>
        </w:rPr>
      </w:pPr>
    </w:p>
    <w:bookmarkEnd w:id="145"/>
    <w:bookmarkEnd w:id="146"/>
    <w:bookmarkEnd w:id="147"/>
    <w:bookmarkEnd w:id="148"/>
    <w:bookmarkEnd w:id="149"/>
    <w:bookmarkEnd w:id="150"/>
    <w:bookmarkEnd w:id="151"/>
    <w:bookmarkEnd w:id="152"/>
    <w:bookmarkEnd w:id="153"/>
    <w:bookmarkEnd w:id="154"/>
    <w:bookmarkEnd w:id="155"/>
    <w:p>
      <w:pPr>
        <w:jc w:val="center"/>
        <w:rPr>
          <w:rFonts w:hint="eastAsia" w:ascii="宋体" w:hAnsi="宋体" w:eastAsia="宋体" w:cs="宋体"/>
          <w:color w:val="auto"/>
          <w:highlight w:val="none"/>
        </w:rPr>
      </w:pPr>
      <w:bookmarkStart w:id="157" w:name="_Toc28876"/>
      <w:r>
        <w:rPr>
          <w:rFonts w:hint="eastAsia" w:ascii="宋体" w:hAnsi="宋体" w:eastAsia="宋体" w:cs="宋体"/>
          <w:color w:val="auto"/>
          <w:highlight w:val="none"/>
        </w:rPr>
        <w:br w:type="page"/>
      </w:r>
    </w:p>
    <w:p>
      <w:pPr>
        <w:pStyle w:val="4"/>
        <w:jc w:val="center"/>
        <w:rPr>
          <w:rFonts w:ascii="宋体" w:hAnsi="宋体" w:eastAsia="宋体" w:cs="宋体"/>
          <w:color w:val="auto"/>
          <w:highlight w:val="none"/>
        </w:rPr>
      </w:pPr>
      <w:r>
        <w:rPr>
          <w:rFonts w:hint="eastAsia" w:ascii="宋体" w:hAnsi="宋体" w:eastAsia="宋体" w:cs="宋体"/>
          <w:color w:val="auto"/>
          <w:highlight w:val="none"/>
        </w:rPr>
        <w:t>2.法定代表人（或负责人）身份证明书及授权委托书</w:t>
      </w:r>
      <w:bookmarkEnd w:id="157"/>
    </w:p>
    <w:p>
      <w:pPr>
        <w:pStyle w:val="5"/>
        <w:rPr>
          <w:color w:val="auto"/>
          <w:highlight w:val="none"/>
        </w:rPr>
      </w:pPr>
      <w:r>
        <w:rPr>
          <w:rFonts w:hint="eastAsia"/>
          <w:color w:val="auto"/>
          <w:highlight w:val="none"/>
        </w:rPr>
        <w:t>2.1</w:t>
      </w:r>
      <w:bookmarkEnd w:id="156"/>
      <w:r>
        <w:rPr>
          <w:rFonts w:hint="eastAsia"/>
          <w:color w:val="auto"/>
          <w:highlight w:val="none"/>
        </w:rPr>
        <w:t>法定代表人（或负责人）身份证明书</w:t>
      </w:r>
    </w:p>
    <w:p>
      <w:pPr>
        <w:spacing w:line="440" w:lineRule="exact"/>
        <w:rPr>
          <w:rFonts w:asciiTheme="minorEastAsia" w:hAnsiTheme="minorEastAsia" w:eastAsiaTheme="minorEastAsia"/>
          <w:color w:val="auto"/>
          <w:sz w:val="20"/>
          <w:highlight w:val="none"/>
        </w:rPr>
      </w:pPr>
    </w:p>
    <w:p>
      <w:pPr>
        <w:spacing w:line="440" w:lineRule="exact"/>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rPr>
        <w:t>投标人名称：</w:t>
      </w:r>
      <w:r>
        <w:rPr>
          <w:rFonts w:hint="eastAsia" w:cs="宋体" w:asciiTheme="minorEastAsia" w:hAnsiTheme="minorEastAsia" w:eastAsiaTheme="minorEastAsia"/>
          <w:color w:val="auto"/>
          <w:highlight w:val="none"/>
          <w:u w:val="single"/>
        </w:rPr>
        <w:t xml:space="preserve">                  </w:t>
      </w:r>
    </w:p>
    <w:p>
      <w:pPr>
        <w:spacing w:line="440" w:lineRule="exact"/>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rPr>
        <w:t>姓名：</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性别：</w:t>
      </w:r>
      <w:bookmarkStart w:id="158" w:name="_Toc352691662"/>
      <w:bookmarkStart w:id="159" w:name="_Toc369531698"/>
      <w:bookmarkStart w:id="160" w:name="_Toc27897"/>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年</w:t>
      </w:r>
      <w:bookmarkEnd w:id="158"/>
      <w:bookmarkEnd w:id="159"/>
      <w:bookmarkEnd w:id="160"/>
      <w:r>
        <w:rPr>
          <w:rFonts w:hint="eastAsia" w:cs="宋体" w:asciiTheme="minorEastAsia" w:hAnsiTheme="minorEastAsia" w:eastAsiaTheme="minorEastAsia"/>
          <w:color w:val="auto"/>
          <w:highlight w:val="none"/>
        </w:rPr>
        <w:t>龄</w:t>
      </w:r>
      <w:bookmarkStart w:id="161" w:name="_Toc300835211"/>
      <w:bookmarkStart w:id="162" w:name="_Toc247527829"/>
      <w:bookmarkStart w:id="163" w:name="_Toc144974858"/>
      <w:bookmarkStart w:id="164" w:name="_Toc152042578"/>
      <w:bookmarkStart w:id="165" w:name="_Toc152045789"/>
      <w:bookmarkStart w:id="166" w:name="_Toc247514248"/>
      <w:bookmarkStart w:id="167" w:name="_Toc352691663"/>
      <w:bookmarkStart w:id="168" w:name="_Toc15573"/>
      <w:bookmarkStart w:id="169" w:name="_Toc384308377"/>
      <w:bookmarkStart w:id="170" w:name="_Toc369531699"/>
      <w:bookmarkStart w:id="171" w:name="_Toc361508754"/>
      <w:r>
        <w:rPr>
          <w:rFonts w:hint="eastAsia" w:cs="宋体" w:asciiTheme="minorEastAsia" w:hAnsiTheme="minorEastAsia" w:eastAsiaTheme="minorEastAsia"/>
          <w:color w:val="auto"/>
          <w:highlight w:val="none"/>
        </w:rPr>
        <w:t>：</w:t>
      </w:r>
      <w:bookmarkEnd w:id="161"/>
      <w:bookmarkEnd w:id="162"/>
      <w:bookmarkEnd w:id="163"/>
      <w:bookmarkEnd w:id="164"/>
      <w:bookmarkEnd w:id="165"/>
      <w:bookmarkEnd w:id="166"/>
      <w:bookmarkEnd w:id="167"/>
      <w:bookmarkEnd w:id="168"/>
      <w:bookmarkEnd w:id="169"/>
      <w:bookmarkEnd w:id="170"/>
      <w:bookmarkEnd w:id="171"/>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职务：</w:t>
      </w:r>
      <w:r>
        <w:rPr>
          <w:rFonts w:hint="eastAsia" w:cs="宋体" w:asciiTheme="minorEastAsia" w:hAnsiTheme="minorEastAsia" w:eastAsiaTheme="minorEastAsia"/>
          <w:color w:val="auto"/>
          <w:highlight w:val="none"/>
          <w:u w:val="single"/>
        </w:rPr>
        <w:t xml:space="preserve">           </w:t>
      </w:r>
    </w:p>
    <w:p>
      <w:pPr>
        <w:spacing w:line="440" w:lineRule="exac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系</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（投标人名称）的法定代表人(或负责人)。</w:t>
      </w:r>
    </w:p>
    <w:p>
      <w:pPr>
        <w:spacing w:line="44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特此证明。</w:t>
      </w:r>
    </w:p>
    <w:p>
      <w:pPr>
        <w:spacing w:line="440" w:lineRule="exact"/>
        <w:rPr>
          <w:rFonts w:cs="宋体" w:asciiTheme="minorEastAsia" w:hAnsiTheme="minorEastAsia" w:eastAsiaTheme="minorEastAsia"/>
          <w:color w:val="auto"/>
          <w:highlight w:val="none"/>
        </w:rPr>
      </w:pPr>
    </w:p>
    <w:p>
      <w:pPr>
        <w:spacing w:line="440" w:lineRule="exac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附：法定代表人(或负责人)身份证扫描件。</w:t>
      </w:r>
    </w:p>
    <w:p>
      <w:pPr>
        <w:spacing w:line="440" w:lineRule="exact"/>
        <w:rPr>
          <w:rFonts w:cs="宋体" w:asciiTheme="minorEastAsia" w:hAnsiTheme="minorEastAsia" w:eastAsiaTheme="minorEastAsia"/>
          <w:color w:val="auto"/>
          <w:highlight w:val="none"/>
        </w:rPr>
      </w:pPr>
    </w:p>
    <w:p>
      <w:pPr>
        <w:spacing w:line="440" w:lineRule="exac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注：本身份证明需由投标人加盖单位章。</w:t>
      </w:r>
    </w:p>
    <w:p>
      <w:pPr>
        <w:spacing w:line="440" w:lineRule="exact"/>
        <w:rPr>
          <w:rFonts w:cs="宋体" w:asciiTheme="minorEastAsia" w:hAnsiTheme="minorEastAsia" w:eastAsiaTheme="minorEastAsia"/>
          <w:color w:val="auto"/>
          <w:highlight w:val="none"/>
        </w:rPr>
      </w:pPr>
    </w:p>
    <w:p>
      <w:pPr>
        <w:spacing w:line="440" w:lineRule="exact"/>
        <w:rPr>
          <w:rFonts w:cs="宋体" w:asciiTheme="minorEastAsia" w:hAnsiTheme="minorEastAsia" w:eastAsiaTheme="minorEastAsia"/>
          <w:color w:val="auto"/>
          <w:highlight w:val="none"/>
        </w:rPr>
      </w:pPr>
    </w:p>
    <w:p>
      <w:pPr>
        <w:wordWrap w:val="0"/>
        <w:spacing w:line="440" w:lineRule="exact"/>
        <w:jc w:val="righ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           投标人：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（盖单位章）</w:t>
      </w:r>
    </w:p>
    <w:p>
      <w:pPr>
        <w:spacing w:line="440" w:lineRule="exact"/>
        <w:rPr>
          <w:rFonts w:cs="宋体" w:asciiTheme="minorEastAsia" w:hAnsiTheme="minorEastAsia" w:eastAsiaTheme="minorEastAsia"/>
          <w:color w:val="auto"/>
          <w:highlight w:val="none"/>
        </w:rPr>
      </w:pPr>
    </w:p>
    <w:p>
      <w:pPr>
        <w:pStyle w:val="54"/>
        <w:wordWrap w:val="0"/>
        <w:jc w:val="right"/>
        <w:rPr>
          <w:rFonts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 年    月   日</w:t>
      </w:r>
    </w:p>
    <w:p>
      <w:pPr>
        <w:rPr>
          <w:rFonts w:asciiTheme="minorEastAsia" w:hAnsiTheme="minorEastAsia" w:eastAsiaTheme="minorEastAsia"/>
          <w:color w:val="auto"/>
          <w:highlight w:val="none"/>
        </w:rPr>
      </w:pPr>
      <w:bookmarkStart w:id="172" w:name="_Toc531360700"/>
      <w:r>
        <w:rPr>
          <w:rFonts w:hint="eastAsia" w:asciiTheme="minorEastAsia" w:hAnsiTheme="minorEastAsia" w:eastAsiaTheme="minorEastAsia"/>
          <w:color w:val="auto"/>
          <w:highlight w:val="none"/>
        </w:rPr>
        <w:br w:type="page"/>
      </w:r>
    </w:p>
    <w:p>
      <w:pPr>
        <w:pStyle w:val="5"/>
        <w:rPr>
          <w:rFonts w:asciiTheme="minorEastAsia" w:hAnsiTheme="minorEastAsia" w:eastAsiaTheme="minorEastAsia"/>
          <w:color w:val="auto"/>
          <w:highlight w:val="none"/>
        </w:rPr>
      </w:pPr>
      <w:r>
        <w:rPr>
          <w:rFonts w:hint="eastAsia" w:cs="宋体"/>
          <w:color w:val="auto"/>
          <w:highlight w:val="none"/>
        </w:rPr>
        <w:t>2.2授权委托书</w:t>
      </w:r>
      <w:bookmarkEnd w:id="172"/>
    </w:p>
    <w:p>
      <w:pPr>
        <w:topLinePunct/>
        <w:spacing w:line="44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本人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（姓名）系</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（投标人名称）的法定代表人(或负责人)，现委托</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（姓名）为我方代理人。代理人根据授权，以我方名义签署、澄清确认、递交、撤回、修改</w:t>
      </w:r>
      <w:r>
        <w:rPr>
          <w:rFonts w:hint="eastAsia" w:cs="宋体" w:asciiTheme="minorEastAsia" w:hAnsiTheme="minorEastAsia" w:eastAsiaTheme="minorEastAsia"/>
          <w:color w:val="auto"/>
          <w:highlight w:val="none"/>
          <w:u w:val="single"/>
          <w:lang w:eastAsia="zh-CN"/>
        </w:rPr>
        <w:t>会展西路过江隧道工程工程一切险及第三者责任险</w:t>
      </w:r>
      <w:r>
        <w:rPr>
          <w:rFonts w:hint="eastAsia" w:cs="宋体" w:asciiTheme="minorEastAsia" w:hAnsiTheme="minorEastAsia" w:eastAsiaTheme="minorEastAsia"/>
          <w:color w:val="auto"/>
          <w:highlight w:val="none"/>
        </w:rPr>
        <w:t>招标项目投标文件、签订合同和处理有关事宜，其法律后果由我方承担。</w:t>
      </w:r>
    </w:p>
    <w:p>
      <w:pPr>
        <w:spacing w:line="440" w:lineRule="exact"/>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rPr>
        <w:t>委托期限：</w:t>
      </w:r>
      <w:r>
        <w:rPr>
          <w:rFonts w:hint="eastAsia" w:cs="宋体" w:asciiTheme="minorEastAsia" w:hAnsiTheme="minorEastAsia" w:eastAsiaTheme="minorEastAsia"/>
          <w:color w:val="auto"/>
          <w:highlight w:val="none"/>
          <w:u w:val="single"/>
        </w:rPr>
        <w:t xml:space="preserve">                </w:t>
      </w:r>
    </w:p>
    <w:p>
      <w:pPr>
        <w:spacing w:line="44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代理人无转委托权。</w:t>
      </w:r>
    </w:p>
    <w:p>
      <w:pPr>
        <w:spacing w:line="440" w:lineRule="exact"/>
        <w:ind w:firstLine="420" w:firstLineChars="200"/>
        <w:rPr>
          <w:rFonts w:cs="宋体" w:asciiTheme="minorEastAsia" w:hAnsiTheme="minorEastAsia" w:eastAsiaTheme="minorEastAsia"/>
          <w:color w:val="auto"/>
          <w:highlight w:val="none"/>
        </w:rPr>
      </w:pPr>
    </w:p>
    <w:p>
      <w:pPr>
        <w:spacing w:line="440" w:lineRule="exac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附：法定代表人(或负责人)身份证扫描件及委托代理人身份证扫描件</w:t>
      </w:r>
    </w:p>
    <w:p>
      <w:pPr>
        <w:spacing w:line="440" w:lineRule="exact"/>
        <w:rPr>
          <w:rFonts w:cs="宋体" w:asciiTheme="minorEastAsia" w:hAnsiTheme="minorEastAsia" w:eastAsiaTheme="minorEastAsia"/>
          <w:color w:val="auto"/>
          <w:highlight w:val="none"/>
        </w:rPr>
      </w:pPr>
    </w:p>
    <w:p>
      <w:pPr>
        <w:spacing w:line="440" w:lineRule="exac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注：本授权委托书需由投标人加盖单位章并由其法定代表人(或负责人)和委托代理人签字。</w:t>
      </w:r>
    </w:p>
    <w:p>
      <w:pPr>
        <w:spacing w:line="440" w:lineRule="exact"/>
        <w:rPr>
          <w:rFonts w:cs="宋体" w:asciiTheme="minorEastAsia" w:hAnsiTheme="minorEastAsia" w:eastAsiaTheme="minorEastAsia"/>
          <w:color w:val="auto"/>
          <w:highlight w:val="none"/>
        </w:rPr>
      </w:pPr>
    </w:p>
    <w:p>
      <w:pPr>
        <w:spacing w:line="440" w:lineRule="exact"/>
        <w:ind w:firstLine="2692" w:firstLineChars="128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投  标  人：</w:t>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highlight w:val="none"/>
        </w:rPr>
        <w:t>（盖单位章）</w:t>
      </w:r>
    </w:p>
    <w:p>
      <w:pPr>
        <w:spacing w:line="440" w:lineRule="exact"/>
        <w:ind w:firstLine="2692" w:firstLineChars="1282"/>
        <w:rPr>
          <w:rFonts w:cs="宋体" w:asciiTheme="minorEastAsia" w:hAnsiTheme="minorEastAsia" w:eastAsiaTheme="minorEastAsia"/>
          <w:color w:val="auto"/>
          <w:highlight w:val="none"/>
        </w:rPr>
      </w:pPr>
    </w:p>
    <w:p>
      <w:pPr>
        <w:spacing w:line="440" w:lineRule="exact"/>
        <w:ind w:firstLine="2690" w:firstLineChars="1281"/>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法定代表人(或负责人)：</w:t>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highlight w:val="none"/>
        </w:rPr>
        <w:t>（签字）</w:t>
      </w:r>
    </w:p>
    <w:p>
      <w:pPr>
        <w:spacing w:line="440" w:lineRule="exact"/>
        <w:ind w:firstLine="2692" w:firstLineChars="1282"/>
        <w:rPr>
          <w:rFonts w:cs="宋体" w:asciiTheme="minorEastAsia" w:hAnsiTheme="minorEastAsia" w:eastAsiaTheme="minorEastAsia"/>
          <w:color w:val="auto"/>
          <w:highlight w:val="none"/>
        </w:rPr>
      </w:pPr>
    </w:p>
    <w:p>
      <w:pPr>
        <w:spacing w:line="440" w:lineRule="exact"/>
        <w:ind w:firstLine="2692" w:firstLineChars="128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身份证号码：</w:t>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ab/>
      </w:r>
    </w:p>
    <w:p>
      <w:pPr>
        <w:spacing w:line="440" w:lineRule="exact"/>
        <w:ind w:firstLine="2692" w:firstLineChars="1282"/>
        <w:rPr>
          <w:rFonts w:cs="宋体" w:asciiTheme="minorEastAsia" w:hAnsiTheme="minorEastAsia" w:eastAsiaTheme="minorEastAsia"/>
          <w:color w:val="auto"/>
          <w:highlight w:val="none"/>
        </w:rPr>
      </w:pPr>
    </w:p>
    <w:p>
      <w:pPr>
        <w:spacing w:line="440" w:lineRule="exact"/>
        <w:ind w:firstLine="2692" w:firstLineChars="128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委托代理人：</w:t>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highlight w:val="none"/>
        </w:rPr>
        <w:t>（签字）</w:t>
      </w:r>
    </w:p>
    <w:p>
      <w:pPr>
        <w:spacing w:line="440" w:lineRule="exact"/>
        <w:ind w:firstLine="2692" w:firstLineChars="1282"/>
        <w:rPr>
          <w:rFonts w:cs="宋体" w:asciiTheme="minorEastAsia" w:hAnsiTheme="minorEastAsia" w:eastAsiaTheme="minorEastAsia"/>
          <w:color w:val="auto"/>
          <w:highlight w:val="none"/>
        </w:rPr>
      </w:pPr>
    </w:p>
    <w:p>
      <w:pPr>
        <w:spacing w:line="440" w:lineRule="exact"/>
        <w:ind w:firstLine="2692" w:firstLineChars="128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身份证号码：</w:t>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ab/>
      </w:r>
    </w:p>
    <w:p>
      <w:pPr>
        <w:jc w:val="center"/>
        <w:rPr>
          <w:rFonts w:cs="宋体" w:asciiTheme="minorEastAsia" w:hAnsiTheme="minorEastAsia" w:eastAsiaTheme="minorEastAsia"/>
          <w:color w:val="auto"/>
          <w:highlight w:val="none"/>
        </w:rPr>
      </w:pPr>
    </w:p>
    <w:p>
      <w:pPr>
        <w:jc w:val="center"/>
        <w:rPr>
          <w:rFonts w:cs="宋体" w:asciiTheme="minorEastAsia" w:hAnsiTheme="minorEastAsia" w:eastAsiaTheme="minorEastAsia"/>
          <w:color w:val="auto"/>
          <w:highlight w:val="none"/>
        </w:rPr>
      </w:pPr>
    </w:p>
    <w:p>
      <w:pPr>
        <w:jc w:val="center"/>
        <w:rPr>
          <w:color w:val="auto"/>
          <w:highlight w:val="none"/>
        </w:rPr>
      </w:pPr>
      <w:r>
        <w:rPr>
          <w:rFonts w:hint="eastAsia" w:cs="宋体" w:asciiTheme="minorEastAsia" w:hAnsiTheme="minorEastAsia" w:eastAsiaTheme="minorEastAsia"/>
          <w:color w:val="auto"/>
          <w:highlight w:val="none"/>
        </w:rPr>
        <w:t>年   月  日</w:t>
      </w:r>
      <w:r>
        <w:rPr>
          <w:color w:val="auto"/>
          <w:highlight w:val="none"/>
        </w:rPr>
        <w:br w:type="page"/>
      </w:r>
      <w:bookmarkEnd w:id="183"/>
    </w:p>
    <w:p>
      <w:pPr>
        <w:pStyle w:val="4"/>
        <w:jc w:val="center"/>
        <w:rPr>
          <w:rFonts w:asciiTheme="minorEastAsia" w:hAnsiTheme="minorEastAsia" w:eastAsiaTheme="minorEastAsia"/>
          <w:color w:val="auto"/>
          <w:highlight w:val="none"/>
        </w:rPr>
      </w:pPr>
      <w:bookmarkStart w:id="173" w:name="_Toc531360703"/>
      <w:bookmarkStart w:id="174" w:name="_Toc31591"/>
      <w:bookmarkStart w:id="175" w:name="_Toc361508760"/>
      <w:r>
        <w:rPr>
          <w:rFonts w:hint="eastAsia" w:ascii="宋体" w:hAnsi="宋体" w:eastAsia="宋体" w:cs="宋体"/>
          <w:color w:val="auto"/>
          <w:highlight w:val="none"/>
        </w:rPr>
        <w:t>3.资格审查资料</w:t>
      </w:r>
      <w:bookmarkEnd w:id="173"/>
      <w:bookmarkEnd w:id="174"/>
    </w:p>
    <w:p>
      <w:pPr>
        <w:pStyle w:val="5"/>
        <w:spacing w:before="20"/>
        <w:ind w:firstLine="137"/>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3.1投标人基本情况表</w:t>
      </w:r>
    </w:p>
    <w:tbl>
      <w:tblPr>
        <w:tblStyle w:val="41"/>
        <w:tblW w:w="89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55"/>
        <w:gridCol w:w="998"/>
        <w:gridCol w:w="1915"/>
        <w:gridCol w:w="1148"/>
        <w:gridCol w:w="23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55"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6403"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555"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2913"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342"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2555" w:type="dxa"/>
            <w:vMerge w:val="restart"/>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9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1915"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电 话</w:t>
            </w:r>
          </w:p>
        </w:tc>
        <w:tc>
          <w:tcPr>
            <w:tcW w:w="2342"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255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p>
        </w:tc>
        <w:tc>
          <w:tcPr>
            <w:tcW w:w="9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rFonts w:ascii="宋体" w:hAnsi="宋体" w:eastAsia="宋体" w:cs="宋体"/>
                <w:color w:val="auto"/>
                <w:szCs w:val="21"/>
                <w:highlight w:val="none"/>
              </w:rPr>
            </w:pPr>
            <w:r>
              <w:rPr>
                <w:rFonts w:hint="eastAsia" w:ascii="宋体" w:hAnsi="宋体" w:eastAsia="宋体" w:cs="宋体"/>
                <w:color w:val="auto"/>
                <w:szCs w:val="21"/>
                <w:highlight w:val="none"/>
              </w:rPr>
              <w:t>传  真</w:t>
            </w:r>
          </w:p>
        </w:tc>
        <w:tc>
          <w:tcPr>
            <w:tcW w:w="1915"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rFonts w:ascii="宋体" w:hAnsi="宋体" w:eastAsia="宋体" w:cs="宋体"/>
                <w:color w:val="auto"/>
                <w:szCs w:val="21"/>
                <w:highlight w:val="none"/>
              </w:rPr>
            </w:pPr>
            <w:r>
              <w:rPr>
                <w:rFonts w:hint="eastAsia" w:ascii="宋体" w:hAnsi="宋体" w:eastAsia="宋体" w:cs="宋体"/>
                <w:color w:val="auto"/>
                <w:szCs w:val="21"/>
                <w:highlight w:val="none"/>
              </w:rPr>
              <w:t>网 址</w:t>
            </w:r>
          </w:p>
        </w:tc>
        <w:tc>
          <w:tcPr>
            <w:tcW w:w="2342"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255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6403" w:type="dxa"/>
            <w:gridSpan w:val="4"/>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255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rFonts w:ascii="宋体" w:hAnsi="宋体" w:eastAsia="宋体" w:cs="宋体"/>
                <w:color w:val="auto"/>
                <w:szCs w:val="21"/>
                <w:highlight w:val="none"/>
              </w:rPr>
            </w:pPr>
            <w:r>
              <w:rPr>
                <w:rFonts w:hint="eastAsia" w:ascii="宋体" w:hAnsi="宋体" w:eastAsia="宋体" w:cs="宋体"/>
                <w:color w:val="auto"/>
                <w:szCs w:val="21"/>
                <w:highlight w:val="none"/>
              </w:rPr>
              <w:t>注册资本</w:t>
            </w:r>
          </w:p>
        </w:tc>
        <w:tc>
          <w:tcPr>
            <w:tcW w:w="6403"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255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rFonts w:ascii="宋体" w:hAnsi="宋体" w:eastAsia="宋体" w:cs="宋体"/>
                <w:color w:val="auto"/>
                <w:szCs w:val="21"/>
                <w:highlight w:val="none"/>
              </w:rPr>
            </w:pPr>
            <w:r>
              <w:rPr>
                <w:rFonts w:hint="eastAsia" w:ascii="宋体" w:hAnsi="宋体" w:eastAsia="宋体" w:cs="宋体"/>
                <w:color w:val="auto"/>
                <w:szCs w:val="21"/>
                <w:highlight w:val="none"/>
              </w:rPr>
              <w:t>成立日期</w:t>
            </w:r>
          </w:p>
        </w:tc>
        <w:tc>
          <w:tcPr>
            <w:tcW w:w="6403"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255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经营保险业务许可证</w:t>
            </w:r>
          </w:p>
        </w:tc>
        <w:tc>
          <w:tcPr>
            <w:tcW w:w="6403"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255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rFonts w:ascii="宋体" w:hAnsi="宋体" w:eastAsia="宋体" w:cs="宋体"/>
                <w:color w:val="auto"/>
                <w:szCs w:val="21"/>
                <w:highlight w:val="none"/>
              </w:rPr>
            </w:pPr>
            <w:r>
              <w:rPr>
                <w:rFonts w:hint="eastAsia" w:ascii="宋体" w:hAnsi="宋体" w:eastAsia="宋体" w:cs="宋体"/>
                <w:color w:val="auto"/>
                <w:szCs w:val="21"/>
                <w:highlight w:val="none"/>
              </w:rPr>
              <w:t>基本账户开户银行</w:t>
            </w:r>
          </w:p>
        </w:tc>
        <w:tc>
          <w:tcPr>
            <w:tcW w:w="6403"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255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rFonts w:ascii="宋体" w:hAnsi="宋体" w:eastAsia="宋体" w:cs="宋体"/>
                <w:color w:val="auto"/>
                <w:szCs w:val="21"/>
                <w:highlight w:val="none"/>
              </w:rPr>
            </w:pPr>
            <w:r>
              <w:rPr>
                <w:rFonts w:hint="eastAsia" w:ascii="宋体" w:hAnsi="宋体" w:eastAsia="宋体" w:cs="宋体"/>
                <w:color w:val="auto"/>
                <w:szCs w:val="21"/>
                <w:highlight w:val="none"/>
              </w:rPr>
              <w:t>基本账户银行账号</w:t>
            </w:r>
          </w:p>
        </w:tc>
        <w:tc>
          <w:tcPr>
            <w:tcW w:w="6403"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2555" w:type="dxa"/>
            <w:tcBorders>
              <w:top w:val="single" w:color="auto" w:sz="4" w:space="0"/>
              <w:left w:val="single" w:color="auto" w:sz="4" w:space="0"/>
              <w:right w:val="single" w:color="auto" w:sz="4" w:space="0"/>
            </w:tcBorders>
            <w:vAlign w:val="center"/>
          </w:tcPr>
          <w:p>
            <w:pPr>
              <w:topLinePunct/>
              <w:spacing w:before="100" w:beforeAutospacing="1" w:after="100" w:afterAutospacing="1"/>
              <w:ind w:firstLine="210" w:firstLineChars="1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经营范围</w:t>
            </w:r>
          </w:p>
        </w:tc>
        <w:tc>
          <w:tcPr>
            <w:tcW w:w="6403" w:type="dxa"/>
            <w:gridSpan w:val="4"/>
            <w:tcBorders>
              <w:top w:val="single" w:color="auto" w:sz="4" w:space="0"/>
              <w:left w:val="single" w:color="auto" w:sz="4" w:space="0"/>
              <w:right w:val="single" w:color="auto" w:sz="4" w:space="0"/>
            </w:tcBorders>
            <w:vAlign w:val="center"/>
          </w:tcPr>
          <w:p>
            <w:pPr>
              <w:topLinePunct/>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3" w:hRule="atLeast"/>
          <w:jc w:val="center"/>
        </w:trPr>
        <w:tc>
          <w:tcPr>
            <w:tcW w:w="2555" w:type="dxa"/>
            <w:tcBorders>
              <w:top w:val="single" w:color="auto" w:sz="4" w:space="0"/>
              <w:left w:val="single" w:color="auto" w:sz="4" w:space="0"/>
              <w:right w:val="single" w:color="auto" w:sz="4" w:space="0"/>
            </w:tcBorders>
            <w:vAlign w:val="center"/>
          </w:tcPr>
          <w:p>
            <w:pPr>
              <w:topLinePunct/>
              <w:spacing w:before="100" w:beforeAutospacing="1" w:after="100" w:afterAutospacing="1"/>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投标人关联企业情况（包括但不限于与投标人法定代表人为同一人或者存在控股、管理关系的不同单位）</w:t>
            </w:r>
          </w:p>
        </w:tc>
        <w:tc>
          <w:tcPr>
            <w:tcW w:w="6403" w:type="dxa"/>
            <w:gridSpan w:val="4"/>
            <w:tcBorders>
              <w:top w:val="single" w:color="auto" w:sz="4" w:space="0"/>
              <w:left w:val="single" w:color="auto" w:sz="4" w:space="0"/>
              <w:right w:val="single" w:color="auto" w:sz="4" w:space="0"/>
            </w:tcBorders>
            <w:vAlign w:val="center"/>
          </w:tcPr>
          <w:p>
            <w:pPr>
              <w:topLinePunct/>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255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403"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eastAsia="宋体" w:cs="宋体"/>
                <w:color w:val="auto"/>
                <w:szCs w:val="21"/>
                <w:highlight w:val="none"/>
              </w:rPr>
            </w:pPr>
          </w:p>
        </w:tc>
      </w:tr>
    </w:tbl>
    <w:p>
      <w:pPr>
        <w:spacing w:line="400" w:lineRule="exact"/>
        <w:rPr>
          <w:color w:val="auto"/>
          <w:highlight w:val="none"/>
        </w:rPr>
      </w:pPr>
      <w:r>
        <w:rPr>
          <w:rFonts w:hint="eastAsia" w:asciiTheme="minorEastAsia" w:hAnsiTheme="minorEastAsia" w:eastAsiaTheme="minorEastAsia"/>
          <w:color w:val="auto"/>
          <w:highlight w:val="none"/>
        </w:rPr>
        <w:t>注：后附资格审查资料</w:t>
      </w:r>
      <w:bookmarkStart w:id="176" w:name="_Toc531360705"/>
      <w:r>
        <w:rPr>
          <w:rFonts w:hint="eastAsia" w:asciiTheme="minorEastAsia" w:hAnsiTheme="minorEastAsia" w:eastAsiaTheme="minorEastAsia"/>
          <w:color w:val="auto"/>
          <w:highlight w:val="none"/>
        </w:rPr>
        <w:t>。</w:t>
      </w:r>
      <w:r>
        <w:rPr>
          <w:color w:val="auto"/>
          <w:highlight w:val="none"/>
        </w:rPr>
        <w:br w:type="page"/>
      </w:r>
    </w:p>
    <w:p>
      <w:pPr>
        <w:spacing w:line="360" w:lineRule="auto"/>
        <w:rPr>
          <w:rFonts w:asciiTheme="minorEastAsia" w:hAnsiTheme="minorEastAsia" w:eastAsiaTheme="minorEastAsia"/>
          <w:b/>
          <w:bCs/>
          <w:color w:val="auto"/>
          <w:sz w:val="28"/>
          <w:szCs w:val="32"/>
          <w:highlight w:val="none"/>
        </w:rPr>
      </w:pPr>
      <w:r>
        <w:rPr>
          <w:rFonts w:hint="eastAsia" w:asciiTheme="minorEastAsia" w:hAnsiTheme="minorEastAsia" w:eastAsiaTheme="minorEastAsia"/>
          <w:b/>
          <w:bCs/>
          <w:color w:val="auto"/>
          <w:sz w:val="28"/>
          <w:szCs w:val="32"/>
          <w:highlight w:val="none"/>
        </w:rPr>
        <w:t>（1）独家授权委托书（如有）</w:t>
      </w:r>
    </w:p>
    <w:p>
      <w:pPr>
        <w:widowControl/>
        <w:spacing w:line="360" w:lineRule="auto"/>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独家授权委托书</w:t>
      </w:r>
    </w:p>
    <w:p>
      <w:pPr>
        <w:spacing w:line="360" w:lineRule="auto"/>
        <w:ind w:firstLine="525" w:firstLine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公司（以下称“授权人”）的在下面签字的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（法人代表）代表本公司授权</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（分支机构名称，以下称“被授权人”）为本公司的合法投标人，参加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项目投标，并以本公司名义处理一切与之有关的事宜。</w:t>
      </w:r>
    </w:p>
    <w:p>
      <w:pPr>
        <w:pStyle w:val="143"/>
        <w:keepNext w:val="0"/>
        <w:keepLines w:val="0"/>
        <w:spacing w:line="360" w:lineRule="auto"/>
        <w:jc w:val="both"/>
        <w:outlineLvl w:val="9"/>
        <w:rPr>
          <w:rFonts w:ascii="宋体" w:hAnsi="宋体" w:eastAsia="宋体" w:cs="宋体"/>
          <w:color w:val="auto"/>
          <w:sz w:val="21"/>
          <w:szCs w:val="21"/>
          <w:highlight w:val="none"/>
        </w:rPr>
      </w:pPr>
    </w:p>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日签字生效，特此声明。</w:t>
      </w:r>
    </w:p>
    <w:p>
      <w:pPr>
        <w:spacing w:line="360" w:lineRule="auto"/>
        <w:rPr>
          <w:rFonts w:ascii="宋体" w:hAnsi="宋体" w:eastAsia="宋体" w:cs="宋体"/>
          <w:color w:val="auto"/>
          <w:kern w:val="0"/>
          <w:szCs w:val="21"/>
          <w:highlight w:val="none"/>
        </w:rPr>
      </w:pPr>
    </w:p>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授权人：________________（公章）</w:t>
      </w:r>
    </w:p>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法定代表人：（签字</w:t>
      </w:r>
      <w:r>
        <w:rPr>
          <w:rFonts w:hint="eastAsia" w:ascii="宋体" w:hAnsi="宋体" w:eastAsia="宋体" w:cs="宋体"/>
          <w:color w:val="auto"/>
          <w:szCs w:val="21"/>
          <w:highlight w:val="none"/>
        </w:rPr>
        <w:t>或盖章</w:t>
      </w:r>
      <w:r>
        <w:rPr>
          <w:rFonts w:hint="eastAsia" w:ascii="宋体" w:hAnsi="宋体" w:eastAsia="宋体" w:cs="宋体"/>
          <w:color w:val="auto"/>
          <w:kern w:val="0"/>
          <w:szCs w:val="21"/>
          <w:highlight w:val="none"/>
        </w:rPr>
        <w:t>）</w:t>
      </w:r>
    </w:p>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spacing w:line="360" w:lineRule="auto"/>
        <w:rPr>
          <w:rFonts w:ascii="宋体" w:hAnsi="宋体" w:eastAsia="宋体" w:cs="宋体"/>
          <w:color w:val="auto"/>
          <w:kern w:val="0"/>
          <w:szCs w:val="21"/>
          <w:highlight w:val="none"/>
        </w:rPr>
      </w:pPr>
    </w:p>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被授权人：________________（公章）</w:t>
      </w:r>
    </w:p>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法定负责人：（签字</w:t>
      </w:r>
      <w:r>
        <w:rPr>
          <w:rFonts w:hint="eastAsia" w:ascii="宋体" w:hAnsi="宋体" w:eastAsia="宋体" w:cs="宋体"/>
          <w:color w:val="auto"/>
          <w:szCs w:val="21"/>
          <w:highlight w:val="none"/>
        </w:rPr>
        <w:t>或盖章</w:t>
      </w:r>
      <w:r>
        <w:rPr>
          <w:rFonts w:hint="eastAsia" w:ascii="宋体" w:hAnsi="宋体" w:eastAsia="宋体" w:cs="宋体"/>
          <w:color w:val="auto"/>
          <w:kern w:val="0"/>
          <w:szCs w:val="21"/>
          <w:highlight w:val="none"/>
        </w:rPr>
        <w:t>）</w:t>
      </w:r>
    </w:p>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pPr>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日期：       年    月    日</w:t>
      </w:r>
    </w:p>
    <w:p>
      <w:pPr>
        <w:spacing w:line="360" w:lineRule="auto"/>
        <w:rPr>
          <w:rFonts w:ascii="宋体" w:hAnsi="宋体"/>
          <w:color w:val="auto"/>
          <w:sz w:val="24"/>
          <w:szCs w:val="24"/>
          <w:highlight w:val="none"/>
        </w:rPr>
      </w:pPr>
    </w:p>
    <w:p>
      <w:pPr>
        <w:pStyle w:val="54"/>
        <w:rPr>
          <w:color w:val="auto"/>
          <w:highlight w:val="none"/>
        </w:rPr>
      </w:pPr>
    </w:p>
    <w:p>
      <w:pPr>
        <w:pStyle w:val="54"/>
        <w:rPr>
          <w:color w:val="auto"/>
          <w:highlight w:val="none"/>
        </w:rPr>
      </w:pPr>
    </w:p>
    <w:p>
      <w:pPr>
        <w:pStyle w:val="54"/>
        <w:rPr>
          <w:color w:val="auto"/>
          <w:highlight w:val="none"/>
        </w:rPr>
      </w:pPr>
    </w:p>
    <w:p>
      <w:pPr>
        <w:pStyle w:val="54"/>
        <w:widowControl/>
        <w:snapToGrid w:val="0"/>
        <w:spacing w:before="260" w:after="260" w:line="360" w:lineRule="auto"/>
        <w:ind w:right="384" w:firstLine="420" w:firstLineChars="200"/>
        <w:rPr>
          <w:color w:val="auto"/>
          <w:highlight w:val="none"/>
        </w:rPr>
      </w:pPr>
      <w:r>
        <w:rPr>
          <w:rFonts w:hint="eastAsia"/>
          <w:color w:val="auto"/>
          <w:highlight w:val="none"/>
        </w:rPr>
        <w:t>注：如投标人为总公司参与投标，则不需要提交此授权投标书。</w:t>
      </w:r>
    </w:p>
    <w:p>
      <w:pPr>
        <w:pStyle w:val="54"/>
        <w:widowControl/>
        <w:snapToGrid w:val="0"/>
        <w:spacing w:before="260" w:after="260" w:line="360" w:lineRule="auto"/>
        <w:ind w:right="384" w:firstLine="562" w:firstLineChars="200"/>
        <w:rPr>
          <w:rFonts w:asciiTheme="minorEastAsia" w:hAnsiTheme="minorEastAsia" w:eastAsiaTheme="minorEastAsia"/>
          <w:b/>
          <w:bCs/>
          <w:color w:val="auto"/>
          <w:sz w:val="28"/>
          <w:szCs w:val="32"/>
          <w:highlight w:val="none"/>
        </w:rPr>
      </w:pPr>
      <w:r>
        <w:rPr>
          <w:rFonts w:hint="eastAsia" w:asciiTheme="minorEastAsia" w:hAnsiTheme="minorEastAsia" w:eastAsiaTheme="minorEastAsia"/>
          <w:b/>
          <w:bCs/>
          <w:color w:val="auto"/>
          <w:sz w:val="28"/>
          <w:szCs w:val="32"/>
          <w:highlight w:val="none"/>
        </w:rPr>
        <w:br w:type="page"/>
      </w:r>
    </w:p>
    <w:bookmarkEnd w:id="110"/>
    <w:bookmarkEnd w:id="175"/>
    <w:bookmarkEnd w:id="176"/>
    <w:p>
      <w:pPr>
        <w:spacing w:line="360" w:lineRule="auto"/>
        <w:rPr>
          <w:rFonts w:asciiTheme="minorEastAsia" w:hAnsiTheme="minorEastAsia" w:eastAsiaTheme="minorEastAsia"/>
          <w:b/>
          <w:bCs/>
          <w:color w:val="auto"/>
          <w:sz w:val="28"/>
          <w:szCs w:val="32"/>
          <w:highlight w:val="none"/>
        </w:rPr>
      </w:pPr>
      <w:r>
        <w:rPr>
          <w:rFonts w:hint="eastAsia" w:asciiTheme="minorEastAsia" w:hAnsiTheme="minorEastAsia" w:eastAsiaTheme="minorEastAsia"/>
          <w:b/>
          <w:bCs/>
          <w:color w:val="auto"/>
          <w:sz w:val="28"/>
          <w:szCs w:val="32"/>
          <w:highlight w:val="none"/>
        </w:rPr>
        <w:t>（2）营业执照</w:t>
      </w:r>
    </w:p>
    <w:p>
      <w:pPr>
        <w:pStyle w:val="54"/>
        <w:spacing w:line="360" w:lineRule="auto"/>
        <w:rPr>
          <w:rFonts w:asciiTheme="minorEastAsia" w:hAnsiTheme="minorEastAsia" w:eastAsiaTheme="minorEastAsia"/>
          <w:b/>
          <w:bCs/>
          <w:color w:val="auto"/>
          <w:sz w:val="28"/>
          <w:szCs w:val="32"/>
          <w:highlight w:val="none"/>
        </w:rPr>
      </w:pPr>
      <w:r>
        <w:rPr>
          <w:rFonts w:hint="eastAsia"/>
          <w:color w:val="auto"/>
          <w:highlight w:val="none"/>
        </w:rPr>
        <w:t>提供总公司营业执照、分公司营业执照（如为总公司投标，则无需提供）</w:t>
      </w:r>
    </w:p>
    <w:p>
      <w:pPr>
        <w:rPr>
          <w:rFonts w:asciiTheme="minorEastAsia" w:hAnsiTheme="minorEastAsia" w:eastAsiaTheme="minorEastAsia"/>
          <w:b/>
          <w:bCs/>
          <w:color w:val="auto"/>
          <w:sz w:val="28"/>
          <w:szCs w:val="32"/>
          <w:highlight w:val="none"/>
        </w:rPr>
      </w:pPr>
      <w:r>
        <w:rPr>
          <w:rFonts w:hint="eastAsia" w:asciiTheme="minorEastAsia" w:hAnsiTheme="minorEastAsia" w:eastAsiaTheme="minorEastAsia"/>
          <w:b/>
          <w:bCs/>
          <w:color w:val="auto"/>
          <w:sz w:val="28"/>
          <w:szCs w:val="32"/>
          <w:highlight w:val="none"/>
        </w:rPr>
        <w:br w:type="page"/>
      </w:r>
    </w:p>
    <w:p>
      <w:pPr>
        <w:spacing w:line="360" w:lineRule="auto"/>
        <w:rPr>
          <w:rFonts w:asciiTheme="minorEastAsia" w:hAnsiTheme="minorEastAsia" w:eastAsiaTheme="minorEastAsia"/>
          <w:b/>
          <w:bCs/>
          <w:color w:val="auto"/>
          <w:sz w:val="28"/>
          <w:szCs w:val="32"/>
          <w:highlight w:val="none"/>
        </w:rPr>
      </w:pPr>
      <w:r>
        <w:rPr>
          <w:rFonts w:hint="eastAsia" w:asciiTheme="minorEastAsia" w:hAnsiTheme="minorEastAsia" w:eastAsiaTheme="minorEastAsia"/>
          <w:b/>
          <w:bCs/>
          <w:color w:val="auto"/>
          <w:sz w:val="28"/>
          <w:szCs w:val="32"/>
          <w:highlight w:val="none"/>
        </w:rPr>
        <w:t>（3）经营保险业务许可证</w:t>
      </w:r>
    </w:p>
    <w:p>
      <w:pPr>
        <w:rPr>
          <w:rFonts w:asciiTheme="minorEastAsia" w:hAnsiTheme="minorEastAsia" w:eastAsiaTheme="minorEastAsia"/>
          <w:b/>
          <w:bCs/>
          <w:color w:val="auto"/>
          <w:sz w:val="28"/>
          <w:szCs w:val="32"/>
          <w:highlight w:val="none"/>
        </w:rPr>
      </w:pPr>
      <w:r>
        <w:rPr>
          <w:rFonts w:hint="eastAsia" w:asciiTheme="minorEastAsia" w:hAnsiTheme="minorEastAsia" w:eastAsiaTheme="minorEastAsia"/>
          <w:b/>
          <w:bCs/>
          <w:color w:val="auto"/>
          <w:sz w:val="28"/>
          <w:szCs w:val="32"/>
          <w:highlight w:val="none"/>
        </w:rPr>
        <w:br w:type="page"/>
      </w:r>
    </w:p>
    <w:p>
      <w:pPr>
        <w:pStyle w:val="5"/>
        <w:rPr>
          <w:rFonts w:cs="宋体"/>
          <w:color w:val="auto"/>
          <w:szCs w:val="21"/>
          <w:highlight w:val="none"/>
        </w:rPr>
      </w:pPr>
      <w:r>
        <w:rPr>
          <w:rFonts w:hint="eastAsia" w:cs="宋体"/>
          <w:color w:val="auto"/>
          <w:highlight w:val="none"/>
        </w:rPr>
        <w:t>3.2 投标申请人声明</w:t>
      </w:r>
    </w:p>
    <w:p>
      <w:pPr>
        <w:widowControl/>
        <w:shd w:val="clear" w:color="auto" w:fill="FFFFFF"/>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广州市广园市政建设有限公司</w:t>
      </w:r>
      <w:r>
        <w:rPr>
          <w:rFonts w:hint="eastAsia" w:ascii="宋体" w:hAnsi="宋体" w:eastAsia="宋体" w:cs="宋体"/>
          <w:color w:val="auto"/>
          <w:szCs w:val="21"/>
          <w:highlight w:val="none"/>
        </w:rPr>
        <w:t>：</w:t>
      </w:r>
    </w:p>
    <w:p>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本公司就参加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会展西路过江隧道工程工程一切险及第三者责任险</w:t>
      </w:r>
      <w:r>
        <w:rPr>
          <w:rFonts w:hint="eastAsia" w:ascii="宋体" w:hAnsi="宋体" w:eastAsia="宋体" w:cs="宋体"/>
          <w:color w:val="auto"/>
          <w:kern w:val="0"/>
          <w:szCs w:val="21"/>
          <w:highlight w:val="none"/>
        </w:rPr>
        <w:t>项目投标工作，作出郑重声明：</w:t>
      </w:r>
    </w:p>
    <w:p>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二、本公司保证不与其他单位围标、串标，不出让投标资格，不向招标人或评标委员会成员行贿。</w:t>
      </w:r>
    </w:p>
    <w:p>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三、本公司不存在招标文件第二章投标人须知第1.4.3项所规定的任何一种情形。</w:t>
      </w:r>
    </w:p>
    <w:p>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四、本公司及其有隶属关系的机构，没有参加本项目招标文件的编写工作；本公司与本次招标的招标代理机构没有隶属关系或其他利害关系。</w:t>
      </w:r>
    </w:p>
    <w:p>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五、本公司承诺，中标后严格按照合同规定和投标文件承诺履行义务。</w:t>
      </w:r>
    </w:p>
    <w:p>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果我司中标，我司承诺严格按照合同和招投标文件规定履行义务，并同意招标人将其履行合同、招投标文件义务的履约情况和不诚信行为（包括但不限于由招标人作出的违约责任处理决定等）在招标人网站和建设项目业主网站及其他媒体上公开披露，由此造成的一切损失和不利后果均由我司自行承担。</w:t>
      </w:r>
    </w:p>
    <w:p>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如本公司违反上述保证，或本声明陈述与事实不符，经查实，本公司愿意接受公开通报，承担由此带来的法律后果，并自愿停止参加广州市行政辖区内的招标投标活动三个月。</w:t>
      </w:r>
    </w:p>
    <w:p>
      <w:pPr>
        <w:widowControl/>
        <w:shd w:val="clear" w:color="auto" w:fill="FFFFFF"/>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特此声明。</w:t>
      </w:r>
    </w:p>
    <w:p>
      <w:pPr>
        <w:widowControl/>
        <w:shd w:val="clear" w:color="auto" w:fill="FFFFFF"/>
        <w:spacing w:line="360" w:lineRule="auto"/>
        <w:ind w:firstLine="3307" w:firstLineChars="1575"/>
        <w:jc w:val="right"/>
        <w:rPr>
          <w:rFonts w:ascii="Times New Roman" w:hAnsi="Times New Roman" w:eastAsia="宋体" w:cs="宋体"/>
          <w:color w:val="auto"/>
          <w:kern w:val="0"/>
          <w:szCs w:val="21"/>
          <w:highlight w:val="none"/>
          <w:shd w:val="clear" w:color="auto" w:fill="FFFFFF"/>
        </w:rPr>
      </w:pPr>
    </w:p>
    <w:p>
      <w:pPr>
        <w:widowControl/>
        <w:shd w:val="clear" w:color="auto" w:fill="FFFFFF"/>
        <w:spacing w:line="360" w:lineRule="auto"/>
        <w:ind w:firstLine="3158" w:firstLineChars="1504"/>
        <w:rPr>
          <w:rFonts w:ascii="宋体" w:hAnsi="宋体" w:eastAsia="宋体" w:cs="宋体"/>
          <w:color w:val="auto"/>
          <w:szCs w:val="21"/>
          <w:highlight w:val="none"/>
          <w:shd w:val="clear" w:color="auto" w:fill="FFFFFF"/>
        </w:rPr>
      </w:pPr>
      <w:r>
        <w:rPr>
          <w:rFonts w:hint="eastAsia" w:ascii="Times New Roman" w:hAnsi="Times New Roman" w:eastAsia="宋体" w:cs="宋体"/>
          <w:color w:val="auto"/>
          <w:kern w:val="0"/>
          <w:szCs w:val="21"/>
          <w:highlight w:val="none"/>
          <w:shd w:val="clear" w:color="auto" w:fill="FFFFFF"/>
        </w:rPr>
        <w:t xml:space="preserve">投标申请人（盖章）：               </w:t>
      </w:r>
    </w:p>
    <w:p>
      <w:pPr>
        <w:widowControl/>
        <w:spacing w:line="360" w:lineRule="auto"/>
        <w:ind w:right="652" w:firstLine="3158" w:firstLineChars="1504"/>
        <w:rPr>
          <w:rFonts w:ascii="宋体" w:hAnsi="宋体" w:eastAsia="宋体" w:cs="宋体"/>
          <w:color w:val="auto"/>
          <w:szCs w:val="21"/>
          <w:highlight w:val="none"/>
          <w:shd w:val="clear" w:color="auto" w:fill="FFFFFF"/>
        </w:rPr>
      </w:pPr>
      <w:r>
        <w:rPr>
          <w:rFonts w:hint="eastAsia" w:ascii="Times New Roman" w:hAnsi="Times New Roman" w:eastAsia="宋体" w:cs="宋体"/>
          <w:color w:val="auto"/>
          <w:kern w:val="0"/>
          <w:szCs w:val="21"/>
          <w:highlight w:val="none"/>
          <w:shd w:val="clear" w:color="auto" w:fill="FFFFFF"/>
        </w:rPr>
        <w:t>法定代表人（或负责人）签名（或盖章）：</w:t>
      </w:r>
    </w:p>
    <w:p>
      <w:pPr>
        <w:widowControl/>
        <w:wordWrap w:val="0"/>
        <w:spacing w:line="360" w:lineRule="auto"/>
        <w:ind w:right="1072" w:firstLine="1890" w:firstLineChars="900"/>
        <w:jc w:val="center"/>
        <w:rPr>
          <w:rFonts w:ascii="宋体" w:hAnsi="宋体" w:eastAsia="宋体" w:cs="宋体"/>
          <w:color w:val="auto"/>
          <w:szCs w:val="21"/>
          <w:highlight w:val="none"/>
          <w:shd w:val="clear" w:color="auto" w:fill="FFFFFF"/>
        </w:rPr>
      </w:pPr>
      <w:r>
        <w:rPr>
          <w:rFonts w:hint="eastAsia" w:ascii="Times New Roman" w:hAnsi="Times New Roman" w:eastAsia="宋体" w:cs="宋体"/>
          <w:color w:val="auto"/>
          <w:kern w:val="0"/>
          <w:szCs w:val="21"/>
          <w:highlight w:val="none"/>
          <w:shd w:val="clear" w:color="auto" w:fill="FFFFFF"/>
        </w:rPr>
        <w:t>年    月    日</w:t>
      </w:r>
    </w:p>
    <w:p>
      <w:pPr>
        <w:spacing w:line="360" w:lineRule="auto"/>
        <w:rPr>
          <w:rFonts w:ascii="宋体" w:hAnsi="宋体" w:cs="宋体"/>
          <w:b/>
          <w:color w:val="auto"/>
          <w:kern w:val="0"/>
          <w:sz w:val="32"/>
          <w:szCs w:val="21"/>
          <w:highlight w:val="none"/>
        </w:rPr>
      </w:pPr>
      <w:r>
        <w:rPr>
          <w:color w:val="auto"/>
          <w:highlight w:val="none"/>
        </w:rPr>
        <w:br w:type="page"/>
      </w:r>
    </w:p>
    <w:p>
      <w:pPr>
        <w:pStyle w:val="4"/>
        <w:spacing w:after="0"/>
        <w:jc w:val="center"/>
        <w:rPr>
          <w:rFonts w:asciiTheme="minorEastAsia" w:hAnsiTheme="minorEastAsia" w:eastAsiaTheme="minorEastAsia"/>
          <w:color w:val="auto"/>
          <w:highlight w:val="none"/>
        </w:rPr>
      </w:pPr>
      <w:bookmarkStart w:id="177" w:name="_Toc7348"/>
      <w:r>
        <w:rPr>
          <w:rFonts w:hint="eastAsia" w:asciiTheme="minorEastAsia" w:hAnsiTheme="minorEastAsia" w:eastAsiaTheme="minorEastAsia"/>
          <w:color w:val="auto"/>
          <w:highlight w:val="none"/>
        </w:rPr>
        <w:t>4.资信业绩部分</w:t>
      </w:r>
      <w:bookmarkEnd w:id="177"/>
    </w:p>
    <w:p>
      <w:pPr>
        <w:pStyle w:val="5"/>
        <w:rPr>
          <w:b w:val="0"/>
          <w:color w:val="auto"/>
          <w:sz w:val="24"/>
          <w:highlight w:val="none"/>
        </w:rPr>
      </w:pPr>
      <w:r>
        <w:rPr>
          <w:rFonts w:hint="eastAsia"/>
          <w:color w:val="auto"/>
          <w:highlight w:val="none"/>
        </w:rPr>
        <w:t xml:space="preserve">4.1 </w:t>
      </w:r>
      <w:r>
        <w:rPr>
          <w:rFonts w:hint="eastAsia"/>
          <w:color w:val="auto"/>
          <w:szCs w:val="28"/>
          <w:highlight w:val="none"/>
        </w:rPr>
        <w:t>投标人总公司财务状况和承保能力表</w:t>
      </w:r>
    </w:p>
    <w:tbl>
      <w:tblPr>
        <w:tblStyle w:val="41"/>
        <w:tblW w:w="8928"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3008"/>
        <w:gridCol w:w="4120"/>
        <w:gridCol w:w="180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91" w:hRule="atLeast"/>
        </w:trPr>
        <w:tc>
          <w:tcPr>
            <w:tcW w:w="3008" w:type="dxa"/>
            <w:tcBorders>
              <w:tl2br w:val="nil"/>
              <w:tr2bl w:val="nil"/>
            </w:tcBorders>
            <w:vAlign w:val="center"/>
          </w:tcPr>
          <w:p>
            <w:pPr>
              <w:pStyle w:val="59"/>
              <w:spacing w:before="180"/>
              <w:ind w:left="119"/>
              <w:jc w:val="center"/>
              <w:rPr>
                <w:rFonts w:hAnsi="宋体" w:eastAsia="宋体"/>
                <w:bCs/>
                <w:color w:val="auto"/>
                <w:sz w:val="21"/>
                <w:szCs w:val="21"/>
                <w:highlight w:val="none"/>
              </w:rPr>
            </w:pPr>
            <w:r>
              <w:rPr>
                <w:rFonts w:hint="eastAsia" w:hAnsi="宋体" w:eastAsia="宋体"/>
                <w:bCs/>
                <w:color w:val="auto"/>
                <w:sz w:val="21"/>
                <w:szCs w:val="21"/>
                <w:highlight w:val="none"/>
              </w:rPr>
              <w:t>评审项目</w:t>
            </w:r>
          </w:p>
        </w:tc>
        <w:tc>
          <w:tcPr>
            <w:tcW w:w="4120" w:type="dxa"/>
            <w:tcBorders>
              <w:tl2br w:val="nil"/>
              <w:tr2bl w:val="nil"/>
            </w:tcBorders>
            <w:vAlign w:val="center"/>
          </w:tcPr>
          <w:p>
            <w:pPr>
              <w:pStyle w:val="59"/>
              <w:spacing w:before="180"/>
              <w:ind w:left="119"/>
              <w:jc w:val="center"/>
              <w:rPr>
                <w:rFonts w:hAnsi="宋体" w:eastAsia="宋体"/>
                <w:bCs/>
                <w:color w:val="auto"/>
                <w:sz w:val="21"/>
                <w:szCs w:val="21"/>
                <w:highlight w:val="none"/>
              </w:rPr>
            </w:pPr>
            <w:r>
              <w:rPr>
                <w:rFonts w:hint="eastAsia" w:hAnsi="宋体" w:eastAsia="宋体"/>
                <w:bCs/>
                <w:color w:val="auto"/>
                <w:sz w:val="21"/>
                <w:szCs w:val="21"/>
                <w:highlight w:val="none"/>
              </w:rPr>
              <w:t>内容或数据</w:t>
            </w:r>
          </w:p>
        </w:tc>
        <w:tc>
          <w:tcPr>
            <w:tcW w:w="1800" w:type="dxa"/>
            <w:tcBorders>
              <w:tl2br w:val="nil"/>
              <w:tr2bl w:val="nil"/>
            </w:tcBorders>
            <w:vAlign w:val="center"/>
          </w:tcPr>
          <w:p>
            <w:pPr>
              <w:pStyle w:val="59"/>
              <w:spacing w:before="180"/>
              <w:ind w:left="119"/>
              <w:jc w:val="center"/>
              <w:rPr>
                <w:rFonts w:hAnsi="宋体" w:eastAsia="宋体"/>
                <w:bCs/>
                <w:color w:val="auto"/>
                <w:sz w:val="21"/>
                <w:szCs w:val="21"/>
                <w:highlight w:val="none"/>
              </w:rPr>
            </w:pPr>
            <w:r>
              <w:rPr>
                <w:rFonts w:hint="eastAsia" w:hAnsi="宋体" w:eastAsia="宋体"/>
                <w:bCs/>
                <w:color w:val="auto"/>
                <w:sz w:val="21"/>
                <w:szCs w:val="21"/>
                <w:highlight w:val="none"/>
              </w:rPr>
              <w:t>证明材料页码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91" w:hRule="atLeast"/>
        </w:trPr>
        <w:tc>
          <w:tcPr>
            <w:tcW w:w="3008" w:type="dxa"/>
            <w:tcBorders>
              <w:tl2br w:val="nil"/>
              <w:tr2bl w:val="nil"/>
            </w:tcBorders>
            <w:vAlign w:val="center"/>
          </w:tcPr>
          <w:p>
            <w:pPr>
              <w:pStyle w:val="59"/>
              <w:spacing w:before="180"/>
              <w:ind w:left="119"/>
              <w:jc w:val="center"/>
              <w:rPr>
                <w:rFonts w:hint="eastAsia" w:hAnsi="宋体" w:eastAsia="宋体"/>
                <w:bCs/>
                <w:color w:val="auto"/>
                <w:sz w:val="21"/>
                <w:szCs w:val="21"/>
                <w:highlight w:val="none"/>
              </w:rPr>
            </w:pPr>
            <w:r>
              <w:rPr>
                <w:rFonts w:hint="eastAsia" w:hAnsi="宋体" w:eastAsia="宋体"/>
                <w:color w:val="auto"/>
                <w:sz w:val="21"/>
                <w:szCs w:val="21"/>
                <w:highlight w:val="none"/>
              </w:rPr>
              <w:t>投标人财险总公司20</w:t>
            </w:r>
            <w:r>
              <w:rPr>
                <w:rFonts w:hint="eastAsia" w:hAnsi="宋体" w:eastAsia="宋体"/>
                <w:color w:val="auto"/>
                <w:sz w:val="21"/>
                <w:szCs w:val="21"/>
                <w:highlight w:val="none"/>
                <w:lang w:val="en-US" w:eastAsia="zh-CN"/>
              </w:rPr>
              <w:t>20</w:t>
            </w:r>
            <w:r>
              <w:rPr>
                <w:rFonts w:hint="eastAsia" w:hAnsi="宋体" w:eastAsia="宋体"/>
                <w:color w:val="auto"/>
                <w:sz w:val="21"/>
                <w:szCs w:val="21"/>
                <w:highlight w:val="none"/>
              </w:rPr>
              <w:t>-20</w:t>
            </w:r>
            <w:r>
              <w:rPr>
                <w:rFonts w:hint="eastAsia" w:hAnsi="宋体" w:eastAsia="宋体"/>
                <w:color w:val="auto"/>
                <w:sz w:val="21"/>
                <w:szCs w:val="21"/>
                <w:highlight w:val="none"/>
                <w:lang w:val="en-US" w:eastAsia="zh-CN"/>
              </w:rPr>
              <w:t>22</w:t>
            </w:r>
            <w:r>
              <w:rPr>
                <w:rFonts w:hint="eastAsia" w:hAnsi="宋体" w:eastAsia="宋体"/>
                <w:color w:val="auto"/>
                <w:sz w:val="21"/>
                <w:szCs w:val="21"/>
                <w:highlight w:val="none"/>
              </w:rPr>
              <w:t>年</w:t>
            </w:r>
            <w:r>
              <w:rPr>
                <w:rFonts w:hint="eastAsia" w:hAnsi="宋体" w:eastAsia="宋体"/>
                <w:bCs/>
                <w:color w:val="auto"/>
                <w:sz w:val="21"/>
                <w:szCs w:val="21"/>
                <w:highlight w:val="none"/>
              </w:rPr>
              <w:t>平均单一危险单位最大承保能力</w:t>
            </w:r>
          </w:p>
          <w:p>
            <w:pPr>
              <w:pStyle w:val="59"/>
              <w:spacing w:before="180"/>
              <w:ind w:left="119"/>
              <w:jc w:val="center"/>
              <w:rPr>
                <w:rFonts w:hint="eastAsia" w:hAnsi="宋体" w:eastAsia="宋体"/>
                <w:color w:val="auto"/>
                <w:sz w:val="21"/>
                <w:szCs w:val="21"/>
                <w:highlight w:val="none"/>
                <w:lang w:eastAsia="zh-CN"/>
              </w:rPr>
            </w:pPr>
            <w:r>
              <w:rPr>
                <w:rFonts w:hint="eastAsia" w:hAnsi="宋体" w:eastAsia="宋体"/>
                <w:bCs/>
                <w:color w:val="auto"/>
                <w:sz w:val="21"/>
                <w:szCs w:val="21"/>
                <w:highlight w:val="none"/>
                <w:lang w:eastAsia="zh-CN"/>
              </w:rPr>
              <w:t>【</w:t>
            </w:r>
            <w:r>
              <w:rPr>
                <w:rFonts w:hint="eastAsia" w:hAnsi="宋体" w:eastAsia="宋体"/>
                <w:bCs/>
                <w:color w:val="auto"/>
                <w:sz w:val="21"/>
                <w:szCs w:val="21"/>
                <w:highlight w:val="none"/>
              </w:rPr>
              <w:t>单一危险单位最大承保能力=(实有资本+公积金)*10%</w:t>
            </w:r>
            <w:r>
              <w:rPr>
                <w:rFonts w:hint="eastAsia" w:hAnsi="宋体" w:eastAsia="宋体"/>
                <w:bCs/>
                <w:color w:val="auto"/>
                <w:sz w:val="21"/>
                <w:szCs w:val="21"/>
                <w:highlight w:val="none"/>
                <w:lang w:eastAsia="zh-CN"/>
              </w:rPr>
              <w:t>】</w:t>
            </w:r>
          </w:p>
        </w:tc>
        <w:tc>
          <w:tcPr>
            <w:tcW w:w="4120" w:type="dxa"/>
            <w:tcBorders>
              <w:tl2br w:val="nil"/>
              <w:tr2bl w:val="nil"/>
            </w:tcBorders>
            <w:vAlign w:val="center"/>
          </w:tcPr>
          <w:p>
            <w:pPr>
              <w:pStyle w:val="59"/>
              <w:spacing w:before="180"/>
              <w:ind w:left="119"/>
              <w:rPr>
                <w:rFonts w:hAnsi="宋体" w:eastAsia="宋体"/>
                <w:bCs/>
                <w:color w:val="auto"/>
                <w:sz w:val="21"/>
                <w:szCs w:val="21"/>
                <w:highlight w:val="none"/>
              </w:rPr>
            </w:pPr>
          </w:p>
        </w:tc>
        <w:tc>
          <w:tcPr>
            <w:tcW w:w="1800" w:type="dxa"/>
            <w:tcBorders>
              <w:tl2br w:val="nil"/>
              <w:tr2bl w:val="nil"/>
            </w:tcBorders>
            <w:vAlign w:val="center"/>
          </w:tcPr>
          <w:p>
            <w:pPr>
              <w:pStyle w:val="59"/>
              <w:spacing w:before="180"/>
              <w:ind w:left="119"/>
              <w:rPr>
                <w:rFonts w:hAnsi="宋体" w:eastAsia="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91" w:hRule="atLeast"/>
        </w:trPr>
        <w:tc>
          <w:tcPr>
            <w:tcW w:w="3008" w:type="dxa"/>
            <w:tcBorders>
              <w:tl2br w:val="nil"/>
              <w:tr2bl w:val="nil"/>
            </w:tcBorders>
            <w:vAlign w:val="center"/>
          </w:tcPr>
          <w:p>
            <w:pPr>
              <w:pStyle w:val="59"/>
              <w:spacing w:before="180"/>
              <w:ind w:left="119"/>
              <w:jc w:val="center"/>
              <w:rPr>
                <w:rFonts w:hAnsi="宋体" w:eastAsia="宋体"/>
                <w:color w:val="auto"/>
                <w:sz w:val="21"/>
                <w:szCs w:val="21"/>
                <w:highlight w:val="none"/>
              </w:rPr>
            </w:pPr>
            <w:r>
              <w:rPr>
                <w:rFonts w:hint="eastAsia" w:hAnsi="宋体" w:eastAsia="宋体"/>
                <w:color w:val="auto"/>
                <w:sz w:val="21"/>
                <w:szCs w:val="21"/>
                <w:highlight w:val="none"/>
              </w:rPr>
              <w:t>投标人财险总公司</w:t>
            </w:r>
            <w:r>
              <w:rPr>
                <w:rFonts w:hint="eastAsia" w:ascii="宋体" w:hAnsi="宋体" w:eastAsia="宋体"/>
                <w:color w:val="auto"/>
                <w:kern w:val="0"/>
                <w:szCs w:val="21"/>
                <w:highlight w:val="none"/>
              </w:rPr>
              <w:t>20</w:t>
            </w:r>
            <w:r>
              <w:rPr>
                <w:rFonts w:hint="eastAsia" w:hAnsi="宋体" w:eastAsia="宋体"/>
                <w:color w:val="auto"/>
                <w:kern w:val="0"/>
                <w:szCs w:val="21"/>
                <w:highlight w:val="none"/>
                <w:lang w:val="en-US" w:eastAsia="zh-CN"/>
              </w:rPr>
              <w:t>20</w:t>
            </w:r>
            <w:r>
              <w:rPr>
                <w:rFonts w:hint="eastAsia" w:ascii="宋体" w:hAnsi="宋体" w:eastAsia="宋体"/>
                <w:color w:val="auto"/>
                <w:kern w:val="0"/>
                <w:szCs w:val="21"/>
                <w:highlight w:val="none"/>
              </w:rPr>
              <w:t>年至20</w:t>
            </w:r>
            <w:r>
              <w:rPr>
                <w:rFonts w:hint="eastAsia" w:hAnsi="宋体" w:eastAsia="宋体"/>
                <w:color w:val="auto"/>
                <w:kern w:val="0"/>
                <w:szCs w:val="21"/>
                <w:highlight w:val="none"/>
                <w:lang w:val="en-US" w:eastAsia="zh-CN"/>
              </w:rPr>
              <w:t>22</w:t>
            </w:r>
            <w:r>
              <w:rPr>
                <w:rFonts w:hint="eastAsia" w:ascii="宋体" w:hAnsi="宋体" w:eastAsia="宋体"/>
                <w:color w:val="auto"/>
                <w:kern w:val="0"/>
                <w:szCs w:val="21"/>
                <w:highlight w:val="none"/>
              </w:rPr>
              <w:t>年平均综合偿付能力充足率</w:t>
            </w:r>
          </w:p>
        </w:tc>
        <w:tc>
          <w:tcPr>
            <w:tcW w:w="4120" w:type="dxa"/>
            <w:tcBorders>
              <w:tl2br w:val="nil"/>
              <w:tr2bl w:val="nil"/>
            </w:tcBorders>
            <w:vAlign w:val="center"/>
          </w:tcPr>
          <w:p>
            <w:pPr>
              <w:pStyle w:val="59"/>
              <w:spacing w:before="180"/>
              <w:ind w:left="119"/>
              <w:rPr>
                <w:rFonts w:hAnsi="宋体" w:eastAsia="宋体"/>
                <w:bCs/>
                <w:color w:val="auto"/>
                <w:sz w:val="21"/>
                <w:szCs w:val="21"/>
                <w:highlight w:val="none"/>
              </w:rPr>
            </w:pPr>
          </w:p>
        </w:tc>
        <w:tc>
          <w:tcPr>
            <w:tcW w:w="1800" w:type="dxa"/>
            <w:tcBorders>
              <w:tl2br w:val="nil"/>
              <w:tr2bl w:val="nil"/>
            </w:tcBorders>
            <w:vAlign w:val="center"/>
          </w:tcPr>
          <w:p>
            <w:pPr>
              <w:pStyle w:val="59"/>
              <w:spacing w:before="180"/>
              <w:ind w:left="119"/>
              <w:rPr>
                <w:rFonts w:hAnsi="宋体" w:eastAsia="宋体"/>
                <w:color w:val="auto"/>
                <w:sz w:val="21"/>
                <w:szCs w:val="21"/>
                <w:highlight w:val="none"/>
              </w:rPr>
            </w:pPr>
          </w:p>
        </w:tc>
      </w:tr>
    </w:tbl>
    <w:p>
      <w:pPr>
        <w:spacing w:before="7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注：后附证明资料。</w:t>
      </w:r>
    </w:p>
    <w:p>
      <w:pPr>
        <w:pStyle w:val="54"/>
        <w:rPr>
          <w:rFonts w:hint="eastAsia" w:ascii="宋体" w:hAnsi="宋体" w:eastAsia="宋体" w:cs="宋体"/>
          <w:color w:val="auto"/>
          <w:highlight w:val="none"/>
        </w:rPr>
      </w:pPr>
    </w:p>
    <w:p>
      <w:pPr>
        <w:pStyle w:val="54"/>
        <w:rPr>
          <w:rFonts w:hint="eastAsia" w:ascii="宋体" w:hAnsi="宋体" w:eastAsia="宋体" w:cs="宋体"/>
          <w:color w:val="auto"/>
          <w:highlight w:val="none"/>
        </w:rPr>
      </w:pPr>
    </w:p>
    <w:p>
      <w:pPr>
        <w:rPr>
          <w:rFonts w:hint="eastAsia"/>
          <w:color w:val="auto"/>
          <w:highlight w:val="none"/>
        </w:rPr>
      </w:pPr>
      <w:r>
        <w:rPr>
          <w:rFonts w:hint="eastAsia"/>
          <w:color w:val="auto"/>
          <w:highlight w:val="none"/>
        </w:rPr>
        <w:br w:type="page"/>
      </w:r>
    </w:p>
    <w:p>
      <w:pPr>
        <w:pStyle w:val="5"/>
        <w:rPr>
          <w:rFonts w:hint="default" w:eastAsia="宋体"/>
          <w:color w:val="auto"/>
          <w:highlight w:val="none"/>
          <w:lang w:val="en-US" w:eastAsia="zh-CN"/>
        </w:rPr>
      </w:pPr>
      <w:r>
        <w:rPr>
          <w:rFonts w:hint="eastAsia"/>
          <w:color w:val="auto"/>
          <w:highlight w:val="none"/>
        </w:rPr>
        <w:t>4.</w:t>
      </w:r>
      <w:r>
        <w:rPr>
          <w:rFonts w:hint="eastAsia"/>
          <w:color w:val="auto"/>
          <w:highlight w:val="none"/>
          <w:lang w:val="en-US" w:eastAsia="zh-CN"/>
        </w:rPr>
        <w:t>2经营评价</w:t>
      </w:r>
    </w:p>
    <w:p>
      <w:pPr>
        <w:pStyle w:val="54"/>
        <w:rPr>
          <w:rFonts w:hint="eastAsia" w:ascii="宋体" w:hAnsi="宋体" w:eastAsia="宋体" w:cs="宋体"/>
          <w:color w:val="auto"/>
          <w:highlight w:val="none"/>
        </w:rPr>
      </w:pPr>
    </w:p>
    <w:tbl>
      <w:tblPr>
        <w:tblStyle w:val="41"/>
        <w:tblW w:w="8928"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3008"/>
        <w:gridCol w:w="4120"/>
        <w:gridCol w:w="180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91" w:hRule="atLeast"/>
        </w:trPr>
        <w:tc>
          <w:tcPr>
            <w:tcW w:w="3008" w:type="dxa"/>
            <w:tcBorders>
              <w:tl2br w:val="nil"/>
              <w:tr2bl w:val="nil"/>
            </w:tcBorders>
            <w:vAlign w:val="center"/>
          </w:tcPr>
          <w:p>
            <w:pPr>
              <w:pStyle w:val="59"/>
              <w:spacing w:before="180"/>
              <w:ind w:left="119"/>
              <w:jc w:val="center"/>
              <w:rPr>
                <w:rFonts w:hAnsi="宋体" w:eastAsia="宋体"/>
                <w:bCs/>
                <w:color w:val="auto"/>
                <w:sz w:val="21"/>
                <w:szCs w:val="21"/>
                <w:highlight w:val="none"/>
              </w:rPr>
            </w:pPr>
            <w:r>
              <w:rPr>
                <w:rFonts w:hint="eastAsia" w:hAnsi="宋体" w:eastAsia="宋体"/>
                <w:bCs/>
                <w:color w:val="auto"/>
                <w:sz w:val="21"/>
                <w:szCs w:val="21"/>
                <w:highlight w:val="none"/>
              </w:rPr>
              <w:t>评审项目</w:t>
            </w:r>
          </w:p>
        </w:tc>
        <w:tc>
          <w:tcPr>
            <w:tcW w:w="4120" w:type="dxa"/>
            <w:tcBorders>
              <w:tl2br w:val="nil"/>
              <w:tr2bl w:val="nil"/>
            </w:tcBorders>
            <w:vAlign w:val="center"/>
          </w:tcPr>
          <w:p>
            <w:pPr>
              <w:pStyle w:val="59"/>
              <w:spacing w:before="180"/>
              <w:ind w:left="119"/>
              <w:jc w:val="center"/>
              <w:rPr>
                <w:rFonts w:hAnsi="宋体" w:eastAsia="宋体"/>
                <w:bCs/>
                <w:color w:val="auto"/>
                <w:sz w:val="21"/>
                <w:szCs w:val="21"/>
                <w:highlight w:val="none"/>
              </w:rPr>
            </w:pPr>
            <w:r>
              <w:rPr>
                <w:rFonts w:hint="eastAsia" w:hAnsi="宋体" w:eastAsia="宋体"/>
                <w:bCs/>
                <w:color w:val="auto"/>
                <w:sz w:val="21"/>
                <w:szCs w:val="21"/>
                <w:highlight w:val="none"/>
              </w:rPr>
              <w:t>内容或数据</w:t>
            </w:r>
          </w:p>
        </w:tc>
        <w:tc>
          <w:tcPr>
            <w:tcW w:w="1800" w:type="dxa"/>
            <w:tcBorders>
              <w:tl2br w:val="nil"/>
              <w:tr2bl w:val="nil"/>
            </w:tcBorders>
            <w:vAlign w:val="center"/>
          </w:tcPr>
          <w:p>
            <w:pPr>
              <w:pStyle w:val="59"/>
              <w:spacing w:before="180"/>
              <w:ind w:left="119"/>
              <w:jc w:val="center"/>
              <w:rPr>
                <w:rFonts w:hAnsi="宋体" w:eastAsia="宋体"/>
                <w:bCs/>
                <w:color w:val="auto"/>
                <w:sz w:val="21"/>
                <w:szCs w:val="21"/>
                <w:highlight w:val="none"/>
              </w:rPr>
            </w:pPr>
            <w:r>
              <w:rPr>
                <w:rFonts w:hint="eastAsia" w:hAnsi="宋体" w:eastAsia="宋体"/>
                <w:bCs/>
                <w:color w:val="auto"/>
                <w:sz w:val="21"/>
                <w:szCs w:val="21"/>
                <w:highlight w:val="none"/>
              </w:rPr>
              <w:t>证明材料页码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91" w:hRule="atLeast"/>
        </w:trPr>
        <w:tc>
          <w:tcPr>
            <w:tcW w:w="3008" w:type="dxa"/>
            <w:tcBorders>
              <w:tl2br w:val="nil"/>
              <w:tr2bl w:val="nil"/>
            </w:tcBorders>
            <w:vAlign w:val="center"/>
          </w:tcPr>
          <w:p>
            <w:pPr>
              <w:pStyle w:val="59"/>
              <w:spacing w:before="180"/>
              <w:ind w:left="119"/>
              <w:jc w:val="center"/>
              <w:rPr>
                <w:rFonts w:hAnsi="宋体" w:eastAsia="宋体"/>
                <w:color w:val="auto"/>
                <w:sz w:val="21"/>
                <w:szCs w:val="21"/>
                <w:highlight w:val="none"/>
              </w:rPr>
            </w:pPr>
            <w:r>
              <w:rPr>
                <w:rFonts w:hint="eastAsia" w:ascii="宋体" w:hAnsi="宋体" w:eastAsia="宋体"/>
                <w:color w:val="auto"/>
                <w:kern w:val="0"/>
                <w:szCs w:val="21"/>
                <w:highlight w:val="none"/>
              </w:rPr>
              <w:t>20</w:t>
            </w:r>
            <w:r>
              <w:rPr>
                <w:rFonts w:ascii="宋体" w:hAnsi="宋体" w:eastAsia="宋体"/>
                <w:color w:val="auto"/>
                <w:kern w:val="0"/>
                <w:szCs w:val="21"/>
                <w:highlight w:val="none"/>
              </w:rPr>
              <w:t>21</w:t>
            </w:r>
            <w:r>
              <w:rPr>
                <w:rFonts w:hint="eastAsia" w:ascii="宋体" w:hAnsi="宋体" w:eastAsia="宋体"/>
                <w:color w:val="auto"/>
                <w:kern w:val="0"/>
                <w:szCs w:val="21"/>
                <w:highlight w:val="none"/>
              </w:rPr>
              <w:t>年度财产险公司经营评价结果</w:t>
            </w:r>
          </w:p>
        </w:tc>
        <w:tc>
          <w:tcPr>
            <w:tcW w:w="4120" w:type="dxa"/>
            <w:tcBorders>
              <w:tl2br w:val="nil"/>
              <w:tr2bl w:val="nil"/>
            </w:tcBorders>
            <w:vAlign w:val="center"/>
          </w:tcPr>
          <w:p>
            <w:pPr>
              <w:pStyle w:val="59"/>
              <w:spacing w:before="180"/>
              <w:ind w:left="119"/>
              <w:rPr>
                <w:rFonts w:hAnsi="宋体" w:eastAsia="宋体"/>
                <w:bCs/>
                <w:color w:val="auto"/>
                <w:sz w:val="21"/>
                <w:szCs w:val="21"/>
                <w:highlight w:val="none"/>
              </w:rPr>
            </w:pPr>
          </w:p>
        </w:tc>
        <w:tc>
          <w:tcPr>
            <w:tcW w:w="1800" w:type="dxa"/>
            <w:tcBorders>
              <w:tl2br w:val="nil"/>
              <w:tr2bl w:val="nil"/>
            </w:tcBorders>
            <w:vAlign w:val="center"/>
          </w:tcPr>
          <w:p>
            <w:pPr>
              <w:pStyle w:val="59"/>
              <w:spacing w:before="180"/>
              <w:ind w:left="119"/>
              <w:rPr>
                <w:rFonts w:hAnsi="宋体" w:eastAsia="宋体"/>
                <w:bCs/>
                <w:color w:val="auto"/>
                <w:sz w:val="21"/>
                <w:szCs w:val="21"/>
                <w:highlight w:val="none"/>
              </w:rPr>
            </w:pPr>
          </w:p>
        </w:tc>
      </w:tr>
    </w:tbl>
    <w:p>
      <w:pPr>
        <w:rPr>
          <w:rFonts w:hint="eastAsia" w:ascii="宋体" w:hAnsi="宋体" w:eastAsia="宋体"/>
          <w:color w:val="auto"/>
          <w:kern w:val="0"/>
          <w:szCs w:val="21"/>
          <w:highlight w:val="none"/>
        </w:rPr>
      </w:pPr>
    </w:p>
    <w:p>
      <w:pPr>
        <w:rPr>
          <w:rFonts w:hint="eastAsia" w:ascii="宋体" w:hAnsi="宋体" w:eastAsia="宋体"/>
          <w:color w:val="auto"/>
          <w:kern w:val="0"/>
          <w:szCs w:val="21"/>
          <w:highlight w:val="none"/>
        </w:rPr>
      </w:pPr>
    </w:p>
    <w:p>
      <w:pPr>
        <w:rPr>
          <w:rFonts w:ascii="宋体" w:hAnsi="宋体" w:eastAsia="宋体"/>
          <w:color w:val="auto"/>
          <w:kern w:val="0"/>
          <w:szCs w:val="21"/>
          <w:highlight w:val="none"/>
        </w:rPr>
      </w:pPr>
      <w:r>
        <w:rPr>
          <w:rFonts w:hint="eastAsia" w:ascii="宋体" w:hAnsi="宋体" w:eastAsia="宋体"/>
          <w:color w:val="auto"/>
          <w:kern w:val="0"/>
          <w:szCs w:val="21"/>
          <w:highlight w:val="none"/>
        </w:rPr>
        <w:t>注：</w:t>
      </w:r>
      <w:r>
        <w:rPr>
          <w:rFonts w:hint="eastAsia" w:ascii="宋体" w:hAnsi="宋体" w:eastAsia="宋体" w:cs="宋体"/>
          <w:color w:val="auto"/>
          <w:highlight w:val="none"/>
        </w:rPr>
        <w:t>后附证明资料。</w:t>
      </w:r>
    </w:p>
    <w:p>
      <w:pPr>
        <w:pStyle w:val="54"/>
        <w:rPr>
          <w:rFonts w:hint="eastAsia" w:ascii="宋体" w:hAnsi="宋体" w:eastAsia="宋体" w:cs="宋体"/>
          <w:color w:val="auto"/>
          <w:highlight w:val="none"/>
        </w:rPr>
      </w:pPr>
    </w:p>
    <w:p>
      <w:pPr>
        <w:rPr>
          <w:rFonts w:hint="eastAsia"/>
          <w:color w:val="auto"/>
          <w:highlight w:val="none"/>
        </w:rPr>
      </w:pPr>
      <w:r>
        <w:rPr>
          <w:rFonts w:hint="eastAsia"/>
          <w:color w:val="auto"/>
          <w:highlight w:val="none"/>
        </w:rPr>
        <w:br w:type="page"/>
      </w:r>
    </w:p>
    <w:p>
      <w:pPr>
        <w:pStyle w:val="5"/>
        <w:rPr>
          <w:rFonts w:asciiTheme="minorEastAsia" w:hAnsiTheme="minorEastAsia" w:eastAsiaTheme="minorEastAsia"/>
          <w:color w:val="auto"/>
          <w:highlight w:val="none"/>
        </w:rPr>
      </w:pPr>
      <w:r>
        <w:rPr>
          <w:rFonts w:hint="eastAsia"/>
          <w:color w:val="auto"/>
          <w:highlight w:val="none"/>
        </w:rPr>
        <w:t>4</w:t>
      </w:r>
      <w:r>
        <w:rPr>
          <w:color w:val="auto"/>
          <w:highlight w:val="none"/>
        </w:rPr>
        <w:t>.</w:t>
      </w:r>
      <w:r>
        <w:rPr>
          <w:rFonts w:hint="eastAsia"/>
          <w:color w:val="auto"/>
          <w:highlight w:val="none"/>
          <w:lang w:val="en-US" w:eastAsia="zh-CN"/>
        </w:rPr>
        <w:t>3</w:t>
      </w:r>
      <w:r>
        <w:rPr>
          <w:rFonts w:hint="eastAsia"/>
          <w:color w:val="auto"/>
          <w:highlight w:val="none"/>
        </w:rPr>
        <w:t>承保业绩汇总表</w:t>
      </w:r>
    </w:p>
    <w:p>
      <w:pPr>
        <w:pStyle w:val="18"/>
        <w:spacing w:before="7"/>
        <w:rPr>
          <w:b/>
          <w:color w:val="auto"/>
          <w:sz w:val="9"/>
          <w:highlight w:val="none"/>
        </w:rPr>
      </w:pPr>
    </w:p>
    <w:tbl>
      <w:tblPr>
        <w:tblStyle w:val="41"/>
        <w:tblW w:w="8756"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3"/>
        <w:gridCol w:w="1180"/>
        <w:gridCol w:w="1536"/>
        <w:gridCol w:w="1390"/>
        <w:gridCol w:w="1299"/>
        <w:gridCol w:w="1299"/>
        <w:gridCol w:w="129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trPr>
        <w:tc>
          <w:tcPr>
            <w:tcW w:w="753" w:type="dxa"/>
            <w:tcBorders>
              <w:bottom w:val="single" w:color="000000" w:sz="4" w:space="0"/>
              <w:right w:val="single" w:color="000000" w:sz="4" w:space="0"/>
            </w:tcBorders>
            <w:vAlign w:val="center"/>
          </w:tcPr>
          <w:p>
            <w:pPr>
              <w:pStyle w:val="59"/>
              <w:spacing w:before="180"/>
              <w:ind w:left="119"/>
              <w:jc w:val="center"/>
              <w:rPr>
                <w:rFonts w:hAnsi="宋体" w:eastAsia="宋体"/>
                <w:color w:val="auto"/>
                <w:sz w:val="21"/>
                <w:szCs w:val="21"/>
                <w:highlight w:val="none"/>
              </w:rPr>
            </w:pPr>
            <w:r>
              <w:rPr>
                <w:rFonts w:hint="eastAsia" w:hAnsi="宋体" w:eastAsia="宋体"/>
                <w:color w:val="auto"/>
                <w:sz w:val="21"/>
                <w:szCs w:val="21"/>
                <w:highlight w:val="none"/>
              </w:rPr>
              <w:t>序号</w:t>
            </w:r>
          </w:p>
        </w:tc>
        <w:tc>
          <w:tcPr>
            <w:tcW w:w="1180" w:type="dxa"/>
            <w:tcBorders>
              <w:left w:val="single" w:color="000000" w:sz="4" w:space="0"/>
              <w:bottom w:val="single" w:color="000000" w:sz="4" w:space="0"/>
              <w:right w:val="single" w:color="000000" w:sz="4" w:space="0"/>
            </w:tcBorders>
            <w:vAlign w:val="center"/>
          </w:tcPr>
          <w:p>
            <w:pPr>
              <w:pStyle w:val="59"/>
              <w:spacing w:before="180"/>
              <w:jc w:val="center"/>
              <w:rPr>
                <w:rFonts w:hAnsi="宋体" w:eastAsia="宋体"/>
                <w:color w:val="auto"/>
                <w:sz w:val="21"/>
                <w:szCs w:val="21"/>
                <w:highlight w:val="none"/>
              </w:rPr>
            </w:pPr>
            <w:r>
              <w:rPr>
                <w:rFonts w:hint="eastAsia" w:hAnsi="宋体" w:eastAsia="宋体"/>
                <w:color w:val="auto"/>
                <w:sz w:val="21"/>
                <w:szCs w:val="21"/>
                <w:highlight w:val="none"/>
              </w:rPr>
              <w:t>项目名称</w:t>
            </w:r>
          </w:p>
        </w:tc>
        <w:tc>
          <w:tcPr>
            <w:tcW w:w="1536" w:type="dxa"/>
            <w:tcBorders>
              <w:left w:val="single" w:color="000000" w:sz="4" w:space="0"/>
              <w:bottom w:val="single" w:color="000000" w:sz="4" w:space="0"/>
              <w:right w:val="single" w:color="000000" w:sz="4" w:space="0"/>
            </w:tcBorders>
            <w:vAlign w:val="center"/>
          </w:tcPr>
          <w:p>
            <w:pPr>
              <w:pStyle w:val="59"/>
              <w:spacing w:before="180"/>
              <w:ind w:left="138"/>
              <w:jc w:val="both"/>
              <w:rPr>
                <w:rFonts w:hAnsi="宋体" w:eastAsia="宋体"/>
                <w:color w:val="auto"/>
                <w:sz w:val="21"/>
                <w:szCs w:val="21"/>
                <w:highlight w:val="none"/>
              </w:rPr>
            </w:pPr>
            <w:r>
              <w:rPr>
                <w:rFonts w:hint="eastAsia" w:hAnsi="宋体" w:eastAsia="宋体"/>
                <w:color w:val="auto"/>
                <w:sz w:val="21"/>
                <w:szCs w:val="21"/>
                <w:highlight w:val="none"/>
              </w:rPr>
              <w:t>项目类型</w:t>
            </w:r>
          </w:p>
        </w:tc>
        <w:tc>
          <w:tcPr>
            <w:tcW w:w="1390" w:type="dxa"/>
            <w:tcBorders>
              <w:left w:val="single" w:color="000000" w:sz="4" w:space="0"/>
              <w:bottom w:val="single" w:color="000000" w:sz="4" w:space="0"/>
              <w:right w:val="single" w:color="000000" w:sz="4" w:space="0"/>
            </w:tcBorders>
            <w:vAlign w:val="center"/>
          </w:tcPr>
          <w:p>
            <w:pPr>
              <w:pStyle w:val="59"/>
              <w:spacing w:before="30"/>
              <w:ind w:left="115" w:right="85"/>
              <w:jc w:val="center"/>
              <w:rPr>
                <w:rFonts w:hAnsi="宋体" w:eastAsia="宋体"/>
                <w:color w:val="auto"/>
                <w:sz w:val="21"/>
                <w:szCs w:val="21"/>
                <w:highlight w:val="none"/>
              </w:rPr>
            </w:pPr>
            <w:r>
              <w:rPr>
                <w:rFonts w:hint="eastAsia" w:hAnsi="宋体" w:eastAsia="宋体"/>
                <w:color w:val="auto"/>
                <w:sz w:val="21"/>
                <w:szCs w:val="21"/>
                <w:highlight w:val="none"/>
              </w:rPr>
              <w:t>保险金额</w:t>
            </w:r>
          </w:p>
          <w:p>
            <w:pPr>
              <w:pStyle w:val="59"/>
              <w:spacing w:before="31" w:line="250" w:lineRule="exact"/>
              <w:ind w:left="115" w:right="85"/>
              <w:jc w:val="center"/>
              <w:rPr>
                <w:rFonts w:hAnsi="宋体" w:eastAsia="宋体"/>
                <w:color w:val="auto"/>
                <w:sz w:val="21"/>
                <w:szCs w:val="21"/>
                <w:highlight w:val="none"/>
              </w:rPr>
            </w:pPr>
            <w:r>
              <w:rPr>
                <w:rFonts w:hint="eastAsia" w:hAnsi="宋体" w:eastAsia="宋体"/>
                <w:color w:val="auto"/>
                <w:sz w:val="21"/>
                <w:szCs w:val="21"/>
                <w:highlight w:val="none"/>
              </w:rPr>
              <w:t>（人民币</w:t>
            </w:r>
            <w:r>
              <w:rPr>
                <w:rFonts w:hint="eastAsia" w:hAnsi="宋体" w:eastAsia="宋体"/>
                <w:color w:val="auto"/>
                <w:sz w:val="21"/>
                <w:szCs w:val="21"/>
                <w:highlight w:val="none"/>
                <w:lang w:val="en-US"/>
              </w:rPr>
              <w:t>亿元</w:t>
            </w:r>
            <w:r>
              <w:rPr>
                <w:rFonts w:hint="eastAsia" w:hAnsi="宋体" w:eastAsia="宋体"/>
                <w:color w:val="auto"/>
                <w:sz w:val="21"/>
                <w:szCs w:val="21"/>
                <w:highlight w:val="none"/>
              </w:rPr>
              <w:t>）</w:t>
            </w:r>
          </w:p>
        </w:tc>
        <w:tc>
          <w:tcPr>
            <w:tcW w:w="1299" w:type="dxa"/>
            <w:tcBorders>
              <w:left w:val="single" w:color="000000" w:sz="4" w:space="0"/>
              <w:bottom w:val="single" w:color="000000" w:sz="4" w:space="0"/>
              <w:right w:val="single" w:color="000000" w:sz="4" w:space="0"/>
            </w:tcBorders>
            <w:vAlign w:val="center"/>
          </w:tcPr>
          <w:p>
            <w:pPr>
              <w:pStyle w:val="59"/>
              <w:spacing w:before="180"/>
              <w:ind w:left="138"/>
              <w:jc w:val="center"/>
              <w:rPr>
                <w:rFonts w:hAnsi="宋体" w:eastAsia="宋体"/>
                <w:color w:val="auto"/>
                <w:sz w:val="21"/>
                <w:szCs w:val="21"/>
                <w:highlight w:val="none"/>
              </w:rPr>
            </w:pPr>
            <w:r>
              <w:rPr>
                <w:rFonts w:hint="eastAsia" w:hAnsi="宋体" w:eastAsia="宋体"/>
                <w:color w:val="auto"/>
                <w:sz w:val="21"/>
                <w:szCs w:val="21"/>
                <w:highlight w:val="none"/>
              </w:rPr>
              <w:t>合同签订时间</w:t>
            </w:r>
          </w:p>
        </w:tc>
        <w:tc>
          <w:tcPr>
            <w:tcW w:w="1299" w:type="dxa"/>
            <w:tcBorders>
              <w:left w:val="single" w:color="000000" w:sz="4" w:space="0"/>
              <w:bottom w:val="single" w:color="000000" w:sz="4" w:space="0"/>
              <w:right w:val="single" w:color="000000" w:sz="6" w:space="0"/>
            </w:tcBorders>
            <w:vAlign w:val="center"/>
          </w:tcPr>
          <w:p>
            <w:pPr>
              <w:pStyle w:val="59"/>
              <w:spacing w:before="180"/>
              <w:ind w:left="128"/>
              <w:jc w:val="center"/>
              <w:rPr>
                <w:rFonts w:hAnsi="宋体" w:eastAsia="宋体"/>
                <w:color w:val="auto"/>
                <w:sz w:val="21"/>
                <w:szCs w:val="21"/>
                <w:highlight w:val="none"/>
              </w:rPr>
            </w:pPr>
            <w:r>
              <w:rPr>
                <w:rFonts w:hint="eastAsia" w:hAnsi="宋体" w:eastAsia="宋体"/>
                <w:color w:val="auto"/>
                <w:sz w:val="21"/>
                <w:szCs w:val="21"/>
                <w:highlight w:val="none"/>
              </w:rPr>
              <w:t>客户联系人及电话</w:t>
            </w:r>
          </w:p>
        </w:tc>
        <w:tc>
          <w:tcPr>
            <w:tcW w:w="1299" w:type="dxa"/>
            <w:tcBorders>
              <w:left w:val="single" w:color="000000" w:sz="6" w:space="0"/>
              <w:bottom w:val="single" w:color="000000" w:sz="4" w:space="0"/>
            </w:tcBorders>
            <w:vAlign w:val="center"/>
          </w:tcPr>
          <w:p>
            <w:pPr>
              <w:pStyle w:val="59"/>
              <w:spacing w:before="180"/>
              <w:ind w:left="128"/>
              <w:jc w:val="center"/>
              <w:rPr>
                <w:rFonts w:hAnsi="宋体" w:eastAsia="宋体"/>
                <w:color w:val="auto"/>
                <w:sz w:val="21"/>
                <w:szCs w:val="21"/>
                <w:highlight w:val="none"/>
              </w:rPr>
            </w:pPr>
            <w:r>
              <w:rPr>
                <w:rFonts w:hint="eastAsia" w:hAnsi="宋体" w:eastAsia="宋体"/>
                <w:color w:val="auto"/>
                <w:sz w:val="21"/>
                <w:szCs w:val="21"/>
                <w:highlight w:val="none"/>
              </w:rPr>
              <w:t>证明材料页码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753" w:type="dxa"/>
            <w:tcBorders>
              <w:top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180"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390"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4" w:space="0"/>
              <w:bottom w:val="single" w:color="000000" w:sz="4" w:space="0"/>
              <w:right w:val="single" w:color="000000" w:sz="6"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6" w:space="0"/>
              <w:bottom w:val="single" w:color="000000" w:sz="4" w:space="0"/>
            </w:tcBorders>
          </w:tcPr>
          <w:p>
            <w:pPr>
              <w:pStyle w:val="59"/>
              <w:rPr>
                <w:rFonts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753" w:type="dxa"/>
            <w:tcBorders>
              <w:top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180"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390"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4" w:space="0"/>
              <w:bottom w:val="single" w:color="000000" w:sz="4" w:space="0"/>
              <w:right w:val="single" w:color="000000" w:sz="6"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6" w:space="0"/>
              <w:bottom w:val="single" w:color="000000" w:sz="4" w:space="0"/>
            </w:tcBorders>
          </w:tcPr>
          <w:p>
            <w:pPr>
              <w:pStyle w:val="59"/>
              <w:rPr>
                <w:rFonts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753" w:type="dxa"/>
            <w:tcBorders>
              <w:top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180"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390"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4" w:space="0"/>
              <w:bottom w:val="single" w:color="000000" w:sz="4" w:space="0"/>
              <w:right w:val="single" w:color="000000" w:sz="6"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6" w:space="0"/>
              <w:bottom w:val="single" w:color="000000" w:sz="4" w:space="0"/>
            </w:tcBorders>
          </w:tcPr>
          <w:p>
            <w:pPr>
              <w:pStyle w:val="59"/>
              <w:rPr>
                <w:rFonts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753" w:type="dxa"/>
            <w:tcBorders>
              <w:top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180"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390"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4" w:space="0"/>
              <w:bottom w:val="single" w:color="000000" w:sz="4" w:space="0"/>
              <w:right w:val="single" w:color="000000" w:sz="6"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6" w:space="0"/>
              <w:bottom w:val="single" w:color="000000" w:sz="4" w:space="0"/>
            </w:tcBorders>
          </w:tcPr>
          <w:p>
            <w:pPr>
              <w:pStyle w:val="59"/>
              <w:rPr>
                <w:rFonts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753" w:type="dxa"/>
            <w:tcBorders>
              <w:top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180"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390"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4" w:space="0"/>
              <w:bottom w:val="single" w:color="000000" w:sz="4" w:space="0"/>
              <w:right w:val="single" w:color="000000" w:sz="6"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6" w:space="0"/>
              <w:bottom w:val="single" w:color="000000" w:sz="4" w:space="0"/>
            </w:tcBorders>
          </w:tcPr>
          <w:p>
            <w:pPr>
              <w:pStyle w:val="59"/>
              <w:rPr>
                <w:rFonts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trPr>
        <w:tc>
          <w:tcPr>
            <w:tcW w:w="753" w:type="dxa"/>
            <w:tcBorders>
              <w:top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180"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390"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4" w:space="0"/>
              <w:bottom w:val="single" w:color="000000" w:sz="4" w:space="0"/>
              <w:right w:val="single" w:color="000000" w:sz="6"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6" w:space="0"/>
              <w:bottom w:val="single" w:color="000000" w:sz="4" w:space="0"/>
            </w:tcBorders>
          </w:tcPr>
          <w:p>
            <w:pPr>
              <w:pStyle w:val="59"/>
              <w:rPr>
                <w:rFonts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753" w:type="dxa"/>
            <w:tcBorders>
              <w:top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180"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390"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4" w:space="0"/>
              <w:bottom w:val="single" w:color="000000" w:sz="4" w:space="0"/>
              <w:right w:val="single" w:color="000000" w:sz="4"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4" w:space="0"/>
              <w:bottom w:val="single" w:color="000000" w:sz="4" w:space="0"/>
              <w:right w:val="single" w:color="000000" w:sz="6" w:space="0"/>
            </w:tcBorders>
          </w:tcPr>
          <w:p>
            <w:pPr>
              <w:pStyle w:val="59"/>
              <w:rPr>
                <w:rFonts w:hAnsi="宋体" w:eastAsia="宋体"/>
                <w:color w:val="auto"/>
                <w:sz w:val="21"/>
                <w:szCs w:val="21"/>
                <w:highlight w:val="none"/>
              </w:rPr>
            </w:pPr>
          </w:p>
        </w:tc>
        <w:tc>
          <w:tcPr>
            <w:tcW w:w="1299" w:type="dxa"/>
            <w:tcBorders>
              <w:top w:val="single" w:color="000000" w:sz="4" w:space="0"/>
              <w:left w:val="single" w:color="000000" w:sz="6" w:space="0"/>
              <w:bottom w:val="single" w:color="000000" w:sz="4" w:space="0"/>
            </w:tcBorders>
          </w:tcPr>
          <w:p>
            <w:pPr>
              <w:pStyle w:val="59"/>
              <w:rPr>
                <w:rFonts w:hAnsi="宋体" w:eastAsia="宋体"/>
                <w:color w:val="auto"/>
                <w:sz w:val="21"/>
                <w:szCs w:val="21"/>
                <w:highlight w:val="none"/>
              </w:rPr>
            </w:pPr>
          </w:p>
        </w:tc>
      </w:tr>
    </w:tbl>
    <w:p>
      <w:pPr>
        <w:pStyle w:val="18"/>
        <w:spacing w:before="7" w:line="360" w:lineRule="auto"/>
        <w:ind w:firstLine="421" w:firstLineChars="839"/>
        <w:rPr>
          <w:b/>
          <w:color w:val="auto"/>
          <w:sz w:val="5"/>
          <w:highlight w:val="none"/>
        </w:rPr>
      </w:pPr>
    </w:p>
    <w:p>
      <w:pPr>
        <w:spacing w:before="70" w:line="360" w:lineRule="auto"/>
        <w:jc w:val="left"/>
        <w:rPr>
          <w:rFonts w:ascii="宋体" w:hAnsi="宋体" w:eastAsia="宋体" w:cs="宋体"/>
          <w:color w:val="auto"/>
          <w:sz w:val="18"/>
          <w:highlight w:val="none"/>
        </w:rPr>
      </w:pPr>
      <w:r>
        <w:rPr>
          <w:rFonts w:hint="eastAsia" w:ascii="宋体" w:hAnsi="宋体" w:eastAsia="宋体" w:cs="宋体"/>
          <w:color w:val="auto"/>
          <w:highlight w:val="none"/>
        </w:rPr>
        <w:t>注：后附证明资料。</w:t>
      </w:r>
    </w:p>
    <w:p>
      <w:pPr>
        <w:rPr>
          <w:rFonts w:hint="eastAsia"/>
          <w:color w:val="auto"/>
          <w:highlight w:val="none"/>
        </w:rPr>
      </w:pPr>
      <w:r>
        <w:rPr>
          <w:rFonts w:hint="eastAsia"/>
          <w:color w:val="auto"/>
          <w:highlight w:val="none"/>
        </w:rPr>
        <w:br w:type="page"/>
      </w:r>
    </w:p>
    <w:p>
      <w:pPr>
        <w:pStyle w:val="5"/>
        <w:rPr>
          <w:color w:val="auto"/>
          <w:highlight w:val="none"/>
        </w:rPr>
      </w:pPr>
      <w:r>
        <w:rPr>
          <w:rFonts w:hint="eastAsia"/>
          <w:color w:val="auto"/>
          <w:highlight w:val="none"/>
        </w:rPr>
        <w:t>4.</w:t>
      </w:r>
      <w:r>
        <w:rPr>
          <w:rFonts w:hint="eastAsia"/>
          <w:color w:val="auto"/>
          <w:highlight w:val="none"/>
          <w:lang w:val="en-US" w:eastAsia="zh-CN"/>
        </w:rPr>
        <w:t>4</w:t>
      </w:r>
      <w:r>
        <w:rPr>
          <w:rFonts w:hint="eastAsia"/>
          <w:color w:val="auto"/>
          <w:highlight w:val="none"/>
        </w:rPr>
        <w:t xml:space="preserve"> 保险项目理赔业绩汇总</w:t>
      </w:r>
    </w:p>
    <w:tbl>
      <w:tblPr>
        <w:tblStyle w:val="41"/>
        <w:tblW w:w="875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87"/>
        <w:gridCol w:w="1470"/>
        <w:gridCol w:w="1204"/>
        <w:gridCol w:w="1470"/>
        <w:gridCol w:w="1470"/>
        <w:gridCol w:w="1200"/>
        <w:gridCol w:w="11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87" w:type="dxa"/>
            <w:tcBorders>
              <w:tl2br w:val="nil"/>
              <w:tr2bl w:val="nil"/>
            </w:tcBorders>
          </w:tcPr>
          <w:p>
            <w:pPr>
              <w:pStyle w:val="59"/>
              <w:spacing w:before="180"/>
              <w:jc w:val="center"/>
              <w:rPr>
                <w:rFonts w:hAnsi="宋体" w:eastAsia="宋体"/>
                <w:color w:val="auto"/>
                <w:sz w:val="21"/>
                <w:szCs w:val="21"/>
                <w:highlight w:val="none"/>
              </w:rPr>
            </w:pPr>
            <w:r>
              <w:rPr>
                <w:rFonts w:hint="eastAsia" w:hAnsi="宋体" w:eastAsia="宋体"/>
                <w:color w:val="auto"/>
                <w:sz w:val="21"/>
                <w:szCs w:val="21"/>
                <w:highlight w:val="none"/>
              </w:rPr>
              <w:t>序号</w:t>
            </w:r>
          </w:p>
        </w:tc>
        <w:tc>
          <w:tcPr>
            <w:tcW w:w="1470" w:type="dxa"/>
            <w:tcBorders>
              <w:tl2br w:val="nil"/>
              <w:tr2bl w:val="nil"/>
            </w:tcBorders>
          </w:tcPr>
          <w:p>
            <w:pPr>
              <w:pStyle w:val="59"/>
              <w:spacing w:before="180"/>
              <w:jc w:val="center"/>
              <w:rPr>
                <w:rFonts w:hAnsi="宋体" w:eastAsia="宋体"/>
                <w:color w:val="auto"/>
                <w:sz w:val="21"/>
                <w:szCs w:val="21"/>
                <w:highlight w:val="none"/>
              </w:rPr>
            </w:pPr>
            <w:r>
              <w:rPr>
                <w:rFonts w:hint="eastAsia" w:hAnsi="宋体" w:eastAsia="宋体"/>
                <w:color w:val="auto"/>
                <w:sz w:val="21"/>
                <w:szCs w:val="21"/>
                <w:highlight w:val="none"/>
              </w:rPr>
              <w:t>项目名称</w:t>
            </w:r>
          </w:p>
        </w:tc>
        <w:tc>
          <w:tcPr>
            <w:tcW w:w="1204" w:type="dxa"/>
            <w:tcBorders>
              <w:tl2br w:val="nil"/>
              <w:tr2bl w:val="nil"/>
            </w:tcBorders>
          </w:tcPr>
          <w:p>
            <w:pPr>
              <w:pStyle w:val="59"/>
              <w:spacing w:before="180"/>
              <w:jc w:val="center"/>
              <w:rPr>
                <w:rFonts w:hAnsi="宋体" w:eastAsia="宋体"/>
                <w:color w:val="auto"/>
                <w:sz w:val="21"/>
                <w:szCs w:val="21"/>
                <w:highlight w:val="none"/>
              </w:rPr>
            </w:pPr>
            <w:r>
              <w:rPr>
                <w:rFonts w:hint="eastAsia" w:hAnsi="宋体" w:eastAsia="宋体"/>
                <w:color w:val="auto"/>
                <w:sz w:val="21"/>
                <w:szCs w:val="21"/>
                <w:highlight w:val="none"/>
              </w:rPr>
              <w:t>项目类型</w:t>
            </w:r>
          </w:p>
        </w:tc>
        <w:tc>
          <w:tcPr>
            <w:tcW w:w="1470" w:type="dxa"/>
            <w:tcBorders>
              <w:tl2br w:val="nil"/>
              <w:tr2bl w:val="nil"/>
            </w:tcBorders>
            <w:vAlign w:val="center"/>
          </w:tcPr>
          <w:p>
            <w:pPr>
              <w:pStyle w:val="59"/>
              <w:spacing w:line="300" w:lineRule="exact"/>
              <w:ind w:left="295" w:right="166" w:hanging="106"/>
              <w:jc w:val="center"/>
              <w:rPr>
                <w:rFonts w:hAnsi="宋体" w:eastAsia="宋体"/>
                <w:color w:val="auto"/>
                <w:sz w:val="21"/>
                <w:szCs w:val="21"/>
                <w:highlight w:val="none"/>
              </w:rPr>
            </w:pPr>
            <w:r>
              <w:rPr>
                <w:rFonts w:hint="eastAsia" w:hAnsi="宋体" w:eastAsia="宋体"/>
                <w:color w:val="auto"/>
                <w:sz w:val="21"/>
                <w:szCs w:val="21"/>
                <w:highlight w:val="none"/>
              </w:rPr>
              <w:t>事故发生原因及时间</w:t>
            </w:r>
          </w:p>
        </w:tc>
        <w:tc>
          <w:tcPr>
            <w:tcW w:w="1470" w:type="dxa"/>
            <w:tcBorders>
              <w:tl2br w:val="nil"/>
              <w:tr2bl w:val="nil"/>
            </w:tcBorders>
          </w:tcPr>
          <w:p>
            <w:pPr>
              <w:pStyle w:val="59"/>
              <w:spacing w:before="180"/>
              <w:ind w:left="237"/>
              <w:jc w:val="both"/>
              <w:rPr>
                <w:rFonts w:hAnsi="宋体" w:eastAsia="宋体"/>
                <w:color w:val="auto"/>
                <w:sz w:val="21"/>
                <w:szCs w:val="21"/>
                <w:highlight w:val="none"/>
              </w:rPr>
            </w:pPr>
            <w:r>
              <w:rPr>
                <w:rFonts w:hint="eastAsia" w:hAnsi="宋体" w:eastAsia="宋体"/>
                <w:color w:val="auto"/>
                <w:sz w:val="21"/>
                <w:szCs w:val="21"/>
                <w:highlight w:val="none"/>
              </w:rPr>
              <w:t>赔付金额</w:t>
            </w:r>
          </w:p>
        </w:tc>
        <w:tc>
          <w:tcPr>
            <w:tcW w:w="1200" w:type="dxa"/>
            <w:tcBorders>
              <w:tl2br w:val="nil"/>
              <w:tr2bl w:val="nil"/>
            </w:tcBorders>
          </w:tcPr>
          <w:p>
            <w:pPr>
              <w:pStyle w:val="59"/>
              <w:spacing w:before="180"/>
              <w:ind w:left="234"/>
              <w:jc w:val="both"/>
              <w:rPr>
                <w:rFonts w:hAnsi="宋体" w:eastAsia="宋体"/>
                <w:color w:val="auto"/>
                <w:sz w:val="21"/>
                <w:szCs w:val="21"/>
                <w:highlight w:val="none"/>
              </w:rPr>
            </w:pPr>
            <w:r>
              <w:rPr>
                <w:rFonts w:hint="eastAsia" w:hAnsi="宋体" w:eastAsia="宋体"/>
                <w:color w:val="auto"/>
                <w:sz w:val="21"/>
                <w:szCs w:val="21"/>
                <w:highlight w:val="none"/>
              </w:rPr>
              <w:t>赔付日期</w:t>
            </w:r>
          </w:p>
        </w:tc>
        <w:tc>
          <w:tcPr>
            <w:tcW w:w="1155" w:type="dxa"/>
            <w:tcBorders>
              <w:tl2br w:val="nil"/>
              <w:tr2bl w:val="nil"/>
            </w:tcBorders>
          </w:tcPr>
          <w:p>
            <w:pPr>
              <w:pStyle w:val="59"/>
              <w:spacing w:line="300" w:lineRule="exact"/>
              <w:ind w:left="220" w:right="127" w:hanging="210"/>
              <w:jc w:val="center"/>
              <w:rPr>
                <w:rFonts w:hAnsi="宋体" w:eastAsia="宋体"/>
                <w:color w:val="auto"/>
                <w:sz w:val="21"/>
                <w:szCs w:val="21"/>
                <w:highlight w:val="none"/>
              </w:rPr>
            </w:pPr>
            <w:r>
              <w:rPr>
                <w:rFonts w:hint="eastAsia" w:hAnsi="宋体" w:eastAsia="宋体"/>
                <w:color w:val="auto"/>
                <w:sz w:val="21"/>
                <w:szCs w:val="21"/>
                <w:highlight w:val="none"/>
              </w:rPr>
              <w:t>证明材料页码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87"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4"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0" w:type="dxa"/>
            <w:tcBorders>
              <w:tl2br w:val="nil"/>
              <w:tr2bl w:val="nil"/>
            </w:tcBorders>
          </w:tcPr>
          <w:p>
            <w:pPr>
              <w:pStyle w:val="59"/>
              <w:rPr>
                <w:rFonts w:hAnsi="宋体" w:eastAsia="宋体"/>
                <w:color w:val="auto"/>
                <w:sz w:val="21"/>
                <w:szCs w:val="21"/>
                <w:highlight w:val="none"/>
              </w:rPr>
            </w:pPr>
          </w:p>
        </w:tc>
        <w:tc>
          <w:tcPr>
            <w:tcW w:w="1155" w:type="dxa"/>
            <w:tcBorders>
              <w:tl2br w:val="nil"/>
              <w:tr2bl w:val="nil"/>
            </w:tcBorders>
          </w:tcPr>
          <w:p>
            <w:pPr>
              <w:pStyle w:val="59"/>
              <w:rPr>
                <w:rFonts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87"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4"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0" w:type="dxa"/>
            <w:tcBorders>
              <w:tl2br w:val="nil"/>
              <w:tr2bl w:val="nil"/>
            </w:tcBorders>
          </w:tcPr>
          <w:p>
            <w:pPr>
              <w:pStyle w:val="59"/>
              <w:rPr>
                <w:rFonts w:hAnsi="宋体" w:eastAsia="宋体"/>
                <w:color w:val="auto"/>
                <w:sz w:val="21"/>
                <w:szCs w:val="21"/>
                <w:highlight w:val="none"/>
              </w:rPr>
            </w:pPr>
          </w:p>
        </w:tc>
        <w:tc>
          <w:tcPr>
            <w:tcW w:w="1155" w:type="dxa"/>
            <w:tcBorders>
              <w:tl2br w:val="nil"/>
              <w:tr2bl w:val="nil"/>
            </w:tcBorders>
          </w:tcPr>
          <w:p>
            <w:pPr>
              <w:pStyle w:val="59"/>
              <w:rPr>
                <w:rFonts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87"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4"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0" w:type="dxa"/>
            <w:tcBorders>
              <w:tl2br w:val="nil"/>
              <w:tr2bl w:val="nil"/>
            </w:tcBorders>
          </w:tcPr>
          <w:p>
            <w:pPr>
              <w:pStyle w:val="59"/>
              <w:rPr>
                <w:rFonts w:hAnsi="宋体" w:eastAsia="宋体"/>
                <w:color w:val="auto"/>
                <w:sz w:val="21"/>
                <w:szCs w:val="21"/>
                <w:highlight w:val="none"/>
              </w:rPr>
            </w:pPr>
          </w:p>
        </w:tc>
        <w:tc>
          <w:tcPr>
            <w:tcW w:w="1155" w:type="dxa"/>
            <w:tcBorders>
              <w:tl2br w:val="nil"/>
              <w:tr2bl w:val="nil"/>
            </w:tcBorders>
          </w:tcPr>
          <w:p>
            <w:pPr>
              <w:pStyle w:val="59"/>
              <w:rPr>
                <w:rFonts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87"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4"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0" w:type="dxa"/>
            <w:tcBorders>
              <w:tl2br w:val="nil"/>
              <w:tr2bl w:val="nil"/>
            </w:tcBorders>
          </w:tcPr>
          <w:p>
            <w:pPr>
              <w:pStyle w:val="59"/>
              <w:rPr>
                <w:rFonts w:hAnsi="宋体" w:eastAsia="宋体"/>
                <w:color w:val="auto"/>
                <w:sz w:val="21"/>
                <w:szCs w:val="21"/>
                <w:highlight w:val="none"/>
              </w:rPr>
            </w:pPr>
          </w:p>
        </w:tc>
        <w:tc>
          <w:tcPr>
            <w:tcW w:w="1155" w:type="dxa"/>
            <w:tcBorders>
              <w:tl2br w:val="nil"/>
              <w:tr2bl w:val="nil"/>
            </w:tcBorders>
          </w:tcPr>
          <w:p>
            <w:pPr>
              <w:pStyle w:val="59"/>
              <w:rPr>
                <w:rFonts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87"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4"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0" w:type="dxa"/>
            <w:tcBorders>
              <w:tl2br w:val="nil"/>
              <w:tr2bl w:val="nil"/>
            </w:tcBorders>
          </w:tcPr>
          <w:p>
            <w:pPr>
              <w:pStyle w:val="59"/>
              <w:rPr>
                <w:rFonts w:hAnsi="宋体" w:eastAsia="宋体"/>
                <w:color w:val="auto"/>
                <w:sz w:val="21"/>
                <w:szCs w:val="21"/>
                <w:highlight w:val="none"/>
              </w:rPr>
            </w:pPr>
          </w:p>
        </w:tc>
        <w:tc>
          <w:tcPr>
            <w:tcW w:w="1155" w:type="dxa"/>
            <w:tcBorders>
              <w:tl2br w:val="nil"/>
              <w:tr2bl w:val="nil"/>
            </w:tcBorders>
          </w:tcPr>
          <w:p>
            <w:pPr>
              <w:pStyle w:val="59"/>
              <w:rPr>
                <w:rFonts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87"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4"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0" w:type="dxa"/>
            <w:tcBorders>
              <w:tl2br w:val="nil"/>
              <w:tr2bl w:val="nil"/>
            </w:tcBorders>
          </w:tcPr>
          <w:p>
            <w:pPr>
              <w:pStyle w:val="59"/>
              <w:rPr>
                <w:rFonts w:hAnsi="宋体" w:eastAsia="宋体"/>
                <w:color w:val="auto"/>
                <w:sz w:val="21"/>
                <w:szCs w:val="21"/>
                <w:highlight w:val="none"/>
              </w:rPr>
            </w:pPr>
          </w:p>
        </w:tc>
        <w:tc>
          <w:tcPr>
            <w:tcW w:w="1155" w:type="dxa"/>
            <w:tcBorders>
              <w:tl2br w:val="nil"/>
              <w:tr2bl w:val="nil"/>
            </w:tcBorders>
          </w:tcPr>
          <w:p>
            <w:pPr>
              <w:pStyle w:val="59"/>
              <w:rPr>
                <w:rFonts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87"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4"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0" w:type="dxa"/>
            <w:tcBorders>
              <w:tl2br w:val="nil"/>
              <w:tr2bl w:val="nil"/>
            </w:tcBorders>
          </w:tcPr>
          <w:p>
            <w:pPr>
              <w:pStyle w:val="59"/>
              <w:rPr>
                <w:rFonts w:hAnsi="宋体" w:eastAsia="宋体"/>
                <w:color w:val="auto"/>
                <w:sz w:val="21"/>
                <w:szCs w:val="21"/>
                <w:highlight w:val="none"/>
              </w:rPr>
            </w:pPr>
          </w:p>
        </w:tc>
        <w:tc>
          <w:tcPr>
            <w:tcW w:w="1155" w:type="dxa"/>
            <w:tcBorders>
              <w:tl2br w:val="nil"/>
              <w:tr2bl w:val="nil"/>
            </w:tcBorders>
          </w:tcPr>
          <w:p>
            <w:pPr>
              <w:pStyle w:val="59"/>
              <w:rPr>
                <w:rFonts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87"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4"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0" w:type="dxa"/>
            <w:tcBorders>
              <w:tl2br w:val="nil"/>
              <w:tr2bl w:val="nil"/>
            </w:tcBorders>
          </w:tcPr>
          <w:p>
            <w:pPr>
              <w:pStyle w:val="59"/>
              <w:rPr>
                <w:rFonts w:hAnsi="宋体" w:eastAsia="宋体"/>
                <w:color w:val="auto"/>
                <w:sz w:val="21"/>
                <w:szCs w:val="21"/>
                <w:highlight w:val="none"/>
              </w:rPr>
            </w:pPr>
          </w:p>
        </w:tc>
        <w:tc>
          <w:tcPr>
            <w:tcW w:w="1155" w:type="dxa"/>
            <w:tcBorders>
              <w:tl2br w:val="nil"/>
              <w:tr2bl w:val="nil"/>
            </w:tcBorders>
          </w:tcPr>
          <w:p>
            <w:pPr>
              <w:pStyle w:val="59"/>
              <w:rPr>
                <w:rFonts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87"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4"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0" w:type="dxa"/>
            <w:tcBorders>
              <w:tl2br w:val="nil"/>
              <w:tr2bl w:val="nil"/>
            </w:tcBorders>
          </w:tcPr>
          <w:p>
            <w:pPr>
              <w:pStyle w:val="59"/>
              <w:rPr>
                <w:rFonts w:hAnsi="宋体" w:eastAsia="宋体"/>
                <w:color w:val="auto"/>
                <w:sz w:val="21"/>
                <w:szCs w:val="21"/>
                <w:highlight w:val="none"/>
              </w:rPr>
            </w:pPr>
          </w:p>
        </w:tc>
        <w:tc>
          <w:tcPr>
            <w:tcW w:w="1155" w:type="dxa"/>
            <w:tcBorders>
              <w:tl2br w:val="nil"/>
              <w:tr2bl w:val="nil"/>
            </w:tcBorders>
          </w:tcPr>
          <w:p>
            <w:pPr>
              <w:pStyle w:val="59"/>
              <w:rPr>
                <w:rFonts w:hAnsi="宋体" w:eastAsia="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87"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4"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470" w:type="dxa"/>
            <w:tcBorders>
              <w:tl2br w:val="nil"/>
              <w:tr2bl w:val="nil"/>
            </w:tcBorders>
          </w:tcPr>
          <w:p>
            <w:pPr>
              <w:pStyle w:val="59"/>
              <w:rPr>
                <w:rFonts w:hAnsi="宋体" w:eastAsia="宋体"/>
                <w:color w:val="auto"/>
                <w:sz w:val="21"/>
                <w:szCs w:val="21"/>
                <w:highlight w:val="none"/>
              </w:rPr>
            </w:pPr>
          </w:p>
        </w:tc>
        <w:tc>
          <w:tcPr>
            <w:tcW w:w="1200" w:type="dxa"/>
            <w:tcBorders>
              <w:tl2br w:val="nil"/>
              <w:tr2bl w:val="nil"/>
            </w:tcBorders>
          </w:tcPr>
          <w:p>
            <w:pPr>
              <w:pStyle w:val="59"/>
              <w:rPr>
                <w:rFonts w:hAnsi="宋体" w:eastAsia="宋体"/>
                <w:color w:val="auto"/>
                <w:sz w:val="21"/>
                <w:szCs w:val="21"/>
                <w:highlight w:val="none"/>
              </w:rPr>
            </w:pPr>
          </w:p>
        </w:tc>
        <w:tc>
          <w:tcPr>
            <w:tcW w:w="1155" w:type="dxa"/>
            <w:tcBorders>
              <w:tl2br w:val="nil"/>
              <w:tr2bl w:val="nil"/>
            </w:tcBorders>
          </w:tcPr>
          <w:p>
            <w:pPr>
              <w:pStyle w:val="59"/>
              <w:rPr>
                <w:rFonts w:hAnsi="宋体" w:eastAsia="宋体"/>
                <w:color w:val="auto"/>
                <w:sz w:val="21"/>
                <w:szCs w:val="21"/>
                <w:highlight w:val="none"/>
              </w:rPr>
            </w:pPr>
          </w:p>
        </w:tc>
      </w:tr>
    </w:tbl>
    <w:p>
      <w:pPr>
        <w:spacing w:before="7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注：后附证明资料。</w:t>
      </w:r>
    </w:p>
    <w:p>
      <w:pPr>
        <w:pStyle w:val="54"/>
        <w:rPr>
          <w:rFonts w:hint="eastAsia" w:ascii="宋体" w:hAnsi="宋体" w:eastAsia="宋体" w:cs="宋体"/>
          <w:color w:val="auto"/>
          <w:highlight w:val="none"/>
        </w:rPr>
      </w:pPr>
    </w:p>
    <w:p>
      <w:pPr>
        <w:pStyle w:val="54"/>
        <w:rPr>
          <w:rFonts w:hint="eastAsia" w:ascii="宋体" w:hAnsi="宋体" w:eastAsia="宋体" w:cs="宋体"/>
          <w:color w:val="auto"/>
          <w:highlight w:val="none"/>
        </w:rPr>
      </w:pPr>
    </w:p>
    <w:p>
      <w:pPr>
        <w:widowControl/>
        <w:jc w:val="left"/>
        <w:rPr>
          <w:rFonts w:ascii="宋体" w:hAnsi="宋体" w:eastAsia="宋体"/>
          <w:b/>
          <w:bCs/>
          <w:color w:val="auto"/>
          <w:sz w:val="28"/>
          <w:szCs w:val="32"/>
          <w:highlight w:val="none"/>
        </w:rPr>
      </w:pPr>
      <w:r>
        <w:rPr>
          <w:color w:val="auto"/>
          <w:highlight w:val="none"/>
        </w:rPr>
        <w:br w:type="page"/>
      </w:r>
    </w:p>
    <w:p>
      <w:pPr>
        <w:pStyle w:val="5"/>
        <w:rPr>
          <w:rFonts w:hint="eastAsia"/>
          <w:color w:val="auto"/>
          <w:highlight w:val="none"/>
        </w:rPr>
      </w:pPr>
      <w:r>
        <w:rPr>
          <w:rFonts w:hint="eastAsia"/>
          <w:color w:val="auto"/>
          <w:highlight w:val="none"/>
        </w:rPr>
        <w:t>4.</w:t>
      </w:r>
      <w:r>
        <w:rPr>
          <w:rFonts w:hint="eastAsia"/>
          <w:color w:val="auto"/>
          <w:highlight w:val="none"/>
          <w:lang w:val="en-US" w:eastAsia="zh-CN"/>
        </w:rPr>
        <w:t>5</w:t>
      </w:r>
      <w:r>
        <w:rPr>
          <w:rFonts w:hint="eastAsia"/>
          <w:color w:val="auto"/>
          <w:highlight w:val="none"/>
        </w:rPr>
        <w:t>项目服务团队成员资料</w:t>
      </w:r>
      <w:bookmarkStart w:id="178" w:name="_Toc391405072"/>
    </w:p>
    <w:p>
      <w:pPr>
        <w:spacing w:line="320" w:lineRule="atLeas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《项目团队成员一览表》格式</w:t>
      </w:r>
      <w:bookmarkEnd w:id="178"/>
    </w:p>
    <w:tbl>
      <w:tblPr>
        <w:tblStyle w:val="41"/>
        <w:tblW w:w="8883" w:type="dxa"/>
        <w:tblInd w:w="2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23"/>
        <w:gridCol w:w="1980"/>
        <w:gridCol w:w="1980"/>
        <w:gridCol w:w="1620"/>
        <w:gridCol w:w="13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1923" w:type="dxa"/>
            <w:vAlign w:val="center"/>
          </w:tcPr>
          <w:p>
            <w:pPr>
              <w:spacing w:line="320" w:lineRule="atLeas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团队名称</w:t>
            </w:r>
          </w:p>
        </w:tc>
        <w:tc>
          <w:tcPr>
            <w:tcW w:w="6960" w:type="dxa"/>
            <w:gridSpan w:val="4"/>
            <w:vAlign w:val="center"/>
          </w:tcPr>
          <w:p>
            <w:pPr>
              <w:spacing w:line="320" w:lineRule="atLeast"/>
              <w:jc w:val="center"/>
              <w:rPr>
                <w:rFonts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3" w:hRule="atLeast"/>
        </w:trPr>
        <w:tc>
          <w:tcPr>
            <w:tcW w:w="1923" w:type="dxa"/>
            <w:vAlign w:val="center"/>
          </w:tcPr>
          <w:p>
            <w:pPr>
              <w:spacing w:line="320" w:lineRule="atLeas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服务团队简介</w:t>
            </w:r>
          </w:p>
        </w:tc>
        <w:tc>
          <w:tcPr>
            <w:tcW w:w="6960" w:type="dxa"/>
            <w:gridSpan w:val="4"/>
            <w:vAlign w:val="center"/>
          </w:tcPr>
          <w:p>
            <w:pPr>
              <w:tabs>
                <w:tab w:val="left" w:pos="2520"/>
              </w:tabs>
              <w:jc w:val="center"/>
              <w:rPr>
                <w:rFonts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61" w:hRule="atLeast"/>
        </w:trPr>
        <w:tc>
          <w:tcPr>
            <w:tcW w:w="1923" w:type="dxa"/>
            <w:vAlign w:val="center"/>
          </w:tcPr>
          <w:p>
            <w:pPr>
              <w:spacing w:line="320" w:lineRule="atLeas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团队架构设置</w:t>
            </w:r>
          </w:p>
        </w:tc>
        <w:tc>
          <w:tcPr>
            <w:tcW w:w="6960" w:type="dxa"/>
            <w:gridSpan w:val="4"/>
            <w:vAlign w:val="center"/>
          </w:tcPr>
          <w:p>
            <w:pPr>
              <w:spacing w:line="320" w:lineRule="atLeast"/>
              <w:jc w:val="center"/>
              <w:rPr>
                <w:rFonts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00" w:hRule="atLeast"/>
        </w:trPr>
        <w:tc>
          <w:tcPr>
            <w:tcW w:w="8883" w:type="dxa"/>
            <w:gridSpan w:val="5"/>
            <w:vAlign w:val="center"/>
          </w:tcPr>
          <w:p>
            <w:pPr>
              <w:spacing w:line="320" w:lineRule="atLeas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服务团队岗位设置及人员安排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00" w:hRule="atLeast"/>
        </w:trPr>
        <w:tc>
          <w:tcPr>
            <w:tcW w:w="1923" w:type="dxa"/>
            <w:vAlign w:val="center"/>
          </w:tcPr>
          <w:p>
            <w:pPr>
              <w:spacing w:line="320" w:lineRule="atLeast"/>
              <w:jc w:val="center"/>
              <w:rPr>
                <w:rFonts w:ascii="宋体" w:hAnsi="宋体" w:eastAsia="宋体" w:cs="宋体"/>
                <w:bCs/>
                <w:color w:val="auto"/>
                <w:szCs w:val="21"/>
                <w:highlight w:val="none"/>
              </w:rPr>
            </w:pPr>
            <w:bookmarkStart w:id="179" w:name="OLE_LINK6"/>
            <w:bookmarkStart w:id="180" w:name="OLE_LINK7"/>
            <w:r>
              <w:rPr>
                <w:rFonts w:hint="eastAsia" w:ascii="宋体" w:hAnsi="宋体" w:eastAsia="宋体" w:cs="宋体"/>
                <w:bCs/>
                <w:color w:val="auto"/>
                <w:szCs w:val="21"/>
                <w:highlight w:val="none"/>
              </w:rPr>
              <w:t>本项目岗位</w:t>
            </w:r>
            <w:bookmarkEnd w:id="179"/>
            <w:bookmarkEnd w:id="180"/>
          </w:p>
        </w:tc>
        <w:tc>
          <w:tcPr>
            <w:tcW w:w="1980" w:type="dxa"/>
            <w:vAlign w:val="center"/>
          </w:tcPr>
          <w:p>
            <w:pPr>
              <w:spacing w:line="320" w:lineRule="atLeas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姓名</w:t>
            </w:r>
          </w:p>
        </w:tc>
        <w:tc>
          <w:tcPr>
            <w:tcW w:w="1980" w:type="dxa"/>
            <w:vAlign w:val="center"/>
          </w:tcPr>
          <w:p>
            <w:pPr>
              <w:spacing w:line="320" w:lineRule="atLeas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现从事职位</w:t>
            </w:r>
          </w:p>
        </w:tc>
        <w:tc>
          <w:tcPr>
            <w:tcW w:w="1620" w:type="dxa"/>
            <w:tcBorders>
              <w:right w:val="single" w:color="auto" w:sz="4" w:space="0"/>
            </w:tcBorders>
            <w:vAlign w:val="center"/>
          </w:tcPr>
          <w:p>
            <w:pPr>
              <w:spacing w:line="320" w:lineRule="atLeas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联系方式</w:t>
            </w:r>
          </w:p>
        </w:tc>
        <w:tc>
          <w:tcPr>
            <w:tcW w:w="1380" w:type="dxa"/>
            <w:tcBorders>
              <w:left w:val="single" w:color="auto" w:sz="4" w:space="0"/>
            </w:tcBorders>
            <w:vAlign w:val="center"/>
          </w:tcPr>
          <w:p>
            <w:pPr>
              <w:spacing w:line="320" w:lineRule="atLeas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00" w:hRule="atLeast"/>
        </w:trPr>
        <w:tc>
          <w:tcPr>
            <w:tcW w:w="1923" w:type="dxa"/>
            <w:vAlign w:val="center"/>
          </w:tcPr>
          <w:p>
            <w:pPr>
              <w:spacing w:line="320" w:lineRule="atLeast"/>
              <w:jc w:val="center"/>
              <w:rPr>
                <w:rFonts w:ascii="宋体" w:hAnsi="宋体" w:eastAsia="宋体" w:cs="宋体"/>
                <w:color w:val="auto"/>
                <w:szCs w:val="21"/>
                <w:highlight w:val="none"/>
              </w:rPr>
            </w:pPr>
          </w:p>
        </w:tc>
        <w:tc>
          <w:tcPr>
            <w:tcW w:w="1980" w:type="dxa"/>
            <w:vAlign w:val="center"/>
          </w:tcPr>
          <w:p>
            <w:pPr>
              <w:spacing w:line="320" w:lineRule="atLeast"/>
              <w:jc w:val="center"/>
              <w:rPr>
                <w:rFonts w:ascii="宋体" w:hAnsi="宋体" w:eastAsia="宋体" w:cs="宋体"/>
                <w:color w:val="auto"/>
                <w:szCs w:val="21"/>
                <w:highlight w:val="none"/>
              </w:rPr>
            </w:pPr>
          </w:p>
        </w:tc>
        <w:tc>
          <w:tcPr>
            <w:tcW w:w="1980" w:type="dxa"/>
            <w:vAlign w:val="center"/>
          </w:tcPr>
          <w:p>
            <w:pPr>
              <w:spacing w:line="320" w:lineRule="atLeast"/>
              <w:jc w:val="center"/>
              <w:rPr>
                <w:rFonts w:ascii="宋体" w:hAnsi="宋体" w:eastAsia="宋体" w:cs="宋体"/>
                <w:color w:val="auto"/>
                <w:szCs w:val="21"/>
                <w:highlight w:val="none"/>
              </w:rPr>
            </w:pPr>
          </w:p>
        </w:tc>
        <w:tc>
          <w:tcPr>
            <w:tcW w:w="1620" w:type="dxa"/>
            <w:tcBorders>
              <w:right w:val="single" w:color="auto" w:sz="4" w:space="0"/>
            </w:tcBorders>
            <w:vAlign w:val="center"/>
          </w:tcPr>
          <w:p>
            <w:pPr>
              <w:spacing w:line="320" w:lineRule="atLeast"/>
              <w:jc w:val="center"/>
              <w:rPr>
                <w:rFonts w:ascii="宋体" w:hAnsi="宋体" w:eastAsia="宋体" w:cs="宋体"/>
                <w:color w:val="auto"/>
                <w:szCs w:val="21"/>
                <w:highlight w:val="none"/>
              </w:rPr>
            </w:pPr>
          </w:p>
        </w:tc>
        <w:tc>
          <w:tcPr>
            <w:tcW w:w="1380" w:type="dxa"/>
            <w:tcBorders>
              <w:left w:val="single" w:color="auto" w:sz="4" w:space="0"/>
            </w:tcBorders>
            <w:vAlign w:val="center"/>
          </w:tcPr>
          <w:p>
            <w:pPr>
              <w:spacing w:line="320" w:lineRule="atLeast"/>
              <w:jc w:val="center"/>
              <w:rPr>
                <w:rFonts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00" w:hRule="atLeast"/>
        </w:trPr>
        <w:tc>
          <w:tcPr>
            <w:tcW w:w="1923" w:type="dxa"/>
          </w:tcPr>
          <w:p>
            <w:pPr>
              <w:spacing w:line="320" w:lineRule="atLeast"/>
              <w:rPr>
                <w:rFonts w:ascii="宋体" w:hAnsi="宋体" w:eastAsia="宋体" w:cs="宋体"/>
                <w:color w:val="auto"/>
                <w:szCs w:val="21"/>
                <w:highlight w:val="none"/>
              </w:rPr>
            </w:pPr>
          </w:p>
        </w:tc>
        <w:tc>
          <w:tcPr>
            <w:tcW w:w="1980" w:type="dxa"/>
          </w:tcPr>
          <w:p>
            <w:pPr>
              <w:spacing w:line="320" w:lineRule="atLeast"/>
              <w:rPr>
                <w:rFonts w:ascii="宋体" w:hAnsi="宋体" w:eastAsia="宋体" w:cs="宋体"/>
                <w:color w:val="auto"/>
                <w:szCs w:val="21"/>
                <w:highlight w:val="none"/>
              </w:rPr>
            </w:pPr>
          </w:p>
        </w:tc>
        <w:tc>
          <w:tcPr>
            <w:tcW w:w="1980" w:type="dxa"/>
          </w:tcPr>
          <w:p>
            <w:pPr>
              <w:spacing w:line="320" w:lineRule="atLeast"/>
              <w:rPr>
                <w:rFonts w:ascii="宋体" w:hAnsi="宋体" w:eastAsia="宋体" w:cs="宋体"/>
                <w:color w:val="auto"/>
                <w:szCs w:val="21"/>
                <w:highlight w:val="none"/>
              </w:rPr>
            </w:pPr>
          </w:p>
        </w:tc>
        <w:tc>
          <w:tcPr>
            <w:tcW w:w="1620" w:type="dxa"/>
            <w:tcBorders>
              <w:right w:val="single" w:color="auto" w:sz="4" w:space="0"/>
            </w:tcBorders>
          </w:tcPr>
          <w:p>
            <w:pPr>
              <w:spacing w:line="320" w:lineRule="atLeast"/>
              <w:rPr>
                <w:rFonts w:ascii="宋体" w:hAnsi="宋体" w:eastAsia="宋体" w:cs="宋体"/>
                <w:color w:val="auto"/>
                <w:szCs w:val="21"/>
                <w:highlight w:val="none"/>
              </w:rPr>
            </w:pPr>
          </w:p>
        </w:tc>
        <w:tc>
          <w:tcPr>
            <w:tcW w:w="1380" w:type="dxa"/>
            <w:tcBorders>
              <w:left w:val="single" w:color="auto" w:sz="4" w:space="0"/>
            </w:tcBorders>
          </w:tcPr>
          <w:p>
            <w:pPr>
              <w:spacing w:line="320" w:lineRule="atLeast"/>
              <w:rPr>
                <w:rFonts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00" w:hRule="atLeast"/>
        </w:trPr>
        <w:tc>
          <w:tcPr>
            <w:tcW w:w="1923" w:type="dxa"/>
          </w:tcPr>
          <w:p>
            <w:pPr>
              <w:spacing w:line="320" w:lineRule="atLeast"/>
              <w:rPr>
                <w:rFonts w:ascii="宋体" w:hAnsi="宋体" w:eastAsia="宋体" w:cs="宋体"/>
                <w:color w:val="auto"/>
                <w:szCs w:val="21"/>
                <w:highlight w:val="none"/>
              </w:rPr>
            </w:pPr>
          </w:p>
        </w:tc>
        <w:tc>
          <w:tcPr>
            <w:tcW w:w="1980" w:type="dxa"/>
          </w:tcPr>
          <w:p>
            <w:pPr>
              <w:spacing w:line="320" w:lineRule="atLeast"/>
              <w:rPr>
                <w:rFonts w:ascii="宋体" w:hAnsi="宋体" w:eastAsia="宋体" w:cs="宋体"/>
                <w:color w:val="auto"/>
                <w:szCs w:val="21"/>
                <w:highlight w:val="none"/>
              </w:rPr>
            </w:pPr>
          </w:p>
        </w:tc>
        <w:tc>
          <w:tcPr>
            <w:tcW w:w="1980" w:type="dxa"/>
          </w:tcPr>
          <w:p>
            <w:pPr>
              <w:spacing w:line="320" w:lineRule="atLeast"/>
              <w:rPr>
                <w:rFonts w:ascii="宋体" w:hAnsi="宋体" w:eastAsia="宋体" w:cs="宋体"/>
                <w:color w:val="auto"/>
                <w:szCs w:val="21"/>
                <w:highlight w:val="none"/>
              </w:rPr>
            </w:pPr>
          </w:p>
        </w:tc>
        <w:tc>
          <w:tcPr>
            <w:tcW w:w="1620" w:type="dxa"/>
            <w:tcBorders>
              <w:right w:val="single" w:color="auto" w:sz="4" w:space="0"/>
            </w:tcBorders>
          </w:tcPr>
          <w:p>
            <w:pPr>
              <w:spacing w:line="320" w:lineRule="atLeast"/>
              <w:rPr>
                <w:rFonts w:ascii="宋体" w:hAnsi="宋体" w:eastAsia="宋体" w:cs="宋体"/>
                <w:color w:val="auto"/>
                <w:szCs w:val="21"/>
                <w:highlight w:val="none"/>
              </w:rPr>
            </w:pPr>
          </w:p>
        </w:tc>
        <w:tc>
          <w:tcPr>
            <w:tcW w:w="1380" w:type="dxa"/>
            <w:tcBorders>
              <w:left w:val="single" w:color="auto" w:sz="4" w:space="0"/>
            </w:tcBorders>
          </w:tcPr>
          <w:p>
            <w:pPr>
              <w:spacing w:line="320" w:lineRule="atLeast"/>
              <w:rPr>
                <w:rFonts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1923" w:type="dxa"/>
          </w:tcPr>
          <w:p>
            <w:pPr>
              <w:spacing w:line="320" w:lineRule="atLeast"/>
              <w:rPr>
                <w:rFonts w:ascii="宋体" w:hAnsi="宋体" w:eastAsia="宋体" w:cs="宋体"/>
                <w:color w:val="auto"/>
                <w:szCs w:val="21"/>
                <w:highlight w:val="none"/>
              </w:rPr>
            </w:pPr>
          </w:p>
        </w:tc>
        <w:tc>
          <w:tcPr>
            <w:tcW w:w="1980" w:type="dxa"/>
          </w:tcPr>
          <w:p>
            <w:pPr>
              <w:spacing w:line="320" w:lineRule="atLeast"/>
              <w:rPr>
                <w:rFonts w:ascii="宋体" w:hAnsi="宋体" w:eastAsia="宋体" w:cs="宋体"/>
                <w:color w:val="auto"/>
                <w:szCs w:val="21"/>
                <w:highlight w:val="none"/>
              </w:rPr>
            </w:pPr>
          </w:p>
        </w:tc>
        <w:tc>
          <w:tcPr>
            <w:tcW w:w="1980" w:type="dxa"/>
          </w:tcPr>
          <w:p>
            <w:pPr>
              <w:spacing w:line="320" w:lineRule="atLeast"/>
              <w:rPr>
                <w:rFonts w:ascii="宋体" w:hAnsi="宋体" w:eastAsia="宋体" w:cs="宋体"/>
                <w:color w:val="auto"/>
                <w:szCs w:val="21"/>
                <w:highlight w:val="none"/>
              </w:rPr>
            </w:pPr>
          </w:p>
        </w:tc>
        <w:tc>
          <w:tcPr>
            <w:tcW w:w="1620" w:type="dxa"/>
            <w:tcBorders>
              <w:right w:val="single" w:color="auto" w:sz="4" w:space="0"/>
            </w:tcBorders>
          </w:tcPr>
          <w:p>
            <w:pPr>
              <w:spacing w:line="320" w:lineRule="atLeast"/>
              <w:rPr>
                <w:rFonts w:ascii="宋体" w:hAnsi="宋体" w:eastAsia="宋体" w:cs="宋体"/>
                <w:color w:val="auto"/>
                <w:szCs w:val="21"/>
                <w:highlight w:val="none"/>
              </w:rPr>
            </w:pPr>
          </w:p>
        </w:tc>
        <w:tc>
          <w:tcPr>
            <w:tcW w:w="1380" w:type="dxa"/>
            <w:tcBorders>
              <w:left w:val="single" w:color="auto" w:sz="4" w:space="0"/>
            </w:tcBorders>
          </w:tcPr>
          <w:p>
            <w:pPr>
              <w:spacing w:line="320" w:lineRule="atLeast"/>
              <w:rPr>
                <w:rFonts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1923" w:type="dxa"/>
          </w:tcPr>
          <w:p>
            <w:pPr>
              <w:spacing w:line="320" w:lineRule="atLeast"/>
              <w:rPr>
                <w:rFonts w:ascii="宋体" w:hAnsi="宋体" w:eastAsia="宋体" w:cs="宋体"/>
                <w:color w:val="auto"/>
                <w:szCs w:val="21"/>
                <w:highlight w:val="none"/>
              </w:rPr>
            </w:pPr>
          </w:p>
        </w:tc>
        <w:tc>
          <w:tcPr>
            <w:tcW w:w="1980" w:type="dxa"/>
          </w:tcPr>
          <w:p>
            <w:pPr>
              <w:spacing w:line="320" w:lineRule="atLeast"/>
              <w:rPr>
                <w:rFonts w:ascii="宋体" w:hAnsi="宋体" w:eastAsia="宋体" w:cs="宋体"/>
                <w:color w:val="auto"/>
                <w:szCs w:val="21"/>
                <w:highlight w:val="none"/>
              </w:rPr>
            </w:pPr>
          </w:p>
        </w:tc>
        <w:tc>
          <w:tcPr>
            <w:tcW w:w="1980" w:type="dxa"/>
          </w:tcPr>
          <w:p>
            <w:pPr>
              <w:spacing w:line="320" w:lineRule="atLeast"/>
              <w:rPr>
                <w:rFonts w:ascii="宋体" w:hAnsi="宋体" w:eastAsia="宋体" w:cs="宋体"/>
                <w:color w:val="auto"/>
                <w:szCs w:val="21"/>
                <w:highlight w:val="none"/>
              </w:rPr>
            </w:pPr>
          </w:p>
        </w:tc>
        <w:tc>
          <w:tcPr>
            <w:tcW w:w="1620" w:type="dxa"/>
            <w:tcBorders>
              <w:right w:val="single" w:color="auto" w:sz="4" w:space="0"/>
            </w:tcBorders>
          </w:tcPr>
          <w:p>
            <w:pPr>
              <w:spacing w:line="320" w:lineRule="atLeast"/>
              <w:rPr>
                <w:rFonts w:ascii="宋体" w:hAnsi="宋体" w:eastAsia="宋体" w:cs="宋体"/>
                <w:color w:val="auto"/>
                <w:szCs w:val="21"/>
                <w:highlight w:val="none"/>
              </w:rPr>
            </w:pPr>
          </w:p>
        </w:tc>
        <w:tc>
          <w:tcPr>
            <w:tcW w:w="1380" w:type="dxa"/>
            <w:tcBorders>
              <w:left w:val="single" w:color="auto" w:sz="4" w:space="0"/>
            </w:tcBorders>
          </w:tcPr>
          <w:p>
            <w:pPr>
              <w:spacing w:line="320" w:lineRule="atLeast"/>
              <w:rPr>
                <w:rFonts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1923" w:type="dxa"/>
          </w:tcPr>
          <w:p>
            <w:pPr>
              <w:spacing w:line="320" w:lineRule="atLeast"/>
              <w:rPr>
                <w:rFonts w:ascii="宋体" w:hAnsi="宋体" w:eastAsia="宋体" w:cs="宋体"/>
                <w:color w:val="auto"/>
                <w:szCs w:val="21"/>
                <w:highlight w:val="none"/>
              </w:rPr>
            </w:pPr>
          </w:p>
        </w:tc>
        <w:tc>
          <w:tcPr>
            <w:tcW w:w="1980" w:type="dxa"/>
          </w:tcPr>
          <w:p>
            <w:pPr>
              <w:spacing w:line="320" w:lineRule="atLeast"/>
              <w:rPr>
                <w:rFonts w:ascii="宋体" w:hAnsi="宋体" w:eastAsia="宋体" w:cs="宋体"/>
                <w:color w:val="auto"/>
                <w:szCs w:val="21"/>
                <w:highlight w:val="none"/>
              </w:rPr>
            </w:pPr>
          </w:p>
        </w:tc>
        <w:tc>
          <w:tcPr>
            <w:tcW w:w="1980" w:type="dxa"/>
          </w:tcPr>
          <w:p>
            <w:pPr>
              <w:spacing w:line="320" w:lineRule="atLeast"/>
              <w:rPr>
                <w:rFonts w:ascii="宋体" w:hAnsi="宋体" w:eastAsia="宋体" w:cs="宋体"/>
                <w:color w:val="auto"/>
                <w:szCs w:val="21"/>
                <w:highlight w:val="none"/>
              </w:rPr>
            </w:pPr>
          </w:p>
        </w:tc>
        <w:tc>
          <w:tcPr>
            <w:tcW w:w="1620" w:type="dxa"/>
            <w:tcBorders>
              <w:right w:val="single" w:color="auto" w:sz="4" w:space="0"/>
            </w:tcBorders>
          </w:tcPr>
          <w:p>
            <w:pPr>
              <w:spacing w:line="320" w:lineRule="atLeast"/>
              <w:rPr>
                <w:rFonts w:ascii="宋体" w:hAnsi="宋体" w:eastAsia="宋体" w:cs="宋体"/>
                <w:color w:val="auto"/>
                <w:szCs w:val="21"/>
                <w:highlight w:val="none"/>
              </w:rPr>
            </w:pPr>
          </w:p>
        </w:tc>
        <w:tc>
          <w:tcPr>
            <w:tcW w:w="1380" w:type="dxa"/>
            <w:tcBorders>
              <w:left w:val="single" w:color="auto" w:sz="4" w:space="0"/>
            </w:tcBorders>
          </w:tcPr>
          <w:p>
            <w:pPr>
              <w:spacing w:line="320" w:lineRule="atLeast"/>
              <w:rPr>
                <w:rFonts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1923" w:type="dxa"/>
          </w:tcPr>
          <w:p>
            <w:pPr>
              <w:spacing w:line="320" w:lineRule="atLeast"/>
              <w:rPr>
                <w:rFonts w:ascii="宋体" w:hAnsi="宋体" w:eastAsia="宋体" w:cs="宋体"/>
                <w:color w:val="auto"/>
                <w:szCs w:val="21"/>
                <w:highlight w:val="none"/>
              </w:rPr>
            </w:pPr>
          </w:p>
        </w:tc>
        <w:tc>
          <w:tcPr>
            <w:tcW w:w="1980" w:type="dxa"/>
          </w:tcPr>
          <w:p>
            <w:pPr>
              <w:spacing w:line="320" w:lineRule="atLeast"/>
              <w:rPr>
                <w:rFonts w:ascii="宋体" w:hAnsi="宋体" w:eastAsia="宋体" w:cs="宋体"/>
                <w:color w:val="auto"/>
                <w:szCs w:val="21"/>
                <w:highlight w:val="none"/>
              </w:rPr>
            </w:pPr>
          </w:p>
        </w:tc>
        <w:tc>
          <w:tcPr>
            <w:tcW w:w="1980" w:type="dxa"/>
          </w:tcPr>
          <w:p>
            <w:pPr>
              <w:spacing w:line="320" w:lineRule="atLeast"/>
              <w:rPr>
                <w:rFonts w:ascii="宋体" w:hAnsi="宋体" w:eastAsia="宋体" w:cs="宋体"/>
                <w:color w:val="auto"/>
                <w:szCs w:val="21"/>
                <w:highlight w:val="none"/>
              </w:rPr>
            </w:pPr>
          </w:p>
        </w:tc>
        <w:tc>
          <w:tcPr>
            <w:tcW w:w="1620" w:type="dxa"/>
            <w:tcBorders>
              <w:right w:val="single" w:color="auto" w:sz="4" w:space="0"/>
            </w:tcBorders>
          </w:tcPr>
          <w:p>
            <w:pPr>
              <w:spacing w:line="320" w:lineRule="atLeast"/>
              <w:rPr>
                <w:rFonts w:ascii="宋体" w:hAnsi="宋体" w:eastAsia="宋体" w:cs="宋体"/>
                <w:color w:val="auto"/>
                <w:szCs w:val="21"/>
                <w:highlight w:val="none"/>
              </w:rPr>
            </w:pPr>
          </w:p>
        </w:tc>
        <w:tc>
          <w:tcPr>
            <w:tcW w:w="1380" w:type="dxa"/>
            <w:tcBorders>
              <w:left w:val="single" w:color="auto" w:sz="4" w:space="0"/>
            </w:tcBorders>
          </w:tcPr>
          <w:p>
            <w:pPr>
              <w:spacing w:line="320" w:lineRule="atLeast"/>
              <w:rPr>
                <w:rFonts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1923" w:type="dxa"/>
          </w:tcPr>
          <w:p>
            <w:pPr>
              <w:spacing w:line="320" w:lineRule="atLeast"/>
              <w:rPr>
                <w:rFonts w:ascii="宋体" w:hAnsi="宋体" w:eastAsia="宋体" w:cs="宋体"/>
                <w:color w:val="auto"/>
                <w:szCs w:val="21"/>
                <w:highlight w:val="none"/>
              </w:rPr>
            </w:pPr>
          </w:p>
        </w:tc>
        <w:tc>
          <w:tcPr>
            <w:tcW w:w="1980" w:type="dxa"/>
          </w:tcPr>
          <w:p>
            <w:pPr>
              <w:spacing w:line="320" w:lineRule="atLeast"/>
              <w:rPr>
                <w:rFonts w:ascii="宋体" w:hAnsi="宋体" w:eastAsia="宋体" w:cs="宋体"/>
                <w:color w:val="auto"/>
                <w:szCs w:val="21"/>
                <w:highlight w:val="none"/>
              </w:rPr>
            </w:pPr>
          </w:p>
        </w:tc>
        <w:tc>
          <w:tcPr>
            <w:tcW w:w="1980" w:type="dxa"/>
          </w:tcPr>
          <w:p>
            <w:pPr>
              <w:spacing w:line="320" w:lineRule="atLeast"/>
              <w:rPr>
                <w:rFonts w:ascii="宋体" w:hAnsi="宋体" w:eastAsia="宋体" w:cs="宋体"/>
                <w:color w:val="auto"/>
                <w:szCs w:val="21"/>
                <w:highlight w:val="none"/>
              </w:rPr>
            </w:pPr>
          </w:p>
        </w:tc>
        <w:tc>
          <w:tcPr>
            <w:tcW w:w="1620" w:type="dxa"/>
            <w:tcBorders>
              <w:right w:val="single" w:color="auto" w:sz="4" w:space="0"/>
            </w:tcBorders>
          </w:tcPr>
          <w:p>
            <w:pPr>
              <w:spacing w:line="320" w:lineRule="atLeast"/>
              <w:rPr>
                <w:rFonts w:ascii="宋体" w:hAnsi="宋体" w:eastAsia="宋体" w:cs="宋体"/>
                <w:color w:val="auto"/>
                <w:szCs w:val="21"/>
                <w:highlight w:val="none"/>
              </w:rPr>
            </w:pPr>
          </w:p>
        </w:tc>
        <w:tc>
          <w:tcPr>
            <w:tcW w:w="1380" w:type="dxa"/>
            <w:tcBorders>
              <w:left w:val="single" w:color="auto" w:sz="4" w:space="0"/>
            </w:tcBorders>
          </w:tcPr>
          <w:p>
            <w:pPr>
              <w:spacing w:line="320" w:lineRule="atLeast"/>
              <w:rPr>
                <w:rFonts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1923" w:type="dxa"/>
          </w:tcPr>
          <w:p>
            <w:pPr>
              <w:spacing w:line="320" w:lineRule="atLeast"/>
              <w:rPr>
                <w:rFonts w:ascii="宋体" w:hAnsi="宋体" w:eastAsia="宋体" w:cs="宋体"/>
                <w:color w:val="auto"/>
                <w:szCs w:val="21"/>
                <w:highlight w:val="none"/>
              </w:rPr>
            </w:pPr>
          </w:p>
        </w:tc>
        <w:tc>
          <w:tcPr>
            <w:tcW w:w="1980" w:type="dxa"/>
          </w:tcPr>
          <w:p>
            <w:pPr>
              <w:spacing w:line="320" w:lineRule="atLeast"/>
              <w:rPr>
                <w:rFonts w:ascii="宋体" w:hAnsi="宋体" w:eastAsia="宋体" w:cs="宋体"/>
                <w:color w:val="auto"/>
                <w:szCs w:val="21"/>
                <w:highlight w:val="none"/>
              </w:rPr>
            </w:pPr>
          </w:p>
        </w:tc>
        <w:tc>
          <w:tcPr>
            <w:tcW w:w="1980" w:type="dxa"/>
          </w:tcPr>
          <w:p>
            <w:pPr>
              <w:spacing w:line="320" w:lineRule="atLeast"/>
              <w:rPr>
                <w:rFonts w:ascii="宋体" w:hAnsi="宋体" w:eastAsia="宋体" w:cs="宋体"/>
                <w:color w:val="auto"/>
                <w:szCs w:val="21"/>
                <w:highlight w:val="none"/>
              </w:rPr>
            </w:pPr>
          </w:p>
        </w:tc>
        <w:tc>
          <w:tcPr>
            <w:tcW w:w="1620" w:type="dxa"/>
            <w:tcBorders>
              <w:right w:val="single" w:color="auto" w:sz="4" w:space="0"/>
            </w:tcBorders>
          </w:tcPr>
          <w:p>
            <w:pPr>
              <w:spacing w:line="320" w:lineRule="atLeast"/>
              <w:rPr>
                <w:rFonts w:ascii="宋体" w:hAnsi="宋体" w:eastAsia="宋体" w:cs="宋体"/>
                <w:color w:val="auto"/>
                <w:szCs w:val="21"/>
                <w:highlight w:val="none"/>
              </w:rPr>
            </w:pPr>
          </w:p>
        </w:tc>
        <w:tc>
          <w:tcPr>
            <w:tcW w:w="1380" w:type="dxa"/>
            <w:tcBorders>
              <w:left w:val="single" w:color="auto" w:sz="4" w:space="0"/>
            </w:tcBorders>
          </w:tcPr>
          <w:p>
            <w:pPr>
              <w:spacing w:line="320" w:lineRule="atLeast"/>
              <w:rPr>
                <w:rFonts w:ascii="宋体" w:hAnsi="宋体" w:eastAsia="宋体" w:cs="宋体"/>
                <w:color w:val="auto"/>
                <w:szCs w:val="21"/>
                <w:highlight w:val="none"/>
              </w:rPr>
            </w:pPr>
          </w:p>
        </w:tc>
      </w:tr>
    </w:tbl>
    <w:p>
      <w:pPr>
        <w:ind w:firstLine="105" w:firstLineChars="50"/>
        <w:rPr>
          <w:rFonts w:ascii="宋体" w:hAnsi="宋体"/>
          <w:color w:val="auto"/>
          <w:highlight w:val="none"/>
        </w:rPr>
      </w:pPr>
      <w:r>
        <w:rPr>
          <w:rFonts w:hint="eastAsia" w:ascii="宋体" w:hAnsi="宋体"/>
          <w:color w:val="auto"/>
          <w:highlight w:val="none"/>
        </w:rPr>
        <w:t>超出部分可按此表格式另行填写</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widowControl/>
        <w:jc w:val="left"/>
        <w:rPr>
          <w:rFonts w:ascii="宋体" w:hAnsi="宋体" w:eastAsia="宋体" w:cs="宋体"/>
          <w:b/>
          <w:color w:val="auto"/>
          <w:sz w:val="32"/>
          <w:szCs w:val="20"/>
          <w:highlight w:val="none"/>
        </w:rPr>
      </w:pPr>
      <w:r>
        <w:rPr>
          <w:rFonts w:ascii="宋体" w:hAnsi="宋体"/>
          <w:b/>
          <w:color w:val="auto"/>
          <w:kern w:val="0"/>
          <w:sz w:val="28"/>
          <w:szCs w:val="28"/>
          <w:highlight w:val="none"/>
        </w:rPr>
        <w:br w:type="page"/>
      </w:r>
      <w:bookmarkStart w:id="181" w:name="_Toc31392"/>
    </w:p>
    <w:bookmarkEnd w:id="181"/>
    <w:p>
      <w:pPr>
        <w:pStyle w:val="4"/>
        <w:jc w:val="center"/>
        <w:rPr>
          <w:rFonts w:ascii="宋体" w:hAnsi="宋体" w:eastAsia="宋体" w:cs="宋体"/>
          <w:color w:val="auto"/>
          <w:highlight w:val="none"/>
        </w:rPr>
      </w:pPr>
      <w:bookmarkStart w:id="182" w:name="_Toc19414"/>
      <w:r>
        <w:rPr>
          <w:rFonts w:hint="eastAsia" w:ascii="宋体" w:hAnsi="宋体" w:eastAsia="宋体" w:cs="宋体"/>
          <w:color w:val="auto"/>
          <w:highlight w:val="none"/>
        </w:rPr>
        <w:t>5.技术部分</w:t>
      </w:r>
    </w:p>
    <w:p>
      <w:pPr>
        <w:pStyle w:val="5"/>
        <w:rPr>
          <w:color w:val="auto"/>
          <w:szCs w:val="28"/>
          <w:highlight w:val="none"/>
        </w:rPr>
      </w:pPr>
      <w:r>
        <w:rPr>
          <w:rFonts w:hint="eastAsia"/>
          <w:color w:val="auto"/>
          <w:highlight w:val="none"/>
        </w:rPr>
        <w:t>5.1保险服务承诺函</w:t>
      </w:r>
    </w:p>
    <w:tbl>
      <w:tblPr>
        <w:tblStyle w:val="41"/>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1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803" w:type="dxa"/>
            <w:vAlign w:val="center"/>
          </w:tcPr>
          <w:p>
            <w:pPr>
              <w:snapToGrid w:val="0"/>
              <w:spacing w:line="4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服务承诺</w:t>
            </w:r>
          </w:p>
        </w:tc>
        <w:tc>
          <w:tcPr>
            <w:tcW w:w="7156" w:type="dxa"/>
            <w:vAlign w:val="center"/>
          </w:tcPr>
          <w:p>
            <w:pPr>
              <w:snapToGrid w:val="0"/>
              <w:spacing w:line="4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具体工作（包括但不限于以下内容）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1803" w:type="dxa"/>
            <w:vAlign w:val="center"/>
          </w:tcPr>
          <w:p>
            <w:pPr>
              <w:snapToGrid w:val="0"/>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风险管理</w:t>
            </w:r>
          </w:p>
        </w:tc>
        <w:tc>
          <w:tcPr>
            <w:tcW w:w="7156" w:type="dxa"/>
            <w:vAlign w:val="center"/>
          </w:tcPr>
          <w:p>
            <w:pPr>
              <w:snapToGrid w:val="0"/>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应提供风险查勘及风险管理的详细计划，包括能够为本项目提供的风险管理服务方案，风险管理工程师资质以及工作计划安排等内容。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13" w:hRule="atLeast"/>
          <w:jc w:val="center"/>
        </w:trPr>
        <w:tc>
          <w:tcPr>
            <w:tcW w:w="1803" w:type="dxa"/>
            <w:vAlign w:val="center"/>
          </w:tcPr>
          <w:p>
            <w:pPr>
              <w:snapToGrid w:val="0"/>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理赔处理</w:t>
            </w:r>
          </w:p>
        </w:tc>
        <w:tc>
          <w:tcPr>
            <w:tcW w:w="7156" w:type="dxa"/>
            <w:vAlign w:val="center"/>
          </w:tcPr>
          <w:p>
            <w:pPr>
              <w:snapToGrid w:val="0"/>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应提供完整有效的理赔管理的机制，包括协助发包人和承包商建立快速有效的报案以及理赔处理的流程，理赔协调制度，理赔权限设置，快速处理通道，项目专门服务团队等内容。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1803" w:type="dxa"/>
            <w:vAlign w:val="center"/>
          </w:tcPr>
          <w:p>
            <w:pPr>
              <w:snapToGrid w:val="0"/>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日常服务</w:t>
            </w:r>
          </w:p>
        </w:tc>
        <w:tc>
          <w:tcPr>
            <w:tcW w:w="7156" w:type="dxa"/>
            <w:vAlign w:val="center"/>
          </w:tcPr>
          <w:p>
            <w:pPr>
              <w:snapToGrid w:val="0"/>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应包括属地服务，培训计划，单证管理等内容。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1803" w:type="dxa"/>
            <w:vAlign w:val="center"/>
          </w:tcPr>
          <w:p>
            <w:pPr>
              <w:pStyle w:val="16"/>
              <w:autoSpaceDE w:val="0"/>
              <w:autoSpaceDN w:val="0"/>
              <w:adjustRightInd w:val="0"/>
              <w:snapToGrid w:val="0"/>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其他增值服务</w:t>
            </w:r>
          </w:p>
        </w:tc>
        <w:tc>
          <w:tcPr>
            <w:tcW w:w="7156" w:type="dxa"/>
            <w:vAlign w:val="center"/>
          </w:tcPr>
          <w:p>
            <w:pPr>
              <w:snapToGrid w:val="0"/>
              <w:spacing w:line="400" w:lineRule="exact"/>
              <w:rPr>
                <w:rFonts w:ascii="宋体" w:hAnsi="宋体" w:eastAsia="宋体" w:cs="宋体"/>
                <w:bCs/>
                <w:color w:val="auto"/>
                <w:szCs w:val="21"/>
                <w:highlight w:val="none"/>
              </w:rPr>
            </w:pPr>
            <w:r>
              <w:rPr>
                <w:rFonts w:hint="eastAsia" w:ascii="宋体" w:hAnsi="宋体" w:eastAsia="宋体" w:cs="宋体"/>
                <w:bCs/>
                <w:color w:val="auto"/>
                <w:szCs w:val="21"/>
                <w:highlight w:val="none"/>
              </w:rPr>
              <w:t>由各投标人根据项目服务经验自行提供。</w:t>
            </w:r>
          </w:p>
        </w:tc>
      </w:tr>
    </w:tbl>
    <w:p>
      <w:pPr>
        <w:widowControl/>
        <w:snapToGrid w:val="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注：本表格只需填写内容摘要，具体内容可作详细说明。</w:t>
      </w:r>
    </w:p>
    <w:p>
      <w:pPr>
        <w:adjustRightInd w:val="0"/>
        <w:snapToGrid w:val="0"/>
        <w:spacing w:line="360" w:lineRule="auto"/>
        <w:jc w:val="left"/>
        <w:rPr>
          <w:rFonts w:ascii="宋体" w:hAnsi="宋体" w:eastAsia="宋体" w:cs="宋体"/>
          <w:color w:val="auto"/>
          <w:szCs w:val="21"/>
          <w:highlight w:val="none"/>
        </w:rPr>
      </w:pPr>
    </w:p>
    <w:p>
      <w:pPr>
        <w:adjustRightInd w:val="0"/>
        <w:snapToGrid w:val="0"/>
        <w:rPr>
          <w:rFonts w:ascii="宋体" w:hAnsi="宋体" w:eastAsia="宋体" w:cs="宋体"/>
          <w:color w:val="auto"/>
          <w:szCs w:val="21"/>
          <w:highlight w:val="none"/>
        </w:rPr>
      </w:pPr>
    </w:p>
    <w:p>
      <w:pPr>
        <w:spacing w:line="360" w:lineRule="auto"/>
        <w:ind w:firstLine="2520" w:firstLineChars="1200"/>
        <w:rPr>
          <w:rFonts w:ascii="宋体" w:hAnsi="宋体" w:eastAsia="宋体" w:cs="宋体"/>
          <w:color w:val="auto"/>
          <w:szCs w:val="21"/>
          <w:highlight w:val="none"/>
        </w:rPr>
      </w:pPr>
      <w:r>
        <w:rPr>
          <w:rFonts w:hint="eastAsia" w:ascii="宋体" w:hAnsi="宋体" w:eastAsia="宋体" w:cs="宋体"/>
          <w:color w:val="auto"/>
          <w:szCs w:val="21"/>
          <w:highlight w:val="none"/>
        </w:rPr>
        <w:t>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法定代表人（负责人或其被授权人）：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pStyle w:val="2"/>
        <w:adjustRightInd w:val="0"/>
        <w:snapToGrid w:val="0"/>
        <w:ind w:firstLine="2520" w:firstLineChars="1200"/>
        <w:rPr>
          <w:rFonts w:hAnsi="宋体" w:cs="宋体"/>
          <w:b/>
          <w:bCs/>
          <w:color w:val="auto"/>
          <w:highlight w:val="none"/>
        </w:rPr>
      </w:pPr>
      <w:r>
        <w:rPr>
          <w:rFonts w:hint="eastAsia" w:hAnsi="宋体" w:cs="宋体"/>
          <w:color w:val="auto"/>
          <w:highlight w:val="none"/>
        </w:rPr>
        <w:t>日   期 ：2023年   月   日</w:t>
      </w:r>
    </w:p>
    <w:p>
      <w:pPr>
        <w:pStyle w:val="5"/>
        <w:rPr>
          <w:color w:val="auto"/>
          <w:highlight w:val="none"/>
        </w:rPr>
      </w:pPr>
      <w:r>
        <w:rPr>
          <w:rFonts w:hint="eastAsia" w:cs="宋体"/>
          <w:b w:val="0"/>
          <w:bCs w:val="0"/>
          <w:color w:val="auto"/>
          <w:sz w:val="32"/>
          <w:highlight w:val="none"/>
        </w:rPr>
        <w:br w:type="page"/>
      </w:r>
      <w:r>
        <w:rPr>
          <w:rFonts w:hint="eastAsia"/>
          <w:color w:val="auto"/>
          <w:highlight w:val="none"/>
        </w:rPr>
        <w:t>5.2保险服务承诺详述</w:t>
      </w:r>
    </w:p>
    <w:p>
      <w:pPr>
        <w:tabs>
          <w:tab w:val="left" w:pos="480"/>
          <w:tab w:val="left" w:pos="2160"/>
          <w:tab w:val="left" w:pos="2760"/>
          <w:tab w:val="left" w:pos="3240"/>
        </w:tabs>
        <w:snapToGrid w:val="0"/>
        <w:ind w:firstLine="482" w:firstLineChars="200"/>
        <w:rPr>
          <w:rFonts w:ascii="宋体" w:hAnsi="宋体" w:cs="Ming(for ISO10646)"/>
          <w:b/>
          <w:bCs/>
          <w:color w:val="auto"/>
          <w:sz w:val="24"/>
          <w:highlight w:val="none"/>
        </w:rPr>
      </w:pPr>
    </w:p>
    <w:p>
      <w:pPr>
        <w:pStyle w:val="70"/>
        <w:rPr>
          <w:color w:val="auto"/>
          <w:highlight w:val="none"/>
        </w:rPr>
      </w:pPr>
      <w:r>
        <w:rPr>
          <w:rFonts w:hint="eastAsia"/>
          <w:color w:val="auto"/>
          <w:highlight w:val="none"/>
        </w:rPr>
        <w:t>投标人应详细提供保险服务承诺，内容包括但不限于表格5.1的内容。</w:t>
      </w:r>
    </w:p>
    <w:p>
      <w:pPr>
        <w:pStyle w:val="70"/>
        <w:rPr>
          <w:color w:val="auto"/>
          <w:highlight w:val="none"/>
        </w:rPr>
      </w:pPr>
    </w:p>
    <w:p>
      <w:pPr>
        <w:pStyle w:val="70"/>
        <w:rPr>
          <w:rStyle w:val="153"/>
          <w:rFonts w:ascii="宋体" w:hAnsi="宋体" w:eastAsia="宋体" w:cs="宋体"/>
          <w:color w:val="auto"/>
          <w:highlight w:val="none"/>
        </w:rPr>
      </w:pPr>
    </w:p>
    <w:p>
      <w:pPr>
        <w:adjustRightInd w:val="0"/>
        <w:snapToGrid w:val="0"/>
        <w:rPr>
          <w:rFonts w:ascii="宋体" w:hAnsi="宋体"/>
          <w:color w:val="auto"/>
          <w:sz w:val="22"/>
          <w:highlight w:val="none"/>
        </w:rPr>
      </w:pPr>
    </w:p>
    <w:p>
      <w:pPr>
        <w:rPr>
          <w:color w:val="auto"/>
          <w:highlight w:val="none"/>
        </w:rPr>
      </w:pPr>
      <w:r>
        <w:rPr>
          <w:rFonts w:hint="eastAsia"/>
          <w:color w:val="auto"/>
          <w:highlight w:val="none"/>
        </w:rPr>
        <w:br w:type="page"/>
      </w:r>
    </w:p>
    <w:p>
      <w:pPr>
        <w:pStyle w:val="5"/>
        <w:rPr>
          <w:color w:val="auto"/>
          <w:highlight w:val="none"/>
        </w:rPr>
      </w:pPr>
      <w:r>
        <w:rPr>
          <w:rFonts w:hint="eastAsia"/>
          <w:color w:val="auto"/>
          <w:highlight w:val="none"/>
        </w:rPr>
        <w:t>5.3保险服务方案</w:t>
      </w:r>
    </w:p>
    <w:p>
      <w:pPr>
        <w:pStyle w:val="70"/>
        <w:spacing w:line="360" w:lineRule="auto"/>
        <w:rPr>
          <w:rFonts w:hAnsi="宋体" w:cs="宋体"/>
          <w:color w:val="auto"/>
          <w:szCs w:val="21"/>
          <w:highlight w:val="none"/>
        </w:rPr>
      </w:pPr>
      <w:r>
        <w:rPr>
          <w:rFonts w:hint="eastAsia" w:hAnsi="宋体" w:cs="宋体"/>
          <w:color w:val="auto"/>
          <w:szCs w:val="21"/>
          <w:highlight w:val="none"/>
        </w:rPr>
        <w:t>投标人应按以下要点项目特点编写服务方案(文字宜精练、内容具有针对性，总体控制在10000字以内)，格式自拟，包括但不限于以下内容：</w:t>
      </w:r>
    </w:p>
    <w:p>
      <w:pPr>
        <w:pStyle w:val="70"/>
        <w:spacing w:line="360" w:lineRule="auto"/>
        <w:rPr>
          <w:rFonts w:hAnsi="宋体" w:cs="宋体"/>
          <w:color w:val="auto"/>
          <w:szCs w:val="21"/>
          <w:highlight w:val="none"/>
        </w:rPr>
      </w:pPr>
    </w:p>
    <w:p>
      <w:pPr>
        <w:pStyle w:val="70"/>
        <w:spacing w:line="360" w:lineRule="auto"/>
        <w:ind w:firstLine="420" w:firstLineChars="200"/>
        <w:rPr>
          <w:rFonts w:hAnsi="宋体" w:cs="宋体"/>
          <w:color w:val="auto"/>
          <w:szCs w:val="21"/>
          <w:highlight w:val="none"/>
        </w:rPr>
      </w:pPr>
      <w:r>
        <w:rPr>
          <w:rFonts w:hint="eastAsia" w:hAnsi="宋体" w:cs="宋体"/>
          <w:color w:val="auto"/>
          <w:szCs w:val="21"/>
          <w:highlight w:val="none"/>
        </w:rPr>
        <w:t>1</w:t>
      </w:r>
      <w:r>
        <w:rPr>
          <w:rFonts w:hAnsi="宋体" w:cs="宋体"/>
          <w:color w:val="auto"/>
          <w:szCs w:val="21"/>
          <w:highlight w:val="none"/>
        </w:rPr>
        <w:t xml:space="preserve">. </w:t>
      </w:r>
      <w:r>
        <w:rPr>
          <w:rFonts w:hint="eastAsia" w:hAnsi="宋体" w:cs="宋体"/>
          <w:color w:val="auto"/>
          <w:szCs w:val="21"/>
          <w:highlight w:val="none"/>
        </w:rPr>
        <w:t>增加更有利于被保险人的服务内容及优惠条件的（如勘查时效的长短、索赔手续的时效性、可操性等）。</w:t>
      </w:r>
    </w:p>
    <w:p>
      <w:pPr>
        <w:topLinePunct/>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2. </w:t>
      </w:r>
      <w:r>
        <w:rPr>
          <w:rFonts w:hint="eastAsia" w:ascii="宋体" w:hAnsi="宋体" w:eastAsia="宋体" w:cs="宋体"/>
          <w:color w:val="auto"/>
          <w:szCs w:val="21"/>
          <w:highlight w:val="none"/>
        </w:rPr>
        <w:t>承保能力说明、资信、资质、再保方案等情况说明及其有效证明资料；</w:t>
      </w:r>
    </w:p>
    <w:p>
      <w:pPr>
        <w:tabs>
          <w:tab w:val="left" w:pos="1680"/>
          <w:tab w:val="left" w:pos="2970"/>
          <w:tab w:val="left" w:pos="3240"/>
          <w:tab w:val="left" w:pos="5310"/>
          <w:tab w:val="left" w:pos="5460"/>
          <w:tab w:val="left" w:pos="6480"/>
          <w:tab w:val="left" w:pos="9000"/>
        </w:tabs>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3. </w:t>
      </w:r>
      <w:r>
        <w:rPr>
          <w:rFonts w:hint="eastAsia" w:ascii="宋体" w:hAnsi="宋体" w:eastAsia="宋体" w:cs="宋体"/>
          <w:color w:val="auto"/>
          <w:szCs w:val="21"/>
          <w:highlight w:val="none"/>
        </w:rPr>
        <w:t>受理本工程赔偿的具体实施方案；</w:t>
      </w:r>
    </w:p>
    <w:p>
      <w:pPr>
        <w:tabs>
          <w:tab w:val="left" w:pos="1680"/>
          <w:tab w:val="left" w:pos="2970"/>
          <w:tab w:val="left" w:pos="3240"/>
          <w:tab w:val="left" w:pos="5310"/>
          <w:tab w:val="left" w:pos="5460"/>
          <w:tab w:val="left" w:pos="6480"/>
          <w:tab w:val="left" w:pos="9000"/>
        </w:tabs>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4. </w:t>
      </w:r>
      <w:r>
        <w:rPr>
          <w:rFonts w:hint="eastAsia" w:ascii="宋体" w:hAnsi="宋体" w:eastAsia="宋体" w:cs="宋体"/>
          <w:color w:val="auto"/>
          <w:szCs w:val="21"/>
          <w:highlight w:val="none"/>
        </w:rPr>
        <w:t>日常服务承诺及对招标人增加的其他附加优惠条件，包括定期提供免费现场培训、咨询服务等；</w:t>
      </w:r>
    </w:p>
    <w:p>
      <w:pPr>
        <w:pStyle w:val="54"/>
        <w:ind w:firstLine="420" w:firstLineChars="200"/>
        <w:rPr>
          <w:rFonts w:ascii="宋体" w:hAnsi="宋体" w:cs="宋体"/>
          <w:color w:val="auto"/>
          <w:szCs w:val="21"/>
          <w:highlight w:val="none"/>
        </w:rPr>
      </w:pPr>
      <w:r>
        <w:rPr>
          <w:rFonts w:ascii="宋体" w:hAnsi="宋体" w:cs="宋体"/>
          <w:color w:val="auto"/>
          <w:szCs w:val="21"/>
          <w:highlight w:val="none"/>
        </w:rPr>
        <w:t xml:space="preserve">5. </w:t>
      </w:r>
      <w:r>
        <w:rPr>
          <w:rFonts w:hint="eastAsia" w:ascii="宋体" w:hAnsi="宋体" w:cs="宋体"/>
          <w:color w:val="auto"/>
          <w:szCs w:val="21"/>
          <w:highlight w:val="none"/>
        </w:rPr>
        <w:t>在本工程所在地机构的设置、职能、权限等情况说明</w:t>
      </w:r>
    </w:p>
    <w:p>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pPr>
        <w:jc w:val="center"/>
        <w:rPr>
          <w:rFonts w:ascii="宋体" w:hAnsi="宋体" w:eastAsia="宋体" w:cs="宋体"/>
          <w:b/>
          <w:strike/>
          <w:color w:val="auto"/>
          <w:sz w:val="32"/>
          <w:szCs w:val="32"/>
          <w:highlight w:val="none"/>
        </w:rPr>
      </w:pPr>
      <w:r>
        <w:rPr>
          <w:rFonts w:hint="eastAsia" w:ascii="宋体" w:hAnsi="宋体" w:eastAsia="宋体" w:cs="宋体"/>
          <w:b/>
          <w:strike/>
          <w:color w:val="auto"/>
          <w:sz w:val="32"/>
          <w:szCs w:val="32"/>
          <w:highlight w:val="none"/>
        </w:rPr>
        <w:t>6.银行投标保函及承诺书（如有）</w:t>
      </w:r>
    </w:p>
    <w:p>
      <w:pPr>
        <w:jc w:val="center"/>
        <w:rPr>
          <w:rFonts w:ascii="宋体" w:hAnsi="宋体" w:eastAsia="宋体" w:cs="宋体"/>
          <w:b/>
          <w:strike/>
          <w:color w:val="auto"/>
          <w:sz w:val="32"/>
          <w:szCs w:val="32"/>
          <w:highlight w:val="none"/>
        </w:rPr>
      </w:pPr>
    </w:p>
    <w:p>
      <w:pPr>
        <w:jc w:val="center"/>
        <w:rPr>
          <w:rFonts w:ascii="宋体" w:hAnsi="宋体" w:eastAsia="宋体" w:cs="宋体"/>
          <w:b/>
          <w:strike/>
          <w:color w:val="auto"/>
          <w:sz w:val="28"/>
          <w:szCs w:val="28"/>
          <w:highlight w:val="none"/>
        </w:rPr>
      </w:pPr>
      <w:r>
        <w:rPr>
          <w:rFonts w:hint="eastAsia" w:ascii="宋体" w:hAnsi="宋体" w:eastAsia="宋体" w:cs="宋体"/>
          <w:b/>
          <w:strike/>
          <w:color w:val="auto"/>
          <w:sz w:val="28"/>
          <w:szCs w:val="28"/>
          <w:highlight w:val="none"/>
        </w:rPr>
        <w:t>6.1银行投标保函（格式）</w:t>
      </w:r>
    </w:p>
    <w:p>
      <w:pPr>
        <w:ind w:firstLine="480" w:firstLineChars="200"/>
        <w:jc w:val="right"/>
        <w:rPr>
          <w:rFonts w:ascii="宋体" w:hAnsi="宋体" w:eastAsia="宋体" w:cs="宋体"/>
          <w:strike/>
          <w:color w:val="auto"/>
          <w:sz w:val="24"/>
          <w:szCs w:val="24"/>
          <w:highlight w:val="none"/>
        </w:rPr>
      </w:pPr>
    </w:p>
    <w:p>
      <w:pPr>
        <w:ind w:firstLine="480" w:firstLineChars="200"/>
        <w:jc w:val="right"/>
        <w:rPr>
          <w:rFonts w:ascii="宋体" w:hAnsi="宋体" w:eastAsia="宋体" w:cs="宋体"/>
          <w:strike/>
          <w:color w:val="auto"/>
          <w:sz w:val="24"/>
          <w:szCs w:val="24"/>
          <w:highlight w:val="none"/>
          <w:u w:val="single"/>
        </w:rPr>
      </w:pPr>
      <w:r>
        <w:rPr>
          <w:rFonts w:hint="eastAsia" w:ascii="宋体" w:hAnsi="宋体" w:eastAsia="宋体" w:cs="宋体"/>
          <w:strike/>
          <w:color w:val="auto"/>
          <w:sz w:val="24"/>
          <w:szCs w:val="24"/>
          <w:highlight w:val="none"/>
        </w:rPr>
        <w:t>保函编号：__________________</w:t>
      </w:r>
      <w:r>
        <w:rPr>
          <w:rFonts w:hint="eastAsia" w:ascii="宋体" w:hAnsi="宋体" w:eastAsia="宋体" w:cs="宋体"/>
          <w:strike/>
          <w:color w:val="auto"/>
          <w:sz w:val="24"/>
          <w:szCs w:val="24"/>
          <w:highlight w:val="none"/>
          <w:u w:val="single"/>
        </w:rPr>
        <w:t xml:space="preserve">     </w:t>
      </w:r>
    </w:p>
    <w:p>
      <w:pPr>
        <w:ind w:firstLine="480" w:firstLineChars="200"/>
        <w:rPr>
          <w:rFonts w:ascii="宋体" w:hAnsi="宋体" w:eastAsia="宋体" w:cs="宋体"/>
          <w:strike/>
          <w:color w:val="auto"/>
          <w:sz w:val="24"/>
          <w:szCs w:val="24"/>
          <w:highlight w:val="none"/>
        </w:rPr>
      </w:pPr>
    </w:p>
    <w:p>
      <w:pPr>
        <w:ind w:firstLine="480" w:firstLineChars="200"/>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致：</w:t>
      </w:r>
      <w:r>
        <w:rPr>
          <w:rFonts w:hint="eastAsia" w:ascii="宋体" w:hAnsi="宋体" w:eastAsia="宋体" w:cs="宋体"/>
          <w:strike/>
          <w:color w:val="auto"/>
          <w:sz w:val="24"/>
          <w:szCs w:val="24"/>
          <w:highlight w:val="none"/>
          <w:lang w:eastAsia="zh-CN"/>
        </w:rPr>
        <w:t>广州市广园市政建设有限公司</w:t>
      </w:r>
      <w:r>
        <w:rPr>
          <w:rFonts w:hint="eastAsia" w:ascii="宋体" w:hAnsi="宋体" w:eastAsia="宋体" w:cs="宋体"/>
          <w:strike/>
          <w:color w:val="auto"/>
          <w:sz w:val="24"/>
          <w:szCs w:val="24"/>
          <w:highlight w:val="none"/>
        </w:rPr>
        <w:t>（招标单位）</w:t>
      </w:r>
    </w:p>
    <w:p>
      <w:pPr>
        <w:ind w:firstLine="555"/>
        <w:rPr>
          <w:rFonts w:ascii="宋体" w:hAnsi="宋体" w:eastAsia="宋体" w:cs="宋体"/>
          <w:strike/>
          <w:color w:val="auto"/>
          <w:sz w:val="24"/>
          <w:szCs w:val="24"/>
          <w:highlight w:val="none"/>
        </w:rPr>
      </w:pPr>
    </w:p>
    <w:p>
      <w:pPr>
        <w:ind w:firstLine="480" w:firstLineChars="200"/>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鉴于</w:t>
      </w:r>
      <w:r>
        <w:rPr>
          <w:rFonts w:hint="eastAsia" w:ascii="宋体" w:hAnsi="宋体" w:eastAsia="宋体" w:cs="宋体"/>
          <w:strike/>
          <w:color w:val="auto"/>
          <w:sz w:val="24"/>
          <w:szCs w:val="24"/>
          <w:highlight w:val="none"/>
          <w:u w:val="single"/>
        </w:rPr>
        <w:t xml:space="preserve">             </w:t>
      </w:r>
      <w:r>
        <w:rPr>
          <w:rFonts w:hint="eastAsia" w:ascii="宋体" w:hAnsi="宋体" w:eastAsia="宋体" w:cs="宋体"/>
          <w:strike/>
          <w:color w:val="auto"/>
          <w:sz w:val="24"/>
          <w:szCs w:val="24"/>
          <w:highlight w:val="none"/>
        </w:rPr>
        <w:t xml:space="preserve">（以下称“投标单位”）参加贵方（项目名称及编号）           项目（以下称“本项目”）的投标，并委托我行出具符合本项目招标文件要求的投标保函，我行特出具本保函为投标单位提供不可撤销的投标担保，担保金额为人民币（大写）       （¥ </w:t>
      </w:r>
      <w:r>
        <w:rPr>
          <w:rFonts w:hint="eastAsia" w:ascii="宋体" w:hAnsi="宋体" w:eastAsia="宋体" w:cs="宋体"/>
          <w:strike/>
          <w:color w:val="auto"/>
          <w:sz w:val="24"/>
          <w:szCs w:val="24"/>
          <w:highlight w:val="none"/>
          <w:u w:val="single"/>
        </w:rPr>
        <w:t xml:space="preserve">     </w:t>
      </w:r>
      <w:r>
        <w:rPr>
          <w:rFonts w:hint="eastAsia" w:ascii="宋体" w:hAnsi="宋体" w:eastAsia="宋体" w:cs="宋体"/>
          <w:strike/>
          <w:color w:val="auto"/>
          <w:sz w:val="24"/>
          <w:szCs w:val="24"/>
          <w:highlight w:val="none"/>
        </w:rPr>
        <w:t>元）。</w:t>
      </w:r>
    </w:p>
    <w:p>
      <w:pPr>
        <w:ind w:firstLine="480" w:firstLineChars="200"/>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本保函的保证期限为：本项目投标有效期或延长的投标有效期后90日（含90日），延长投标有效期无须通知我行。</w:t>
      </w:r>
    </w:p>
    <w:p>
      <w:pPr>
        <w:ind w:firstLine="480" w:firstLineChars="200"/>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本保函的义务是：我行在接到招标单位提出的因投标单位存在以下情形之一（或以上）而要求索赔的书面通知后的30天内，在上述担保金额的限额内向招标单位支付款项，无须招标单位出具证明或陈述理由：</w:t>
      </w:r>
    </w:p>
    <w:p>
      <w:pPr>
        <w:ind w:firstLine="360" w:firstLineChars="150"/>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1.因投标单位原因造成投标文件未解密的；</w:t>
      </w:r>
    </w:p>
    <w:p>
      <w:pPr>
        <w:ind w:firstLine="360" w:firstLineChars="150"/>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2.投标单位在本项目招标文件规定的投标有效期（含延长的投标有效期）内撤回其投标的；</w:t>
      </w:r>
    </w:p>
    <w:p>
      <w:pPr>
        <w:ind w:firstLine="360" w:firstLineChars="150"/>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3.投标单位在投标有效期内收到本项目中标通知书后，不能或拒绝按招标文件的规定签订合同的；</w:t>
      </w:r>
    </w:p>
    <w:p>
      <w:pPr>
        <w:ind w:firstLine="360" w:firstLineChars="150"/>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4.投标单位在投标有效期内收到本项目中标通知书后，不能或拒绝按招标文件的规定提交履约担保的；</w:t>
      </w:r>
    </w:p>
    <w:p>
      <w:pPr>
        <w:ind w:firstLine="360" w:firstLineChars="150"/>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5.投标单位弄虚作假，所提供的投标文件及相关材料中有虚假资料的。</w:t>
      </w:r>
    </w:p>
    <w:p>
      <w:pPr>
        <w:ind w:firstLine="360" w:firstLineChars="150"/>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在招标单位向我行提出要求前，我行将不坚持要求招标单位应首先向投标单位索要上述款项。我们还同意，任何对招标文件所作的修改或补充都不能免除我行按本保函所应承担的义务。</w:t>
      </w:r>
    </w:p>
    <w:p>
      <w:pPr>
        <w:rPr>
          <w:rFonts w:ascii="宋体" w:hAnsi="宋体" w:eastAsia="宋体" w:cs="宋体"/>
          <w:strike/>
          <w:color w:val="auto"/>
          <w:sz w:val="24"/>
          <w:szCs w:val="24"/>
          <w:highlight w:val="none"/>
        </w:rPr>
      </w:pPr>
    </w:p>
    <w:p>
      <w:pPr>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 xml:space="preserve">   本保函一式三份，招标单位执正本一份，担保银行、投标单位各执副本一份。</w:t>
      </w:r>
    </w:p>
    <w:p>
      <w:pPr>
        <w:rPr>
          <w:rFonts w:ascii="宋体" w:hAnsi="宋体" w:eastAsia="宋体" w:cs="宋体"/>
          <w:strike/>
          <w:color w:val="auto"/>
          <w:sz w:val="24"/>
          <w:szCs w:val="24"/>
          <w:highlight w:val="none"/>
        </w:rPr>
      </w:pPr>
    </w:p>
    <w:p>
      <w:pPr>
        <w:rPr>
          <w:rFonts w:ascii="宋体" w:hAnsi="宋体" w:eastAsia="宋体" w:cs="宋体"/>
          <w:strike/>
          <w:color w:val="auto"/>
          <w:sz w:val="24"/>
          <w:szCs w:val="24"/>
          <w:highlight w:val="none"/>
        </w:rPr>
      </w:pPr>
    </w:p>
    <w:p>
      <w:pPr>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担保银行（盖章）：</w:t>
      </w:r>
    </w:p>
    <w:p>
      <w:pPr>
        <w:rPr>
          <w:rFonts w:ascii="宋体" w:hAnsi="宋体" w:eastAsia="宋体" w:cs="宋体"/>
          <w:strike/>
          <w:color w:val="auto"/>
          <w:sz w:val="24"/>
          <w:szCs w:val="24"/>
          <w:highlight w:val="none"/>
        </w:rPr>
      </w:pPr>
    </w:p>
    <w:p>
      <w:pPr>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法定代表人：（签字）</w:t>
      </w:r>
    </w:p>
    <w:p>
      <w:pPr>
        <w:rPr>
          <w:rFonts w:ascii="宋体" w:hAnsi="宋体" w:eastAsia="宋体" w:cs="宋体"/>
          <w:strike/>
          <w:color w:val="auto"/>
          <w:sz w:val="24"/>
          <w:szCs w:val="24"/>
          <w:highlight w:val="none"/>
        </w:rPr>
      </w:pPr>
    </w:p>
    <w:p>
      <w:pPr>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日期：</w:t>
      </w:r>
    </w:p>
    <w:p>
      <w:pPr>
        <w:rPr>
          <w:rFonts w:ascii="宋体" w:hAnsi="宋体" w:eastAsia="宋体" w:cs="宋体"/>
          <w:strike/>
          <w:color w:val="auto"/>
          <w:highlight w:val="none"/>
        </w:rPr>
      </w:pPr>
    </w:p>
    <w:p>
      <w:pPr>
        <w:rPr>
          <w:rFonts w:ascii="宋体" w:hAnsi="宋体" w:eastAsia="宋体" w:cs="宋体"/>
          <w:b/>
          <w:bCs/>
          <w:i/>
          <w:iCs/>
          <w:strike/>
          <w:color w:val="auto"/>
          <w:sz w:val="24"/>
          <w:highlight w:val="none"/>
        </w:rPr>
      </w:pPr>
      <w:r>
        <w:rPr>
          <w:rFonts w:hint="eastAsia" w:ascii="宋体" w:hAnsi="宋体" w:eastAsia="宋体" w:cs="宋体"/>
          <w:b/>
          <w:bCs/>
          <w:i/>
          <w:iCs/>
          <w:strike/>
          <w:color w:val="auto"/>
          <w:sz w:val="24"/>
          <w:highlight w:val="none"/>
        </w:rPr>
        <w:t>[本保函须经公证机关公证后方为有效。]</w:t>
      </w:r>
    </w:p>
    <w:p>
      <w:pPr>
        <w:jc w:val="center"/>
        <w:rPr>
          <w:rFonts w:ascii="宋体" w:hAnsi="宋体" w:eastAsia="宋体" w:cs="宋体"/>
          <w:b/>
          <w:color w:val="auto"/>
          <w:sz w:val="40"/>
          <w:szCs w:val="40"/>
          <w:highlight w:val="none"/>
        </w:rPr>
      </w:pPr>
    </w:p>
    <w:p>
      <w:pPr>
        <w:pStyle w:val="54"/>
        <w:rPr>
          <w:color w:val="auto"/>
          <w:highlight w:val="none"/>
        </w:rPr>
      </w:pPr>
    </w:p>
    <w:p>
      <w:pPr>
        <w:pStyle w:val="54"/>
        <w:rPr>
          <w:color w:val="auto"/>
          <w:highlight w:val="none"/>
        </w:rPr>
      </w:pPr>
    </w:p>
    <w:p>
      <w:pPr>
        <w:pStyle w:val="54"/>
        <w:rPr>
          <w:color w:val="auto"/>
          <w:highlight w:val="none"/>
        </w:rPr>
      </w:pPr>
    </w:p>
    <w:p>
      <w:pPr>
        <w:jc w:val="center"/>
        <w:rPr>
          <w:rFonts w:ascii="宋体" w:hAnsi="宋体" w:eastAsia="宋体" w:cs="宋体"/>
          <w:b/>
          <w:strike/>
          <w:color w:val="auto"/>
          <w:sz w:val="28"/>
          <w:szCs w:val="28"/>
          <w:highlight w:val="none"/>
        </w:rPr>
      </w:pPr>
      <w:r>
        <w:rPr>
          <w:rFonts w:hint="eastAsia" w:ascii="宋体" w:hAnsi="宋体" w:eastAsia="宋体" w:cs="宋体"/>
          <w:b/>
          <w:strike/>
          <w:color w:val="auto"/>
          <w:sz w:val="28"/>
          <w:szCs w:val="28"/>
          <w:highlight w:val="none"/>
        </w:rPr>
        <w:t>6.2承 诺 书</w:t>
      </w:r>
    </w:p>
    <w:p>
      <w:pPr>
        <w:spacing w:line="360" w:lineRule="auto"/>
        <w:jc w:val="left"/>
        <w:rPr>
          <w:rFonts w:ascii="宋体" w:hAnsi="宋体" w:eastAsia="宋体" w:cs="宋体"/>
          <w:strike/>
          <w:color w:val="auto"/>
          <w:sz w:val="24"/>
          <w:szCs w:val="24"/>
          <w:highlight w:val="none"/>
        </w:rPr>
      </w:pPr>
    </w:p>
    <w:p>
      <w:pPr>
        <w:spacing w:line="360" w:lineRule="auto"/>
        <w:jc w:val="left"/>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致：</w:t>
      </w:r>
      <w:r>
        <w:rPr>
          <w:rFonts w:hint="eastAsia" w:ascii="宋体" w:hAnsi="宋体" w:eastAsia="宋体" w:cs="宋体"/>
          <w:strike/>
          <w:color w:val="auto"/>
          <w:sz w:val="24"/>
          <w:szCs w:val="24"/>
          <w:highlight w:val="none"/>
          <w:lang w:eastAsia="zh-CN"/>
        </w:rPr>
        <w:t>广州市广园市政建设有限公司</w:t>
      </w:r>
      <w:r>
        <w:rPr>
          <w:rFonts w:hint="eastAsia" w:ascii="宋体" w:hAnsi="宋体" w:eastAsia="宋体" w:cs="宋体"/>
          <w:strike/>
          <w:color w:val="auto"/>
          <w:sz w:val="24"/>
          <w:szCs w:val="24"/>
          <w:highlight w:val="none"/>
        </w:rPr>
        <w:t>（招标人）</w:t>
      </w:r>
    </w:p>
    <w:p>
      <w:pPr>
        <w:spacing w:line="360" w:lineRule="auto"/>
        <w:ind w:firstLine="540"/>
        <w:jc w:val="left"/>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我单位参加贵单位</w:t>
      </w:r>
      <w:r>
        <w:rPr>
          <w:rFonts w:hint="eastAsia" w:ascii="宋体" w:hAnsi="宋体" w:eastAsia="宋体" w:cs="宋体"/>
          <w:strike/>
          <w:color w:val="auto"/>
          <w:sz w:val="24"/>
          <w:szCs w:val="24"/>
          <w:highlight w:val="none"/>
          <w:u w:val="single"/>
        </w:rPr>
        <w:t xml:space="preserve"> （项目名称及编号）  </w:t>
      </w:r>
      <w:r>
        <w:rPr>
          <w:rFonts w:hint="eastAsia" w:ascii="宋体" w:hAnsi="宋体" w:eastAsia="宋体" w:cs="宋体"/>
          <w:strike/>
          <w:color w:val="auto"/>
          <w:sz w:val="24"/>
          <w:szCs w:val="24"/>
          <w:highlight w:val="none"/>
        </w:rPr>
        <w:t>项目（以下称“本项目”）投标并根据本项目招标文件要求提交了由</w:t>
      </w:r>
      <w:r>
        <w:rPr>
          <w:rFonts w:hint="eastAsia" w:ascii="宋体" w:hAnsi="宋体" w:eastAsia="宋体" w:cs="宋体"/>
          <w:strike/>
          <w:color w:val="auto"/>
          <w:sz w:val="24"/>
          <w:szCs w:val="24"/>
          <w:highlight w:val="none"/>
          <w:u w:val="single"/>
        </w:rPr>
        <w:t xml:space="preserve">   （银行）     </w:t>
      </w:r>
      <w:r>
        <w:rPr>
          <w:rFonts w:hint="eastAsia" w:ascii="宋体" w:hAnsi="宋体" w:eastAsia="宋体" w:cs="宋体"/>
          <w:strike/>
          <w:color w:val="auto"/>
          <w:sz w:val="24"/>
          <w:szCs w:val="24"/>
          <w:highlight w:val="none"/>
        </w:rPr>
        <w:t>出具的《投标保函》（编号：          ，金额为人民币         ）。我单位在此承诺：上述保函真实合法，若我单位提交虚假保函，我单位自愿接受以下处罚：</w:t>
      </w:r>
    </w:p>
    <w:p>
      <w:pPr>
        <w:spacing w:line="360" w:lineRule="auto"/>
        <w:ind w:firstLine="540"/>
        <w:jc w:val="left"/>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1.自本项目投标截止日起，</w:t>
      </w:r>
      <w:r>
        <w:rPr>
          <w:rFonts w:hint="eastAsia" w:ascii="宋体" w:hAnsi="宋体" w:eastAsia="宋体" w:cs="宋体"/>
          <w:strike/>
          <w:color w:val="auto"/>
          <w:sz w:val="24"/>
          <w:szCs w:val="24"/>
          <w:highlight w:val="none"/>
          <w:u w:val="single"/>
        </w:rPr>
        <w:t xml:space="preserve"> 1 </w:t>
      </w:r>
      <w:r>
        <w:rPr>
          <w:rFonts w:hint="eastAsia" w:ascii="宋体" w:hAnsi="宋体" w:eastAsia="宋体" w:cs="宋体"/>
          <w:strike/>
          <w:color w:val="auto"/>
          <w:sz w:val="24"/>
          <w:szCs w:val="24"/>
          <w:highlight w:val="none"/>
        </w:rPr>
        <w:t>年内不得参与贵单位建设工程项目的投标；</w:t>
      </w:r>
    </w:p>
    <w:p>
      <w:pPr>
        <w:spacing w:line="360" w:lineRule="auto"/>
        <w:ind w:firstLine="540"/>
        <w:jc w:val="left"/>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2. 按上述保函金额主动向贵单位补缴款项，还应自投标截止日起按保函金额每日万分之六计息，由贵单位根据本项目招标文件规定进行没收。若因我单位提交虚假保函给贵单位的招标工作增加了费用或造成其他经济损失（包括但不限于贵单位为追究我单位前述责任所支出的律师费、保全费、担保费、保险费、诉讼费、鉴定费、差旅费等合理费用）的，我单位还应赔偿贵单位以上全部损失。若我单位未主动兑现以上承诺的，贵单位有权向本项目工程所在地人民法院起诉追缴。</w:t>
      </w:r>
    </w:p>
    <w:p>
      <w:pPr>
        <w:spacing w:line="360" w:lineRule="auto"/>
        <w:ind w:firstLine="540"/>
        <w:jc w:val="left"/>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特此承诺。</w:t>
      </w:r>
    </w:p>
    <w:p>
      <w:pPr>
        <w:spacing w:line="360" w:lineRule="auto"/>
        <w:ind w:firstLine="540"/>
        <w:jc w:val="left"/>
        <w:rPr>
          <w:rFonts w:ascii="宋体" w:hAnsi="宋体" w:eastAsia="宋体" w:cs="宋体"/>
          <w:strike/>
          <w:color w:val="auto"/>
          <w:sz w:val="24"/>
          <w:szCs w:val="24"/>
          <w:highlight w:val="none"/>
        </w:rPr>
      </w:pPr>
    </w:p>
    <w:p>
      <w:pPr>
        <w:spacing w:line="360" w:lineRule="auto"/>
        <w:ind w:firstLine="540"/>
        <w:jc w:val="left"/>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 xml:space="preserve">                          承诺人（投标人）：</w:t>
      </w:r>
    </w:p>
    <w:p>
      <w:pPr>
        <w:pStyle w:val="4"/>
        <w:spacing w:line="360" w:lineRule="auto"/>
        <w:jc w:val="center"/>
        <w:rPr>
          <w:rFonts w:ascii="宋体" w:hAnsi="宋体" w:eastAsia="宋体" w:cs="宋体"/>
          <w:b w:val="0"/>
          <w:bCs/>
          <w:strike/>
          <w:color w:val="auto"/>
          <w:sz w:val="24"/>
          <w:szCs w:val="24"/>
          <w:highlight w:val="none"/>
        </w:rPr>
      </w:pPr>
      <w:r>
        <w:rPr>
          <w:rFonts w:hint="eastAsia" w:ascii="宋体" w:hAnsi="宋体" w:eastAsia="宋体" w:cs="宋体"/>
          <w:strike/>
          <w:color w:val="auto"/>
          <w:sz w:val="24"/>
          <w:szCs w:val="24"/>
          <w:highlight w:val="none"/>
        </w:rPr>
        <w:t xml:space="preserve">                          </w:t>
      </w:r>
      <w:r>
        <w:rPr>
          <w:rFonts w:hint="eastAsia" w:ascii="宋体" w:hAnsi="宋体" w:eastAsia="宋体" w:cs="宋体"/>
          <w:b w:val="0"/>
          <w:bCs/>
          <w:strike/>
          <w:color w:val="auto"/>
          <w:sz w:val="24"/>
          <w:szCs w:val="24"/>
          <w:highlight w:val="none"/>
        </w:rPr>
        <w:t xml:space="preserve"> 时间：</w:t>
      </w:r>
    </w:p>
    <w:p>
      <w:pPr>
        <w:rPr>
          <w:strike/>
          <w:color w:val="auto"/>
          <w:highlight w:val="none"/>
        </w:rPr>
      </w:pPr>
      <w:r>
        <w:rPr>
          <w:rFonts w:hint="eastAsia"/>
          <w:strike/>
          <w:color w:val="auto"/>
          <w:highlight w:val="none"/>
        </w:rPr>
        <w:br w:type="page"/>
      </w:r>
    </w:p>
    <w:p>
      <w:pPr>
        <w:pStyle w:val="54"/>
        <w:rPr>
          <w:rFonts w:ascii="宋体" w:hAnsi="宋体" w:cs="宋体"/>
          <w:color w:val="auto"/>
          <w:szCs w:val="21"/>
          <w:highlight w:val="none"/>
        </w:rPr>
      </w:pPr>
    </w:p>
    <w:p>
      <w:pPr>
        <w:pStyle w:val="4"/>
        <w:jc w:val="center"/>
        <w:rPr>
          <w:rFonts w:ascii="宋体" w:hAnsi="宋体" w:eastAsia="宋体" w:cs="宋体"/>
          <w:color w:val="auto"/>
          <w:highlight w:val="none"/>
        </w:rPr>
      </w:pPr>
    </w:p>
    <w:p>
      <w:pPr>
        <w:pStyle w:val="4"/>
        <w:jc w:val="center"/>
        <w:rPr>
          <w:rFonts w:ascii="宋体" w:hAnsi="宋体" w:eastAsia="宋体" w:cs="宋体"/>
          <w:color w:val="auto"/>
          <w:highlight w:val="none"/>
        </w:rPr>
      </w:pPr>
      <w:r>
        <w:rPr>
          <w:rFonts w:hint="eastAsia" w:ascii="宋体" w:hAnsi="宋体" w:eastAsia="宋体" w:cs="宋体"/>
          <w:color w:val="auto"/>
          <w:highlight w:val="none"/>
        </w:rPr>
        <w:t>7.其他资料</w:t>
      </w:r>
      <w:bookmarkEnd w:id="182"/>
    </w:p>
    <w:p>
      <w:pPr>
        <w:tabs>
          <w:tab w:val="left" w:pos="1680"/>
          <w:tab w:val="left" w:pos="2970"/>
          <w:tab w:val="left" w:pos="3240"/>
          <w:tab w:val="left" w:pos="5310"/>
          <w:tab w:val="left" w:pos="5460"/>
          <w:tab w:val="left" w:pos="6480"/>
          <w:tab w:val="left" w:pos="9000"/>
        </w:tabs>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投标人认为需要提供的资料。</w:t>
      </w:r>
    </w:p>
    <w:sectPr>
      <w:footerReference r:id="rId4" w:type="default"/>
      <w:pgSz w:w="11907" w:h="16840"/>
      <w:pgMar w:top="1440" w:right="1588" w:bottom="1440" w:left="1588" w:header="720" w:footer="720"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onsolas">
    <w:panose1 w:val="020B0609020204030204"/>
    <w:charset w:val="00"/>
    <w:family w:val="auto"/>
    <w:pitch w:val="default"/>
    <w:sig w:usb0="E00006FF" w:usb1="0000FCFF" w:usb2="00000001" w:usb3="00000000" w:csb0="6000019F" w:csb1="DFD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ng(for ISO10646)">
    <w:altName w:val="Malgun Gothic Semilight"/>
    <w:panose1 w:val="00000000000000000000"/>
    <w:charset w:val="88"/>
    <w:family w:val="modern"/>
    <w:pitch w:val="default"/>
    <w:sig w:usb0="00000000" w:usb1="00000000" w:usb2="00000036" w:usb3="00000000" w:csb0="001E0001"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Theme="minorEastAsia" w:hAnsiTheme="minorEastAsia" w:eastAsiaTheme="minorEastAsia"/>
      </w:rPr>
    </w:pPr>
    <w:r>
      <w:rPr>
        <w:rFonts w:asciiTheme="minorEastAsia" w:hAnsiTheme="minorEastAsia" w:eastAsiaTheme="minorEastAsia"/>
        <w:lang w:val="zh-CN"/>
      </w:rPr>
      <w:fldChar w:fldCharType="begin"/>
    </w:r>
    <w:r>
      <w:rPr>
        <w:rFonts w:asciiTheme="minorEastAsia" w:hAnsiTheme="minorEastAsia" w:eastAsiaTheme="minorEastAsia"/>
        <w:lang w:val="zh-CN"/>
      </w:rPr>
      <w:instrText xml:space="preserve">PAGE   \* MERGEFORMAT</w:instrText>
    </w:r>
    <w:r>
      <w:rPr>
        <w:rFonts w:asciiTheme="minorEastAsia" w:hAnsiTheme="minorEastAsia" w:eastAsiaTheme="minorEastAsia"/>
        <w:lang w:val="zh-CN"/>
      </w:rPr>
      <w:fldChar w:fldCharType="separate"/>
    </w:r>
    <w:r>
      <w:rPr>
        <w:rFonts w:asciiTheme="minorEastAsia" w:hAnsiTheme="minorEastAsia" w:eastAsiaTheme="minorEastAsia"/>
        <w:lang w:val="zh-CN"/>
      </w:rPr>
      <w:t>28</w:t>
    </w:r>
    <w:r>
      <w:rPr>
        <w:rFonts w:asciiTheme="minorEastAsia" w:hAnsiTheme="minorEastAsia" w:eastAsiaTheme="minorEastAsia"/>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lang w:val="zh-CN"/>
      </w:rPr>
      <w:fldChar w:fldCharType="begin"/>
    </w:r>
    <w:r>
      <w:rPr>
        <w:lang w:val="zh-CN"/>
      </w:rPr>
      <w:instrText xml:space="preserve">PAGE   \* MERGEFORMAT</w:instrText>
    </w:r>
    <w:r>
      <w:rPr>
        <w:lang w:val="zh-CN"/>
      </w:rPr>
      <w:fldChar w:fldCharType="separate"/>
    </w:r>
    <w:r>
      <w:rPr>
        <w:lang w:val="zh-CN"/>
      </w:rPr>
      <w:t>31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20"/>
      <w:lvlText w:val=""/>
      <w:lvlJc w:val="left"/>
      <w:pPr>
        <w:tabs>
          <w:tab w:val="left" w:pos="2040"/>
        </w:tabs>
        <w:ind w:left="2040" w:hanging="360"/>
      </w:pPr>
      <w:rPr>
        <w:rFonts w:hint="default" w:ascii="Wingdings" w:hAnsi="Wingdings"/>
      </w:rPr>
    </w:lvl>
  </w:abstractNum>
  <w:abstractNum w:abstractNumId="1">
    <w:nsid w:val="FFFFFF81"/>
    <w:multiLevelType w:val="singleLevel"/>
    <w:tmpl w:val="FFFFFF81"/>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2">
    <w:nsid w:val="1E7647C0"/>
    <w:multiLevelType w:val="multilevel"/>
    <w:tmpl w:val="1E7647C0"/>
    <w:lvl w:ilvl="0" w:tentative="0">
      <w:start w:val="1"/>
      <w:numFmt w:val="chineseCountingThousand"/>
      <w:pStyle w:val="66"/>
      <w:lvlText w:val="%1、"/>
      <w:lvlJc w:val="left"/>
      <w:pPr>
        <w:tabs>
          <w:tab w:val="left" w:pos="567"/>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YTc5Yzk4OWZiYjlkZTJjMGM4ZDk3ZmQ3YmUzMzUifQ=="/>
  </w:docVars>
  <w:rsids>
    <w:rsidRoot w:val="00523440"/>
    <w:rsid w:val="000103C3"/>
    <w:rsid w:val="000145A9"/>
    <w:rsid w:val="00017ED7"/>
    <w:rsid w:val="00025562"/>
    <w:rsid w:val="000303E2"/>
    <w:rsid w:val="00031444"/>
    <w:rsid w:val="000342AD"/>
    <w:rsid w:val="00035C2C"/>
    <w:rsid w:val="00040862"/>
    <w:rsid w:val="0004114F"/>
    <w:rsid w:val="00041DCB"/>
    <w:rsid w:val="00044089"/>
    <w:rsid w:val="0005439F"/>
    <w:rsid w:val="0006119B"/>
    <w:rsid w:val="00062047"/>
    <w:rsid w:val="00064176"/>
    <w:rsid w:val="000652FF"/>
    <w:rsid w:val="00065DA4"/>
    <w:rsid w:val="00076D12"/>
    <w:rsid w:val="00076E4E"/>
    <w:rsid w:val="000814A1"/>
    <w:rsid w:val="000818BF"/>
    <w:rsid w:val="00082C1C"/>
    <w:rsid w:val="00090BB8"/>
    <w:rsid w:val="00091282"/>
    <w:rsid w:val="00093855"/>
    <w:rsid w:val="00095CFC"/>
    <w:rsid w:val="00097532"/>
    <w:rsid w:val="000A1198"/>
    <w:rsid w:val="000A363F"/>
    <w:rsid w:val="000A5FA8"/>
    <w:rsid w:val="000B1554"/>
    <w:rsid w:val="000B177B"/>
    <w:rsid w:val="000B5FB6"/>
    <w:rsid w:val="000C4174"/>
    <w:rsid w:val="000D656B"/>
    <w:rsid w:val="000E11F7"/>
    <w:rsid w:val="000E2C1F"/>
    <w:rsid w:val="000E77AB"/>
    <w:rsid w:val="000F0337"/>
    <w:rsid w:val="000F44D6"/>
    <w:rsid w:val="000F5A0F"/>
    <w:rsid w:val="00102672"/>
    <w:rsid w:val="00105297"/>
    <w:rsid w:val="00110EA0"/>
    <w:rsid w:val="001130BD"/>
    <w:rsid w:val="001134EA"/>
    <w:rsid w:val="001142B5"/>
    <w:rsid w:val="00115701"/>
    <w:rsid w:val="001203E6"/>
    <w:rsid w:val="00122A2C"/>
    <w:rsid w:val="00122C17"/>
    <w:rsid w:val="00123EC7"/>
    <w:rsid w:val="00125AEA"/>
    <w:rsid w:val="001351AA"/>
    <w:rsid w:val="00135547"/>
    <w:rsid w:val="001400A6"/>
    <w:rsid w:val="001428B3"/>
    <w:rsid w:val="00142907"/>
    <w:rsid w:val="00144A38"/>
    <w:rsid w:val="00145D8B"/>
    <w:rsid w:val="00150866"/>
    <w:rsid w:val="00152C95"/>
    <w:rsid w:val="00155DE5"/>
    <w:rsid w:val="00157B53"/>
    <w:rsid w:val="00161F50"/>
    <w:rsid w:val="001624CA"/>
    <w:rsid w:val="00165665"/>
    <w:rsid w:val="00171F55"/>
    <w:rsid w:val="0017297A"/>
    <w:rsid w:val="00173B67"/>
    <w:rsid w:val="001742A1"/>
    <w:rsid w:val="00174EC7"/>
    <w:rsid w:val="00176042"/>
    <w:rsid w:val="00183BFD"/>
    <w:rsid w:val="00185881"/>
    <w:rsid w:val="00190181"/>
    <w:rsid w:val="00191340"/>
    <w:rsid w:val="00194544"/>
    <w:rsid w:val="001A2B65"/>
    <w:rsid w:val="001A3EC4"/>
    <w:rsid w:val="001A4938"/>
    <w:rsid w:val="001A5B80"/>
    <w:rsid w:val="001B16EA"/>
    <w:rsid w:val="001B29F1"/>
    <w:rsid w:val="001B2A7C"/>
    <w:rsid w:val="001B4A3A"/>
    <w:rsid w:val="001B4FA9"/>
    <w:rsid w:val="001B535B"/>
    <w:rsid w:val="001C3A73"/>
    <w:rsid w:val="001C3B8C"/>
    <w:rsid w:val="001C5BA0"/>
    <w:rsid w:val="001C6328"/>
    <w:rsid w:val="001C6496"/>
    <w:rsid w:val="001D1A53"/>
    <w:rsid w:val="001D1FCC"/>
    <w:rsid w:val="001D2222"/>
    <w:rsid w:val="001D71FB"/>
    <w:rsid w:val="001E3630"/>
    <w:rsid w:val="001E70D0"/>
    <w:rsid w:val="001E7328"/>
    <w:rsid w:val="001F2484"/>
    <w:rsid w:val="001F4C7E"/>
    <w:rsid w:val="00207589"/>
    <w:rsid w:val="00207BA1"/>
    <w:rsid w:val="00216813"/>
    <w:rsid w:val="002241D2"/>
    <w:rsid w:val="002256DD"/>
    <w:rsid w:val="0022643D"/>
    <w:rsid w:val="0023245A"/>
    <w:rsid w:val="002539EE"/>
    <w:rsid w:val="00254B83"/>
    <w:rsid w:val="00271402"/>
    <w:rsid w:val="00271BB4"/>
    <w:rsid w:val="0027454E"/>
    <w:rsid w:val="00274AED"/>
    <w:rsid w:val="00275A87"/>
    <w:rsid w:val="0027628E"/>
    <w:rsid w:val="002766D2"/>
    <w:rsid w:val="002801B0"/>
    <w:rsid w:val="00281B02"/>
    <w:rsid w:val="0028381E"/>
    <w:rsid w:val="00294E63"/>
    <w:rsid w:val="002A2594"/>
    <w:rsid w:val="002A46F7"/>
    <w:rsid w:val="002A7DAB"/>
    <w:rsid w:val="002B21A2"/>
    <w:rsid w:val="002C062B"/>
    <w:rsid w:val="002C6768"/>
    <w:rsid w:val="002D2AAD"/>
    <w:rsid w:val="002D6F2F"/>
    <w:rsid w:val="002E16E2"/>
    <w:rsid w:val="002F0F42"/>
    <w:rsid w:val="002F1134"/>
    <w:rsid w:val="002F2A25"/>
    <w:rsid w:val="002F30DA"/>
    <w:rsid w:val="002F581D"/>
    <w:rsid w:val="002F5B17"/>
    <w:rsid w:val="003057ED"/>
    <w:rsid w:val="00307D7C"/>
    <w:rsid w:val="003104A5"/>
    <w:rsid w:val="003138B4"/>
    <w:rsid w:val="00325EE2"/>
    <w:rsid w:val="00330CF6"/>
    <w:rsid w:val="003328FB"/>
    <w:rsid w:val="003333F0"/>
    <w:rsid w:val="00333AFE"/>
    <w:rsid w:val="0033577A"/>
    <w:rsid w:val="0034180F"/>
    <w:rsid w:val="003460A0"/>
    <w:rsid w:val="00356DA9"/>
    <w:rsid w:val="00360B29"/>
    <w:rsid w:val="00361DEE"/>
    <w:rsid w:val="00363711"/>
    <w:rsid w:val="00364D74"/>
    <w:rsid w:val="00364FC9"/>
    <w:rsid w:val="00376BB8"/>
    <w:rsid w:val="003828A6"/>
    <w:rsid w:val="003911C8"/>
    <w:rsid w:val="003935B2"/>
    <w:rsid w:val="003B0086"/>
    <w:rsid w:val="003B4B05"/>
    <w:rsid w:val="003B6B42"/>
    <w:rsid w:val="003C1006"/>
    <w:rsid w:val="003C382B"/>
    <w:rsid w:val="003C3C7F"/>
    <w:rsid w:val="003C40C9"/>
    <w:rsid w:val="003C4EA4"/>
    <w:rsid w:val="003C76C3"/>
    <w:rsid w:val="003D57D4"/>
    <w:rsid w:val="003D6515"/>
    <w:rsid w:val="003D6C40"/>
    <w:rsid w:val="003D73C2"/>
    <w:rsid w:val="003E0408"/>
    <w:rsid w:val="003E1E65"/>
    <w:rsid w:val="003E209B"/>
    <w:rsid w:val="003E3FCD"/>
    <w:rsid w:val="003E456E"/>
    <w:rsid w:val="003E7960"/>
    <w:rsid w:val="003F2EFA"/>
    <w:rsid w:val="003F427D"/>
    <w:rsid w:val="003F74BA"/>
    <w:rsid w:val="003F7500"/>
    <w:rsid w:val="003F7BCC"/>
    <w:rsid w:val="00400CAD"/>
    <w:rsid w:val="00405905"/>
    <w:rsid w:val="00410858"/>
    <w:rsid w:val="004110C0"/>
    <w:rsid w:val="004176C3"/>
    <w:rsid w:val="0041776E"/>
    <w:rsid w:val="00417DF3"/>
    <w:rsid w:val="00423366"/>
    <w:rsid w:val="0042673C"/>
    <w:rsid w:val="00426F4A"/>
    <w:rsid w:val="004305F8"/>
    <w:rsid w:val="004366FB"/>
    <w:rsid w:val="00437C13"/>
    <w:rsid w:val="004455B8"/>
    <w:rsid w:val="0044748D"/>
    <w:rsid w:val="00447886"/>
    <w:rsid w:val="00450186"/>
    <w:rsid w:val="00451A3A"/>
    <w:rsid w:val="00453040"/>
    <w:rsid w:val="00453764"/>
    <w:rsid w:val="004573CA"/>
    <w:rsid w:val="00460F93"/>
    <w:rsid w:val="00470009"/>
    <w:rsid w:val="0047581B"/>
    <w:rsid w:val="00477601"/>
    <w:rsid w:val="00477DC0"/>
    <w:rsid w:val="00484E40"/>
    <w:rsid w:val="00487373"/>
    <w:rsid w:val="00487F0D"/>
    <w:rsid w:val="004975E0"/>
    <w:rsid w:val="00497AC6"/>
    <w:rsid w:val="004A0854"/>
    <w:rsid w:val="004A311A"/>
    <w:rsid w:val="004A4A7D"/>
    <w:rsid w:val="004B0801"/>
    <w:rsid w:val="004B198D"/>
    <w:rsid w:val="004B5ADB"/>
    <w:rsid w:val="004C288A"/>
    <w:rsid w:val="004C4954"/>
    <w:rsid w:val="004C576D"/>
    <w:rsid w:val="004C58F6"/>
    <w:rsid w:val="004C5F38"/>
    <w:rsid w:val="004C7660"/>
    <w:rsid w:val="004D1030"/>
    <w:rsid w:val="004D4AEE"/>
    <w:rsid w:val="004D4B6D"/>
    <w:rsid w:val="004D5CAD"/>
    <w:rsid w:val="004D6AB5"/>
    <w:rsid w:val="004D6D3A"/>
    <w:rsid w:val="004E2AA4"/>
    <w:rsid w:val="004E3B53"/>
    <w:rsid w:val="004F4BA5"/>
    <w:rsid w:val="004F5B58"/>
    <w:rsid w:val="004F7113"/>
    <w:rsid w:val="00501DD0"/>
    <w:rsid w:val="00505D53"/>
    <w:rsid w:val="005120D8"/>
    <w:rsid w:val="00516C26"/>
    <w:rsid w:val="00520D18"/>
    <w:rsid w:val="00522F4F"/>
    <w:rsid w:val="00523440"/>
    <w:rsid w:val="005243A4"/>
    <w:rsid w:val="00526E38"/>
    <w:rsid w:val="00530565"/>
    <w:rsid w:val="00532ADA"/>
    <w:rsid w:val="00533E2F"/>
    <w:rsid w:val="00534E33"/>
    <w:rsid w:val="00535377"/>
    <w:rsid w:val="00536F20"/>
    <w:rsid w:val="00537FAB"/>
    <w:rsid w:val="005419BF"/>
    <w:rsid w:val="00543E74"/>
    <w:rsid w:val="005454FD"/>
    <w:rsid w:val="00547938"/>
    <w:rsid w:val="00550EF9"/>
    <w:rsid w:val="0055134F"/>
    <w:rsid w:val="00554944"/>
    <w:rsid w:val="005609FC"/>
    <w:rsid w:val="0057377F"/>
    <w:rsid w:val="00573FBD"/>
    <w:rsid w:val="00576B61"/>
    <w:rsid w:val="00576DA4"/>
    <w:rsid w:val="005803F0"/>
    <w:rsid w:val="005805F5"/>
    <w:rsid w:val="005814A2"/>
    <w:rsid w:val="00581B74"/>
    <w:rsid w:val="005904D5"/>
    <w:rsid w:val="00592E35"/>
    <w:rsid w:val="0059360E"/>
    <w:rsid w:val="0059553A"/>
    <w:rsid w:val="005A3BE8"/>
    <w:rsid w:val="005A647C"/>
    <w:rsid w:val="005B03F5"/>
    <w:rsid w:val="005B0428"/>
    <w:rsid w:val="005B79CB"/>
    <w:rsid w:val="005C228A"/>
    <w:rsid w:val="005C29AC"/>
    <w:rsid w:val="005D1F27"/>
    <w:rsid w:val="005E065C"/>
    <w:rsid w:val="005E0EA3"/>
    <w:rsid w:val="005E3A91"/>
    <w:rsid w:val="005E4D67"/>
    <w:rsid w:val="005E6399"/>
    <w:rsid w:val="005F0308"/>
    <w:rsid w:val="005F1DD4"/>
    <w:rsid w:val="005F361D"/>
    <w:rsid w:val="00601A4A"/>
    <w:rsid w:val="00606151"/>
    <w:rsid w:val="00607D0A"/>
    <w:rsid w:val="00615439"/>
    <w:rsid w:val="00617959"/>
    <w:rsid w:val="00617E79"/>
    <w:rsid w:val="00621351"/>
    <w:rsid w:val="00623226"/>
    <w:rsid w:val="00624B27"/>
    <w:rsid w:val="00624D5C"/>
    <w:rsid w:val="006250E5"/>
    <w:rsid w:val="00632E10"/>
    <w:rsid w:val="006351E0"/>
    <w:rsid w:val="00635CF2"/>
    <w:rsid w:val="00636695"/>
    <w:rsid w:val="00643CD9"/>
    <w:rsid w:val="006473C2"/>
    <w:rsid w:val="0065063A"/>
    <w:rsid w:val="00655F88"/>
    <w:rsid w:val="006566B7"/>
    <w:rsid w:val="00660969"/>
    <w:rsid w:val="0066140F"/>
    <w:rsid w:val="00664198"/>
    <w:rsid w:val="0067511A"/>
    <w:rsid w:val="006765BD"/>
    <w:rsid w:val="0068036A"/>
    <w:rsid w:val="00680FD1"/>
    <w:rsid w:val="00683D4A"/>
    <w:rsid w:val="0069285C"/>
    <w:rsid w:val="006943F4"/>
    <w:rsid w:val="00696D62"/>
    <w:rsid w:val="006A7943"/>
    <w:rsid w:val="006B150F"/>
    <w:rsid w:val="006B293F"/>
    <w:rsid w:val="006C4641"/>
    <w:rsid w:val="006C483D"/>
    <w:rsid w:val="006D1C89"/>
    <w:rsid w:val="006E100A"/>
    <w:rsid w:val="006E29B1"/>
    <w:rsid w:val="006E4C4F"/>
    <w:rsid w:val="006E683E"/>
    <w:rsid w:val="006E6B23"/>
    <w:rsid w:val="006E6BDD"/>
    <w:rsid w:val="006F0267"/>
    <w:rsid w:val="006F15A9"/>
    <w:rsid w:val="006F2B58"/>
    <w:rsid w:val="006F2FC3"/>
    <w:rsid w:val="006F3890"/>
    <w:rsid w:val="00704886"/>
    <w:rsid w:val="00711F3A"/>
    <w:rsid w:val="00715011"/>
    <w:rsid w:val="007170CA"/>
    <w:rsid w:val="00725780"/>
    <w:rsid w:val="0073136A"/>
    <w:rsid w:val="007369AA"/>
    <w:rsid w:val="00740D46"/>
    <w:rsid w:val="00742D64"/>
    <w:rsid w:val="00743BE2"/>
    <w:rsid w:val="00746E96"/>
    <w:rsid w:val="00751B94"/>
    <w:rsid w:val="007562E5"/>
    <w:rsid w:val="007566C9"/>
    <w:rsid w:val="007622E4"/>
    <w:rsid w:val="007635F5"/>
    <w:rsid w:val="00770896"/>
    <w:rsid w:val="0077270A"/>
    <w:rsid w:val="00774C68"/>
    <w:rsid w:val="00785BD9"/>
    <w:rsid w:val="00790AF6"/>
    <w:rsid w:val="00791508"/>
    <w:rsid w:val="0079284A"/>
    <w:rsid w:val="00792B6F"/>
    <w:rsid w:val="007935FE"/>
    <w:rsid w:val="00794F93"/>
    <w:rsid w:val="00795780"/>
    <w:rsid w:val="00796F9E"/>
    <w:rsid w:val="007A21E2"/>
    <w:rsid w:val="007A2BF7"/>
    <w:rsid w:val="007B2828"/>
    <w:rsid w:val="007B2F00"/>
    <w:rsid w:val="007B359A"/>
    <w:rsid w:val="007B42B2"/>
    <w:rsid w:val="007C4E6E"/>
    <w:rsid w:val="007C59A5"/>
    <w:rsid w:val="007C6454"/>
    <w:rsid w:val="007D3A31"/>
    <w:rsid w:val="007D41F3"/>
    <w:rsid w:val="007D61AB"/>
    <w:rsid w:val="007D6A69"/>
    <w:rsid w:val="007E0DF7"/>
    <w:rsid w:val="007F5EBC"/>
    <w:rsid w:val="0080018D"/>
    <w:rsid w:val="008001A8"/>
    <w:rsid w:val="00804F52"/>
    <w:rsid w:val="00807592"/>
    <w:rsid w:val="00807845"/>
    <w:rsid w:val="00810FB7"/>
    <w:rsid w:val="00811641"/>
    <w:rsid w:val="00816816"/>
    <w:rsid w:val="00822C4B"/>
    <w:rsid w:val="00826155"/>
    <w:rsid w:val="00834BA1"/>
    <w:rsid w:val="00837543"/>
    <w:rsid w:val="00841DA2"/>
    <w:rsid w:val="00844229"/>
    <w:rsid w:val="008510AB"/>
    <w:rsid w:val="00851555"/>
    <w:rsid w:val="00852795"/>
    <w:rsid w:val="00852AFE"/>
    <w:rsid w:val="00856E79"/>
    <w:rsid w:val="00860DD3"/>
    <w:rsid w:val="00862866"/>
    <w:rsid w:val="0086539F"/>
    <w:rsid w:val="00865654"/>
    <w:rsid w:val="00865F70"/>
    <w:rsid w:val="00866032"/>
    <w:rsid w:val="0086666F"/>
    <w:rsid w:val="00871259"/>
    <w:rsid w:val="00881F9F"/>
    <w:rsid w:val="00883958"/>
    <w:rsid w:val="008857D4"/>
    <w:rsid w:val="00886E13"/>
    <w:rsid w:val="008908DA"/>
    <w:rsid w:val="00891927"/>
    <w:rsid w:val="00892E0E"/>
    <w:rsid w:val="008940E1"/>
    <w:rsid w:val="00895385"/>
    <w:rsid w:val="008A0642"/>
    <w:rsid w:val="008A3FB1"/>
    <w:rsid w:val="008A50E2"/>
    <w:rsid w:val="008A557E"/>
    <w:rsid w:val="008A6AFF"/>
    <w:rsid w:val="008B63FD"/>
    <w:rsid w:val="008B690E"/>
    <w:rsid w:val="008B7E38"/>
    <w:rsid w:val="008C17FA"/>
    <w:rsid w:val="008C2788"/>
    <w:rsid w:val="008C2FE7"/>
    <w:rsid w:val="008C3966"/>
    <w:rsid w:val="008C59DF"/>
    <w:rsid w:val="008D0A31"/>
    <w:rsid w:val="008D71C1"/>
    <w:rsid w:val="008E2537"/>
    <w:rsid w:val="008E3F90"/>
    <w:rsid w:val="008E4710"/>
    <w:rsid w:val="008F00B9"/>
    <w:rsid w:val="008F193B"/>
    <w:rsid w:val="008F33B7"/>
    <w:rsid w:val="008F4F9F"/>
    <w:rsid w:val="008F5C00"/>
    <w:rsid w:val="008F5F3F"/>
    <w:rsid w:val="008F65D0"/>
    <w:rsid w:val="008F745C"/>
    <w:rsid w:val="009001F4"/>
    <w:rsid w:val="00900B3F"/>
    <w:rsid w:val="00901778"/>
    <w:rsid w:val="00902522"/>
    <w:rsid w:val="009076E9"/>
    <w:rsid w:val="00914BA2"/>
    <w:rsid w:val="00916BA7"/>
    <w:rsid w:val="00916F7C"/>
    <w:rsid w:val="00920CD8"/>
    <w:rsid w:val="009219FD"/>
    <w:rsid w:val="0092212E"/>
    <w:rsid w:val="00922F20"/>
    <w:rsid w:val="00923143"/>
    <w:rsid w:val="00924739"/>
    <w:rsid w:val="009267DD"/>
    <w:rsid w:val="0092740B"/>
    <w:rsid w:val="0093028C"/>
    <w:rsid w:val="009335A5"/>
    <w:rsid w:val="0093507B"/>
    <w:rsid w:val="009428E3"/>
    <w:rsid w:val="00943E1F"/>
    <w:rsid w:val="00955E71"/>
    <w:rsid w:val="009562BB"/>
    <w:rsid w:val="00960A55"/>
    <w:rsid w:val="00960E4B"/>
    <w:rsid w:val="0096302C"/>
    <w:rsid w:val="009658B2"/>
    <w:rsid w:val="00965A7E"/>
    <w:rsid w:val="009756E1"/>
    <w:rsid w:val="0099425B"/>
    <w:rsid w:val="00995F41"/>
    <w:rsid w:val="00996921"/>
    <w:rsid w:val="00997635"/>
    <w:rsid w:val="00997CF2"/>
    <w:rsid w:val="009A0091"/>
    <w:rsid w:val="009A5F9D"/>
    <w:rsid w:val="009A6211"/>
    <w:rsid w:val="009B49BA"/>
    <w:rsid w:val="009B528F"/>
    <w:rsid w:val="009B77A6"/>
    <w:rsid w:val="009C06B6"/>
    <w:rsid w:val="009C6436"/>
    <w:rsid w:val="009E6975"/>
    <w:rsid w:val="009F0F1E"/>
    <w:rsid w:val="009F1037"/>
    <w:rsid w:val="009F24E3"/>
    <w:rsid w:val="009F3E86"/>
    <w:rsid w:val="00A04B64"/>
    <w:rsid w:val="00A11DC6"/>
    <w:rsid w:val="00A12D29"/>
    <w:rsid w:val="00A1364F"/>
    <w:rsid w:val="00A1376B"/>
    <w:rsid w:val="00A15DA5"/>
    <w:rsid w:val="00A221D1"/>
    <w:rsid w:val="00A2248E"/>
    <w:rsid w:val="00A23391"/>
    <w:rsid w:val="00A24D00"/>
    <w:rsid w:val="00A271EA"/>
    <w:rsid w:val="00A27270"/>
    <w:rsid w:val="00A303F9"/>
    <w:rsid w:val="00A30407"/>
    <w:rsid w:val="00A3185A"/>
    <w:rsid w:val="00A3458C"/>
    <w:rsid w:val="00A351B4"/>
    <w:rsid w:val="00A46A74"/>
    <w:rsid w:val="00A50545"/>
    <w:rsid w:val="00A5141F"/>
    <w:rsid w:val="00A54723"/>
    <w:rsid w:val="00A54881"/>
    <w:rsid w:val="00A602BA"/>
    <w:rsid w:val="00A673E4"/>
    <w:rsid w:val="00A67672"/>
    <w:rsid w:val="00A7124A"/>
    <w:rsid w:val="00A71AC2"/>
    <w:rsid w:val="00A731A3"/>
    <w:rsid w:val="00A74471"/>
    <w:rsid w:val="00A77849"/>
    <w:rsid w:val="00A80266"/>
    <w:rsid w:val="00A876E5"/>
    <w:rsid w:val="00A92F38"/>
    <w:rsid w:val="00A95488"/>
    <w:rsid w:val="00A960D0"/>
    <w:rsid w:val="00AA57E3"/>
    <w:rsid w:val="00AB13B6"/>
    <w:rsid w:val="00AB52F7"/>
    <w:rsid w:val="00AB74E8"/>
    <w:rsid w:val="00AC02B0"/>
    <w:rsid w:val="00AC30B4"/>
    <w:rsid w:val="00AD3F2A"/>
    <w:rsid w:val="00AD6DCF"/>
    <w:rsid w:val="00AD7C44"/>
    <w:rsid w:val="00AD7D80"/>
    <w:rsid w:val="00AE3C6B"/>
    <w:rsid w:val="00AE3DC8"/>
    <w:rsid w:val="00AF2978"/>
    <w:rsid w:val="00AF31C0"/>
    <w:rsid w:val="00AF4217"/>
    <w:rsid w:val="00AF4B08"/>
    <w:rsid w:val="00AF78B8"/>
    <w:rsid w:val="00B01AB6"/>
    <w:rsid w:val="00B02BF6"/>
    <w:rsid w:val="00B0438F"/>
    <w:rsid w:val="00B07A9B"/>
    <w:rsid w:val="00B12040"/>
    <w:rsid w:val="00B13BDD"/>
    <w:rsid w:val="00B14E0A"/>
    <w:rsid w:val="00B20D6D"/>
    <w:rsid w:val="00B21632"/>
    <w:rsid w:val="00B24A91"/>
    <w:rsid w:val="00B30ABE"/>
    <w:rsid w:val="00B3635F"/>
    <w:rsid w:val="00B36DC7"/>
    <w:rsid w:val="00B41D00"/>
    <w:rsid w:val="00B46687"/>
    <w:rsid w:val="00B47811"/>
    <w:rsid w:val="00B53674"/>
    <w:rsid w:val="00B5779F"/>
    <w:rsid w:val="00B62A27"/>
    <w:rsid w:val="00B63825"/>
    <w:rsid w:val="00B66A5D"/>
    <w:rsid w:val="00B66AFB"/>
    <w:rsid w:val="00B670F2"/>
    <w:rsid w:val="00B71202"/>
    <w:rsid w:val="00B73504"/>
    <w:rsid w:val="00B75B5C"/>
    <w:rsid w:val="00B761F9"/>
    <w:rsid w:val="00B80F70"/>
    <w:rsid w:val="00B8137B"/>
    <w:rsid w:val="00B82579"/>
    <w:rsid w:val="00B828E5"/>
    <w:rsid w:val="00B872B2"/>
    <w:rsid w:val="00B92384"/>
    <w:rsid w:val="00B95C2F"/>
    <w:rsid w:val="00B96B13"/>
    <w:rsid w:val="00B96CE4"/>
    <w:rsid w:val="00B96EDB"/>
    <w:rsid w:val="00BA57F5"/>
    <w:rsid w:val="00BA5FBE"/>
    <w:rsid w:val="00BA7AEA"/>
    <w:rsid w:val="00BB0C95"/>
    <w:rsid w:val="00BB7B03"/>
    <w:rsid w:val="00BB7D70"/>
    <w:rsid w:val="00BC0ABA"/>
    <w:rsid w:val="00BC333C"/>
    <w:rsid w:val="00BC6240"/>
    <w:rsid w:val="00BC6DDA"/>
    <w:rsid w:val="00BD000F"/>
    <w:rsid w:val="00BD1DCB"/>
    <w:rsid w:val="00BD5913"/>
    <w:rsid w:val="00BD7507"/>
    <w:rsid w:val="00BE20AA"/>
    <w:rsid w:val="00BE50CA"/>
    <w:rsid w:val="00BF16AA"/>
    <w:rsid w:val="00BF5B60"/>
    <w:rsid w:val="00C012FD"/>
    <w:rsid w:val="00C02F69"/>
    <w:rsid w:val="00C02FBE"/>
    <w:rsid w:val="00C0603F"/>
    <w:rsid w:val="00C0792F"/>
    <w:rsid w:val="00C1024D"/>
    <w:rsid w:val="00C1276B"/>
    <w:rsid w:val="00C1647B"/>
    <w:rsid w:val="00C16A7D"/>
    <w:rsid w:val="00C208F3"/>
    <w:rsid w:val="00C23D08"/>
    <w:rsid w:val="00C27665"/>
    <w:rsid w:val="00C3199B"/>
    <w:rsid w:val="00C367C3"/>
    <w:rsid w:val="00C3708D"/>
    <w:rsid w:val="00C37C42"/>
    <w:rsid w:val="00C43681"/>
    <w:rsid w:val="00C4616D"/>
    <w:rsid w:val="00C5015B"/>
    <w:rsid w:val="00C54E6B"/>
    <w:rsid w:val="00C5610B"/>
    <w:rsid w:val="00C64A2B"/>
    <w:rsid w:val="00C6656A"/>
    <w:rsid w:val="00C66A4F"/>
    <w:rsid w:val="00C673DD"/>
    <w:rsid w:val="00C67A4C"/>
    <w:rsid w:val="00C736EE"/>
    <w:rsid w:val="00C73950"/>
    <w:rsid w:val="00C75B7F"/>
    <w:rsid w:val="00C868E3"/>
    <w:rsid w:val="00C914D1"/>
    <w:rsid w:val="00C952AD"/>
    <w:rsid w:val="00C95C88"/>
    <w:rsid w:val="00CA0995"/>
    <w:rsid w:val="00CA1CCC"/>
    <w:rsid w:val="00CA2E17"/>
    <w:rsid w:val="00CA3CA8"/>
    <w:rsid w:val="00CA43A7"/>
    <w:rsid w:val="00CA4B39"/>
    <w:rsid w:val="00CA70B8"/>
    <w:rsid w:val="00CB08BA"/>
    <w:rsid w:val="00CB3985"/>
    <w:rsid w:val="00CB6459"/>
    <w:rsid w:val="00CC1BF6"/>
    <w:rsid w:val="00CC1EAB"/>
    <w:rsid w:val="00CC4016"/>
    <w:rsid w:val="00CC6142"/>
    <w:rsid w:val="00CC7D58"/>
    <w:rsid w:val="00CD2803"/>
    <w:rsid w:val="00CD69B9"/>
    <w:rsid w:val="00CE1CAF"/>
    <w:rsid w:val="00CE5DCC"/>
    <w:rsid w:val="00CF35D1"/>
    <w:rsid w:val="00D004D1"/>
    <w:rsid w:val="00D055EB"/>
    <w:rsid w:val="00D0633C"/>
    <w:rsid w:val="00D0762B"/>
    <w:rsid w:val="00D07B56"/>
    <w:rsid w:val="00D179EB"/>
    <w:rsid w:val="00D45418"/>
    <w:rsid w:val="00D46D94"/>
    <w:rsid w:val="00D4713B"/>
    <w:rsid w:val="00D47BC8"/>
    <w:rsid w:val="00D47C02"/>
    <w:rsid w:val="00D5384C"/>
    <w:rsid w:val="00D55ACC"/>
    <w:rsid w:val="00D60F4F"/>
    <w:rsid w:val="00D6327E"/>
    <w:rsid w:val="00D63B05"/>
    <w:rsid w:val="00D64664"/>
    <w:rsid w:val="00D7189E"/>
    <w:rsid w:val="00D718B5"/>
    <w:rsid w:val="00D71BF8"/>
    <w:rsid w:val="00D7236B"/>
    <w:rsid w:val="00D76D1E"/>
    <w:rsid w:val="00D838CB"/>
    <w:rsid w:val="00D90E6C"/>
    <w:rsid w:val="00D91A3F"/>
    <w:rsid w:val="00D91AB7"/>
    <w:rsid w:val="00D9709C"/>
    <w:rsid w:val="00DA04D4"/>
    <w:rsid w:val="00DA42CE"/>
    <w:rsid w:val="00DA7253"/>
    <w:rsid w:val="00DB5DE0"/>
    <w:rsid w:val="00DB5EF5"/>
    <w:rsid w:val="00DB6BB2"/>
    <w:rsid w:val="00DB7FD5"/>
    <w:rsid w:val="00DC24EC"/>
    <w:rsid w:val="00DC2D0F"/>
    <w:rsid w:val="00DC65E5"/>
    <w:rsid w:val="00DC6623"/>
    <w:rsid w:val="00DD24E2"/>
    <w:rsid w:val="00DD7A94"/>
    <w:rsid w:val="00DD7CAA"/>
    <w:rsid w:val="00DF0E89"/>
    <w:rsid w:val="00DF1EF3"/>
    <w:rsid w:val="00DF55EF"/>
    <w:rsid w:val="00E059EE"/>
    <w:rsid w:val="00E05DBE"/>
    <w:rsid w:val="00E066BE"/>
    <w:rsid w:val="00E165C3"/>
    <w:rsid w:val="00E2326D"/>
    <w:rsid w:val="00E26180"/>
    <w:rsid w:val="00E26DBA"/>
    <w:rsid w:val="00E30223"/>
    <w:rsid w:val="00E35201"/>
    <w:rsid w:val="00E36832"/>
    <w:rsid w:val="00E4344F"/>
    <w:rsid w:val="00E4369C"/>
    <w:rsid w:val="00E436B3"/>
    <w:rsid w:val="00E43848"/>
    <w:rsid w:val="00E451D5"/>
    <w:rsid w:val="00E45220"/>
    <w:rsid w:val="00E517F6"/>
    <w:rsid w:val="00E5194A"/>
    <w:rsid w:val="00E5599F"/>
    <w:rsid w:val="00E56520"/>
    <w:rsid w:val="00E60B15"/>
    <w:rsid w:val="00E66E41"/>
    <w:rsid w:val="00E82A3E"/>
    <w:rsid w:val="00E8383C"/>
    <w:rsid w:val="00E84823"/>
    <w:rsid w:val="00E86F0F"/>
    <w:rsid w:val="00E93694"/>
    <w:rsid w:val="00E94A7C"/>
    <w:rsid w:val="00E95B8D"/>
    <w:rsid w:val="00EA137E"/>
    <w:rsid w:val="00EA5FA1"/>
    <w:rsid w:val="00EB4015"/>
    <w:rsid w:val="00EB5D59"/>
    <w:rsid w:val="00EC0C9E"/>
    <w:rsid w:val="00EC6DF8"/>
    <w:rsid w:val="00ED6704"/>
    <w:rsid w:val="00EE096B"/>
    <w:rsid w:val="00EE473F"/>
    <w:rsid w:val="00EF0EBB"/>
    <w:rsid w:val="00EF0FED"/>
    <w:rsid w:val="00EF39D4"/>
    <w:rsid w:val="00EF6513"/>
    <w:rsid w:val="00F00DF9"/>
    <w:rsid w:val="00F01E22"/>
    <w:rsid w:val="00F03148"/>
    <w:rsid w:val="00F169D5"/>
    <w:rsid w:val="00F200F0"/>
    <w:rsid w:val="00F21735"/>
    <w:rsid w:val="00F25552"/>
    <w:rsid w:val="00F25DC9"/>
    <w:rsid w:val="00F25E48"/>
    <w:rsid w:val="00F3048D"/>
    <w:rsid w:val="00F30BD4"/>
    <w:rsid w:val="00F31226"/>
    <w:rsid w:val="00F3282D"/>
    <w:rsid w:val="00F34371"/>
    <w:rsid w:val="00F35F18"/>
    <w:rsid w:val="00F36D48"/>
    <w:rsid w:val="00F43C98"/>
    <w:rsid w:val="00F466D8"/>
    <w:rsid w:val="00F47F46"/>
    <w:rsid w:val="00F51C94"/>
    <w:rsid w:val="00F52808"/>
    <w:rsid w:val="00F53A4E"/>
    <w:rsid w:val="00F61789"/>
    <w:rsid w:val="00F632D9"/>
    <w:rsid w:val="00F661EC"/>
    <w:rsid w:val="00F70B3F"/>
    <w:rsid w:val="00F74578"/>
    <w:rsid w:val="00F75963"/>
    <w:rsid w:val="00F75E8A"/>
    <w:rsid w:val="00F76DBA"/>
    <w:rsid w:val="00F805EE"/>
    <w:rsid w:val="00F808D9"/>
    <w:rsid w:val="00F80CCD"/>
    <w:rsid w:val="00F83422"/>
    <w:rsid w:val="00F83BAF"/>
    <w:rsid w:val="00F853F3"/>
    <w:rsid w:val="00F85408"/>
    <w:rsid w:val="00F86389"/>
    <w:rsid w:val="00F94C86"/>
    <w:rsid w:val="00F96104"/>
    <w:rsid w:val="00F96710"/>
    <w:rsid w:val="00F97BFF"/>
    <w:rsid w:val="00FA18EB"/>
    <w:rsid w:val="00FA1943"/>
    <w:rsid w:val="00FA2767"/>
    <w:rsid w:val="00FA441B"/>
    <w:rsid w:val="00FB6A89"/>
    <w:rsid w:val="00FC07C8"/>
    <w:rsid w:val="00FC0FA2"/>
    <w:rsid w:val="00FC6809"/>
    <w:rsid w:val="00FC6EB3"/>
    <w:rsid w:val="00FD1D6E"/>
    <w:rsid w:val="00FD3700"/>
    <w:rsid w:val="00FD5ABD"/>
    <w:rsid w:val="00FD5F2A"/>
    <w:rsid w:val="00FE31C6"/>
    <w:rsid w:val="00FE36F8"/>
    <w:rsid w:val="00FE544C"/>
    <w:rsid w:val="00FE573D"/>
    <w:rsid w:val="00FE6055"/>
    <w:rsid w:val="00FF3393"/>
    <w:rsid w:val="00FF3BE8"/>
    <w:rsid w:val="00FF5D9D"/>
    <w:rsid w:val="00FF70EC"/>
    <w:rsid w:val="013E1EBF"/>
    <w:rsid w:val="01AC53E7"/>
    <w:rsid w:val="01C00A9F"/>
    <w:rsid w:val="02594A5C"/>
    <w:rsid w:val="025F43D2"/>
    <w:rsid w:val="030D2C8B"/>
    <w:rsid w:val="032941BF"/>
    <w:rsid w:val="032E536B"/>
    <w:rsid w:val="03300C22"/>
    <w:rsid w:val="03776BC1"/>
    <w:rsid w:val="03C6642B"/>
    <w:rsid w:val="03E208B0"/>
    <w:rsid w:val="03F85EC3"/>
    <w:rsid w:val="047C4975"/>
    <w:rsid w:val="04947E21"/>
    <w:rsid w:val="04AE083F"/>
    <w:rsid w:val="04E21E27"/>
    <w:rsid w:val="04F74AA7"/>
    <w:rsid w:val="051909EC"/>
    <w:rsid w:val="05715023"/>
    <w:rsid w:val="06055F4A"/>
    <w:rsid w:val="06FA1EEB"/>
    <w:rsid w:val="070A0020"/>
    <w:rsid w:val="07231D19"/>
    <w:rsid w:val="074214F1"/>
    <w:rsid w:val="0754510D"/>
    <w:rsid w:val="077136B0"/>
    <w:rsid w:val="07885FFF"/>
    <w:rsid w:val="07E22B1B"/>
    <w:rsid w:val="080511E9"/>
    <w:rsid w:val="0873296B"/>
    <w:rsid w:val="08891BAD"/>
    <w:rsid w:val="089130DE"/>
    <w:rsid w:val="089157B1"/>
    <w:rsid w:val="08AB6BDE"/>
    <w:rsid w:val="08D023D7"/>
    <w:rsid w:val="08F47C0D"/>
    <w:rsid w:val="096C21BA"/>
    <w:rsid w:val="096F1A32"/>
    <w:rsid w:val="09B208A1"/>
    <w:rsid w:val="09E872D2"/>
    <w:rsid w:val="0A1B0C10"/>
    <w:rsid w:val="0A1C1BBA"/>
    <w:rsid w:val="0A4D6F03"/>
    <w:rsid w:val="0A5779F8"/>
    <w:rsid w:val="0B4F4F89"/>
    <w:rsid w:val="0BD86206"/>
    <w:rsid w:val="0C110570"/>
    <w:rsid w:val="0C196672"/>
    <w:rsid w:val="0C782709"/>
    <w:rsid w:val="0D442568"/>
    <w:rsid w:val="0D7700B5"/>
    <w:rsid w:val="0D7C79C6"/>
    <w:rsid w:val="0D864B4D"/>
    <w:rsid w:val="0D9846CB"/>
    <w:rsid w:val="0D9B7C50"/>
    <w:rsid w:val="0DBE5BD3"/>
    <w:rsid w:val="0E0E4138"/>
    <w:rsid w:val="0E1B0C87"/>
    <w:rsid w:val="0E1B4587"/>
    <w:rsid w:val="0E2F2B2F"/>
    <w:rsid w:val="0E4C01EE"/>
    <w:rsid w:val="0EB14385"/>
    <w:rsid w:val="0EBD36B6"/>
    <w:rsid w:val="0EFC4E5E"/>
    <w:rsid w:val="0F313BC2"/>
    <w:rsid w:val="0F3F1D2A"/>
    <w:rsid w:val="0FAA5FA6"/>
    <w:rsid w:val="0FD6278E"/>
    <w:rsid w:val="0FD66920"/>
    <w:rsid w:val="0FE06D84"/>
    <w:rsid w:val="101358FA"/>
    <w:rsid w:val="106723BE"/>
    <w:rsid w:val="108E2A3E"/>
    <w:rsid w:val="10F934A8"/>
    <w:rsid w:val="110A7C2B"/>
    <w:rsid w:val="11315A58"/>
    <w:rsid w:val="113F020F"/>
    <w:rsid w:val="11DB1F08"/>
    <w:rsid w:val="11EE1518"/>
    <w:rsid w:val="11F925CE"/>
    <w:rsid w:val="12173080"/>
    <w:rsid w:val="122B2A30"/>
    <w:rsid w:val="12884BE2"/>
    <w:rsid w:val="12892D9C"/>
    <w:rsid w:val="12ED1C90"/>
    <w:rsid w:val="13884873"/>
    <w:rsid w:val="13E435E4"/>
    <w:rsid w:val="1419712B"/>
    <w:rsid w:val="141D355C"/>
    <w:rsid w:val="142754DC"/>
    <w:rsid w:val="14532847"/>
    <w:rsid w:val="14557B71"/>
    <w:rsid w:val="1456296C"/>
    <w:rsid w:val="147D0CC7"/>
    <w:rsid w:val="14E17212"/>
    <w:rsid w:val="15037093"/>
    <w:rsid w:val="155676D1"/>
    <w:rsid w:val="15A25D8A"/>
    <w:rsid w:val="16326403"/>
    <w:rsid w:val="164D798C"/>
    <w:rsid w:val="16AB211F"/>
    <w:rsid w:val="16CA660F"/>
    <w:rsid w:val="173160C2"/>
    <w:rsid w:val="173E6D2A"/>
    <w:rsid w:val="181264E3"/>
    <w:rsid w:val="1880352F"/>
    <w:rsid w:val="18A9523D"/>
    <w:rsid w:val="18ED2660"/>
    <w:rsid w:val="18FD569D"/>
    <w:rsid w:val="19007C65"/>
    <w:rsid w:val="193A0726"/>
    <w:rsid w:val="199E3494"/>
    <w:rsid w:val="19ED1894"/>
    <w:rsid w:val="19FD74F4"/>
    <w:rsid w:val="1A271480"/>
    <w:rsid w:val="1A44221C"/>
    <w:rsid w:val="1A4F591E"/>
    <w:rsid w:val="1ABF462B"/>
    <w:rsid w:val="1C005A84"/>
    <w:rsid w:val="1C1D61B1"/>
    <w:rsid w:val="1C747A02"/>
    <w:rsid w:val="1CC54D97"/>
    <w:rsid w:val="1CC8249A"/>
    <w:rsid w:val="1D106C85"/>
    <w:rsid w:val="1D6354D7"/>
    <w:rsid w:val="1DD61D06"/>
    <w:rsid w:val="1E0679AF"/>
    <w:rsid w:val="1E0C144C"/>
    <w:rsid w:val="1E451704"/>
    <w:rsid w:val="1EE51FBB"/>
    <w:rsid w:val="1EE944A5"/>
    <w:rsid w:val="1EEB0C27"/>
    <w:rsid w:val="1F801844"/>
    <w:rsid w:val="1FB46C91"/>
    <w:rsid w:val="201C02BC"/>
    <w:rsid w:val="20314D1C"/>
    <w:rsid w:val="206328B7"/>
    <w:rsid w:val="20876CD9"/>
    <w:rsid w:val="20D1791D"/>
    <w:rsid w:val="20EB254F"/>
    <w:rsid w:val="214757B1"/>
    <w:rsid w:val="21C232D6"/>
    <w:rsid w:val="21ED7D94"/>
    <w:rsid w:val="227C396B"/>
    <w:rsid w:val="22ED03C1"/>
    <w:rsid w:val="23270721"/>
    <w:rsid w:val="23394AF9"/>
    <w:rsid w:val="235D0D1A"/>
    <w:rsid w:val="236F74D2"/>
    <w:rsid w:val="23863CCD"/>
    <w:rsid w:val="238F24F5"/>
    <w:rsid w:val="23DD5030"/>
    <w:rsid w:val="24177FAF"/>
    <w:rsid w:val="2428243E"/>
    <w:rsid w:val="24306988"/>
    <w:rsid w:val="24360BC1"/>
    <w:rsid w:val="245014A8"/>
    <w:rsid w:val="24521C4A"/>
    <w:rsid w:val="24AC592C"/>
    <w:rsid w:val="24B970AD"/>
    <w:rsid w:val="254A46E4"/>
    <w:rsid w:val="256D3346"/>
    <w:rsid w:val="25A85000"/>
    <w:rsid w:val="25F9075D"/>
    <w:rsid w:val="266C047B"/>
    <w:rsid w:val="26BE4492"/>
    <w:rsid w:val="26E60676"/>
    <w:rsid w:val="27022B7A"/>
    <w:rsid w:val="2704469F"/>
    <w:rsid w:val="270A78D6"/>
    <w:rsid w:val="270B4CBE"/>
    <w:rsid w:val="272629D9"/>
    <w:rsid w:val="275E5882"/>
    <w:rsid w:val="27EC1857"/>
    <w:rsid w:val="27FF2454"/>
    <w:rsid w:val="28317DBF"/>
    <w:rsid w:val="286820C0"/>
    <w:rsid w:val="289F1CD3"/>
    <w:rsid w:val="28F00552"/>
    <w:rsid w:val="29333F84"/>
    <w:rsid w:val="29ED4880"/>
    <w:rsid w:val="2A025388"/>
    <w:rsid w:val="2A394735"/>
    <w:rsid w:val="2A4E20F3"/>
    <w:rsid w:val="2B892F18"/>
    <w:rsid w:val="2BC40D92"/>
    <w:rsid w:val="2BEB0251"/>
    <w:rsid w:val="2C3F0E59"/>
    <w:rsid w:val="2C5F22BB"/>
    <w:rsid w:val="2CAC1064"/>
    <w:rsid w:val="2CAE1EAB"/>
    <w:rsid w:val="2CE04E51"/>
    <w:rsid w:val="2CE56226"/>
    <w:rsid w:val="2CEF1451"/>
    <w:rsid w:val="2D0833CB"/>
    <w:rsid w:val="2D981725"/>
    <w:rsid w:val="2DAC1F62"/>
    <w:rsid w:val="2DC70DB9"/>
    <w:rsid w:val="2E154D2F"/>
    <w:rsid w:val="2E7C3C97"/>
    <w:rsid w:val="2EA02439"/>
    <w:rsid w:val="2EBE1C25"/>
    <w:rsid w:val="2EFC0EBF"/>
    <w:rsid w:val="2F360701"/>
    <w:rsid w:val="2F54478D"/>
    <w:rsid w:val="2FA52AA4"/>
    <w:rsid w:val="305B142D"/>
    <w:rsid w:val="30C109CB"/>
    <w:rsid w:val="30C4511A"/>
    <w:rsid w:val="310E14CC"/>
    <w:rsid w:val="31834AE9"/>
    <w:rsid w:val="31C81B4E"/>
    <w:rsid w:val="322751F7"/>
    <w:rsid w:val="32334608"/>
    <w:rsid w:val="32950450"/>
    <w:rsid w:val="33215E85"/>
    <w:rsid w:val="33281828"/>
    <w:rsid w:val="3380763F"/>
    <w:rsid w:val="33962354"/>
    <w:rsid w:val="33E42E7D"/>
    <w:rsid w:val="341E2840"/>
    <w:rsid w:val="344E68D8"/>
    <w:rsid w:val="348850E7"/>
    <w:rsid w:val="34A05A4A"/>
    <w:rsid w:val="35857A61"/>
    <w:rsid w:val="3588293E"/>
    <w:rsid w:val="35B07660"/>
    <w:rsid w:val="35B12ACD"/>
    <w:rsid w:val="36677CDF"/>
    <w:rsid w:val="37171494"/>
    <w:rsid w:val="37F56AA6"/>
    <w:rsid w:val="383211AB"/>
    <w:rsid w:val="38604E29"/>
    <w:rsid w:val="38706546"/>
    <w:rsid w:val="388B32FB"/>
    <w:rsid w:val="389D1434"/>
    <w:rsid w:val="38AD43BD"/>
    <w:rsid w:val="38D77FC8"/>
    <w:rsid w:val="39026B3F"/>
    <w:rsid w:val="39815CFA"/>
    <w:rsid w:val="3A0F007D"/>
    <w:rsid w:val="3A126BC7"/>
    <w:rsid w:val="3A4B47B1"/>
    <w:rsid w:val="3B6041C1"/>
    <w:rsid w:val="3B9A61B9"/>
    <w:rsid w:val="3BB66810"/>
    <w:rsid w:val="3BBC022D"/>
    <w:rsid w:val="3BDB6750"/>
    <w:rsid w:val="3C137520"/>
    <w:rsid w:val="3C3C5723"/>
    <w:rsid w:val="3C3D5188"/>
    <w:rsid w:val="3C542FDF"/>
    <w:rsid w:val="3C7D1265"/>
    <w:rsid w:val="3C9E2354"/>
    <w:rsid w:val="3D066D6F"/>
    <w:rsid w:val="3D457158"/>
    <w:rsid w:val="3D894FA7"/>
    <w:rsid w:val="3DDD5BC5"/>
    <w:rsid w:val="3DE60E54"/>
    <w:rsid w:val="3DF07DD1"/>
    <w:rsid w:val="3E090709"/>
    <w:rsid w:val="3E2444DF"/>
    <w:rsid w:val="3EA56827"/>
    <w:rsid w:val="3EC22692"/>
    <w:rsid w:val="3F616375"/>
    <w:rsid w:val="3FDF7ECD"/>
    <w:rsid w:val="3FE13E93"/>
    <w:rsid w:val="3FE421AE"/>
    <w:rsid w:val="3FEB7783"/>
    <w:rsid w:val="4052550B"/>
    <w:rsid w:val="406945E3"/>
    <w:rsid w:val="40CA14E4"/>
    <w:rsid w:val="40D11782"/>
    <w:rsid w:val="40D4761A"/>
    <w:rsid w:val="40F802AD"/>
    <w:rsid w:val="41385536"/>
    <w:rsid w:val="413F25D1"/>
    <w:rsid w:val="414A1D21"/>
    <w:rsid w:val="414B11A4"/>
    <w:rsid w:val="415E11CE"/>
    <w:rsid w:val="4162575D"/>
    <w:rsid w:val="41640C25"/>
    <w:rsid w:val="41B3129E"/>
    <w:rsid w:val="41B86617"/>
    <w:rsid w:val="41D8102D"/>
    <w:rsid w:val="41E15F4C"/>
    <w:rsid w:val="42035FA7"/>
    <w:rsid w:val="426E5237"/>
    <w:rsid w:val="428F585F"/>
    <w:rsid w:val="42B4773D"/>
    <w:rsid w:val="43092084"/>
    <w:rsid w:val="430F4D45"/>
    <w:rsid w:val="4318018A"/>
    <w:rsid w:val="43255B09"/>
    <w:rsid w:val="435B7C46"/>
    <w:rsid w:val="43652FE9"/>
    <w:rsid w:val="439B72C8"/>
    <w:rsid w:val="43AB057D"/>
    <w:rsid w:val="4436447E"/>
    <w:rsid w:val="445219C2"/>
    <w:rsid w:val="4458255D"/>
    <w:rsid w:val="44643CCD"/>
    <w:rsid w:val="447A04D7"/>
    <w:rsid w:val="448449BD"/>
    <w:rsid w:val="448E5E05"/>
    <w:rsid w:val="44CC1FFC"/>
    <w:rsid w:val="45324087"/>
    <w:rsid w:val="45505CB7"/>
    <w:rsid w:val="459752EB"/>
    <w:rsid w:val="45BD75B8"/>
    <w:rsid w:val="45D62882"/>
    <w:rsid w:val="46537C96"/>
    <w:rsid w:val="475B3C5E"/>
    <w:rsid w:val="47AF4677"/>
    <w:rsid w:val="47C65783"/>
    <w:rsid w:val="47E33D6C"/>
    <w:rsid w:val="4807465F"/>
    <w:rsid w:val="48253B1B"/>
    <w:rsid w:val="483672E6"/>
    <w:rsid w:val="487D5F4D"/>
    <w:rsid w:val="489117E6"/>
    <w:rsid w:val="48D146FF"/>
    <w:rsid w:val="48FE02A3"/>
    <w:rsid w:val="492965D7"/>
    <w:rsid w:val="494469BA"/>
    <w:rsid w:val="49496774"/>
    <w:rsid w:val="495B2C7C"/>
    <w:rsid w:val="49932B57"/>
    <w:rsid w:val="4AB42196"/>
    <w:rsid w:val="4AE25C9F"/>
    <w:rsid w:val="4AFE7F98"/>
    <w:rsid w:val="4B6D3738"/>
    <w:rsid w:val="4B7542DD"/>
    <w:rsid w:val="4B964786"/>
    <w:rsid w:val="4BAE038E"/>
    <w:rsid w:val="4BDE67DD"/>
    <w:rsid w:val="4C7202C5"/>
    <w:rsid w:val="4CD41A10"/>
    <w:rsid w:val="4CDF35EB"/>
    <w:rsid w:val="4D2E5E27"/>
    <w:rsid w:val="4D98013B"/>
    <w:rsid w:val="4DD3014F"/>
    <w:rsid w:val="4DE96DC0"/>
    <w:rsid w:val="4E32133E"/>
    <w:rsid w:val="4E4746A8"/>
    <w:rsid w:val="4E5C7565"/>
    <w:rsid w:val="4EDE0E75"/>
    <w:rsid w:val="4EFD76AC"/>
    <w:rsid w:val="4F0D4F56"/>
    <w:rsid w:val="4F1D503F"/>
    <w:rsid w:val="4F3C461A"/>
    <w:rsid w:val="4FA014C4"/>
    <w:rsid w:val="50170EEE"/>
    <w:rsid w:val="50540EFD"/>
    <w:rsid w:val="50635AF6"/>
    <w:rsid w:val="50E822DF"/>
    <w:rsid w:val="514D1207"/>
    <w:rsid w:val="51592F93"/>
    <w:rsid w:val="5184349C"/>
    <w:rsid w:val="51B82252"/>
    <w:rsid w:val="523A78B3"/>
    <w:rsid w:val="52AF5466"/>
    <w:rsid w:val="52DC258D"/>
    <w:rsid w:val="52E438BC"/>
    <w:rsid w:val="52F47397"/>
    <w:rsid w:val="53057C90"/>
    <w:rsid w:val="534957D9"/>
    <w:rsid w:val="5369543F"/>
    <w:rsid w:val="539E4FD1"/>
    <w:rsid w:val="54200AD0"/>
    <w:rsid w:val="54211233"/>
    <w:rsid w:val="545A6218"/>
    <w:rsid w:val="54AF7B33"/>
    <w:rsid w:val="555576BE"/>
    <w:rsid w:val="5604152F"/>
    <w:rsid w:val="560D5578"/>
    <w:rsid w:val="5676175D"/>
    <w:rsid w:val="56E77E7A"/>
    <w:rsid w:val="5720302F"/>
    <w:rsid w:val="578F0268"/>
    <w:rsid w:val="57A4545B"/>
    <w:rsid w:val="57D76682"/>
    <w:rsid w:val="57F6184B"/>
    <w:rsid w:val="58217E36"/>
    <w:rsid w:val="58931BF9"/>
    <w:rsid w:val="58B85792"/>
    <w:rsid w:val="590C245E"/>
    <w:rsid w:val="593324E5"/>
    <w:rsid w:val="598979B0"/>
    <w:rsid w:val="599F0EEA"/>
    <w:rsid w:val="59DD2497"/>
    <w:rsid w:val="5A173358"/>
    <w:rsid w:val="5A2644D6"/>
    <w:rsid w:val="5A373FFC"/>
    <w:rsid w:val="5A6C2218"/>
    <w:rsid w:val="5AC64BAA"/>
    <w:rsid w:val="5ADC4A11"/>
    <w:rsid w:val="5AE27922"/>
    <w:rsid w:val="5AE867D9"/>
    <w:rsid w:val="5AFD00D7"/>
    <w:rsid w:val="5B23361E"/>
    <w:rsid w:val="5B6D73AD"/>
    <w:rsid w:val="5BBF1812"/>
    <w:rsid w:val="5BDD5185"/>
    <w:rsid w:val="5BEE1552"/>
    <w:rsid w:val="5C633B74"/>
    <w:rsid w:val="5C754A63"/>
    <w:rsid w:val="5C9325E1"/>
    <w:rsid w:val="5D120A43"/>
    <w:rsid w:val="5D286C35"/>
    <w:rsid w:val="5D837043"/>
    <w:rsid w:val="5D85665F"/>
    <w:rsid w:val="5DB8566B"/>
    <w:rsid w:val="5DC8079E"/>
    <w:rsid w:val="5DF47A80"/>
    <w:rsid w:val="5DFE1A15"/>
    <w:rsid w:val="5E7255BF"/>
    <w:rsid w:val="5E86159D"/>
    <w:rsid w:val="5ECD1567"/>
    <w:rsid w:val="5EEC1580"/>
    <w:rsid w:val="5F3710FC"/>
    <w:rsid w:val="5F3806A0"/>
    <w:rsid w:val="5F467707"/>
    <w:rsid w:val="60421209"/>
    <w:rsid w:val="604606D1"/>
    <w:rsid w:val="6091352B"/>
    <w:rsid w:val="60A33B16"/>
    <w:rsid w:val="60E07441"/>
    <w:rsid w:val="60F12C83"/>
    <w:rsid w:val="61117BD6"/>
    <w:rsid w:val="613F1978"/>
    <w:rsid w:val="614642D1"/>
    <w:rsid w:val="61635928"/>
    <w:rsid w:val="6199633D"/>
    <w:rsid w:val="61A54836"/>
    <w:rsid w:val="61B96B03"/>
    <w:rsid w:val="61D3189C"/>
    <w:rsid w:val="6214271B"/>
    <w:rsid w:val="627C2325"/>
    <w:rsid w:val="6295106D"/>
    <w:rsid w:val="629D61B9"/>
    <w:rsid w:val="62A71217"/>
    <w:rsid w:val="630949CD"/>
    <w:rsid w:val="65F24619"/>
    <w:rsid w:val="66025393"/>
    <w:rsid w:val="663B4AF2"/>
    <w:rsid w:val="6663537A"/>
    <w:rsid w:val="66835958"/>
    <w:rsid w:val="66894974"/>
    <w:rsid w:val="66B636E5"/>
    <w:rsid w:val="66BA5B13"/>
    <w:rsid w:val="66C00FE5"/>
    <w:rsid w:val="66C5406F"/>
    <w:rsid w:val="6751175C"/>
    <w:rsid w:val="67600E2B"/>
    <w:rsid w:val="679D6B40"/>
    <w:rsid w:val="67C70323"/>
    <w:rsid w:val="67EF12BB"/>
    <w:rsid w:val="681C1267"/>
    <w:rsid w:val="6833464A"/>
    <w:rsid w:val="6895540E"/>
    <w:rsid w:val="68B67F5F"/>
    <w:rsid w:val="68B82A6C"/>
    <w:rsid w:val="68BB6294"/>
    <w:rsid w:val="68DE4642"/>
    <w:rsid w:val="692179A2"/>
    <w:rsid w:val="699F36BA"/>
    <w:rsid w:val="69BE42C2"/>
    <w:rsid w:val="6A32601B"/>
    <w:rsid w:val="6A956F16"/>
    <w:rsid w:val="6AB24CC4"/>
    <w:rsid w:val="6ACF26BF"/>
    <w:rsid w:val="6B2D265B"/>
    <w:rsid w:val="6B4F35A9"/>
    <w:rsid w:val="6B6C0F31"/>
    <w:rsid w:val="6B735B3A"/>
    <w:rsid w:val="6B787B51"/>
    <w:rsid w:val="6BA95CA5"/>
    <w:rsid w:val="6BB9404F"/>
    <w:rsid w:val="6BD2439A"/>
    <w:rsid w:val="6BE44D58"/>
    <w:rsid w:val="6C036ADB"/>
    <w:rsid w:val="6C233B33"/>
    <w:rsid w:val="6C4A57DF"/>
    <w:rsid w:val="6CC01D2B"/>
    <w:rsid w:val="6D5D02C3"/>
    <w:rsid w:val="6D9228B7"/>
    <w:rsid w:val="6DEF0DB2"/>
    <w:rsid w:val="6E086466"/>
    <w:rsid w:val="6E0D4628"/>
    <w:rsid w:val="6E4B47C0"/>
    <w:rsid w:val="6E822DC4"/>
    <w:rsid w:val="6EA4465F"/>
    <w:rsid w:val="6EC501D1"/>
    <w:rsid w:val="6F353245"/>
    <w:rsid w:val="6FB748F6"/>
    <w:rsid w:val="6FFD47E0"/>
    <w:rsid w:val="70340D5E"/>
    <w:rsid w:val="706D7BC6"/>
    <w:rsid w:val="71053BB6"/>
    <w:rsid w:val="71293DA0"/>
    <w:rsid w:val="713E4E31"/>
    <w:rsid w:val="7200217D"/>
    <w:rsid w:val="72EE09D5"/>
    <w:rsid w:val="734A6C24"/>
    <w:rsid w:val="735D07B3"/>
    <w:rsid w:val="735F7282"/>
    <w:rsid w:val="738A7F15"/>
    <w:rsid w:val="73953989"/>
    <w:rsid w:val="73BB309C"/>
    <w:rsid w:val="73F95119"/>
    <w:rsid w:val="743473DD"/>
    <w:rsid w:val="744C7D9A"/>
    <w:rsid w:val="74630C78"/>
    <w:rsid w:val="74687810"/>
    <w:rsid w:val="74754823"/>
    <w:rsid w:val="74A431AF"/>
    <w:rsid w:val="74B0023C"/>
    <w:rsid w:val="74F32F94"/>
    <w:rsid w:val="75107C0E"/>
    <w:rsid w:val="752F756A"/>
    <w:rsid w:val="75496808"/>
    <w:rsid w:val="755F1E6B"/>
    <w:rsid w:val="759870FF"/>
    <w:rsid w:val="75C11E59"/>
    <w:rsid w:val="75C8318A"/>
    <w:rsid w:val="75CE6BEA"/>
    <w:rsid w:val="763C4108"/>
    <w:rsid w:val="76453731"/>
    <w:rsid w:val="768E58A1"/>
    <w:rsid w:val="769761FE"/>
    <w:rsid w:val="76BD39A4"/>
    <w:rsid w:val="76EC6529"/>
    <w:rsid w:val="770A333E"/>
    <w:rsid w:val="773966A6"/>
    <w:rsid w:val="773D26E7"/>
    <w:rsid w:val="77603812"/>
    <w:rsid w:val="7772056D"/>
    <w:rsid w:val="778E44D2"/>
    <w:rsid w:val="77CB42E2"/>
    <w:rsid w:val="785D7A8B"/>
    <w:rsid w:val="78B363D2"/>
    <w:rsid w:val="78D33E69"/>
    <w:rsid w:val="797266B8"/>
    <w:rsid w:val="79943F84"/>
    <w:rsid w:val="79943FE0"/>
    <w:rsid w:val="79A4062A"/>
    <w:rsid w:val="79FA1FA6"/>
    <w:rsid w:val="7A351FEB"/>
    <w:rsid w:val="7A4D1845"/>
    <w:rsid w:val="7A761ED3"/>
    <w:rsid w:val="7AA316E9"/>
    <w:rsid w:val="7AB56843"/>
    <w:rsid w:val="7AB65B01"/>
    <w:rsid w:val="7ABE3CC9"/>
    <w:rsid w:val="7ACA2719"/>
    <w:rsid w:val="7B7A07FD"/>
    <w:rsid w:val="7B931E51"/>
    <w:rsid w:val="7B942104"/>
    <w:rsid w:val="7BB70A35"/>
    <w:rsid w:val="7BE7366F"/>
    <w:rsid w:val="7C934260"/>
    <w:rsid w:val="7CAF14EA"/>
    <w:rsid w:val="7CF53BA0"/>
    <w:rsid w:val="7CFD7CFB"/>
    <w:rsid w:val="7D0E0814"/>
    <w:rsid w:val="7D373336"/>
    <w:rsid w:val="7D474E90"/>
    <w:rsid w:val="7D4A7168"/>
    <w:rsid w:val="7D7D6F1A"/>
    <w:rsid w:val="7D882FD0"/>
    <w:rsid w:val="7D95430E"/>
    <w:rsid w:val="7E174480"/>
    <w:rsid w:val="7E244D9D"/>
    <w:rsid w:val="7E36195B"/>
    <w:rsid w:val="7E415263"/>
    <w:rsid w:val="7E505F69"/>
    <w:rsid w:val="7E525F95"/>
    <w:rsid w:val="7E937240"/>
    <w:rsid w:val="7EBF17B0"/>
    <w:rsid w:val="7F5452DF"/>
    <w:rsid w:val="7FE83C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Times New Roman"/>
      <w:kern w:val="2"/>
      <w:sz w:val="21"/>
      <w:szCs w:val="22"/>
      <w:lang w:val="en-US" w:eastAsia="zh-CN" w:bidi="ar-SA"/>
    </w:rPr>
  </w:style>
  <w:style w:type="paragraph" w:styleId="3">
    <w:name w:val="heading 1"/>
    <w:basedOn w:val="1"/>
    <w:next w:val="1"/>
    <w:link w:val="71"/>
    <w:qFormat/>
    <w:uiPriority w:val="0"/>
    <w:pPr>
      <w:keepNext/>
      <w:keepLines/>
      <w:spacing w:line="360" w:lineRule="auto"/>
      <w:outlineLvl w:val="0"/>
    </w:pPr>
    <w:rPr>
      <w:rFonts w:ascii="Times New Roman" w:hAnsi="Times New Roman" w:eastAsia="宋体"/>
      <w:b/>
      <w:kern w:val="44"/>
      <w:sz w:val="44"/>
      <w:szCs w:val="20"/>
    </w:rPr>
  </w:style>
  <w:style w:type="paragraph" w:styleId="4">
    <w:name w:val="heading 2"/>
    <w:basedOn w:val="1"/>
    <w:next w:val="1"/>
    <w:link w:val="153"/>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73"/>
    <w:qFormat/>
    <w:uiPriority w:val="0"/>
    <w:pPr>
      <w:keepNext/>
      <w:keepLines/>
      <w:spacing w:line="360" w:lineRule="auto"/>
      <w:jc w:val="center"/>
      <w:outlineLvl w:val="2"/>
    </w:pPr>
    <w:rPr>
      <w:rFonts w:ascii="宋体" w:hAnsi="宋体" w:eastAsia="宋体"/>
      <w:b/>
      <w:bCs/>
      <w:sz w:val="28"/>
      <w:szCs w:val="32"/>
    </w:rPr>
  </w:style>
  <w:style w:type="paragraph" w:styleId="6">
    <w:name w:val="heading 4"/>
    <w:basedOn w:val="1"/>
    <w:next w:val="1"/>
    <w:link w:val="74"/>
    <w:qFormat/>
    <w:uiPriority w:val="0"/>
    <w:pPr>
      <w:keepNext/>
      <w:keepLines/>
      <w:adjustRightInd w:val="0"/>
      <w:snapToGrid w:val="0"/>
      <w:spacing w:line="500" w:lineRule="exact"/>
      <w:ind w:left="426"/>
      <w:outlineLvl w:val="3"/>
    </w:pPr>
    <w:rPr>
      <w:rFonts w:ascii="Arial" w:hAnsi="Arial"/>
      <w:bCs/>
      <w:sz w:val="24"/>
      <w:szCs w:val="28"/>
    </w:rPr>
  </w:style>
  <w:style w:type="paragraph" w:styleId="7">
    <w:name w:val="heading 5"/>
    <w:basedOn w:val="1"/>
    <w:next w:val="1"/>
    <w:link w:val="75"/>
    <w:qFormat/>
    <w:uiPriority w:val="0"/>
    <w:pPr>
      <w:keepNext/>
      <w:keepLines/>
      <w:tabs>
        <w:tab w:val="left" w:pos="33"/>
      </w:tabs>
      <w:spacing w:before="280" w:after="290"/>
      <w:ind w:left="436" w:firstLine="448"/>
      <w:outlineLvl w:val="4"/>
    </w:pPr>
    <w:rPr>
      <w:rFonts w:ascii="Times New Roman" w:hAnsi="Times New Roman"/>
      <w:bCs/>
      <w:szCs w:val="28"/>
    </w:rPr>
  </w:style>
  <w:style w:type="paragraph" w:styleId="8">
    <w:name w:val="heading 6"/>
    <w:basedOn w:val="1"/>
    <w:next w:val="1"/>
    <w:link w:val="76"/>
    <w:qFormat/>
    <w:uiPriority w:val="0"/>
    <w:pPr>
      <w:keepNext/>
      <w:keepLines/>
      <w:spacing w:before="240" w:after="64" w:line="320" w:lineRule="auto"/>
      <w:outlineLvl w:val="5"/>
    </w:pPr>
    <w:rPr>
      <w:rFonts w:ascii="Arial" w:hAnsi="Arial" w:eastAsia="黑体"/>
      <w:b/>
      <w:bCs/>
      <w:kern w:val="0"/>
      <w:sz w:val="24"/>
      <w:szCs w:val="24"/>
    </w:rPr>
  </w:style>
  <w:style w:type="paragraph" w:styleId="9">
    <w:name w:val="heading 7"/>
    <w:basedOn w:val="1"/>
    <w:next w:val="1"/>
    <w:link w:val="77"/>
    <w:qFormat/>
    <w:uiPriority w:val="0"/>
    <w:pPr>
      <w:keepNext/>
      <w:keepLines/>
      <w:spacing w:before="240" w:after="64" w:line="320" w:lineRule="auto"/>
      <w:outlineLvl w:val="6"/>
    </w:pPr>
    <w:rPr>
      <w:rFonts w:ascii="Times New Roman" w:hAnsi="Times New Roman" w:eastAsia="宋体"/>
      <w:bCs/>
      <w:color w:val="000000"/>
      <w:kern w:val="0"/>
      <w:sz w:val="32"/>
      <w:szCs w:val="21"/>
    </w:rPr>
  </w:style>
  <w:style w:type="paragraph" w:styleId="10">
    <w:name w:val="heading 8"/>
    <w:basedOn w:val="1"/>
    <w:next w:val="1"/>
    <w:link w:val="78"/>
    <w:qFormat/>
    <w:uiPriority w:val="0"/>
    <w:pPr>
      <w:keepNext/>
      <w:keepLines/>
      <w:spacing w:before="240" w:after="64" w:line="320" w:lineRule="auto"/>
      <w:outlineLvl w:val="7"/>
    </w:pPr>
    <w:rPr>
      <w:rFonts w:ascii="Arial" w:hAnsi="Arial" w:eastAsia="宋体"/>
      <w:color w:val="000000"/>
      <w:kern w:val="0"/>
      <w:sz w:val="32"/>
      <w:szCs w:val="21"/>
    </w:rPr>
  </w:style>
  <w:style w:type="paragraph" w:styleId="11">
    <w:name w:val="heading 9"/>
    <w:basedOn w:val="1"/>
    <w:next w:val="1"/>
    <w:link w:val="79"/>
    <w:qFormat/>
    <w:uiPriority w:val="0"/>
    <w:pPr>
      <w:keepNext/>
      <w:keepLines/>
      <w:spacing w:before="240" w:after="64" w:line="320" w:lineRule="auto"/>
      <w:outlineLvl w:val="8"/>
    </w:pPr>
    <w:rPr>
      <w:rFonts w:ascii="Arial" w:hAnsi="Arial" w:eastAsia="宋体"/>
      <w:color w:val="000000"/>
      <w:kern w:val="0"/>
      <w:sz w:val="32"/>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0"/>
    <w:qFormat/>
    <w:uiPriority w:val="0"/>
    <w:rPr>
      <w:rFonts w:ascii="宋体" w:hAnsi="Courier New" w:eastAsia="宋体" w:cs="Courier New"/>
      <w:szCs w:val="21"/>
    </w:rPr>
  </w:style>
  <w:style w:type="paragraph" w:styleId="12">
    <w:name w:val="toc 7"/>
    <w:basedOn w:val="1"/>
    <w:next w:val="1"/>
    <w:unhideWhenUsed/>
    <w:qFormat/>
    <w:uiPriority w:val="39"/>
    <w:pPr>
      <w:ind w:left="2520" w:leftChars="1200"/>
    </w:pPr>
    <w:rPr>
      <w:rFonts w:ascii="Times New Roman" w:hAnsi="Times New Roman" w:eastAsia="宋体"/>
    </w:rPr>
  </w:style>
  <w:style w:type="paragraph" w:styleId="13">
    <w:name w:val="Normal Indent"/>
    <w:basedOn w:val="1"/>
    <w:qFormat/>
    <w:uiPriority w:val="0"/>
    <w:pPr>
      <w:adjustRightInd w:val="0"/>
      <w:spacing w:line="360" w:lineRule="atLeast"/>
      <w:ind w:firstLine="420"/>
      <w:textAlignment w:val="baseline"/>
    </w:pPr>
    <w:rPr>
      <w:rFonts w:ascii="Times New Roman" w:hAnsi="Times New Roman"/>
      <w:szCs w:val="20"/>
      <w:lang w:val="zh-CN"/>
    </w:rPr>
  </w:style>
  <w:style w:type="paragraph" w:styleId="14">
    <w:name w:val="List Bullet"/>
    <w:basedOn w:val="1"/>
    <w:qFormat/>
    <w:uiPriority w:val="0"/>
    <w:pPr>
      <w:numPr>
        <w:ilvl w:val="0"/>
        <w:numId w:val="1"/>
      </w:numPr>
      <w:tabs>
        <w:tab w:val="left" w:pos="360"/>
        <w:tab w:val="clear" w:pos="1620"/>
      </w:tabs>
      <w:ind w:left="360"/>
    </w:pPr>
    <w:rPr>
      <w:rFonts w:ascii="Times New Roman" w:hAnsi="Times New Roman" w:eastAsia="宋体"/>
      <w:szCs w:val="21"/>
    </w:rPr>
  </w:style>
  <w:style w:type="paragraph" w:styleId="15">
    <w:name w:val="Document Map"/>
    <w:basedOn w:val="1"/>
    <w:link w:val="96"/>
    <w:semiHidden/>
    <w:qFormat/>
    <w:uiPriority w:val="0"/>
    <w:pPr>
      <w:shd w:val="clear" w:color="auto" w:fill="000080"/>
    </w:pPr>
  </w:style>
  <w:style w:type="paragraph" w:styleId="16">
    <w:name w:val="annotation text"/>
    <w:basedOn w:val="1"/>
    <w:link w:val="84"/>
    <w:qFormat/>
    <w:uiPriority w:val="0"/>
    <w:pPr>
      <w:jc w:val="left"/>
    </w:pPr>
    <w:rPr>
      <w:rFonts w:ascii="Times New Roman" w:hAnsi="Times New Roman" w:eastAsia="宋体"/>
      <w:szCs w:val="20"/>
    </w:rPr>
  </w:style>
  <w:style w:type="paragraph" w:styleId="17">
    <w:name w:val="Body Text 3"/>
    <w:basedOn w:val="1"/>
    <w:link w:val="99"/>
    <w:qFormat/>
    <w:uiPriority w:val="0"/>
    <w:pPr>
      <w:spacing w:after="120"/>
    </w:pPr>
    <w:rPr>
      <w:sz w:val="16"/>
      <w:szCs w:val="16"/>
    </w:rPr>
  </w:style>
  <w:style w:type="paragraph" w:styleId="18">
    <w:name w:val="Body Text"/>
    <w:basedOn w:val="1"/>
    <w:link w:val="82"/>
    <w:qFormat/>
    <w:uiPriority w:val="0"/>
    <w:pPr>
      <w:spacing w:after="120"/>
    </w:pPr>
    <w:rPr>
      <w:rFonts w:ascii="Times New Roman" w:hAnsi="Times New Roman" w:eastAsia="宋体"/>
      <w:szCs w:val="24"/>
    </w:rPr>
  </w:style>
  <w:style w:type="paragraph" w:styleId="19">
    <w:name w:val="Body Text Indent"/>
    <w:basedOn w:val="1"/>
    <w:link w:val="98"/>
    <w:qFormat/>
    <w:uiPriority w:val="0"/>
    <w:pPr>
      <w:spacing w:after="120"/>
      <w:ind w:left="420" w:leftChars="200"/>
    </w:pPr>
  </w:style>
  <w:style w:type="paragraph" w:styleId="20">
    <w:name w:val="List Bullet 2"/>
    <w:basedOn w:val="1"/>
    <w:qFormat/>
    <w:uiPriority w:val="0"/>
    <w:pPr>
      <w:numPr>
        <w:ilvl w:val="0"/>
        <w:numId w:val="2"/>
      </w:numPr>
      <w:tabs>
        <w:tab w:val="left" w:pos="780"/>
        <w:tab w:val="clear" w:pos="2040"/>
      </w:tabs>
      <w:ind w:left="780" w:leftChars="200"/>
    </w:pPr>
    <w:rPr>
      <w:rFonts w:ascii="Times New Roman" w:hAnsi="Times New Roman" w:eastAsia="宋体"/>
      <w:szCs w:val="21"/>
    </w:rPr>
  </w:style>
  <w:style w:type="paragraph" w:styleId="21">
    <w:name w:val="toc 5"/>
    <w:basedOn w:val="1"/>
    <w:next w:val="1"/>
    <w:unhideWhenUsed/>
    <w:qFormat/>
    <w:uiPriority w:val="39"/>
    <w:pPr>
      <w:ind w:left="1680" w:leftChars="800"/>
    </w:pPr>
    <w:rPr>
      <w:rFonts w:ascii="Times New Roman" w:hAnsi="Times New Roman" w:eastAsia="宋体"/>
    </w:rPr>
  </w:style>
  <w:style w:type="paragraph" w:styleId="22">
    <w:name w:val="toc 3"/>
    <w:basedOn w:val="1"/>
    <w:next w:val="1"/>
    <w:unhideWhenUsed/>
    <w:qFormat/>
    <w:uiPriority w:val="39"/>
    <w:pPr>
      <w:ind w:left="840" w:leftChars="400"/>
    </w:pPr>
    <w:rPr>
      <w:rFonts w:ascii="Times New Roman" w:hAnsi="Times New Roman" w:eastAsia="宋体"/>
    </w:rPr>
  </w:style>
  <w:style w:type="paragraph" w:styleId="23">
    <w:name w:val="toc 8"/>
    <w:basedOn w:val="1"/>
    <w:next w:val="1"/>
    <w:unhideWhenUsed/>
    <w:qFormat/>
    <w:uiPriority w:val="39"/>
    <w:pPr>
      <w:ind w:left="2940" w:leftChars="1400"/>
    </w:pPr>
    <w:rPr>
      <w:rFonts w:ascii="Times New Roman" w:hAnsi="Times New Roman" w:eastAsia="宋体"/>
    </w:rPr>
  </w:style>
  <w:style w:type="paragraph" w:styleId="24">
    <w:name w:val="Date"/>
    <w:basedOn w:val="1"/>
    <w:next w:val="1"/>
    <w:link w:val="95"/>
    <w:qFormat/>
    <w:uiPriority w:val="0"/>
    <w:pPr>
      <w:ind w:left="100" w:leftChars="2500"/>
    </w:pPr>
  </w:style>
  <w:style w:type="paragraph" w:styleId="25">
    <w:name w:val="Body Text Indent 2"/>
    <w:basedOn w:val="1"/>
    <w:link w:val="129"/>
    <w:qFormat/>
    <w:uiPriority w:val="0"/>
    <w:pPr>
      <w:spacing w:beforeLines="40" w:afterLines="40"/>
      <w:ind w:left="630" w:leftChars="300" w:firstLine="420" w:firstLineChars="200"/>
    </w:pPr>
    <w:rPr>
      <w:rFonts w:ascii="Times New Roman" w:hAnsi="Times New Roman"/>
      <w:kern w:val="0"/>
      <w:sz w:val="20"/>
      <w:szCs w:val="24"/>
    </w:rPr>
  </w:style>
  <w:style w:type="paragraph" w:styleId="26">
    <w:name w:val="Balloon Text"/>
    <w:basedOn w:val="1"/>
    <w:link w:val="94"/>
    <w:semiHidden/>
    <w:qFormat/>
    <w:uiPriority w:val="99"/>
    <w:rPr>
      <w:sz w:val="18"/>
      <w:szCs w:val="18"/>
    </w:rPr>
  </w:style>
  <w:style w:type="paragraph" w:styleId="27">
    <w:name w:val="footer"/>
    <w:basedOn w:val="1"/>
    <w:link w:val="97"/>
    <w:qFormat/>
    <w:uiPriority w:val="0"/>
    <w:pPr>
      <w:tabs>
        <w:tab w:val="center" w:pos="4153"/>
        <w:tab w:val="right" w:pos="8306"/>
      </w:tabs>
      <w:snapToGrid w:val="0"/>
      <w:jc w:val="left"/>
    </w:pPr>
    <w:rPr>
      <w:rFonts w:ascii="Times New Roman" w:hAnsi="Times New Roman"/>
      <w:sz w:val="18"/>
      <w:szCs w:val="18"/>
    </w:rPr>
  </w:style>
  <w:style w:type="paragraph" w:styleId="28">
    <w:name w:val="header"/>
    <w:basedOn w:val="1"/>
    <w:link w:val="93"/>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9">
    <w:name w:val="toc 1"/>
    <w:basedOn w:val="1"/>
    <w:next w:val="1"/>
    <w:qFormat/>
    <w:uiPriority w:val="39"/>
    <w:pPr>
      <w:tabs>
        <w:tab w:val="right" w:leader="dot" w:pos="8296"/>
      </w:tabs>
      <w:spacing w:beforeLines="100" w:afterLines="50"/>
    </w:pPr>
    <w:rPr>
      <w:rFonts w:ascii="Times New Roman" w:hAnsi="Times New Roman" w:eastAsia="黑体"/>
      <w:sz w:val="24"/>
      <w:szCs w:val="24"/>
    </w:rPr>
  </w:style>
  <w:style w:type="paragraph" w:styleId="30">
    <w:name w:val="toc 4"/>
    <w:basedOn w:val="1"/>
    <w:next w:val="1"/>
    <w:unhideWhenUsed/>
    <w:qFormat/>
    <w:uiPriority w:val="39"/>
    <w:pPr>
      <w:ind w:left="1260" w:leftChars="600"/>
    </w:pPr>
    <w:rPr>
      <w:rFonts w:ascii="Times New Roman" w:hAnsi="Times New Roman" w:eastAsia="宋体"/>
    </w:rPr>
  </w:style>
  <w:style w:type="paragraph" w:styleId="31">
    <w:name w:val="footnote text"/>
    <w:basedOn w:val="1"/>
    <w:semiHidden/>
    <w:qFormat/>
    <w:uiPriority w:val="0"/>
    <w:pPr>
      <w:snapToGrid w:val="0"/>
      <w:jc w:val="left"/>
    </w:pPr>
    <w:rPr>
      <w:rFonts w:ascii="Times New Roman" w:hAnsi="Times New Roman"/>
      <w:sz w:val="18"/>
      <w:szCs w:val="18"/>
    </w:rPr>
  </w:style>
  <w:style w:type="paragraph" w:styleId="32">
    <w:name w:val="toc 6"/>
    <w:basedOn w:val="1"/>
    <w:next w:val="1"/>
    <w:unhideWhenUsed/>
    <w:qFormat/>
    <w:uiPriority w:val="39"/>
    <w:pPr>
      <w:ind w:left="2100" w:leftChars="1000"/>
    </w:pPr>
    <w:rPr>
      <w:rFonts w:ascii="Times New Roman" w:hAnsi="Times New Roman" w:eastAsia="宋体"/>
    </w:rPr>
  </w:style>
  <w:style w:type="paragraph" w:styleId="33">
    <w:name w:val="Body Text Indent 3"/>
    <w:basedOn w:val="1"/>
    <w:link w:val="92"/>
    <w:qFormat/>
    <w:uiPriority w:val="0"/>
    <w:pPr>
      <w:spacing w:after="120"/>
      <w:ind w:left="420" w:leftChars="200"/>
    </w:pPr>
    <w:rPr>
      <w:rFonts w:ascii="Times New Roman" w:hAnsi="Times New Roman"/>
      <w:sz w:val="16"/>
      <w:szCs w:val="16"/>
    </w:rPr>
  </w:style>
  <w:style w:type="paragraph" w:styleId="34">
    <w:name w:val="toc 2"/>
    <w:basedOn w:val="1"/>
    <w:next w:val="1"/>
    <w:qFormat/>
    <w:uiPriority w:val="39"/>
    <w:pPr>
      <w:tabs>
        <w:tab w:val="left" w:pos="1260"/>
        <w:tab w:val="right" w:leader="dot" w:pos="8296"/>
      </w:tabs>
      <w:ind w:left="420" w:leftChars="200"/>
    </w:pPr>
    <w:rPr>
      <w:rFonts w:ascii="Arial" w:hAnsi="Arial" w:eastAsia="宋体"/>
      <w:bCs/>
      <w:szCs w:val="24"/>
    </w:rPr>
  </w:style>
  <w:style w:type="paragraph" w:styleId="35">
    <w:name w:val="toc 9"/>
    <w:basedOn w:val="1"/>
    <w:next w:val="1"/>
    <w:unhideWhenUsed/>
    <w:qFormat/>
    <w:uiPriority w:val="39"/>
    <w:pPr>
      <w:ind w:left="3360" w:leftChars="1600"/>
    </w:pPr>
    <w:rPr>
      <w:rFonts w:ascii="Times New Roman" w:hAnsi="Times New Roman" w:eastAsia="宋体"/>
    </w:rPr>
  </w:style>
  <w:style w:type="paragraph" w:styleId="36">
    <w:name w:val="Body Text 2"/>
    <w:basedOn w:val="1"/>
    <w:link w:val="127"/>
    <w:qFormat/>
    <w:uiPriority w:val="0"/>
    <w:pPr>
      <w:snapToGrid w:val="0"/>
    </w:pPr>
    <w:rPr>
      <w:rFonts w:ascii="宋体" w:hAnsi="宋体"/>
      <w:kern w:val="0"/>
      <w:sz w:val="24"/>
      <w:szCs w:val="24"/>
    </w:rPr>
  </w:style>
  <w:style w:type="paragraph" w:styleId="37">
    <w:name w:val="HTML Preformatted"/>
    <w:basedOn w:val="1"/>
    <w:qFormat/>
    <w:uiPriority w:val="0"/>
    <w:rPr>
      <w:rFonts w:ascii="Courier New" w:hAnsi="Courier New" w:cs="Courier New"/>
      <w:sz w:val="20"/>
      <w:szCs w:val="20"/>
    </w:r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9">
    <w:name w:val="annotation subject"/>
    <w:basedOn w:val="16"/>
    <w:next w:val="16"/>
    <w:link w:val="91"/>
    <w:semiHidden/>
    <w:qFormat/>
    <w:uiPriority w:val="99"/>
    <w:rPr>
      <w:rFonts w:ascii="Calibri" w:hAnsi="Calibri"/>
      <w:b/>
      <w:bCs/>
      <w:szCs w:val="22"/>
    </w:rPr>
  </w:style>
  <w:style w:type="paragraph" w:styleId="40">
    <w:name w:val="Body Text First Indent"/>
    <w:basedOn w:val="1"/>
    <w:link w:val="114"/>
    <w:qFormat/>
    <w:uiPriority w:val="0"/>
    <w:pPr>
      <w:ind w:firstLine="420" w:firstLineChars="100"/>
    </w:pPr>
    <w:rPr>
      <w:kern w:val="0"/>
      <w:sz w:val="20"/>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semiHidden/>
    <w:unhideWhenUsed/>
    <w:qFormat/>
    <w:uiPriority w:val="0"/>
    <w:rPr>
      <w:color w:val="800080" w:themeColor="followedHyperlink"/>
      <w:u w:val="single"/>
      <w14:textFill>
        <w14:solidFill>
          <w14:schemeClr w14:val="folHlink"/>
        </w14:solidFill>
      </w14:textFill>
    </w:rPr>
  </w:style>
  <w:style w:type="character" w:styleId="47">
    <w:name w:val="Emphasis"/>
    <w:qFormat/>
    <w:uiPriority w:val="0"/>
    <w:rPr>
      <w:rFonts w:eastAsia="华文仿宋" w:cs="Times New Roman"/>
      <w:sz w:val="24"/>
    </w:rPr>
  </w:style>
  <w:style w:type="character" w:styleId="48">
    <w:name w:val="HTML Definition"/>
    <w:basedOn w:val="43"/>
    <w:semiHidden/>
    <w:unhideWhenUsed/>
    <w:qFormat/>
    <w:uiPriority w:val="0"/>
    <w:rPr>
      <w:i/>
      <w:iCs/>
    </w:rPr>
  </w:style>
  <w:style w:type="character" w:styleId="49">
    <w:name w:val="Hyperlink"/>
    <w:qFormat/>
    <w:uiPriority w:val="99"/>
    <w:rPr>
      <w:color w:val="0000FF"/>
      <w:u w:val="single"/>
    </w:rPr>
  </w:style>
  <w:style w:type="character" w:styleId="50">
    <w:name w:val="HTML Code"/>
    <w:basedOn w:val="43"/>
    <w:semiHidden/>
    <w:unhideWhenUsed/>
    <w:qFormat/>
    <w:uiPriority w:val="0"/>
    <w:rPr>
      <w:rFonts w:hint="default" w:ascii="Consolas" w:hAnsi="Consolas" w:eastAsia="Consolas" w:cs="Consolas"/>
      <w:color w:val="C7254E"/>
      <w:sz w:val="21"/>
      <w:szCs w:val="21"/>
      <w:bdr w:val="single" w:color="E1E1E1" w:sz="4" w:space="0"/>
      <w:shd w:val="clear" w:fill="F9F2F4"/>
    </w:rPr>
  </w:style>
  <w:style w:type="character" w:styleId="51">
    <w:name w:val="annotation reference"/>
    <w:qFormat/>
    <w:uiPriority w:val="99"/>
    <w:rPr>
      <w:rFonts w:cs="Times New Roman"/>
      <w:sz w:val="21"/>
    </w:rPr>
  </w:style>
  <w:style w:type="character" w:styleId="52">
    <w:name w:val="HTML Keyboard"/>
    <w:basedOn w:val="43"/>
    <w:semiHidden/>
    <w:unhideWhenUsed/>
    <w:qFormat/>
    <w:uiPriority w:val="0"/>
    <w:rPr>
      <w:rFonts w:ascii="Consolas" w:hAnsi="Consolas" w:eastAsia="Consolas" w:cs="Consolas"/>
      <w:color w:val="FFFFFF"/>
      <w:sz w:val="21"/>
      <w:szCs w:val="21"/>
      <w:shd w:val="clear" w:fill="333333"/>
    </w:rPr>
  </w:style>
  <w:style w:type="character" w:styleId="53">
    <w:name w:val="HTML Sample"/>
    <w:basedOn w:val="43"/>
    <w:semiHidden/>
    <w:unhideWhenUsed/>
    <w:qFormat/>
    <w:uiPriority w:val="0"/>
    <w:rPr>
      <w:rFonts w:hint="default" w:ascii="Consolas" w:hAnsi="Consolas" w:eastAsia="Consolas" w:cs="Consolas"/>
      <w:sz w:val="21"/>
      <w:szCs w:val="21"/>
    </w:rPr>
  </w:style>
  <w:style w:type="paragraph" w:customStyle="1" w:styleId="54">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55">
    <w:name w:val="样式 正文文本 + 新宋体 小四 黑色"/>
    <w:basedOn w:val="18"/>
    <w:link w:val="81"/>
    <w:qFormat/>
    <w:uiPriority w:val="0"/>
    <w:rPr>
      <w:rFonts w:ascii="新宋体" w:hAnsi="新宋体"/>
      <w:color w:val="000000"/>
    </w:rPr>
  </w:style>
  <w:style w:type="paragraph" w:customStyle="1" w:styleId="56">
    <w:name w:val="样式 标题 3 + 新宋体"/>
    <w:basedOn w:val="5"/>
    <w:link w:val="85"/>
    <w:qFormat/>
    <w:uiPriority w:val="0"/>
    <w:rPr>
      <w:rFonts w:ascii="新宋体" w:hAnsi="新宋体"/>
      <w:bCs w:val="0"/>
      <w:kern w:val="0"/>
      <w:sz w:val="21"/>
    </w:rPr>
  </w:style>
  <w:style w:type="paragraph" w:customStyle="1" w:styleId="57">
    <w:name w:val="正文首行缩进1"/>
    <w:basedOn w:val="18"/>
    <w:qFormat/>
    <w:uiPriority w:val="0"/>
    <w:pPr>
      <w:ind w:firstLine="420" w:firstLineChars="100"/>
    </w:pPr>
    <w:rPr>
      <w:rFonts w:ascii="Calibri" w:hAnsi="Calibri"/>
      <w:szCs w:val="22"/>
    </w:rPr>
  </w:style>
  <w:style w:type="paragraph" w:customStyle="1" w:styleId="58">
    <w:name w:val="Char Char Char Char"/>
    <w:basedOn w:val="15"/>
    <w:qFormat/>
    <w:uiPriority w:val="0"/>
    <w:pPr>
      <w:widowControl/>
      <w:ind w:firstLine="454"/>
      <w:jc w:val="left"/>
    </w:pPr>
    <w:rPr>
      <w:rFonts w:ascii="Times New Roman" w:hAnsi="Times New Roman"/>
      <w:szCs w:val="20"/>
    </w:rPr>
  </w:style>
  <w:style w:type="paragraph" w:customStyle="1" w:styleId="59">
    <w:name w:val="Table Paragraph"/>
    <w:basedOn w:val="1"/>
    <w:qFormat/>
    <w:uiPriority w:val="0"/>
    <w:pPr>
      <w:autoSpaceDE w:val="0"/>
      <w:autoSpaceDN w:val="0"/>
      <w:jc w:val="left"/>
    </w:pPr>
    <w:rPr>
      <w:rFonts w:ascii="宋体" w:hAnsi="Times New Roman" w:cs="宋体"/>
      <w:kern w:val="0"/>
      <w:sz w:val="22"/>
      <w:lang w:val="zh-CN" w:bidi="zh-CN"/>
    </w:rPr>
  </w:style>
  <w:style w:type="paragraph" w:customStyle="1" w:styleId="60">
    <w:name w:val="文二"/>
    <w:basedOn w:val="1"/>
    <w:qFormat/>
    <w:uiPriority w:val="0"/>
    <w:pPr>
      <w:jc w:val="left"/>
    </w:pPr>
    <w:rPr>
      <w:rFonts w:ascii="宋体" w:hAnsi="宋体"/>
      <w:szCs w:val="21"/>
    </w:rPr>
  </w:style>
  <w:style w:type="paragraph" w:customStyle="1" w:styleId="61">
    <w:name w:val="列出段落1"/>
    <w:basedOn w:val="1"/>
    <w:qFormat/>
    <w:uiPriority w:val="34"/>
    <w:pPr>
      <w:ind w:firstLine="420" w:firstLineChars="200"/>
    </w:pPr>
  </w:style>
  <w:style w:type="paragraph" w:customStyle="1" w:styleId="62">
    <w:name w:val="列出段落11"/>
    <w:basedOn w:val="1"/>
    <w:link w:val="120"/>
    <w:qFormat/>
    <w:uiPriority w:val="34"/>
    <w:pPr>
      <w:ind w:firstLine="420" w:firstLineChars="200"/>
    </w:pPr>
    <w:rPr>
      <w:rFonts w:ascii="Times New Roman" w:hAnsi="Times New Roman"/>
      <w:kern w:val="0"/>
      <w:sz w:val="20"/>
      <w:szCs w:val="20"/>
    </w:rPr>
  </w:style>
  <w:style w:type="paragraph" w:customStyle="1" w:styleId="63">
    <w:name w:val="格式1"/>
    <w:basedOn w:val="3"/>
    <w:link w:val="123"/>
    <w:qFormat/>
    <w:uiPriority w:val="0"/>
    <w:pPr>
      <w:spacing w:line="240" w:lineRule="auto"/>
      <w:jc w:val="center"/>
    </w:pPr>
    <w:rPr>
      <w:rFonts w:ascii="黑体" w:hAnsi="Arial" w:eastAsia="黑体"/>
      <w:kern w:val="0"/>
      <w:sz w:val="24"/>
    </w:rPr>
  </w:style>
  <w:style w:type="paragraph" w:customStyle="1" w:styleId="64">
    <w:name w:val="无间隔1"/>
    <w:link w:val="125"/>
    <w:qFormat/>
    <w:uiPriority w:val="0"/>
    <w:rPr>
      <w:rFonts w:eastAsia="楷体_GB2312" w:cs="Times New Roman" w:asciiTheme="minorHAnsi" w:hAnsiTheme="minorHAnsi"/>
      <w:kern w:val="2"/>
      <w:sz w:val="22"/>
      <w:szCs w:val="24"/>
      <w:lang w:val="en-US" w:eastAsia="zh-CN" w:bidi="ar-SA"/>
    </w:rPr>
  </w:style>
  <w:style w:type="paragraph" w:customStyle="1" w:styleId="65">
    <w:name w:val="标题15"/>
    <w:basedOn w:val="1"/>
    <w:link w:val="128"/>
    <w:qFormat/>
    <w:uiPriority w:val="0"/>
    <w:pPr>
      <w:spacing w:line="440" w:lineRule="exact"/>
      <w:ind w:firstLine="200" w:firstLineChars="200"/>
    </w:pPr>
    <w:rPr>
      <w:rFonts w:ascii="Arial" w:hAnsi="Arial" w:eastAsia="仿宋_GB2312"/>
      <w:kern w:val="0"/>
      <w:sz w:val="25"/>
      <w:szCs w:val="24"/>
    </w:rPr>
  </w:style>
  <w:style w:type="paragraph" w:customStyle="1" w:styleId="66">
    <w:name w:val="样式 标题 2 +"/>
    <w:basedOn w:val="4"/>
    <w:qFormat/>
    <w:uiPriority w:val="0"/>
    <w:pPr>
      <w:numPr>
        <w:ilvl w:val="0"/>
        <w:numId w:val="3"/>
      </w:numPr>
      <w:spacing w:line="416" w:lineRule="auto"/>
    </w:pPr>
    <w:rPr>
      <w:bCs/>
      <w:kern w:val="0"/>
      <w:szCs w:val="32"/>
    </w:rPr>
  </w:style>
  <w:style w:type="paragraph" w:customStyle="1" w:styleId="67">
    <w:name w:val="Default"/>
    <w:qFormat/>
    <w:uiPriority w:val="99"/>
    <w:pPr>
      <w:widowControl w:val="0"/>
      <w:autoSpaceDE w:val="0"/>
      <w:autoSpaceDN w:val="0"/>
      <w:adjustRightInd w:val="0"/>
    </w:pPr>
    <w:rPr>
      <w:rFonts w:ascii="仿宋_GB2312" w:eastAsia="仿宋_GB2312" w:cs="仿宋_GB2312" w:hAnsiTheme="minorHAnsi"/>
      <w:color w:val="000000"/>
      <w:kern w:val="2"/>
      <w:sz w:val="24"/>
      <w:szCs w:val="24"/>
      <w:lang w:val="en-US" w:eastAsia="zh-CN" w:bidi="ar-SA"/>
    </w:rPr>
  </w:style>
  <w:style w:type="paragraph" w:customStyle="1" w:styleId="68">
    <w:name w:val="修订1"/>
    <w:unhideWhenUsed/>
    <w:qFormat/>
    <w:uiPriority w:val="99"/>
    <w:rPr>
      <w:rFonts w:eastAsia="宋体" w:cs="Times New Roman" w:asciiTheme="minorHAnsi" w:hAnsiTheme="minorHAnsi"/>
      <w:kern w:val="2"/>
      <w:sz w:val="21"/>
      <w:szCs w:val="22"/>
      <w:lang w:val="en-US" w:eastAsia="zh-CN" w:bidi="ar-SA"/>
    </w:rPr>
  </w:style>
  <w:style w:type="paragraph" w:customStyle="1" w:styleId="69">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paragraph" w:customStyle="1" w:styleId="70">
    <w:name w:val="2"/>
    <w:basedOn w:val="1"/>
    <w:next w:val="2"/>
    <w:qFormat/>
    <w:uiPriority w:val="0"/>
    <w:rPr>
      <w:rFonts w:ascii="宋体" w:hAnsi="Courier New" w:eastAsia="宋体"/>
      <w:szCs w:val="20"/>
    </w:rPr>
  </w:style>
  <w:style w:type="character" w:customStyle="1" w:styleId="71">
    <w:name w:val="标题 1 Char1"/>
    <w:link w:val="3"/>
    <w:qFormat/>
    <w:locked/>
    <w:uiPriority w:val="0"/>
    <w:rPr>
      <w:rFonts w:eastAsia="宋体"/>
      <w:b/>
      <w:kern w:val="44"/>
      <w:sz w:val="44"/>
    </w:rPr>
  </w:style>
  <w:style w:type="character" w:customStyle="1" w:styleId="72">
    <w:name w:val="标题 2 Char2"/>
    <w:qFormat/>
    <w:locked/>
    <w:uiPriority w:val="0"/>
    <w:rPr>
      <w:rFonts w:ascii="Arial" w:hAnsi="Arial" w:eastAsia="黑体"/>
      <w:b/>
      <w:kern w:val="2"/>
      <w:sz w:val="32"/>
      <w:lang w:val="en-US" w:eastAsia="zh-CN" w:bidi="ar-SA"/>
    </w:rPr>
  </w:style>
  <w:style w:type="character" w:customStyle="1" w:styleId="73">
    <w:name w:val="标题 3 Char"/>
    <w:basedOn w:val="43"/>
    <w:link w:val="5"/>
    <w:qFormat/>
    <w:uiPriority w:val="0"/>
    <w:rPr>
      <w:rFonts w:ascii="宋体" w:hAnsi="宋体" w:eastAsia="宋体"/>
      <w:b/>
      <w:bCs/>
      <w:kern w:val="2"/>
      <w:sz w:val="28"/>
      <w:szCs w:val="32"/>
    </w:rPr>
  </w:style>
  <w:style w:type="character" w:customStyle="1" w:styleId="74">
    <w:name w:val="标题 4 Char1"/>
    <w:link w:val="6"/>
    <w:qFormat/>
    <w:uiPriority w:val="0"/>
    <w:rPr>
      <w:rFonts w:ascii="Arial" w:hAnsi="Arial"/>
      <w:bCs/>
      <w:kern w:val="2"/>
      <w:sz w:val="24"/>
      <w:szCs w:val="28"/>
    </w:rPr>
  </w:style>
  <w:style w:type="character" w:customStyle="1" w:styleId="75">
    <w:name w:val="标题 5 Char1"/>
    <w:link w:val="7"/>
    <w:qFormat/>
    <w:uiPriority w:val="0"/>
    <w:rPr>
      <w:bCs/>
      <w:kern w:val="2"/>
      <w:sz w:val="21"/>
      <w:szCs w:val="28"/>
    </w:rPr>
  </w:style>
  <w:style w:type="character" w:customStyle="1" w:styleId="76">
    <w:name w:val="标题 6 Char1"/>
    <w:basedOn w:val="43"/>
    <w:link w:val="8"/>
    <w:qFormat/>
    <w:uiPriority w:val="0"/>
    <w:rPr>
      <w:rFonts w:ascii="Arial" w:hAnsi="Arial" w:eastAsia="黑体"/>
      <w:b/>
      <w:bCs/>
      <w:sz w:val="24"/>
      <w:szCs w:val="24"/>
    </w:rPr>
  </w:style>
  <w:style w:type="character" w:customStyle="1" w:styleId="77">
    <w:name w:val="标题 7 Char1"/>
    <w:basedOn w:val="43"/>
    <w:link w:val="9"/>
    <w:qFormat/>
    <w:uiPriority w:val="0"/>
    <w:rPr>
      <w:rFonts w:eastAsia="宋体"/>
      <w:bCs/>
      <w:color w:val="000000"/>
      <w:sz w:val="32"/>
      <w:szCs w:val="21"/>
    </w:rPr>
  </w:style>
  <w:style w:type="character" w:customStyle="1" w:styleId="78">
    <w:name w:val="标题 8 Char1"/>
    <w:basedOn w:val="43"/>
    <w:link w:val="10"/>
    <w:qFormat/>
    <w:uiPriority w:val="0"/>
    <w:rPr>
      <w:rFonts w:ascii="Arial" w:hAnsi="Arial" w:eastAsia="宋体"/>
      <w:color w:val="000000"/>
      <w:sz w:val="32"/>
      <w:szCs w:val="21"/>
    </w:rPr>
  </w:style>
  <w:style w:type="character" w:customStyle="1" w:styleId="79">
    <w:name w:val="标题 9 Char1"/>
    <w:basedOn w:val="43"/>
    <w:link w:val="11"/>
    <w:qFormat/>
    <w:uiPriority w:val="0"/>
    <w:rPr>
      <w:rFonts w:ascii="Arial" w:hAnsi="Arial" w:eastAsia="宋体"/>
      <w:color w:val="000000"/>
      <w:sz w:val="32"/>
      <w:szCs w:val="21"/>
    </w:rPr>
  </w:style>
  <w:style w:type="character" w:customStyle="1" w:styleId="80">
    <w:name w:val="Char Char5"/>
    <w:qFormat/>
    <w:uiPriority w:val="0"/>
    <w:rPr>
      <w:rFonts w:eastAsia="宋体"/>
      <w:kern w:val="2"/>
      <w:sz w:val="21"/>
    </w:rPr>
  </w:style>
  <w:style w:type="character" w:customStyle="1" w:styleId="81">
    <w:name w:val="样式 正文文本 + 新宋体 小四 黑色 Char"/>
    <w:link w:val="55"/>
    <w:qFormat/>
    <w:uiPriority w:val="0"/>
    <w:rPr>
      <w:rFonts w:ascii="新宋体" w:hAnsi="新宋体" w:eastAsia="宋体"/>
      <w:color w:val="000000"/>
      <w:kern w:val="2"/>
      <w:sz w:val="21"/>
      <w:szCs w:val="24"/>
      <w:lang w:val="en-US" w:eastAsia="zh-CN" w:bidi="ar-SA"/>
    </w:rPr>
  </w:style>
  <w:style w:type="character" w:customStyle="1" w:styleId="82">
    <w:name w:val="正文文本 Char2"/>
    <w:link w:val="18"/>
    <w:qFormat/>
    <w:uiPriority w:val="99"/>
    <w:rPr>
      <w:rFonts w:eastAsia="宋体"/>
      <w:kern w:val="2"/>
      <w:sz w:val="21"/>
      <w:szCs w:val="24"/>
      <w:lang w:val="en-US" w:eastAsia="zh-CN" w:bidi="ar-SA"/>
    </w:rPr>
  </w:style>
  <w:style w:type="character" w:customStyle="1" w:styleId="83">
    <w:name w:val="Char Char21"/>
    <w:qFormat/>
    <w:uiPriority w:val="0"/>
    <w:rPr>
      <w:rFonts w:eastAsia="宋体"/>
      <w:b/>
      <w:kern w:val="44"/>
      <w:sz w:val="44"/>
    </w:rPr>
  </w:style>
  <w:style w:type="character" w:customStyle="1" w:styleId="84">
    <w:name w:val="批注文字 Char"/>
    <w:link w:val="16"/>
    <w:qFormat/>
    <w:locked/>
    <w:uiPriority w:val="0"/>
    <w:rPr>
      <w:rFonts w:eastAsia="宋体"/>
      <w:kern w:val="2"/>
      <w:sz w:val="21"/>
      <w:lang w:val="en-US" w:eastAsia="zh-CN" w:bidi="ar-SA"/>
    </w:rPr>
  </w:style>
  <w:style w:type="character" w:customStyle="1" w:styleId="85">
    <w:name w:val="样式 标题 3 + 新宋体 Char"/>
    <w:link w:val="56"/>
    <w:qFormat/>
    <w:uiPriority w:val="0"/>
    <w:rPr>
      <w:rFonts w:ascii="新宋体" w:hAnsi="新宋体" w:eastAsia="宋体"/>
      <w:sz w:val="21"/>
      <w:szCs w:val="32"/>
      <w:lang w:bidi="ar-SA"/>
    </w:rPr>
  </w:style>
  <w:style w:type="character" w:customStyle="1" w:styleId="86">
    <w:name w:val="font161"/>
    <w:qFormat/>
    <w:uiPriority w:val="0"/>
    <w:rPr>
      <w:b/>
      <w:sz w:val="32"/>
    </w:rPr>
  </w:style>
  <w:style w:type="character" w:customStyle="1" w:styleId="87">
    <w:name w:val="批注文字 Char1"/>
    <w:semiHidden/>
    <w:qFormat/>
    <w:uiPriority w:val="0"/>
    <w:rPr>
      <w:rFonts w:ascii="Calibri" w:hAnsi="Calibri" w:eastAsia="宋体"/>
      <w:kern w:val="2"/>
      <w:sz w:val="21"/>
      <w:szCs w:val="22"/>
      <w:lang w:val="en-US" w:eastAsia="zh-CN" w:bidi="ar-SA"/>
    </w:rPr>
  </w:style>
  <w:style w:type="character" w:customStyle="1" w:styleId="88">
    <w:name w:val="Heading 1 Char"/>
    <w:qFormat/>
    <w:locked/>
    <w:uiPriority w:val="0"/>
    <w:rPr>
      <w:rFonts w:eastAsia="宋体" w:cs="Times New Roman"/>
      <w:b/>
      <w:kern w:val="44"/>
      <w:sz w:val="44"/>
    </w:rPr>
  </w:style>
  <w:style w:type="character" w:customStyle="1" w:styleId="89">
    <w:name w:val="样式 新宋体 小四"/>
    <w:qFormat/>
    <w:uiPriority w:val="0"/>
    <w:rPr>
      <w:rFonts w:ascii="新宋体" w:hAnsi="新宋体" w:eastAsia="宋体"/>
      <w:sz w:val="21"/>
    </w:rPr>
  </w:style>
  <w:style w:type="character" w:customStyle="1" w:styleId="90">
    <w:name w:val="纯文本 Char2"/>
    <w:link w:val="2"/>
    <w:qFormat/>
    <w:locked/>
    <w:uiPriority w:val="0"/>
    <w:rPr>
      <w:rFonts w:ascii="宋体" w:hAnsi="Courier New" w:eastAsia="宋体" w:cs="Courier New"/>
      <w:kern w:val="2"/>
      <w:sz w:val="21"/>
      <w:szCs w:val="21"/>
      <w:lang w:val="en-US" w:eastAsia="zh-CN" w:bidi="ar-SA"/>
    </w:rPr>
  </w:style>
  <w:style w:type="character" w:customStyle="1" w:styleId="91">
    <w:name w:val="批注主题 Char"/>
    <w:link w:val="39"/>
    <w:semiHidden/>
    <w:qFormat/>
    <w:uiPriority w:val="99"/>
    <w:rPr>
      <w:rFonts w:ascii="Calibri" w:hAnsi="Calibri" w:eastAsia="宋体"/>
      <w:b/>
      <w:bCs/>
      <w:kern w:val="2"/>
      <w:sz w:val="21"/>
      <w:szCs w:val="22"/>
    </w:rPr>
  </w:style>
  <w:style w:type="character" w:customStyle="1" w:styleId="92">
    <w:name w:val="正文文本缩进 3 Char1"/>
    <w:link w:val="33"/>
    <w:qFormat/>
    <w:uiPriority w:val="0"/>
    <w:rPr>
      <w:kern w:val="2"/>
      <w:sz w:val="16"/>
      <w:szCs w:val="16"/>
    </w:rPr>
  </w:style>
  <w:style w:type="character" w:customStyle="1" w:styleId="93">
    <w:name w:val="页眉 Char"/>
    <w:basedOn w:val="43"/>
    <w:link w:val="28"/>
    <w:qFormat/>
    <w:uiPriority w:val="99"/>
    <w:rPr>
      <w:kern w:val="2"/>
      <w:sz w:val="18"/>
      <w:szCs w:val="18"/>
    </w:rPr>
  </w:style>
  <w:style w:type="character" w:customStyle="1" w:styleId="94">
    <w:name w:val="批注框文本 Char"/>
    <w:link w:val="26"/>
    <w:semiHidden/>
    <w:qFormat/>
    <w:uiPriority w:val="99"/>
    <w:rPr>
      <w:rFonts w:ascii="Calibri" w:hAnsi="Calibri"/>
      <w:kern w:val="2"/>
      <w:sz w:val="18"/>
      <w:szCs w:val="18"/>
    </w:rPr>
  </w:style>
  <w:style w:type="character" w:customStyle="1" w:styleId="95">
    <w:name w:val="日期 Char1"/>
    <w:link w:val="24"/>
    <w:qFormat/>
    <w:uiPriority w:val="0"/>
    <w:rPr>
      <w:rFonts w:ascii="Calibri" w:hAnsi="Calibri"/>
      <w:kern w:val="2"/>
      <w:sz w:val="21"/>
      <w:szCs w:val="22"/>
    </w:rPr>
  </w:style>
  <w:style w:type="character" w:customStyle="1" w:styleId="96">
    <w:name w:val="文档结构图 Char"/>
    <w:link w:val="15"/>
    <w:semiHidden/>
    <w:qFormat/>
    <w:uiPriority w:val="0"/>
    <w:rPr>
      <w:rFonts w:ascii="Calibri" w:hAnsi="Calibri"/>
      <w:kern w:val="2"/>
      <w:sz w:val="21"/>
      <w:szCs w:val="22"/>
      <w:shd w:val="clear" w:color="auto" w:fill="000080"/>
    </w:rPr>
  </w:style>
  <w:style w:type="character" w:customStyle="1" w:styleId="97">
    <w:name w:val="页脚 Char"/>
    <w:basedOn w:val="43"/>
    <w:link w:val="27"/>
    <w:qFormat/>
    <w:uiPriority w:val="0"/>
    <w:rPr>
      <w:kern w:val="2"/>
      <w:sz w:val="18"/>
      <w:szCs w:val="18"/>
    </w:rPr>
  </w:style>
  <w:style w:type="character" w:customStyle="1" w:styleId="98">
    <w:name w:val="正文文本缩进 Char1"/>
    <w:link w:val="19"/>
    <w:qFormat/>
    <w:uiPriority w:val="0"/>
    <w:rPr>
      <w:rFonts w:ascii="Calibri" w:hAnsi="Calibri"/>
      <w:kern w:val="2"/>
      <w:sz w:val="21"/>
      <w:szCs w:val="22"/>
    </w:rPr>
  </w:style>
  <w:style w:type="character" w:customStyle="1" w:styleId="99">
    <w:name w:val="正文文本 3 Char1"/>
    <w:link w:val="17"/>
    <w:qFormat/>
    <w:uiPriority w:val="0"/>
    <w:rPr>
      <w:rFonts w:ascii="Calibri" w:hAnsi="Calibri"/>
      <w:kern w:val="2"/>
      <w:sz w:val="16"/>
      <w:szCs w:val="16"/>
    </w:rPr>
  </w:style>
  <w:style w:type="character" w:customStyle="1" w:styleId="100">
    <w:name w:val="未处理的提及1"/>
    <w:basedOn w:val="43"/>
    <w:semiHidden/>
    <w:unhideWhenUsed/>
    <w:qFormat/>
    <w:uiPriority w:val="99"/>
    <w:rPr>
      <w:color w:val="605E5C"/>
      <w:shd w:val="clear" w:color="auto" w:fill="E1DFDD"/>
    </w:rPr>
  </w:style>
  <w:style w:type="character" w:customStyle="1" w:styleId="101">
    <w:name w:val="标题 2 Char"/>
    <w:qFormat/>
    <w:uiPriority w:val="0"/>
    <w:rPr>
      <w:rFonts w:ascii="Arial" w:hAnsi="Arial" w:eastAsia="黑体"/>
      <w:b/>
      <w:kern w:val="2"/>
      <w:sz w:val="32"/>
    </w:rPr>
  </w:style>
  <w:style w:type="character" w:customStyle="1" w:styleId="102">
    <w:name w:val="标题 1 Char"/>
    <w:qFormat/>
    <w:uiPriority w:val="0"/>
    <w:rPr>
      <w:rFonts w:eastAsia="宋体"/>
      <w:b/>
      <w:kern w:val="44"/>
      <w:sz w:val="44"/>
    </w:rPr>
  </w:style>
  <w:style w:type="character" w:customStyle="1" w:styleId="103">
    <w:name w:val="纯文本 Char"/>
    <w:basedOn w:val="43"/>
    <w:qFormat/>
    <w:uiPriority w:val="0"/>
    <w:rPr>
      <w:rFonts w:ascii="宋体" w:hAnsi="Courier New" w:eastAsia="宋体" w:cs="Courier New"/>
      <w:szCs w:val="21"/>
    </w:rPr>
  </w:style>
  <w:style w:type="character" w:customStyle="1" w:styleId="104">
    <w:name w:val="标题 4 Char"/>
    <w:basedOn w:val="43"/>
    <w:qFormat/>
    <w:uiPriority w:val="0"/>
    <w:rPr>
      <w:rFonts w:ascii="等线 Light" w:hAnsi="等线 Light" w:eastAsia="等线 Light" w:cs="黑体"/>
      <w:b/>
      <w:bCs/>
      <w:sz w:val="28"/>
      <w:szCs w:val="28"/>
    </w:rPr>
  </w:style>
  <w:style w:type="character" w:customStyle="1" w:styleId="105">
    <w:name w:val="标题 5 Char"/>
    <w:basedOn w:val="43"/>
    <w:qFormat/>
    <w:uiPriority w:val="0"/>
    <w:rPr>
      <w:rFonts w:ascii="Calibri" w:hAnsi="Calibri" w:eastAsia="宋体" w:cs="Times New Roman"/>
      <w:b/>
      <w:bCs/>
      <w:sz w:val="28"/>
      <w:szCs w:val="28"/>
    </w:rPr>
  </w:style>
  <w:style w:type="character" w:customStyle="1" w:styleId="106">
    <w:name w:val="标题 6 Char"/>
    <w:basedOn w:val="43"/>
    <w:qFormat/>
    <w:uiPriority w:val="0"/>
    <w:rPr>
      <w:rFonts w:ascii="等线 Light" w:hAnsi="等线 Light" w:eastAsia="等线 Light" w:cs="黑体"/>
      <w:b/>
      <w:bCs/>
      <w:sz w:val="24"/>
      <w:szCs w:val="24"/>
    </w:rPr>
  </w:style>
  <w:style w:type="character" w:customStyle="1" w:styleId="107">
    <w:name w:val="标题 7 Char"/>
    <w:basedOn w:val="43"/>
    <w:qFormat/>
    <w:uiPriority w:val="0"/>
    <w:rPr>
      <w:rFonts w:ascii="Calibri" w:hAnsi="Calibri" w:eastAsia="宋体" w:cs="Times New Roman"/>
      <w:b/>
      <w:bCs/>
      <w:sz w:val="24"/>
      <w:szCs w:val="24"/>
    </w:rPr>
  </w:style>
  <w:style w:type="character" w:customStyle="1" w:styleId="108">
    <w:name w:val="标题 8 Char"/>
    <w:basedOn w:val="43"/>
    <w:qFormat/>
    <w:uiPriority w:val="0"/>
    <w:rPr>
      <w:rFonts w:ascii="等线 Light" w:hAnsi="等线 Light" w:eastAsia="等线 Light" w:cs="黑体"/>
      <w:sz w:val="24"/>
      <w:szCs w:val="24"/>
    </w:rPr>
  </w:style>
  <w:style w:type="character" w:customStyle="1" w:styleId="109">
    <w:name w:val="标题 9 Char"/>
    <w:basedOn w:val="43"/>
    <w:qFormat/>
    <w:uiPriority w:val="0"/>
    <w:rPr>
      <w:rFonts w:ascii="等线 Light" w:hAnsi="等线 Light" w:eastAsia="等线 Light" w:cs="黑体"/>
      <w:szCs w:val="21"/>
    </w:rPr>
  </w:style>
  <w:style w:type="character" w:customStyle="1" w:styleId="110">
    <w:name w:val="font21"/>
    <w:qFormat/>
    <w:uiPriority w:val="0"/>
    <w:rPr>
      <w:rFonts w:hint="eastAsia" w:ascii="宋体" w:hAnsi="宋体" w:eastAsia="宋体" w:cs="宋体"/>
      <w:color w:val="000000"/>
      <w:sz w:val="22"/>
      <w:szCs w:val="22"/>
      <w:u w:val="none"/>
    </w:rPr>
  </w:style>
  <w:style w:type="character" w:customStyle="1" w:styleId="111">
    <w:name w:val="页眉 Char1"/>
    <w:qFormat/>
    <w:uiPriority w:val="99"/>
    <w:rPr>
      <w:sz w:val="18"/>
      <w:szCs w:val="18"/>
    </w:rPr>
  </w:style>
  <w:style w:type="character" w:customStyle="1" w:styleId="112">
    <w:name w:val="apple-converted-space"/>
    <w:qFormat/>
    <w:uiPriority w:val="0"/>
  </w:style>
  <w:style w:type="character" w:customStyle="1" w:styleId="113">
    <w:name w:val="正文文本缩进 3 Char"/>
    <w:qFormat/>
    <w:uiPriority w:val="0"/>
    <w:rPr>
      <w:kern w:val="2"/>
      <w:sz w:val="16"/>
      <w:szCs w:val="16"/>
    </w:rPr>
  </w:style>
  <w:style w:type="character" w:customStyle="1" w:styleId="114">
    <w:name w:val="正文首行缩进 Char1"/>
    <w:link w:val="40"/>
    <w:qFormat/>
    <w:uiPriority w:val="0"/>
    <w:rPr>
      <w:szCs w:val="24"/>
    </w:rPr>
  </w:style>
  <w:style w:type="character" w:customStyle="1" w:styleId="115">
    <w:name w:val="正文文本缩进 Char"/>
    <w:qFormat/>
    <w:uiPriority w:val="0"/>
    <w:rPr>
      <w:kern w:val="2"/>
      <w:sz w:val="21"/>
      <w:szCs w:val="22"/>
    </w:rPr>
  </w:style>
  <w:style w:type="character" w:customStyle="1" w:styleId="116">
    <w:name w:val="正文文本 2 Char"/>
    <w:qFormat/>
    <w:uiPriority w:val="0"/>
    <w:rPr>
      <w:kern w:val="2"/>
      <w:sz w:val="21"/>
      <w:szCs w:val="22"/>
    </w:rPr>
  </w:style>
  <w:style w:type="character" w:customStyle="1" w:styleId="117">
    <w:name w:val="日期 Char"/>
    <w:qFormat/>
    <w:uiPriority w:val="0"/>
    <w:rPr>
      <w:kern w:val="2"/>
      <w:sz w:val="21"/>
      <w:szCs w:val="22"/>
    </w:rPr>
  </w:style>
  <w:style w:type="character" w:customStyle="1" w:styleId="118">
    <w:name w:val="正文文本 Char"/>
    <w:qFormat/>
    <w:uiPriority w:val="0"/>
    <w:rPr>
      <w:kern w:val="2"/>
      <w:sz w:val="21"/>
      <w:szCs w:val="22"/>
    </w:rPr>
  </w:style>
  <w:style w:type="character" w:customStyle="1" w:styleId="119">
    <w:name w:val="无间隔 Char"/>
    <w:qFormat/>
    <w:uiPriority w:val="0"/>
    <w:rPr>
      <w:rFonts w:ascii="Calibri" w:hAnsi="Calibri" w:eastAsia="宋体" w:cs="Times New Roman"/>
      <w:kern w:val="0"/>
      <w:sz w:val="22"/>
    </w:rPr>
  </w:style>
  <w:style w:type="character" w:customStyle="1" w:styleId="120">
    <w:name w:val="列出段落 Char"/>
    <w:link w:val="62"/>
    <w:qFormat/>
    <w:locked/>
    <w:uiPriority w:val="34"/>
  </w:style>
  <w:style w:type="character" w:customStyle="1" w:styleId="121">
    <w:name w:val="页脚 Char1"/>
    <w:qFormat/>
    <w:uiPriority w:val="99"/>
    <w:rPr>
      <w:sz w:val="18"/>
      <w:szCs w:val="18"/>
    </w:rPr>
  </w:style>
  <w:style w:type="character" w:customStyle="1" w:styleId="122">
    <w:name w:val="正文文本缩进 2 Char"/>
    <w:qFormat/>
    <w:uiPriority w:val="0"/>
    <w:rPr>
      <w:kern w:val="2"/>
      <w:sz w:val="21"/>
      <w:szCs w:val="22"/>
    </w:rPr>
  </w:style>
  <w:style w:type="character" w:customStyle="1" w:styleId="123">
    <w:name w:val="格式1 Char"/>
    <w:link w:val="63"/>
    <w:qFormat/>
    <w:locked/>
    <w:uiPriority w:val="0"/>
    <w:rPr>
      <w:rFonts w:ascii="黑体" w:hAnsi="Arial" w:eastAsia="黑体"/>
      <w:b/>
      <w:sz w:val="24"/>
    </w:rPr>
  </w:style>
  <w:style w:type="character" w:customStyle="1" w:styleId="124">
    <w:name w:val="标题 3 Char1"/>
    <w:qFormat/>
    <w:uiPriority w:val="0"/>
    <w:rPr>
      <w:rFonts w:ascii="Times New Roman" w:hAnsi="Times New Roman"/>
      <w:b/>
      <w:bCs/>
      <w:sz w:val="32"/>
      <w:szCs w:val="32"/>
    </w:rPr>
  </w:style>
  <w:style w:type="character" w:customStyle="1" w:styleId="125">
    <w:name w:val="无间隔 Char1"/>
    <w:link w:val="64"/>
    <w:qFormat/>
    <w:uiPriority w:val="0"/>
    <w:rPr>
      <w:sz w:val="22"/>
    </w:rPr>
  </w:style>
  <w:style w:type="character" w:customStyle="1" w:styleId="126">
    <w:name w:val="font11"/>
    <w:qFormat/>
    <w:uiPriority w:val="0"/>
    <w:rPr>
      <w:rFonts w:hint="eastAsia" w:ascii="宋体" w:hAnsi="宋体" w:eastAsia="宋体" w:cs="宋体"/>
      <w:color w:val="000000"/>
      <w:sz w:val="22"/>
      <w:szCs w:val="22"/>
      <w:u w:val="single"/>
    </w:rPr>
  </w:style>
  <w:style w:type="character" w:customStyle="1" w:styleId="127">
    <w:name w:val="正文文本 2 Char1"/>
    <w:link w:val="36"/>
    <w:qFormat/>
    <w:uiPriority w:val="0"/>
    <w:rPr>
      <w:rFonts w:ascii="宋体" w:hAnsi="宋体"/>
      <w:sz w:val="24"/>
      <w:szCs w:val="24"/>
    </w:rPr>
  </w:style>
  <w:style w:type="character" w:customStyle="1" w:styleId="128">
    <w:name w:val="标题15 Char"/>
    <w:link w:val="65"/>
    <w:qFormat/>
    <w:uiPriority w:val="0"/>
    <w:rPr>
      <w:rFonts w:ascii="Arial" w:hAnsi="Arial" w:eastAsia="仿宋_GB2312"/>
      <w:sz w:val="25"/>
      <w:szCs w:val="24"/>
    </w:rPr>
  </w:style>
  <w:style w:type="character" w:customStyle="1" w:styleId="129">
    <w:name w:val="正文文本缩进 2 Char1"/>
    <w:link w:val="25"/>
    <w:qFormat/>
    <w:uiPriority w:val="0"/>
    <w:rPr>
      <w:szCs w:val="24"/>
    </w:rPr>
  </w:style>
  <w:style w:type="character" w:customStyle="1" w:styleId="130">
    <w:name w:val="正文首行缩进 Char"/>
    <w:qFormat/>
    <w:uiPriority w:val="0"/>
    <w:rPr>
      <w:kern w:val="2"/>
      <w:sz w:val="21"/>
      <w:szCs w:val="22"/>
    </w:rPr>
  </w:style>
  <w:style w:type="character" w:customStyle="1" w:styleId="131">
    <w:name w:val="标题 2 Char1"/>
    <w:qFormat/>
    <w:uiPriority w:val="0"/>
    <w:rPr>
      <w:rFonts w:ascii="Arial" w:hAnsi="Arial" w:eastAsia="黑体"/>
      <w:b/>
      <w:bCs/>
      <w:sz w:val="32"/>
      <w:szCs w:val="32"/>
    </w:rPr>
  </w:style>
  <w:style w:type="character" w:customStyle="1" w:styleId="132">
    <w:name w:val="正文文本 3 Char"/>
    <w:qFormat/>
    <w:uiPriority w:val="0"/>
    <w:rPr>
      <w:kern w:val="2"/>
      <w:sz w:val="16"/>
      <w:szCs w:val="16"/>
    </w:rPr>
  </w:style>
  <w:style w:type="character" w:customStyle="1" w:styleId="133">
    <w:name w:val="正文文本 Char1"/>
    <w:qFormat/>
    <w:uiPriority w:val="0"/>
    <w:rPr>
      <w:rFonts w:ascii="Times New Roman" w:hAnsi="Times New Roman"/>
      <w:szCs w:val="24"/>
    </w:rPr>
  </w:style>
  <w:style w:type="character" w:customStyle="1" w:styleId="134">
    <w:name w:val="正文文本首行缩进 字符1"/>
    <w:basedOn w:val="82"/>
    <w:semiHidden/>
    <w:qFormat/>
    <w:uiPriority w:val="0"/>
    <w:rPr>
      <w:rFonts w:ascii="Calibri" w:hAnsi="Calibri" w:eastAsia="宋体"/>
      <w:kern w:val="2"/>
      <w:sz w:val="21"/>
      <w:szCs w:val="22"/>
      <w:lang w:val="en-US" w:eastAsia="zh-CN" w:bidi="ar-SA"/>
    </w:rPr>
  </w:style>
  <w:style w:type="character" w:customStyle="1" w:styleId="135">
    <w:name w:val="正文文本 2 字符1"/>
    <w:basedOn w:val="43"/>
    <w:semiHidden/>
    <w:qFormat/>
    <w:uiPriority w:val="0"/>
    <w:rPr>
      <w:rFonts w:ascii="Calibri" w:hAnsi="Calibri"/>
      <w:kern w:val="2"/>
      <w:sz w:val="21"/>
      <w:szCs w:val="22"/>
    </w:rPr>
  </w:style>
  <w:style w:type="character" w:customStyle="1" w:styleId="136">
    <w:name w:val="正文文本缩进 2 字符1"/>
    <w:basedOn w:val="43"/>
    <w:semiHidden/>
    <w:qFormat/>
    <w:uiPriority w:val="0"/>
    <w:rPr>
      <w:rFonts w:ascii="Calibri" w:hAnsi="Calibri"/>
      <w:kern w:val="2"/>
      <w:sz w:val="21"/>
      <w:szCs w:val="22"/>
    </w:rPr>
  </w:style>
  <w:style w:type="character" w:customStyle="1" w:styleId="137">
    <w:name w:val="纯文本 Char1"/>
    <w:qFormat/>
    <w:uiPriority w:val="0"/>
    <w:rPr>
      <w:rFonts w:ascii="宋体" w:hAnsi="Courier New"/>
      <w:szCs w:val="24"/>
    </w:rPr>
  </w:style>
  <w:style w:type="paragraph" w:customStyle="1" w:styleId="138">
    <w:name w:val="修订2"/>
    <w:hidden/>
    <w:semiHidden/>
    <w:qFormat/>
    <w:uiPriority w:val="99"/>
    <w:rPr>
      <w:rFonts w:ascii="Calibri" w:hAnsi="Calibri" w:eastAsia="楷体_GB2312" w:cs="Times New Roman"/>
      <w:kern w:val="2"/>
      <w:sz w:val="21"/>
      <w:szCs w:val="22"/>
      <w:lang w:val="en-US" w:eastAsia="zh-CN" w:bidi="ar-SA"/>
    </w:rPr>
  </w:style>
  <w:style w:type="paragraph" w:customStyle="1" w:styleId="139">
    <w:name w:val="列出段落2"/>
    <w:basedOn w:val="1"/>
    <w:unhideWhenUsed/>
    <w:qFormat/>
    <w:uiPriority w:val="99"/>
    <w:pPr>
      <w:ind w:firstLine="420" w:firstLineChars="200"/>
    </w:pPr>
    <w:rPr>
      <w:rFonts w:ascii="Times New Roman" w:hAnsi="Times New Roman" w:eastAsia="宋体"/>
      <w:szCs w:val="20"/>
    </w:rPr>
  </w:style>
  <w:style w:type="paragraph" w:customStyle="1" w:styleId="140">
    <w:name w:val="修订3"/>
    <w:hidden/>
    <w:semiHidden/>
    <w:qFormat/>
    <w:uiPriority w:val="99"/>
    <w:rPr>
      <w:rFonts w:ascii="Calibri" w:hAnsi="Calibri" w:eastAsia="楷体_GB2312" w:cs="Times New Roman"/>
      <w:kern w:val="2"/>
      <w:sz w:val="21"/>
      <w:szCs w:val="22"/>
      <w:lang w:val="en-US" w:eastAsia="zh-CN" w:bidi="ar-SA"/>
    </w:rPr>
  </w:style>
  <w:style w:type="paragraph" w:customStyle="1" w:styleId="141">
    <w:name w:val="标题 31"/>
    <w:basedOn w:val="1"/>
    <w:unhideWhenUsed/>
    <w:qFormat/>
    <w:uiPriority w:val="1"/>
    <w:pPr>
      <w:ind w:left="237"/>
      <w:outlineLvl w:val="2"/>
    </w:pPr>
    <w:rPr>
      <w:rFonts w:hint="eastAsia" w:ascii="宋体" w:hAnsi="宋体" w:eastAsia="宋体"/>
      <w:sz w:val="28"/>
    </w:rPr>
  </w:style>
  <w:style w:type="character" w:styleId="142">
    <w:name w:val="Placeholder Text"/>
    <w:basedOn w:val="43"/>
    <w:semiHidden/>
    <w:qFormat/>
    <w:uiPriority w:val="99"/>
    <w:rPr>
      <w:color w:val="808080"/>
    </w:rPr>
  </w:style>
  <w:style w:type="paragraph" w:customStyle="1" w:styleId="143">
    <w:name w:val="标题－二级2"/>
    <w:basedOn w:val="6"/>
    <w:qFormat/>
    <w:uiPriority w:val="0"/>
    <w:pPr>
      <w:widowControl/>
      <w:jc w:val="left"/>
    </w:pPr>
    <w:rPr>
      <w:bCs w:val="0"/>
      <w:kern w:val="0"/>
    </w:rPr>
  </w:style>
  <w:style w:type="paragraph" w:customStyle="1" w:styleId="144">
    <w:name w:val="标题 21"/>
    <w:basedOn w:val="1"/>
    <w:unhideWhenUsed/>
    <w:qFormat/>
    <w:uiPriority w:val="1"/>
    <w:pPr>
      <w:outlineLvl w:val="1"/>
    </w:pPr>
    <w:rPr>
      <w:rFonts w:hint="eastAsia" w:ascii="宋体" w:hAnsi="宋体" w:eastAsia="宋体"/>
      <w:sz w:val="32"/>
    </w:rPr>
  </w:style>
  <w:style w:type="paragraph" w:styleId="145">
    <w:name w:val="List Paragraph"/>
    <w:basedOn w:val="1"/>
    <w:link w:val="148"/>
    <w:qFormat/>
    <w:uiPriority w:val="1"/>
    <w:pPr>
      <w:ind w:left="241" w:firstLine="480"/>
    </w:pPr>
    <w:rPr>
      <w:rFonts w:ascii="宋体" w:hAnsi="宋体" w:eastAsia="宋体" w:cs="宋体"/>
      <w:lang w:val="zh-CN" w:bidi="zh-CN"/>
    </w:rPr>
  </w:style>
  <w:style w:type="paragraph" w:customStyle="1" w:styleId="146">
    <w:name w:val="正文1"/>
    <w:basedOn w:val="1"/>
    <w:link w:val="147"/>
    <w:qFormat/>
    <w:uiPriority w:val="0"/>
    <w:pPr>
      <w:spacing w:line="360" w:lineRule="auto"/>
      <w:ind w:firstLine="883" w:firstLineChars="200"/>
      <w:jc w:val="left"/>
    </w:pPr>
    <w:rPr>
      <w:rFonts w:eastAsia="宋体"/>
    </w:rPr>
  </w:style>
  <w:style w:type="character" w:customStyle="1" w:styleId="147">
    <w:name w:val="正文1 Char"/>
    <w:link w:val="146"/>
    <w:qFormat/>
    <w:uiPriority w:val="0"/>
    <w:rPr>
      <w:rFonts w:ascii="Calibri" w:hAnsi="Calibri" w:eastAsia="宋体"/>
      <w:sz w:val="21"/>
    </w:rPr>
  </w:style>
  <w:style w:type="character" w:customStyle="1" w:styleId="148">
    <w:name w:val="列出段落 Char1"/>
    <w:link w:val="145"/>
    <w:qFormat/>
    <w:uiPriority w:val="1"/>
    <w:rPr>
      <w:rFonts w:ascii="宋体" w:hAnsi="宋体" w:eastAsia="宋体" w:cs="宋体"/>
      <w:lang w:val="zh-CN" w:eastAsia="zh-CN" w:bidi="zh-CN"/>
    </w:rPr>
  </w:style>
  <w:style w:type="character" w:customStyle="1" w:styleId="149">
    <w:name w:val="样式6 Char Char"/>
    <w:link w:val="150"/>
    <w:qFormat/>
    <w:locked/>
    <w:uiPriority w:val="0"/>
    <w:rPr>
      <w:rFonts w:ascii="宋体" w:hAnsi="宋体" w:cs="Ming(for ISO10646)"/>
      <w:b/>
      <w:bCs/>
      <w:kern w:val="2"/>
      <w:sz w:val="24"/>
      <w:szCs w:val="24"/>
      <w:lang w:eastAsia="ja-JP"/>
    </w:rPr>
  </w:style>
  <w:style w:type="paragraph" w:customStyle="1" w:styleId="150">
    <w:name w:val="样式6"/>
    <w:basedOn w:val="1"/>
    <w:link w:val="149"/>
    <w:qFormat/>
    <w:uiPriority w:val="0"/>
    <w:pPr>
      <w:tabs>
        <w:tab w:val="left" w:pos="480"/>
        <w:tab w:val="left" w:pos="2160"/>
        <w:tab w:val="left" w:pos="2760"/>
        <w:tab w:val="left" w:pos="3240"/>
      </w:tabs>
      <w:snapToGrid w:val="0"/>
    </w:pPr>
    <w:rPr>
      <w:rFonts w:ascii="宋体" w:hAnsi="宋体" w:eastAsia="宋体" w:cs="Ming(for ISO10646)"/>
      <w:b/>
      <w:bCs/>
      <w:sz w:val="24"/>
      <w:szCs w:val="24"/>
      <w:lang w:eastAsia="ja-JP"/>
    </w:rPr>
  </w:style>
  <w:style w:type="paragraph" w:customStyle="1" w:styleId="151">
    <w:name w:val="样式 标题 3 + 左侧:  2 字符 右侧:  1 字符1"/>
    <w:basedOn w:val="5"/>
    <w:qFormat/>
    <w:uiPriority w:val="0"/>
    <w:pPr>
      <w:keepLines w:val="0"/>
      <w:spacing w:before="120" w:after="120"/>
      <w:ind w:left="200" w:leftChars="200" w:right="100" w:rightChars="100"/>
      <w:jc w:val="left"/>
    </w:pPr>
    <w:rPr>
      <w:rFonts w:eastAsia="黑体" w:cs="宋体"/>
      <w:b w:val="0"/>
      <w:sz w:val="24"/>
      <w:szCs w:val="20"/>
    </w:rPr>
  </w:style>
  <w:style w:type="paragraph" w:customStyle="1" w:styleId="152">
    <w:name w:val="表名"/>
    <w:basedOn w:val="1"/>
    <w:qFormat/>
    <w:uiPriority w:val="0"/>
    <w:pPr>
      <w:keepNext/>
      <w:widowControl/>
      <w:ind w:left="710"/>
      <w:jc w:val="center"/>
    </w:pPr>
    <w:rPr>
      <w:rFonts w:asciiTheme="minorHAnsi" w:hAnsiTheme="minorHAnsi" w:eastAsiaTheme="minorEastAsia" w:cstheme="minorBidi"/>
      <w:b/>
      <w:szCs w:val="21"/>
    </w:rPr>
  </w:style>
  <w:style w:type="character" w:customStyle="1" w:styleId="153">
    <w:name w:val="标题 2 Char3"/>
    <w:link w:val="4"/>
    <w:qFormat/>
    <w:locked/>
    <w:uiPriority w:val="0"/>
    <w:rPr>
      <w:rFonts w:ascii="Arial" w:hAnsi="Arial" w:eastAsia="黑体"/>
      <w:b/>
      <w:kern w:val="2"/>
      <w:sz w:val="32"/>
      <w:lang w:val="en-US" w:eastAsia="zh-CN" w:bidi="ar-SA"/>
    </w:rPr>
  </w:style>
  <w:style w:type="paragraph" w:customStyle="1" w:styleId="154">
    <w:name w:val="修订4"/>
    <w:hidden/>
    <w:semiHidden/>
    <w:qFormat/>
    <w:uiPriority w:val="99"/>
    <w:rPr>
      <w:rFonts w:ascii="Calibri" w:hAnsi="Calibri" w:eastAsia="楷体_GB2312" w:cs="Times New Roman"/>
      <w:kern w:val="2"/>
      <w:sz w:val="21"/>
      <w:szCs w:val="22"/>
      <w:lang w:val="en-US" w:eastAsia="zh-CN" w:bidi="ar-SA"/>
    </w:rPr>
  </w:style>
  <w:style w:type="paragraph" w:customStyle="1" w:styleId="155">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56">
    <w:name w:val="AAA"/>
    <w:basedOn w:val="1"/>
    <w:qFormat/>
    <w:uiPriority w:val="0"/>
    <w:pPr>
      <w:adjustRightInd w:val="0"/>
      <w:spacing w:line="360" w:lineRule="auto"/>
      <w:ind w:firstLine="560" w:firstLineChars="200"/>
    </w:pPr>
    <w:rPr>
      <w:rFonts w:ascii="宋体" w:hAnsi="宋体"/>
      <w:color w:val="000000"/>
      <w:sz w:val="28"/>
      <w:szCs w:val="28"/>
      <w:lang w:val="pt-BR"/>
    </w:rPr>
  </w:style>
  <w:style w:type="character" w:customStyle="1" w:styleId="157">
    <w:name w:val="title24"/>
    <w:basedOn w:val="43"/>
    <w:qFormat/>
    <w:uiPriority w:val="0"/>
  </w:style>
  <w:style w:type="character" w:customStyle="1" w:styleId="158">
    <w:name w:val="username"/>
    <w:basedOn w:val="43"/>
    <w:qFormat/>
    <w:uiPriority w:val="0"/>
  </w:style>
  <w:style w:type="character" w:customStyle="1" w:styleId="159">
    <w:name w:val="title26"/>
    <w:basedOn w:val="4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103A9-8371-4192-82E6-036956E0052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27314</Words>
  <Characters>29371</Characters>
  <Lines>198</Lines>
  <Paragraphs>55</Paragraphs>
  <TotalTime>56</TotalTime>
  <ScaleCrop>false</ScaleCrop>
  <LinksUpToDate>false</LinksUpToDate>
  <CharactersWithSpaces>30956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2021-06-29T11:21:00Z</dcterms:created>
  <dc:creator>Administrator</dc:creator>
  <cp:lastModifiedBy>WPS_1470985716</cp:lastModifiedBy>
  <cp:lastPrinted>2023-04-24T08:03:00Z</cp:lastPrinted>
  <dcterms:modified xsi:type="dcterms:W3CDTF">2023-10-20T08:30:56Z</dcterms:modified>
  <dc:title>招标人应当根据招标工程特点和实际需要，依法在其他说明中补充填写相关要求</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2155834900804B12831774BA57C95B72_13</vt:lpwstr>
  </property>
</Properties>
</file>