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资格审查条件(资质最低条件)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751" w:type="dxa"/>
        <w:tblInd w:w="-79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1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7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4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97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具有独立法人资格、有效的营业执照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具备住房城乡建设主管部门核发的公路工程施工总承包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lang w:val="en-US" w:eastAsia="zh-CN"/>
              </w:rPr>
              <w:t>或桥梁工程专业承包三级（或以上）资质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具有有效的施工企业《安全生产许可证》。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投标人应根据投标文件第二章“投标人须知”第3.5.1项的要求附相关证明材料</w:t>
      </w:r>
      <w:r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附录2资格审查条件(财务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380" w:type="dxa"/>
        <w:tblInd w:w="4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2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9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8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3"/>
                <w:szCs w:val="23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、企业净资产(总资产-总负债)不少于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2、营运资金(流动资产－流动负债)不少于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1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、近三个年度的年平均营业总收入不少于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3"/>
                <w:szCs w:val="23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、近三个年度至少有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年盈利。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：1、企业净资产、营运资金是按交通运输部“全国公路建设市场信用信息管理系统”登记的最新</w:t>
      </w: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年度(近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个年度的最后一年，下同)数据计算得出。近三个年度是指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u w:val="single"/>
          <w:lang w:val="en-US" w:eastAsia="zh-CN"/>
        </w:rPr>
        <w:t>2020-2022年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以联合体形式投标的，财务最低要求中的第1、2、3项其财务能力以所有成员(含牵头人)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合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并加总计算为准，第4项联合体各方均需满足。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、投标人应根据招标文件第二章“投标人须知”第3.5.2项的要求附相关证明材料。</w:t>
      </w:r>
    </w:p>
    <w:p>
      <w:pP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附录3资格审查条件(业绩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tbl>
      <w:tblPr>
        <w:tblStyle w:val="7"/>
        <w:tblW w:w="9474" w:type="dxa"/>
        <w:tblInd w:w="6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464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A类路基桥涵工程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400" w:lineRule="exact"/>
              <w:ind w:left="420" w:leftChars="200" w:right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近五年，成功完成：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400" w:lineRule="exact"/>
              <w:ind w:left="0" w:leftChars="0" w:right="0" w:firstLine="49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（1）桥长不小于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100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m 的类似工程桥梁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lang w:eastAsia="zh-CN"/>
              </w:rPr>
              <w:t>座。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：1、本附录所要求的业绩仅限中华人民共和国境内业绩。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2、若为联合体投标，投标人业绩的资格审查条件和加分条件(如有)的认定原则如下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  <w:u w:val="single"/>
          <w:lang w:val="en-US" w:eastAsia="zh-CN"/>
        </w:rPr>
        <w:t>本项目不适用。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3、若投标人提供的业绩证明为联合体业绩，则按交通运输部“全国公路建设市场信用信息管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系统”</w:t>
      </w:r>
      <w:r>
        <w:rPr>
          <w:rFonts w:hint="eastAsia" w:ascii="宋体" w:hAnsi="宋体" w:eastAsia="宋体" w:cs="宋体"/>
          <w:color w:val="auto"/>
          <w:spacing w:val="13"/>
          <w:sz w:val="20"/>
          <w:szCs w:val="20"/>
          <w:highlight w:val="none"/>
        </w:rPr>
        <w:t>业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绩信息的网页截图体现其完成的相关专项工程的工程量认定，无法界定其完成的相关专项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工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程的工程量，此业绩不予认定。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、投标人应根据招标文件第二章“投标人须知”第3.5.3项的要求附相关证明材料。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0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5、近五年是指：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2018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 10 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 1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日至投标文件递交截止之日</w:t>
      </w:r>
      <w:r>
        <w:rPr>
          <w:rFonts w:hint="eastAsia" w:ascii="宋体" w:hAnsi="宋体" w:eastAsia="宋体" w:cs="宋体"/>
          <w:color w:val="auto"/>
          <w:spacing w:val="1"/>
          <w:sz w:val="20"/>
          <w:szCs w:val="20"/>
          <w:highlight w:val="none"/>
        </w:rPr>
        <w:t>止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  <w:lang w:eastAsia="zh-CN"/>
        </w:rPr>
      </w:pPr>
      <w:r>
        <w:rPr>
          <w:rFonts w:hint="eastAsia" w:ascii="宋体" w:hAnsi="宋体" w:eastAsia="宋体" w:cs="宋体"/>
          <w:color w:val="auto"/>
          <w:spacing w:val="16"/>
          <w:sz w:val="20"/>
          <w:szCs w:val="20"/>
          <w:highlight w:val="none"/>
        </w:rPr>
        <w:t>6、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类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似工程是指：指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>新建、改建、扩建、改造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none" w:color="auto"/>
          <w:lang w:val="en-US" w:eastAsia="zh-CN"/>
        </w:rPr>
        <w:t>桥梁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施工项目。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>在采用新建公</w:t>
      </w:r>
      <w:r>
        <w:rPr>
          <w:rFonts w:hint="eastAsia" w:ascii="宋体" w:hAnsi="宋体" w:eastAsia="宋体" w:cs="宋体"/>
          <w:color w:val="auto"/>
          <w:spacing w:val="17"/>
          <w:sz w:val="20"/>
          <w:szCs w:val="20"/>
          <w:highlight w:val="none"/>
          <w:u w:val="single" w:color="auto"/>
        </w:rPr>
        <w:t>路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</w:rPr>
        <w:t>项目完工业绩时，对于同公路等级改、扩建中的新建桥梁或隧道工程业绩也应认可。</w:t>
      </w:r>
    </w:p>
    <w:p>
      <w:pP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pStyle w:val="4"/>
        <w:rPr>
          <w:rFonts w:hint="eastAsia" w:ascii="宋体" w:hAnsi="宋体" w:eastAsia="宋体" w:cs="宋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附录4资格审查条件(信誉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362" w:type="dxa"/>
        <w:tblInd w:w="6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8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信誉要求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9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在最新年度广东省公路工程从业单位(施工单位)信用评价(含无最新年度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highlight w:val="none"/>
              </w:rPr>
              <w:t>上一年度有信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用评价)中，信用等级未被评为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级；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4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  <w:highlight w:val="none"/>
              </w:rPr>
              <w:t>初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次进入广东省的投标人，在最新年度的全国公路从业单位(施工单位)信用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3"/>
                <w:szCs w:val="23"/>
                <w:highlight w:val="none"/>
              </w:rPr>
              <w:t>评价结果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中未被评为D级。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在“信用中国”网站（http：//www.creditchina.gov.cn/）中被列入失信被执行人名单的投标人，在国家企业信用信息公示系统（http：//www.gsxt.gov.cn/）中被列入严重违法失信企业名单的投标人，均按否决投标处理。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1、信用等级的确定原则遵遁投标人须知前附表10.2款的规定。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、投标人应根据第九章“投标文件格式”中“八、资格审查资料(五)投标人的信誉情况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表”填写情况说明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附录5资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格审查条件(项目经理和项目总工最低要求)</w:t>
      </w:r>
    </w:p>
    <w:tbl>
      <w:tblPr>
        <w:tblStyle w:val="7"/>
        <w:tblpPr w:leftFromText="180" w:rightFromText="180" w:vertAnchor="text" w:horzAnchor="page" w:tblpX="1559" w:tblpY="576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975"/>
        <w:gridCol w:w="3877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66" w:type="dxa"/>
            <w:vAlign w:val="center"/>
          </w:tcPr>
          <w:p>
            <w:pPr>
              <w:pStyle w:val="3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3877" w:type="dxa"/>
            <w:vAlign w:val="center"/>
          </w:tcPr>
          <w:p>
            <w:pPr>
              <w:pStyle w:val="3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资格要求</w:t>
            </w:r>
          </w:p>
        </w:tc>
        <w:tc>
          <w:tcPr>
            <w:tcW w:w="2667" w:type="dxa"/>
            <w:vAlign w:val="center"/>
          </w:tcPr>
          <w:p>
            <w:pPr>
              <w:pStyle w:val="3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目经理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程师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，担任工程项目经理（或项目副经理或项目总工）岗位累计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个月或以上经验，并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持有住房和城乡建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部颁发的公路工程专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建造师注册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书（不含临时建造师）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具有交通主管部门颁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有效安全生产“三类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”B类证书。年龄不超过55周岁。</w:t>
            </w:r>
          </w:p>
        </w:tc>
        <w:tc>
          <w:tcPr>
            <w:tcW w:w="2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无在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岗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项目(指目前未在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他项目上任职，或虽在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他项目上任职但本项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中标后能够从该项目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撤离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目总工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路桥相关专业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工程师或以上职称，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主管工程技术工作岗位累计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个月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具有交通主管部门颁发的有效安全生产“三类人员”B类证书，年龄不超过55周岁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66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6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J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类参照上述形式设置，并满足《广东省公路房建工程建设管理指南》人员管理的要求。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、资格要求的人员建造师注册证书、安全生产“三类人员”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B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类证书均应在投标人所在单位，否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则视为无效。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7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、主管技术工作指：担任过项目经理、项目副经理、总工程师、质检部门负责人、工程部门负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责</w:t>
      </w:r>
      <w:r>
        <w:rPr>
          <w:rFonts w:hint="eastAsia" w:ascii="宋体" w:hAnsi="宋体" w:eastAsia="宋体" w:cs="宋体"/>
          <w:color w:val="auto"/>
          <w:spacing w:val="13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。担任类似工程项目经理(或项目副经理或项目总工)岗位经验累计时间、主管类似工程技术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工作岗位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</w:rPr>
        <w:t>经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验累计时间统计至月，计算时尾数如不少于15天的按1个月计，不足15天部分不计。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4、投标人应根据招标文件第二章“投标人须知”第3.5.5项的要求附相关证明材料。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eastAsia="zh-CN"/>
        </w:rPr>
        <w:t>路桥相关专业是指与公路工程相关的专业，包括交通工程、公路工程、路桥工程、公路与桥梁工程、道路工程、桥梁工程、道桥工程、交通土建工程、隧道工程等专业。</w:t>
      </w:r>
    </w:p>
    <w:p>
      <w:pPr>
        <w:rPr>
          <w:rFonts w:hint="eastAsia" w:ascii="宋体" w:hAnsi="宋体" w:eastAsia="宋体" w:cs="宋体"/>
          <w:color w:val="auto"/>
          <w:sz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highlight w:val="none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资格审查条件(其他管理人员和技术人员最低要求)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</w:rPr>
      </w:pPr>
    </w:p>
    <w:tbl>
      <w:tblPr>
        <w:tblStyle w:val="7"/>
        <w:tblW w:w="9983" w:type="dxa"/>
        <w:tblInd w:w="-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125"/>
        <w:gridCol w:w="6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人员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质检工程师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测量工程师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具有工程师或以上职称。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道路工程师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专职安全生产管理人员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具有交通主管部门颁发的有效安全生产“三类人员”C类证书。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</w:rPr>
        <w:t>注：1、附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录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6所要求人员须按投标文件投标函的格式承诺，中标人在进场前向招标人提交实际投入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的人员。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2、投标人中标后专职安全生产管理人员的配备应按照交通部《公路水运工程安全生产监督管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办法》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要求执行。招标人可根据项目的工期和进度，按规定设置最低的专职安全生产管理人员数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量要求。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投标人应根据招标文件第二章“投标人须知”第3.5.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项的要求附相关证明材料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工程经验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  <w:t>证明为所要求的人员社保累计缴纳年限。</w:t>
      </w:r>
    </w:p>
    <w:p>
      <w:pP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60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附录7资格审查条件(主要设备最低要求)</w:t>
      </w:r>
    </w:p>
    <w:tbl>
      <w:tblPr>
        <w:tblStyle w:val="7"/>
        <w:tblW w:w="9874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100"/>
        <w:gridCol w:w="3144"/>
        <w:gridCol w:w="867"/>
        <w:gridCol w:w="1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规格、功率及容量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pStyle w:val="8"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最低数量要求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挖掘机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1"/>
                <w:szCs w:val="21"/>
                <w:highlight w:val="none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推土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≥1</w:t>
            </w: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  <w:highlight w:val="none"/>
              </w:rPr>
              <w:t>65kw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冲击钻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</w:pP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注：1、投标人须按投标文件投标函的格式承诺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6"/>
          <w:position w:val="1"/>
          <w:sz w:val="20"/>
          <w:szCs w:val="20"/>
          <w:highlight w:val="none"/>
        </w:rPr>
        <w:t>2、招标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</w:rPr>
        <w:t>有权根据标段的工程特点、工程量及工程进度情况要求增加或调整相应的施工设备。</w:t>
      </w:r>
      <w:bookmarkStart w:id="0" w:name="_bookmark79"/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1BF4A"/>
    <w:multiLevelType w:val="singleLevel"/>
    <w:tmpl w:val="CB21BF4A"/>
    <w:lvl w:ilvl="0" w:tentative="0">
      <w:start w:val="1"/>
      <w:numFmt w:val="decimal"/>
      <w:suff w:val="nothing"/>
      <w:lvlText w:val="%1、"/>
      <w:lvlJc w:val="left"/>
      <w:pPr>
        <w:ind w:left="-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YzOGFhZTg5ZDZiYzBhNTI4MjVkNWU1MzkxNTcifQ=="/>
  </w:docVars>
  <w:rsids>
    <w:rsidRoot w:val="50F80B1D"/>
    <w:rsid w:val="50F8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5"/>
    </w:pPr>
    <w:rPr>
      <w:rFonts w:ascii="Arial" w:hAnsi="Arial" w:eastAsia="宋体"/>
      <w:b/>
      <w:sz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1"/>
    <w:basedOn w:val="1"/>
    <w:qFormat/>
    <w:uiPriority w:val="0"/>
    <w:pPr>
      <w:adjustRightInd/>
      <w:snapToGrid/>
      <w:spacing w:line="580" w:lineRule="exact"/>
      <w:jc w:val="center"/>
      <w:outlineLvl w:val="9"/>
    </w:pPr>
    <w:rPr>
      <w:rFonts w:hint="eastAsia" w:ascii="宋体" w:hAnsi="宋体" w:eastAsia="宋体" w:cs="宋体"/>
      <w:spacing w:val="7"/>
      <w:sz w:val="20"/>
      <w:szCs w:val="20"/>
      <w14:textOutline w14:w="3795" w14:cap="sq">
        <w14:solidFill>
          <w14:srgbClr w14:val="000000"/>
        </w14:solidFill>
        <w14:prstDash w14:val="solid"/>
        <w14:bevel/>
      </w14:textOutline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2023-10-20T07:27:00Z</dcterms:created>
  <dc:creator>2y6</dc:creator>
  <cp:lastModifiedBy>2y6</cp:lastModifiedBy>
  <dcterms:modified xsi:type="dcterms:W3CDTF">2023-10-20T07:27:39Z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4ED7DB4D7CC8441AACC618D30B97E5CD_11</vt:lpwstr>
  </property>
</Properties>
</file>