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snapToGrid/>
        <w:spacing w:line="360" w:lineRule="auto"/>
        <w:ind w:left="0" w:right="0" w:firstLine="500" w:firstLineChars="200"/>
        <w:jc w:val="center"/>
        <w:textAlignment w:val="baseline"/>
        <w:outlineLvl w:val="1"/>
        <w:rPr>
          <w:rFonts w:hint="eastAsia" w:ascii="宋体" w:hAnsi="宋体" w:eastAsia="宋体" w:cs="宋体"/>
          <w:color w:val="auto"/>
          <w:spacing w:val="-31"/>
          <w:position w:val="28"/>
          <w:sz w:val="35"/>
          <w:szCs w:val="35"/>
          <w:highlight w:val="none"/>
          <w14:textOutline w14:w="6537" w14:cap="sq">
            <w14:solidFill>
              <w14:srgbClr w14:val="000000"/>
            </w14:solidFill>
            <w14:prstDash w14:val="solid"/>
            <w14:bevel/>
          </w14:textOutline>
        </w:rPr>
      </w:pPr>
      <w:bookmarkStart w:id="0" w:name="_Toc26198"/>
      <w:r>
        <w:rPr>
          <w:rFonts w:hint="eastAsia" w:ascii="宋体" w:hAnsi="宋体" w:eastAsia="宋体" w:cs="宋体"/>
          <w:color w:val="auto"/>
          <w:spacing w:val="-50"/>
          <w:position w:val="28"/>
          <w:sz w:val="35"/>
          <w:szCs w:val="35"/>
          <w:highlight w:val="none"/>
          <w14:textOutline w14:w="6537" w14:cap="sq">
            <w14:solidFill>
              <w14:srgbClr w14:val="000000"/>
            </w14:solidFill>
            <w14:prstDash w14:val="solid"/>
            <w14:bevel/>
          </w14:textOutline>
        </w:rPr>
        <w:t>第</w:t>
      </w:r>
      <w:r>
        <w:rPr>
          <w:rFonts w:hint="eastAsia" w:ascii="宋体" w:hAnsi="宋体" w:eastAsia="宋体" w:cs="宋体"/>
          <w:color w:val="auto"/>
          <w:spacing w:val="-31"/>
          <w:position w:val="28"/>
          <w:sz w:val="35"/>
          <w:szCs w:val="35"/>
          <w:highlight w:val="none"/>
          <w14:textOutline w14:w="6537" w14:cap="sq">
            <w14:solidFill>
              <w14:srgbClr w14:val="000000"/>
            </w14:solidFill>
            <w14:prstDash w14:val="solid"/>
            <w14:bevel/>
          </w14:textOutline>
        </w:rPr>
        <w:t>三章评标办法(双信封的技术评分最低</w:t>
      </w:r>
      <w:r>
        <w:rPr>
          <w:rFonts w:hint="eastAsia" w:ascii="宋体" w:hAnsi="宋体" w:eastAsia="宋体" w:cs="宋体"/>
          <w:color w:val="auto"/>
          <w:spacing w:val="-31"/>
          <w:position w:val="28"/>
          <w:sz w:val="35"/>
          <w:szCs w:val="35"/>
          <w:highlight w:val="none"/>
          <w:lang w:val="en-US" w:eastAsia="zh-CN"/>
          <w14:textOutline w14:w="6537" w14:cap="sq">
            <w14:solidFill>
              <w14:srgbClr w14:val="000000"/>
            </w14:solidFill>
            <w14:prstDash w14:val="solid"/>
            <w14:bevel/>
          </w14:textOutline>
        </w:rPr>
        <w:t>标</w:t>
      </w:r>
      <w:r>
        <w:rPr>
          <w:rFonts w:hint="eastAsia" w:ascii="宋体" w:hAnsi="宋体" w:eastAsia="宋体" w:cs="宋体"/>
          <w:color w:val="auto"/>
          <w:spacing w:val="-31"/>
          <w:position w:val="28"/>
          <w:sz w:val="35"/>
          <w:szCs w:val="35"/>
          <w:highlight w:val="none"/>
          <w14:textOutline w14:w="6537" w14:cap="sq">
            <w14:solidFill>
              <w14:srgbClr w14:val="000000"/>
            </w14:solidFill>
            <w14:prstDash w14:val="solid"/>
            <w14:bevel/>
          </w14:textOutline>
        </w:rPr>
        <w:t>价法)</w:t>
      </w:r>
      <w:bookmarkEnd w:id="0"/>
    </w:p>
    <w:p>
      <w:pPr>
        <w:keepNext w:val="0"/>
        <w:keepLines w:val="0"/>
        <w:pageBreakBefore w:val="0"/>
        <w:widowControl/>
        <w:kinsoku w:val="0"/>
        <w:wordWrap/>
        <w:overflowPunct/>
        <w:topLinePunct w:val="0"/>
        <w:autoSpaceDE w:val="0"/>
        <w:autoSpaceDN w:val="0"/>
        <w:bidi w:val="0"/>
        <w:adjustRightInd/>
        <w:snapToGrid/>
        <w:spacing w:line="360" w:lineRule="auto"/>
        <w:ind w:left="0" w:right="0" w:firstLine="556" w:firstLineChars="200"/>
        <w:jc w:val="center"/>
        <w:textAlignment w:val="baseline"/>
        <w:outlineLvl w:val="9"/>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5103" w14:cap="sq">
            <w14:solidFill>
              <w14:srgbClr w14:val="000000"/>
            </w14:solidFill>
            <w14:prstDash w14:val="solid"/>
            <w14:bevel/>
          </w14:textOutline>
        </w:rPr>
        <w:t>评标</w:t>
      </w:r>
      <w:r>
        <w:rPr>
          <w:rFonts w:hint="eastAsia" w:ascii="宋体" w:hAnsi="宋体" w:eastAsia="宋体" w:cs="宋体"/>
          <w:color w:val="auto"/>
          <w:sz w:val="28"/>
          <w:szCs w:val="28"/>
          <w:highlight w:val="none"/>
          <w14:textOutline w14:w="5103" w14:cap="sq">
            <w14:solidFill>
              <w14:srgbClr w14:val="000000"/>
            </w14:solidFill>
            <w14:prstDash w14:val="solid"/>
            <w14:bevel/>
          </w14:textOutline>
        </w:rPr>
        <w:t>办法前附表</w:t>
      </w:r>
    </w:p>
    <w:tbl>
      <w:tblPr>
        <w:tblStyle w:val="6"/>
        <w:tblW w:w="96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1852"/>
        <w:gridCol w:w="6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2768" w:type="dxa"/>
            <w:gridSpan w:val="2"/>
            <w:vAlign w:val="center"/>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48" w:firstLineChars="20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3795" w14:cap="sq">
                  <w14:solidFill>
                    <w14:srgbClr w14:val="000000"/>
                  </w14:solidFill>
                  <w14:prstDash w14:val="solid"/>
                  <w14:bevel/>
                </w14:textOutline>
              </w:rPr>
              <w:t>条款号</w:t>
            </w:r>
          </w:p>
        </w:tc>
        <w:tc>
          <w:tcPr>
            <w:tcW w:w="6854" w:type="dxa"/>
            <w:vAlign w:val="center"/>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60" w:firstLineChars="20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14:textOutline w14:w="3795" w14:cap="sq">
                  <w14:solidFill>
                    <w14:srgbClr w14:val="000000"/>
                  </w14:solidFill>
                  <w14:prstDash w14:val="solid"/>
                  <w14:bevel/>
                </w14:textOutline>
              </w:rPr>
              <w:t>评审因素与评审标</w:t>
            </w:r>
            <w:r>
              <w:rPr>
                <w:rFonts w:hint="eastAsia" w:ascii="宋体" w:hAnsi="宋体" w:eastAsia="宋体" w:cs="宋体"/>
                <w:color w:val="auto"/>
                <w:spacing w:val="8"/>
                <w:sz w:val="21"/>
                <w:szCs w:val="21"/>
                <w:highlight w:val="none"/>
                <w14:textOutline w14:w="3795" w14:cap="sq">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jc w:val="center"/>
        </w:trPr>
        <w:tc>
          <w:tcPr>
            <w:tcW w:w="916"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52"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评</w:t>
            </w:r>
            <w:r>
              <w:rPr>
                <w:rFonts w:hint="eastAsia" w:ascii="宋体" w:hAnsi="宋体" w:eastAsia="宋体" w:cs="宋体"/>
                <w:color w:val="auto"/>
                <w:spacing w:val="7"/>
                <w:sz w:val="21"/>
                <w:szCs w:val="21"/>
                <w:highlight w:val="none"/>
              </w:rPr>
              <w:t>标方法</w:t>
            </w:r>
          </w:p>
        </w:tc>
        <w:tc>
          <w:tcPr>
            <w:tcW w:w="6854" w:type="dxa"/>
            <w:vAlign w:val="top"/>
          </w:tcPr>
          <w:p>
            <w:pPr>
              <w:keepNext w:val="0"/>
              <w:keepLines w:val="0"/>
              <w:pageBreakBefore w:val="0"/>
              <w:widowControl/>
              <w:kinsoku w:val="0"/>
              <w:wordWrap/>
              <w:overflowPunct/>
              <w:topLinePunct w:val="0"/>
              <w:autoSpaceDE w:val="0"/>
              <w:autoSpaceDN w:val="0"/>
              <w:bidi w:val="0"/>
              <w:adjustRightInd/>
              <w:snapToGrid/>
              <w:spacing w:line="360" w:lineRule="exact"/>
              <w:ind w:right="0" w:firstLine="50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lang w:val="en-US" w:eastAsia="zh-CN"/>
              </w:rPr>
              <w:t>评标价</w:t>
            </w:r>
            <w:r>
              <w:rPr>
                <w:rFonts w:hint="eastAsia" w:ascii="宋体" w:hAnsi="宋体" w:eastAsia="宋体" w:cs="宋体"/>
                <w:color w:val="auto"/>
                <w:spacing w:val="12"/>
                <w:sz w:val="21"/>
                <w:szCs w:val="21"/>
                <w:highlight w:val="none"/>
              </w:rPr>
              <w:t>相等时，评标委员会依次按照以下优先顺序推荐中标候选人</w:t>
            </w:r>
            <w:r>
              <w:rPr>
                <w:rFonts w:hint="eastAsia" w:ascii="宋体" w:hAnsi="宋体" w:eastAsia="宋体" w:cs="宋体"/>
                <w:color w:val="auto"/>
                <w:spacing w:val="11"/>
                <w:sz w:val="21"/>
                <w:szCs w:val="21"/>
                <w:highlight w:val="none"/>
              </w:rPr>
              <w:t>或</w:t>
            </w:r>
            <w:r>
              <w:rPr>
                <w:rFonts w:hint="eastAsia" w:ascii="宋体" w:hAnsi="宋体" w:eastAsia="宋体" w:cs="宋体"/>
                <w:color w:val="auto"/>
                <w:spacing w:val="6"/>
                <w:sz w:val="21"/>
                <w:szCs w:val="21"/>
                <w:highlight w:val="none"/>
              </w:rPr>
              <w:t>确定中标人：</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96" w:firstLineChars="200"/>
              <w:jc w:val="left"/>
              <w:textAlignment w:val="baseline"/>
              <w:outlineLvl w:val="9"/>
              <w:rPr>
                <w:rFonts w:hint="eastAsia" w:ascii="宋体" w:hAnsi="宋体" w:eastAsia="宋体" w:cs="宋体"/>
                <w:color w:val="auto"/>
                <w:spacing w:val="11"/>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4"/>
                <w:sz w:val="21"/>
                <w:szCs w:val="21"/>
                <w:highlight w:val="none"/>
              </w:rPr>
              <w:t>1)</w:t>
            </w:r>
            <w:r>
              <w:rPr>
                <w:rFonts w:hint="eastAsia" w:ascii="宋体" w:hAnsi="宋体" w:eastAsia="宋体" w:cs="宋体"/>
                <w:color w:val="auto"/>
                <w:spacing w:val="11"/>
                <w:sz w:val="21"/>
                <w:szCs w:val="21"/>
                <w:highlight w:val="none"/>
              </w:rPr>
              <w:t>按招标文件规定被认定为最新年度广东省公路工程从业单位信用评价等级较高的投标人优先：</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44"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采用如下的优先顺序：</w:t>
            </w:r>
            <w:r>
              <w:rPr>
                <w:rFonts w:hint="eastAsia" w:ascii="宋体" w:hAnsi="宋体" w:eastAsia="宋体" w:cs="宋体"/>
                <w:color w:val="auto"/>
                <w:spacing w:val="6"/>
                <w:sz w:val="21"/>
                <w:szCs w:val="21"/>
                <w:highlight w:val="none"/>
              </w:rPr>
              <w:t>承诺使用的</w:t>
            </w:r>
            <w:r>
              <w:rPr>
                <w:rFonts w:hint="eastAsia" w:ascii="宋体" w:hAnsi="宋体" w:eastAsia="宋体" w:cs="宋体"/>
                <w:color w:val="auto"/>
                <w:sz w:val="21"/>
                <w:szCs w:val="21"/>
                <w:highlight w:val="none"/>
              </w:rPr>
              <w:t>AA</w:t>
            </w:r>
            <w:r>
              <w:rPr>
                <w:rFonts w:hint="eastAsia" w:ascii="宋体" w:hAnsi="宋体" w:eastAsia="宋体" w:cs="宋体"/>
                <w:color w:val="auto"/>
                <w:spacing w:val="6"/>
                <w:sz w:val="21"/>
                <w:szCs w:val="21"/>
                <w:highlight w:val="none"/>
              </w:rPr>
              <w:t>级投标人、不承诺使用的</w:t>
            </w:r>
            <w:r>
              <w:rPr>
                <w:rFonts w:hint="eastAsia" w:ascii="宋体" w:hAnsi="宋体" w:eastAsia="宋体" w:cs="宋体"/>
                <w:color w:val="auto"/>
                <w:sz w:val="21"/>
                <w:szCs w:val="21"/>
                <w:highlight w:val="none"/>
              </w:rPr>
              <w:t>AA</w:t>
            </w:r>
            <w:r>
              <w:rPr>
                <w:rFonts w:hint="eastAsia" w:ascii="宋体" w:hAnsi="宋体" w:eastAsia="宋体" w:cs="宋体"/>
                <w:color w:val="auto"/>
                <w:spacing w:val="6"/>
                <w:sz w:val="21"/>
                <w:szCs w:val="21"/>
                <w:highlight w:val="none"/>
              </w:rPr>
              <w:t>级投标人、承诺使用的</w:t>
            </w:r>
            <w:r>
              <w:rPr>
                <w:rFonts w:hint="eastAsia" w:ascii="宋体" w:hAnsi="宋体" w:eastAsia="宋体" w:cs="宋体"/>
                <w:color w:val="auto"/>
                <w:sz w:val="21"/>
                <w:szCs w:val="21"/>
                <w:highlight w:val="none"/>
              </w:rPr>
              <w:t>A</w:t>
            </w:r>
            <w:r>
              <w:rPr>
                <w:rFonts w:hint="eastAsia" w:ascii="宋体" w:hAnsi="宋体" w:eastAsia="宋体" w:cs="宋体"/>
                <w:color w:val="auto"/>
                <w:spacing w:val="4"/>
                <w:sz w:val="21"/>
                <w:szCs w:val="21"/>
                <w:highlight w:val="none"/>
              </w:rPr>
              <w:t>级</w:t>
            </w:r>
            <w:r>
              <w:rPr>
                <w:rFonts w:hint="eastAsia" w:ascii="宋体" w:hAnsi="宋体" w:eastAsia="宋体" w:cs="宋体"/>
                <w:color w:val="auto"/>
                <w:spacing w:val="-1"/>
                <w:sz w:val="21"/>
                <w:szCs w:val="21"/>
                <w:highlight w:val="none"/>
              </w:rPr>
              <w:t>投标人、不承诺使</w:t>
            </w:r>
            <w:r>
              <w:rPr>
                <w:rFonts w:hint="eastAsia" w:ascii="宋体" w:hAnsi="宋体" w:eastAsia="宋体" w:cs="宋体"/>
                <w:color w:val="auto"/>
                <w:sz w:val="21"/>
                <w:szCs w:val="21"/>
                <w:highlight w:val="none"/>
              </w:rPr>
              <w:t>用的A级投标人、B级投标人、未参评且被确定为B级投</w:t>
            </w:r>
            <w:r>
              <w:rPr>
                <w:rFonts w:hint="eastAsia" w:ascii="宋体" w:hAnsi="宋体" w:eastAsia="宋体" w:cs="宋体"/>
                <w:color w:val="auto"/>
                <w:spacing w:val="5"/>
                <w:sz w:val="21"/>
                <w:szCs w:val="21"/>
                <w:highlight w:val="none"/>
              </w:rPr>
              <w:t>标</w:t>
            </w:r>
            <w:r>
              <w:rPr>
                <w:rFonts w:hint="eastAsia" w:ascii="宋体" w:hAnsi="宋体" w:eastAsia="宋体" w:cs="宋体"/>
                <w:color w:val="auto"/>
                <w:spacing w:val="4"/>
                <w:sz w:val="21"/>
                <w:szCs w:val="21"/>
                <w:highlight w:val="none"/>
              </w:rPr>
              <w:t>人】</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50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lang w:val="en-US" w:eastAsia="zh-CN"/>
              </w:rPr>
              <w:t>2</w:t>
            </w:r>
            <w:r>
              <w:rPr>
                <w:rFonts w:hint="eastAsia" w:ascii="宋体" w:hAnsi="宋体" w:eastAsia="宋体" w:cs="宋体"/>
                <w:color w:val="auto"/>
                <w:spacing w:val="12"/>
                <w:sz w:val="21"/>
                <w:szCs w:val="21"/>
                <w:highlight w:val="none"/>
              </w:rPr>
              <w:t>)以投标人企业最新年度净资产较高的优先；</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68"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val="en-US" w:eastAsia="zh-CN"/>
              </w:rPr>
              <w:t>3</w:t>
            </w:r>
            <w:r>
              <w:rPr>
                <w:rFonts w:hint="eastAsia" w:ascii="宋体" w:hAnsi="宋体" w:eastAsia="宋体" w:cs="宋体"/>
                <w:color w:val="auto"/>
                <w:spacing w:val="12"/>
                <w:sz w:val="21"/>
                <w:szCs w:val="21"/>
                <w:highlight w:val="none"/>
              </w:rPr>
              <w:t>)评标委员会视投标人情况综合比较，投票确定其名次</w:t>
            </w:r>
            <w:r>
              <w:rPr>
                <w:rFonts w:hint="eastAsia" w:ascii="宋体" w:hAnsi="宋体" w:eastAsia="宋体" w:cs="宋体"/>
                <w:color w:val="auto"/>
                <w:spacing w:val="9"/>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0" w:hRule="atLeast"/>
          <w:jc w:val="center"/>
        </w:trPr>
        <w:tc>
          <w:tcPr>
            <w:tcW w:w="916"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2" w:firstLineChars="200"/>
              <w:jc w:val="left"/>
              <w:textAlignment w:val="baseline"/>
              <w:outlineLvl w:val="9"/>
              <w:rPr>
                <w:rFonts w:hint="eastAsia" w:ascii="宋体" w:hAnsi="宋体" w:eastAsia="宋体" w:cs="宋体"/>
                <w:color w:val="auto"/>
                <w:spacing w:val="8"/>
                <w:position w:val="18"/>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2" w:firstLineChars="200"/>
              <w:jc w:val="left"/>
              <w:textAlignment w:val="baseline"/>
              <w:outlineLvl w:val="9"/>
              <w:rPr>
                <w:rFonts w:hint="eastAsia" w:ascii="宋体" w:hAnsi="宋体" w:eastAsia="宋体" w:cs="宋体"/>
                <w:color w:val="auto"/>
                <w:spacing w:val="8"/>
                <w:position w:val="18"/>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2" w:firstLineChars="200"/>
              <w:jc w:val="center"/>
              <w:textAlignment w:val="baseline"/>
              <w:outlineLvl w:val="9"/>
              <w:rPr>
                <w:rFonts w:hint="eastAsia" w:ascii="宋体" w:hAnsi="宋体" w:eastAsia="宋体" w:cs="宋体"/>
                <w:color w:val="auto"/>
                <w:spacing w:val="8"/>
                <w:position w:val="18"/>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position w:val="18"/>
                <w:sz w:val="21"/>
                <w:szCs w:val="21"/>
                <w:highlight w:val="none"/>
              </w:rPr>
              <w:t>2</w:t>
            </w:r>
            <w:r>
              <w:rPr>
                <w:rFonts w:hint="eastAsia" w:ascii="宋体" w:hAnsi="宋体" w:eastAsia="宋体" w:cs="宋体"/>
                <w:color w:val="auto"/>
                <w:spacing w:val="6"/>
                <w:position w:val="18"/>
                <w:sz w:val="21"/>
                <w:szCs w:val="21"/>
                <w:highlight w:val="none"/>
              </w:rPr>
              <w:t>.1.1</w:t>
            </w: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4"/>
                <w:sz w:val="21"/>
                <w:szCs w:val="21"/>
                <w:highlight w:val="none"/>
              </w:rPr>
              <w:t>.1.3</w:t>
            </w:r>
          </w:p>
        </w:tc>
        <w:tc>
          <w:tcPr>
            <w:tcW w:w="1852"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形</w:t>
            </w:r>
            <w:r>
              <w:rPr>
                <w:rFonts w:hint="eastAsia" w:ascii="宋体" w:hAnsi="宋体" w:eastAsia="宋体" w:cs="宋体"/>
                <w:color w:val="auto"/>
                <w:spacing w:val="19"/>
                <w:sz w:val="21"/>
                <w:szCs w:val="21"/>
                <w:highlight w:val="none"/>
              </w:rPr>
              <w:t>式评审</w:t>
            </w:r>
            <w:r>
              <w:rPr>
                <w:rFonts w:hint="eastAsia" w:ascii="宋体" w:hAnsi="宋体" w:eastAsia="宋体" w:cs="宋体"/>
                <w:color w:val="auto"/>
                <w:spacing w:val="20"/>
                <w:sz w:val="21"/>
                <w:szCs w:val="21"/>
                <w:highlight w:val="none"/>
              </w:rPr>
              <w:t>与响应性</w:t>
            </w:r>
            <w:r>
              <w:rPr>
                <w:rFonts w:hint="eastAsia" w:ascii="宋体" w:hAnsi="宋体" w:eastAsia="宋体" w:cs="宋体"/>
                <w:color w:val="auto"/>
                <w:spacing w:val="9"/>
                <w:sz w:val="21"/>
                <w:szCs w:val="21"/>
                <w:highlight w:val="none"/>
              </w:rPr>
              <w:t>评</w:t>
            </w:r>
            <w:r>
              <w:rPr>
                <w:rFonts w:hint="eastAsia" w:ascii="宋体" w:hAnsi="宋体" w:eastAsia="宋体" w:cs="宋体"/>
                <w:color w:val="auto"/>
                <w:spacing w:val="7"/>
                <w:sz w:val="21"/>
                <w:szCs w:val="21"/>
                <w:highlight w:val="none"/>
              </w:rPr>
              <w:t>审标准</w:t>
            </w:r>
          </w:p>
        </w:tc>
        <w:tc>
          <w:tcPr>
            <w:tcW w:w="6854" w:type="dxa"/>
            <w:vAlign w:val="top"/>
          </w:tcPr>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第一个信封(商务及技术文件)评审标准：</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(1)投标文件按照招标文件规定的格式、内容填写，字迹清晰可辨：</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a.投标函按招标文件规定填报了项目名称、标段号(如有)、补遗书编号(如有)、工期、工程质量要求及安全目标；</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b.投标函附录的所有数据均符合招标文件规定；</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(2)投标文件上法定代表人或其委托代理人的签字、投标人的单位章盖章齐全，符合招标文件规定。</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)投标人按照招标文件的规定提供了投标保证金：</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a.投标保证金金额符合招标文件规定的金额，且投标保证金有效期不少于投标有效期；</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b.若投标保证金采用现金或支票形式提交，投标人应在投标人须知3.4.1款规定的时间，将投标保证金由投标人的基本账户转入招标人指定账户；</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c.若投标保证金采用银行保函或投标人须知前附表3.4.1项规定的其他形式提交，应满足招标文件要求。</w:t>
            </w:r>
          </w:p>
          <w:p>
            <w:pPr>
              <w:pStyle w:val="3"/>
              <w:keepNext w:val="0"/>
              <w:keepLines w:val="0"/>
              <w:pageBreakBefore w:val="0"/>
              <w:widowControl/>
              <w:kinsoku w:val="0"/>
              <w:wordWrap/>
              <w:overflowPunct/>
              <w:topLinePunct w:val="0"/>
              <w:autoSpaceDE w:val="0"/>
              <w:autoSpaceDN w:val="0"/>
              <w:bidi w:val="0"/>
              <w:adjustRightInd/>
              <w:snapToGrid/>
              <w:spacing w:line="36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)投标人法定代表人授权委托代理人签署投标文件的，需提交授权委托书，且授权人和被授权人均在授权委托书上签名，未使用印章、签名章或其他电子制版签名代替。</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)投标人法定代表人亲自签署投标文件的，提供了法定代表人身份证明，且法定代表人在法定代表人身份证明上签名，未使用印章、签名章或其他电子制版签名代替。</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)投标人未以联合体形式投标。</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)如投标人不具备拟分包工程所需的某专项工程相应资质或投标人如有分包计划，符合招标文件第二章“投标人须知”第1.11款规定，且按招标文件第九章“投标文件格式”的要求填写了“拟分包项目情况表”。</w:t>
            </w:r>
          </w:p>
          <w:p>
            <w:pPr>
              <w:rPr>
                <w:rFonts w:hint="eastAsia"/>
              </w:rPr>
            </w:pPr>
          </w:p>
          <w:p>
            <w:pPr>
              <w:keepNext w:val="0"/>
              <w:keepLines w:val="0"/>
              <w:pageBreakBefore w:val="0"/>
              <w:widowControl/>
              <w:kinsoku w:val="0"/>
              <w:wordWrap/>
              <w:overflowPunct/>
              <w:topLinePunct w:val="0"/>
              <w:autoSpaceDE w:val="0"/>
              <w:autoSpaceDN w:val="0"/>
              <w:bidi w:val="0"/>
              <w:adjustRightInd/>
              <w:snapToGrid/>
              <w:spacing w:line="360" w:lineRule="exact"/>
              <w:ind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同一投标人未提交两个以上不同的投标文件，但招标文件要求提交备选投标的除外。</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)投标文件中未出现有关投标报价的内容。</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)投标文件载明的招标项目完成期限未超过招标文件规定的时限。</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)投标文件对招标文件的实质性要求和条件作出响应。</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)权利义务符合招标文件规定：</w:t>
            </w:r>
          </w:p>
          <w:p>
            <w:pPr>
              <w:keepNext w:val="0"/>
              <w:keepLines w:val="0"/>
              <w:pageBreakBefore w:val="0"/>
              <w:widowControl/>
              <w:kinsoku w:val="0"/>
              <w:wordWrap/>
              <w:overflowPunct/>
              <w:topLinePunct w:val="0"/>
              <w:autoSpaceDE w:val="0"/>
              <w:autoSpaceDN w:val="0"/>
              <w:bidi w:val="0"/>
              <w:adjustRightInd/>
              <w:snapToGrid/>
              <w:spacing w:line="360" w:lineRule="exact"/>
              <w:ind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c.投标人未提出不同的工程验收、计量、支付办法；</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（13）投标文件正、副本份数符合招标文件第二章“投标人须知第3.7.4项规定。</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5"/>
                <w:sz w:val="21"/>
                <w:szCs w:val="21"/>
                <w:highlight w:val="none"/>
              </w:rPr>
              <w:t>（14）投标文件未附有招标人不能接受的条件</w:t>
            </w:r>
            <w:r>
              <w:rPr>
                <w:rFonts w:hint="eastAsia" w:ascii="宋体" w:hAnsi="宋体" w:eastAsia="宋体" w:cs="宋体"/>
                <w:color w:val="auto"/>
                <w:spacing w:val="12"/>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4"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14:textOutline w14:w="3795" w14:cap="sq">
                  <w14:solidFill>
                    <w14:srgbClr w14:val="000000"/>
                  </w14:solidFill>
                  <w14:prstDash w14:val="solid"/>
                  <w14:bevel/>
                </w14:textOutline>
              </w:rPr>
              <w:t>第</w:t>
            </w:r>
            <w:r>
              <w:rPr>
                <w:rFonts w:hint="eastAsia" w:ascii="宋体" w:hAnsi="宋体" w:eastAsia="宋体" w:cs="宋体"/>
                <w:color w:val="auto"/>
                <w:spacing w:val="8"/>
                <w:sz w:val="21"/>
                <w:szCs w:val="21"/>
                <w:highlight w:val="none"/>
                <w14:textOutline w14:w="3795" w14:cap="sq">
                  <w14:solidFill>
                    <w14:srgbClr w14:val="000000"/>
                  </w14:solidFill>
                  <w14:prstDash w14:val="solid"/>
                  <w14:bevel/>
                </w14:textOutline>
              </w:rPr>
              <w:t>二个信封(报价文件)评审标准：</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52"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4"/>
                <w:sz w:val="21"/>
                <w:szCs w:val="21"/>
                <w:highlight w:val="none"/>
              </w:rPr>
              <w:t>投标文件按照招标文件规定的格式、内容填写，字迹清晰可辨：</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pacing w:val="9"/>
                <w:sz w:val="21"/>
                <w:szCs w:val="21"/>
                <w:highlight w:val="none"/>
              </w:rPr>
              <w:t>.投标函按招标文件规定填报了项目名称、标段号(如有)、补遗书</w:t>
            </w:r>
            <w:r>
              <w:rPr>
                <w:rFonts w:hint="eastAsia" w:ascii="宋体" w:hAnsi="宋体" w:eastAsia="宋体" w:cs="宋体"/>
                <w:color w:val="auto"/>
                <w:spacing w:val="8"/>
                <w:sz w:val="21"/>
                <w:szCs w:val="21"/>
                <w:highlight w:val="none"/>
              </w:rPr>
              <w:t>编号(如有)、投标总报价(包括大写金额和小写金额)；</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4"/>
                <w:sz w:val="21"/>
                <w:szCs w:val="21"/>
                <w:highlight w:val="none"/>
              </w:rPr>
              <w:t>投标文件组成齐全完整，内容均按规定填写</w:t>
            </w:r>
            <w:r>
              <w:rPr>
                <w:rFonts w:hint="eastAsia" w:ascii="宋体" w:hAnsi="宋体" w:eastAsia="宋体" w:cs="宋体"/>
                <w:color w:val="auto"/>
                <w:spacing w:val="3"/>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(2)投标文件上法定代表人或其委托代理人的签字、投标人的单位章</w:t>
            </w:r>
            <w:r>
              <w:rPr>
                <w:rFonts w:hint="eastAsia" w:ascii="宋体" w:hAnsi="宋体" w:eastAsia="宋体" w:cs="宋体"/>
                <w:color w:val="auto"/>
                <w:spacing w:val="14"/>
                <w:sz w:val="21"/>
                <w:szCs w:val="21"/>
                <w:highlight w:val="none"/>
              </w:rPr>
              <w:t>盖</w:t>
            </w:r>
            <w:r>
              <w:rPr>
                <w:rFonts w:hint="eastAsia" w:ascii="宋体" w:hAnsi="宋体" w:eastAsia="宋体" w:cs="宋体"/>
                <w:color w:val="auto"/>
                <w:spacing w:val="8"/>
                <w:sz w:val="21"/>
                <w:szCs w:val="21"/>
                <w:highlight w:val="none"/>
              </w:rPr>
              <w:t>章齐全，符合招标文件规定</w:t>
            </w:r>
            <w:r>
              <w:rPr>
                <w:rFonts w:hint="eastAsia" w:ascii="宋体" w:hAnsi="宋体" w:eastAsia="宋体" w:cs="宋体"/>
                <w:color w:val="auto"/>
                <w:spacing w:val="6"/>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(3)投标总报价或调价函中的报价未超过招标文件设定的最高投标限</w:t>
            </w:r>
            <w:r>
              <w:rPr>
                <w:rFonts w:hint="eastAsia" w:ascii="宋体" w:hAnsi="宋体" w:eastAsia="宋体" w:cs="宋体"/>
                <w:color w:val="auto"/>
                <w:spacing w:val="12"/>
                <w:sz w:val="21"/>
                <w:szCs w:val="21"/>
                <w:highlight w:val="none"/>
              </w:rPr>
              <w:t>价</w:t>
            </w: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2"/>
                <w:sz w:val="21"/>
                <w:szCs w:val="21"/>
                <w:highlight w:val="none"/>
              </w:rPr>
              <w:t>如有)及最高评标限价(如有)。</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68"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(4)投标总报价或调价函中报价的大写金额能够确定具体数值</w:t>
            </w:r>
            <w:r>
              <w:rPr>
                <w:rFonts w:hint="eastAsia" w:ascii="宋体" w:hAnsi="宋体" w:eastAsia="宋体" w:cs="宋体"/>
                <w:color w:val="auto"/>
                <w:spacing w:val="8"/>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(5)同一投标人未提交两个以上不同的投标报价，但招标文件要求提</w:t>
            </w:r>
            <w:r>
              <w:rPr>
                <w:rFonts w:hint="eastAsia" w:ascii="宋体" w:hAnsi="宋体" w:eastAsia="宋体" w:cs="宋体"/>
                <w:color w:val="auto"/>
                <w:spacing w:val="12"/>
                <w:sz w:val="21"/>
                <w:szCs w:val="21"/>
                <w:highlight w:val="none"/>
              </w:rPr>
              <w:t>交</w:t>
            </w:r>
            <w:r>
              <w:rPr>
                <w:rFonts w:hint="eastAsia" w:ascii="宋体" w:hAnsi="宋体" w:eastAsia="宋体" w:cs="宋体"/>
                <w:color w:val="auto"/>
                <w:spacing w:val="9"/>
                <w:sz w:val="21"/>
                <w:szCs w:val="21"/>
                <w:highlight w:val="none"/>
              </w:rPr>
              <w:t>备</w:t>
            </w:r>
            <w:r>
              <w:rPr>
                <w:rFonts w:hint="eastAsia" w:ascii="宋体" w:hAnsi="宋体" w:eastAsia="宋体" w:cs="宋体"/>
                <w:color w:val="auto"/>
                <w:spacing w:val="7"/>
                <w:sz w:val="21"/>
                <w:szCs w:val="21"/>
                <w:highlight w:val="none"/>
              </w:rPr>
              <w:t>选投标的除外。</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92" w:firstLineChars="200"/>
              <w:jc w:val="left"/>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18"/>
                <w:sz w:val="21"/>
                <w:szCs w:val="21"/>
                <w:highlight w:val="none"/>
              </w:rPr>
              <w:t>(6)投标人若提交调价函，调价函符合招标文件第二章“投标人须知”</w:t>
            </w:r>
            <w:r>
              <w:rPr>
                <w:rFonts w:hint="eastAsia" w:ascii="宋体" w:hAnsi="宋体" w:eastAsia="宋体" w:cs="宋体"/>
                <w:color w:val="auto"/>
                <w:spacing w:val="-6"/>
                <w:sz w:val="21"/>
                <w:szCs w:val="21"/>
                <w:highlight w:val="none"/>
              </w:rPr>
              <w:t>第</w:t>
            </w:r>
            <w:r>
              <w:rPr>
                <w:rFonts w:hint="eastAsia" w:ascii="宋体" w:hAnsi="宋体" w:eastAsia="宋体" w:cs="宋体"/>
                <w:color w:val="auto"/>
                <w:spacing w:val="-3"/>
                <w:sz w:val="21"/>
                <w:szCs w:val="21"/>
                <w:highlight w:val="none"/>
              </w:rPr>
              <w:t>3.2.6项要求。</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rPr>
            </w:pPr>
            <w:r>
              <w:rPr>
                <w:rFonts w:hint="eastAsia" w:ascii="宋体" w:hAnsi="宋体" w:eastAsia="宋体" w:cs="宋体"/>
                <w:color w:val="auto"/>
                <w:spacing w:val="15"/>
                <w:sz w:val="21"/>
                <w:szCs w:val="21"/>
                <w:highlight w:val="none"/>
              </w:rPr>
              <w:t>(7)</w:t>
            </w:r>
            <w:r>
              <w:rPr>
                <w:rFonts w:hint="eastAsia" w:ascii="宋体" w:hAnsi="宋体" w:eastAsia="宋体" w:cs="宋体"/>
                <w:color w:val="auto"/>
              </w:rPr>
              <w:t>投标文件正、副本份数符合招标文件第二章“投标人须知”第3.7.4项规定。</w:t>
            </w:r>
          </w:p>
        </w:tc>
      </w:tr>
    </w:tbl>
    <w:p>
      <w:pPr>
        <w:rPr>
          <w:rFonts w:hint="eastAsia" w:ascii="宋体" w:hAnsi="宋体" w:eastAsia="宋体" w:cs="宋体"/>
          <w:color w:val="auto"/>
        </w:rPr>
      </w:pPr>
      <w:r>
        <w:rPr>
          <w:rFonts w:hint="eastAsia" w:ascii="宋体" w:hAnsi="宋体" w:eastAsia="宋体" w:cs="宋体"/>
          <w:color w:val="auto"/>
        </w:rPr>
        <w:br w:type="page"/>
      </w:r>
    </w:p>
    <w:p>
      <w:pPr>
        <w:rPr>
          <w:rFonts w:hint="eastAsia" w:ascii="宋体" w:hAnsi="宋体" w:eastAsia="宋体" w:cs="宋体"/>
          <w:color w:val="auto"/>
        </w:rPr>
      </w:pPr>
    </w:p>
    <w:tbl>
      <w:tblPr>
        <w:tblStyle w:val="6"/>
        <w:tblW w:w="96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1852"/>
        <w:gridCol w:w="6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916" w:type="dxa"/>
            <w:vAlign w:val="center"/>
          </w:tcPr>
          <w:p>
            <w:pPr>
              <w:keepNext w:val="0"/>
              <w:keepLines w:val="0"/>
              <w:pageBreakBefore w:val="0"/>
              <w:widowControl/>
              <w:kinsoku w:val="0"/>
              <w:wordWrap/>
              <w:overflowPunct/>
              <w:topLinePunct w:val="0"/>
              <w:autoSpaceDE w:val="0"/>
              <w:autoSpaceDN w:val="0"/>
              <w:bidi w:val="0"/>
              <w:adjustRightInd/>
              <w:snapToGrid/>
              <w:spacing w:line="580" w:lineRule="exact"/>
              <w:ind w:right="0" w:rightChars="0"/>
              <w:jc w:val="center"/>
              <w:textAlignment w:val="baseline"/>
              <w:outlineLvl w:val="9"/>
              <w:rPr>
                <w:rFonts w:hint="eastAsia" w:ascii="宋体" w:hAnsi="宋体" w:eastAsia="宋体" w:cs="宋体"/>
                <w:snapToGrid w:val="0"/>
                <w:color w:val="auto"/>
                <w:spacing w:val="20"/>
                <w:kern w:val="0"/>
                <w:sz w:val="21"/>
                <w:szCs w:val="21"/>
                <w:highlight w:val="none"/>
                <w:lang w:val="en-US" w:eastAsia="zh-CN" w:bidi="ar-SA"/>
              </w:rPr>
            </w:pPr>
            <w:r>
              <w:rPr>
                <w:rFonts w:hint="eastAsia" w:ascii="宋体" w:hAnsi="宋体" w:eastAsia="宋体" w:cs="宋体"/>
                <w:color w:val="auto"/>
                <w:spacing w:val="7"/>
                <w:sz w:val="21"/>
                <w:szCs w:val="21"/>
                <w:highlight w:val="none"/>
                <w14:textOutline w14:w="3795" w14:cap="sq">
                  <w14:solidFill>
                    <w14:srgbClr w14:val="000000"/>
                  </w14:solidFill>
                  <w14:prstDash w14:val="solid"/>
                  <w14:bevel/>
                </w14:textOutline>
              </w:rPr>
              <w:t>条款号</w:t>
            </w:r>
          </w:p>
        </w:tc>
        <w:tc>
          <w:tcPr>
            <w:tcW w:w="8706" w:type="dxa"/>
            <w:gridSpan w:val="2"/>
            <w:vAlign w:val="center"/>
          </w:tcPr>
          <w:p>
            <w:pPr>
              <w:keepNext w:val="0"/>
              <w:keepLines w:val="0"/>
              <w:pageBreakBefore w:val="0"/>
              <w:widowControl/>
              <w:kinsoku w:val="0"/>
              <w:wordWrap/>
              <w:overflowPunct/>
              <w:topLinePunct w:val="0"/>
              <w:autoSpaceDE w:val="0"/>
              <w:autoSpaceDN w:val="0"/>
              <w:bidi w:val="0"/>
              <w:adjustRightInd/>
              <w:snapToGrid/>
              <w:spacing w:line="400" w:lineRule="exact"/>
              <w:ind w:left="0" w:leftChars="0" w:right="0" w:rightChars="0" w:firstLine="460" w:firstLineChars="200"/>
              <w:jc w:val="center"/>
              <w:textAlignment w:val="baseline"/>
              <w:outlineLvl w:val="9"/>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pacing w:val="10"/>
                <w:sz w:val="21"/>
                <w:szCs w:val="21"/>
                <w:highlight w:val="none"/>
                <w14:textOutline w14:w="3795" w14:cap="sq">
                  <w14:solidFill>
                    <w14:srgbClr w14:val="000000"/>
                  </w14:solidFill>
                  <w14:prstDash w14:val="solid"/>
                  <w14:bevel/>
                </w14:textOutline>
              </w:rPr>
              <w:t>评审因素与评审标</w:t>
            </w:r>
            <w:r>
              <w:rPr>
                <w:rFonts w:hint="eastAsia" w:ascii="宋体" w:hAnsi="宋体" w:eastAsia="宋体" w:cs="宋体"/>
                <w:color w:val="auto"/>
                <w:spacing w:val="8"/>
                <w:sz w:val="21"/>
                <w:szCs w:val="21"/>
                <w:highlight w:val="none"/>
                <w14:textOutline w14:w="3795" w14:cap="sq">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4" w:hRule="atLeast"/>
          <w:jc w:val="center"/>
        </w:trPr>
        <w:tc>
          <w:tcPr>
            <w:tcW w:w="916" w:type="dxa"/>
            <w:vAlign w:val="center"/>
          </w:tcPr>
          <w:p>
            <w:pPr>
              <w:jc w:val="center"/>
              <w:rPr>
                <w:rFonts w:hint="eastAsia" w:ascii="宋体" w:hAnsi="宋体" w:eastAsia="宋体" w:cs="宋体"/>
                <w:snapToGrid w:val="0"/>
                <w:color w:val="auto"/>
                <w:spacing w:val="5"/>
                <w:kern w:val="0"/>
                <w:sz w:val="21"/>
                <w:szCs w:val="21"/>
                <w:highlight w:val="none"/>
                <w:lang w:val="en-US" w:eastAsia="zh-CN" w:bidi="ar-SA"/>
              </w:rPr>
            </w:pPr>
            <w:r>
              <w:rPr>
                <w:rFonts w:hint="eastAsia" w:ascii="宋体" w:hAnsi="宋体" w:eastAsia="宋体" w:cs="宋体"/>
                <w:color w:val="auto"/>
                <w:sz w:val="21"/>
                <w:szCs w:val="21"/>
                <w:highlight w:val="none"/>
              </w:rPr>
              <w:t>2.1.2</w:t>
            </w:r>
          </w:p>
        </w:tc>
        <w:tc>
          <w:tcPr>
            <w:tcW w:w="1852" w:type="dxa"/>
            <w:vAlign w:val="center"/>
          </w:tcPr>
          <w:p>
            <w:pPr>
              <w:jc w:val="center"/>
              <w:rPr>
                <w:rFonts w:hint="eastAsia" w:ascii="宋体" w:hAnsi="宋体" w:eastAsia="宋体" w:cs="宋体"/>
                <w:snapToGrid w:val="0"/>
                <w:color w:val="auto"/>
                <w:spacing w:val="20"/>
                <w:kern w:val="0"/>
                <w:sz w:val="21"/>
                <w:szCs w:val="21"/>
                <w:highlight w:val="none"/>
                <w:lang w:val="en-US" w:eastAsia="zh-CN" w:bidi="ar-SA"/>
              </w:rPr>
            </w:pPr>
            <w:r>
              <w:rPr>
                <w:rFonts w:hint="eastAsia" w:ascii="宋体" w:hAnsi="宋体" w:eastAsia="宋体" w:cs="宋体"/>
                <w:color w:val="auto"/>
                <w:sz w:val="21"/>
                <w:szCs w:val="21"/>
                <w:highlight w:val="none"/>
              </w:rPr>
              <w:t>资格评审标准</w:t>
            </w:r>
          </w:p>
        </w:tc>
        <w:tc>
          <w:tcPr>
            <w:tcW w:w="6854"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8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(1)投标人具备有效的营业执照、资质证书、安全生产许可证和基本</w:t>
            </w:r>
            <w:r>
              <w:rPr>
                <w:rFonts w:hint="eastAsia" w:ascii="宋体" w:hAnsi="宋体" w:eastAsia="宋体" w:cs="宋体"/>
                <w:color w:val="auto"/>
                <w:spacing w:val="12"/>
                <w:sz w:val="21"/>
                <w:szCs w:val="21"/>
                <w:highlight w:val="none"/>
              </w:rPr>
              <w:t>账</w:t>
            </w:r>
            <w:r>
              <w:rPr>
                <w:rFonts w:hint="eastAsia" w:ascii="宋体" w:hAnsi="宋体" w:eastAsia="宋体" w:cs="宋体"/>
                <w:color w:val="auto"/>
                <w:spacing w:val="15"/>
                <w:sz w:val="21"/>
                <w:szCs w:val="21"/>
                <w:highlight w:val="none"/>
              </w:rPr>
              <w:t>户</w:t>
            </w:r>
            <w:r>
              <w:rPr>
                <w:rFonts w:hint="eastAsia" w:ascii="宋体" w:hAnsi="宋体" w:eastAsia="宋体" w:cs="宋体"/>
                <w:color w:val="auto"/>
                <w:spacing w:val="9"/>
                <w:sz w:val="21"/>
                <w:szCs w:val="21"/>
                <w:highlight w:val="none"/>
              </w:rPr>
              <w:t>开户许可证(如企业所在地已取消企业银行账户许可而无法提供开户许</w:t>
            </w:r>
            <w:r>
              <w:rPr>
                <w:rFonts w:hint="eastAsia" w:ascii="宋体" w:hAnsi="宋体" w:eastAsia="宋体" w:cs="宋体"/>
                <w:color w:val="auto"/>
                <w:spacing w:val="18"/>
                <w:sz w:val="21"/>
                <w:szCs w:val="21"/>
                <w:highlight w:val="none"/>
              </w:rPr>
              <w:t>可</w:t>
            </w:r>
            <w:r>
              <w:rPr>
                <w:rFonts w:hint="eastAsia" w:ascii="宋体" w:hAnsi="宋体" w:eastAsia="宋体" w:cs="宋体"/>
                <w:color w:val="auto"/>
                <w:spacing w:val="15"/>
                <w:sz w:val="21"/>
                <w:szCs w:val="21"/>
                <w:highlight w:val="none"/>
              </w:rPr>
              <w:t>证</w:t>
            </w:r>
            <w:r>
              <w:rPr>
                <w:rFonts w:hint="eastAsia" w:ascii="宋体" w:hAnsi="宋体" w:eastAsia="宋体" w:cs="宋体"/>
                <w:color w:val="auto"/>
                <w:spacing w:val="9"/>
                <w:sz w:val="21"/>
                <w:szCs w:val="21"/>
                <w:highlight w:val="none"/>
              </w:rPr>
              <w:t>的，则需附上开户银行出具的“基本存款账户信息”或“人民银行账</w:t>
            </w:r>
            <w:r>
              <w:rPr>
                <w:rFonts w:hint="eastAsia" w:ascii="宋体" w:hAnsi="宋体" w:eastAsia="宋体" w:cs="宋体"/>
                <w:color w:val="auto"/>
                <w:spacing w:val="16"/>
                <w:sz w:val="21"/>
                <w:szCs w:val="21"/>
                <w:highlight w:val="none"/>
              </w:rPr>
              <w:t>户</w:t>
            </w:r>
            <w:r>
              <w:rPr>
                <w:rFonts w:hint="eastAsia" w:ascii="宋体" w:hAnsi="宋体" w:eastAsia="宋体" w:cs="宋体"/>
                <w:color w:val="auto"/>
                <w:spacing w:val="9"/>
                <w:sz w:val="21"/>
                <w:szCs w:val="21"/>
                <w:highlight w:val="none"/>
              </w:rPr>
              <w:t>管</w:t>
            </w:r>
            <w:r>
              <w:rPr>
                <w:rFonts w:hint="eastAsia" w:ascii="宋体" w:hAnsi="宋体" w:eastAsia="宋体" w:cs="宋体"/>
                <w:color w:val="auto"/>
                <w:spacing w:val="8"/>
                <w:sz w:val="21"/>
                <w:szCs w:val="21"/>
                <w:highlight w:val="none"/>
              </w:rPr>
              <w:t>理系统查询的基本账户信息截图”)；</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516"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2"/>
                <w:sz w:val="21"/>
                <w:szCs w:val="21"/>
                <w:highlight w:val="none"/>
              </w:rPr>
              <w:t>2)投标人的资质等级符合招标文件规定；</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516"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2"/>
                <w:sz w:val="21"/>
                <w:szCs w:val="21"/>
                <w:highlight w:val="none"/>
              </w:rPr>
              <w:t>3)投标人的财务状况符合招标文件规定；</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50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12"/>
                <w:sz w:val="21"/>
                <w:szCs w:val="21"/>
                <w:highlight w:val="none"/>
              </w:rPr>
              <w:t>4)投标人的类似项目业绩符合招标文件规定；</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72"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(5)投标人的信誉符合招标文件规定</w:t>
            </w:r>
            <w:r>
              <w:rPr>
                <w:rFonts w:hint="eastAsia" w:ascii="宋体" w:hAnsi="宋体" w:eastAsia="宋体" w:cs="宋体"/>
                <w:color w:val="auto"/>
                <w:spacing w:val="11"/>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92"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4"/>
                <w:sz w:val="21"/>
                <w:szCs w:val="21"/>
                <w:highlight w:val="none"/>
              </w:rPr>
              <w:t>6)投标人的项目经理和项目总工资格、在岗情况符合招</w:t>
            </w:r>
            <w:r>
              <w:rPr>
                <w:rFonts w:hint="eastAsia" w:ascii="宋体" w:hAnsi="宋体" w:eastAsia="宋体" w:cs="宋体"/>
                <w:color w:val="auto"/>
                <w:spacing w:val="9"/>
                <w:sz w:val="21"/>
                <w:szCs w:val="21"/>
                <w:highlight w:val="none"/>
              </w:rPr>
              <w:t>标文件规定，并按规定在投标文件中签字确认</w:t>
            </w:r>
            <w:r>
              <w:rPr>
                <w:rFonts w:hint="eastAsia" w:ascii="宋体" w:hAnsi="宋体" w:eastAsia="宋体" w:cs="宋体"/>
                <w:color w:val="auto"/>
                <w:spacing w:val="8"/>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516" w:firstLineChars="200"/>
              <w:jc w:val="left"/>
              <w:textAlignment w:val="baseline"/>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2"/>
                <w:sz w:val="21"/>
                <w:szCs w:val="21"/>
                <w:highlight w:val="none"/>
              </w:rPr>
              <w:t>7)投标人的其他要求符合招标文件规定</w:t>
            </w:r>
            <w:r>
              <w:rPr>
                <w:rFonts w:hint="eastAsia" w:ascii="宋体" w:hAnsi="宋体" w:eastAsia="宋体" w:cs="宋体"/>
                <w:color w:val="auto"/>
                <w:spacing w:val="12"/>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76"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7"/>
                <w:sz w:val="21"/>
                <w:szCs w:val="21"/>
                <w:highlight w:val="none"/>
              </w:rPr>
              <w:t>8)投标人不存在第二章“投标人须知”第1.4.3项或第1.4.4项规定</w:t>
            </w:r>
            <w:r>
              <w:rPr>
                <w:rFonts w:hint="eastAsia" w:ascii="宋体" w:hAnsi="宋体" w:eastAsia="宋体" w:cs="宋体"/>
                <w:color w:val="auto"/>
                <w:spacing w:val="8"/>
                <w:sz w:val="21"/>
                <w:szCs w:val="21"/>
                <w:highlight w:val="none"/>
              </w:rPr>
              <w:t>的</w:t>
            </w:r>
            <w:r>
              <w:rPr>
                <w:rFonts w:hint="eastAsia" w:ascii="宋体" w:hAnsi="宋体" w:eastAsia="宋体" w:cs="宋体"/>
                <w:color w:val="auto"/>
                <w:spacing w:val="5"/>
                <w:sz w:val="21"/>
                <w:szCs w:val="21"/>
                <w:highlight w:val="none"/>
              </w:rPr>
              <w:t>任何一种情形；</w:t>
            </w:r>
          </w:p>
          <w:p>
            <w:pPr>
              <w:keepNext w:val="0"/>
              <w:keepLines w:val="0"/>
              <w:pageBreakBefore w:val="0"/>
              <w:widowControl/>
              <w:kinsoku w:val="0"/>
              <w:wordWrap/>
              <w:overflowPunct/>
              <w:topLinePunct w:val="0"/>
              <w:autoSpaceDE w:val="0"/>
              <w:autoSpaceDN w:val="0"/>
              <w:bidi w:val="0"/>
              <w:adjustRightInd/>
              <w:snapToGrid/>
              <w:spacing w:line="400" w:lineRule="exact"/>
              <w:ind w:left="0" w:leftChars="0" w:right="0" w:rightChars="0" w:firstLine="476" w:firstLineChars="200"/>
              <w:jc w:val="left"/>
              <w:textAlignment w:val="baseline"/>
              <w:outlineLvl w:val="9"/>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pacing w:val="14"/>
                <w:sz w:val="21"/>
                <w:szCs w:val="21"/>
                <w:highlight w:val="none"/>
              </w:rPr>
              <w:t>(9</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7"/>
                <w:sz w:val="21"/>
                <w:szCs w:val="21"/>
                <w:highlight w:val="none"/>
              </w:rPr>
              <w:t>投标人符合第二章“投标人须知”第1.4.5项规定</w:t>
            </w:r>
            <w:r>
              <w:rPr>
                <w:rFonts w:hint="eastAsia" w:ascii="宋体" w:hAnsi="宋体" w:eastAsia="宋体" w:cs="宋体"/>
                <w:color w:val="auto"/>
                <w:spacing w:val="7"/>
                <w:sz w:val="21"/>
                <w:szCs w:val="21"/>
                <w:highlight w:val="none"/>
                <w:lang w:eastAsia="zh-CN"/>
              </w:rPr>
              <w:t>。</w:t>
            </w:r>
          </w:p>
        </w:tc>
      </w:tr>
    </w:tbl>
    <w:p>
      <w:pPr>
        <w:rPr>
          <w:rFonts w:hint="eastAsia" w:ascii="宋体" w:hAnsi="宋体" w:eastAsia="宋体" w:cs="宋体"/>
          <w:color w:val="auto"/>
          <w:highlight w:val="none"/>
        </w:rPr>
      </w:pPr>
      <w:r>
        <w:rPr>
          <w:rFonts w:hint="eastAsia" w:ascii="宋体" w:hAnsi="宋体" w:eastAsia="宋体" w:cs="宋体"/>
          <w:color w:val="auto"/>
          <w:highlight w:val="none"/>
          <w:lang w:eastAsia="zh-CN"/>
        </w:rPr>
        <w:br w:type="page"/>
      </w:r>
    </w:p>
    <w:tbl>
      <w:tblPr>
        <w:tblStyle w:val="6"/>
        <w:tblpPr w:leftFromText="180" w:rightFromText="180" w:vertAnchor="text" w:horzAnchor="page" w:tblpX="865" w:tblpY="75"/>
        <w:tblOverlap w:val="never"/>
        <w:tblW w:w="104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1543"/>
        <w:gridCol w:w="79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548" w:type="dxa"/>
            <w:gridSpan w:val="2"/>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48"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3795" w14:cap="sq">
                  <w14:solidFill>
                    <w14:srgbClr w14:val="000000"/>
                  </w14:solidFill>
                  <w14:prstDash w14:val="solid"/>
                  <w14:bevel/>
                </w14:textOutline>
              </w:rPr>
              <w:t>条款号</w:t>
            </w:r>
          </w:p>
        </w:tc>
        <w:tc>
          <w:tcPr>
            <w:tcW w:w="7931"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60" w:firstLineChars="20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14:textOutline w14:w="3795" w14:cap="sq">
                  <w14:solidFill>
                    <w14:srgbClr w14:val="000000"/>
                  </w14:solidFill>
                  <w14:prstDash w14:val="solid"/>
                  <w14:bevel/>
                </w14:textOutline>
              </w:rPr>
              <w:t>评审因素与评审标</w:t>
            </w:r>
            <w:r>
              <w:rPr>
                <w:rFonts w:hint="eastAsia" w:ascii="宋体" w:hAnsi="宋体" w:eastAsia="宋体" w:cs="宋体"/>
                <w:color w:val="auto"/>
                <w:spacing w:val="8"/>
                <w:sz w:val="21"/>
                <w:szCs w:val="21"/>
                <w:highlight w:val="none"/>
                <w14:textOutline w14:w="3795" w14:cap="sq">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6" w:hRule="atLeast"/>
        </w:trPr>
        <w:tc>
          <w:tcPr>
            <w:tcW w:w="1005" w:type="dxa"/>
            <w:vAlign w:val="center"/>
          </w:tcPr>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543" w:type="dxa"/>
            <w:vAlign w:val="center"/>
          </w:tcPr>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值</w:t>
            </w:r>
            <w:r>
              <w:rPr>
                <w:rFonts w:hint="eastAsia" w:ascii="宋体" w:hAnsi="宋体" w:eastAsia="宋体" w:cs="宋体"/>
                <w:color w:val="auto"/>
                <w:sz w:val="21"/>
                <w:szCs w:val="21"/>
                <w:highlight w:val="none"/>
              </w:rPr>
              <w:t>构成</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7931" w:type="dxa"/>
            <w:vAlign w:val="center"/>
          </w:tcPr>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第一个信封(商务及技术文件)评分分值构成：</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施工组织设计（A）：</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u w:val="single"/>
              </w:rPr>
              <w:t>40</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分</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主要人员(B)：</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i w:val="0"/>
                <w:iCs w:val="0"/>
                <w:color w:val="auto"/>
                <w:spacing w:val="1"/>
                <w:sz w:val="21"/>
                <w:szCs w:val="21"/>
                <w:highlight w:val="none"/>
                <w:u w:val="single"/>
              </w:rPr>
              <w:t>25</w:t>
            </w:r>
            <w:r>
              <w:rPr>
                <w:rFonts w:hint="eastAsia" w:ascii="宋体" w:hAnsi="宋体" w:eastAsia="宋体" w:cs="宋体"/>
                <w:i w:val="0"/>
                <w:iCs w:val="0"/>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分</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其他因素(C)</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技术能力：</w:t>
            </w:r>
            <w:r>
              <w:rPr>
                <w:rFonts w:hint="eastAsia" w:ascii="宋体" w:hAnsi="宋体" w:eastAsia="宋体" w:cs="宋体"/>
                <w:color w:val="auto"/>
                <w:spacing w:val="1"/>
                <w:sz w:val="21"/>
                <w:szCs w:val="21"/>
                <w:highlight w:val="none"/>
                <w:u w:val="single"/>
                <w:lang w:val="en-US" w:eastAsia="zh-CN"/>
              </w:rPr>
              <w:t xml:space="preserve">  20  </w:t>
            </w:r>
            <w:r>
              <w:rPr>
                <w:rFonts w:hint="eastAsia" w:ascii="宋体" w:hAnsi="宋体" w:eastAsia="宋体" w:cs="宋体"/>
                <w:color w:val="auto"/>
                <w:spacing w:val="1"/>
                <w:sz w:val="21"/>
                <w:szCs w:val="21"/>
                <w:highlight w:val="none"/>
              </w:rPr>
              <w:t>分</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履约信誉：</w:t>
            </w:r>
            <w:r>
              <w:rPr>
                <w:rFonts w:hint="eastAsia" w:ascii="宋体" w:hAnsi="宋体" w:eastAsia="宋体" w:cs="宋体"/>
                <w:color w:val="auto"/>
                <w:spacing w:val="1"/>
                <w:sz w:val="21"/>
                <w:szCs w:val="21"/>
                <w:highlight w:val="none"/>
                <w:u w:val="single"/>
                <w:lang w:val="en-US" w:eastAsia="zh-CN"/>
              </w:rPr>
              <w:t xml:space="preserve">  15  </w:t>
            </w:r>
            <w:r>
              <w:rPr>
                <w:rFonts w:hint="eastAsia" w:ascii="宋体" w:hAnsi="宋体" w:eastAsia="宋体" w:cs="宋体"/>
                <w:color w:val="auto"/>
                <w:spacing w:val="1"/>
                <w:sz w:val="21"/>
                <w:szCs w:val="21"/>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5" w:hRule="atLeast"/>
        </w:trPr>
        <w:tc>
          <w:tcPr>
            <w:tcW w:w="1005" w:type="dxa"/>
            <w:vAlign w:val="top"/>
          </w:tcPr>
          <w:p>
            <w:pPr>
              <w:spacing w:line="263" w:lineRule="auto"/>
              <w:rPr>
                <w:rFonts w:hint="eastAsia" w:ascii="宋体" w:hAnsi="宋体" w:eastAsia="宋体" w:cs="宋体"/>
                <w:color w:val="auto"/>
                <w:sz w:val="21"/>
                <w:highlight w:val="none"/>
              </w:rPr>
            </w:pPr>
          </w:p>
          <w:p>
            <w:pPr>
              <w:spacing w:line="263" w:lineRule="auto"/>
              <w:rPr>
                <w:rFonts w:hint="eastAsia" w:ascii="宋体" w:hAnsi="宋体" w:eastAsia="宋体" w:cs="宋体"/>
                <w:color w:val="auto"/>
                <w:sz w:val="21"/>
                <w:highlight w:val="none"/>
              </w:rPr>
            </w:pPr>
          </w:p>
          <w:p>
            <w:pPr>
              <w:spacing w:line="263" w:lineRule="auto"/>
              <w:rPr>
                <w:rFonts w:hint="eastAsia" w:ascii="宋体" w:hAnsi="宋体" w:eastAsia="宋体" w:cs="宋体"/>
                <w:color w:val="auto"/>
                <w:sz w:val="21"/>
                <w:highlight w:val="none"/>
              </w:rPr>
            </w:pPr>
          </w:p>
          <w:p>
            <w:pPr>
              <w:spacing w:line="263" w:lineRule="auto"/>
              <w:rPr>
                <w:rFonts w:hint="eastAsia" w:ascii="宋体" w:hAnsi="宋体" w:eastAsia="宋体" w:cs="宋体"/>
                <w:color w:val="auto"/>
                <w:sz w:val="21"/>
                <w:highlight w:val="none"/>
              </w:rPr>
            </w:pPr>
          </w:p>
          <w:p>
            <w:pPr>
              <w:spacing w:line="263"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pStyle w:val="7"/>
              <w:spacing w:before="65" w:line="189" w:lineRule="auto"/>
              <w:ind w:left="295" w:leftChars="0"/>
              <w:rPr>
                <w:rFonts w:hint="eastAsia" w:ascii="宋体" w:hAnsi="宋体" w:eastAsia="宋体" w:cs="宋体"/>
                <w:color w:val="auto"/>
                <w:sz w:val="21"/>
                <w:szCs w:val="21"/>
                <w:highlight w:val="none"/>
              </w:rPr>
            </w:pPr>
            <w:r>
              <w:rPr>
                <w:rFonts w:hint="eastAsia" w:ascii="宋体" w:hAnsi="宋体" w:eastAsia="宋体" w:cs="宋体"/>
                <w:color w:val="auto"/>
                <w:spacing w:val="-10"/>
                <w:sz w:val="20"/>
                <w:szCs w:val="20"/>
                <w:highlight w:val="none"/>
              </w:rPr>
              <w:t>2.2.3</w:t>
            </w:r>
          </w:p>
        </w:tc>
        <w:tc>
          <w:tcPr>
            <w:tcW w:w="1543" w:type="dxa"/>
            <w:vAlign w:val="center"/>
          </w:tcPr>
          <w:p>
            <w:pPr>
              <w:spacing w:line="246" w:lineRule="auto"/>
              <w:jc w:val="center"/>
              <w:rPr>
                <w:rFonts w:hint="eastAsia" w:ascii="宋体" w:hAnsi="宋体" w:eastAsia="宋体" w:cs="宋体"/>
                <w:color w:val="auto"/>
                <w:sz w:val="21"/>
                <w:szCs w:val="21"/>
                <w:highlight w:val="none"/>
              </w:rPr>
            </w:pPr>
          </w:p>
          <w:p>
            <w:pPr>
              <w:spacing w:line="247" w:lineRule="auto"/>
              <w:jc w:val="center"/>
              <w:rPr>
                <w:rFonts w:hint="eastAsia" w:ascii="宋体" w:hAnsi="宋体" w:eastAsia="宋体" w:cs="宋体"/>
                <w:color w:val="auto"/>
                <w:sz w:val="21"/>
                <w:szCs w:val="21"/>
                <w:highlight w:val="none"/>
              </w:rPr>
            </w:pPr>
          </w:p>
          <w:p>
            <w:pPr>
              <w:spacing w:line="247" w:lineRule="auto"/>
              <w:jc w:val="center"/>
              <w:rPr>
                <w:rFonts w:hint="eastAsia" w:ascii="宋体" w:hAnsi="宋体" w:eastAsia="宋体" w:cs="宋体"/>
                <w:color w:val="auto"/>
                <w:sz w:val="21"/>
                <w:szCs w:val="21"/>
                <w:highlight w:val="none"/>
              </w:rPr>
            </w:pPr>
          </w:p>
          <w:p>
            <w:pPr>
              <w:pStyle w:val="7"/>
              <w:spacing w:before="65"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第二个信封详细评审</w:t>
            </w:r>
            <w:r>
              <w:rPr>
                <w:rFonts w:hint="eastAsia" w:ascii="宋体" w:hAnsi="宋体" w:eastAsia="宋体" w:cs="宋体"/>
                <w:color w:val="auto"/>
                <w:spacing w:val="4"/>
                <w:sz w:val="21"/>
                <w:szCs w:val="21"/>
                <w:highlight w:val="none"/>
              </w:rPr>
              <w:t>标准</w:t>
            </w:r>
          </w:p>
        </w:tc>
        <w:tc>
          <w:tcPr>
            <w:tcW w:w="7931" w:type="dxa"/>
            <w:vAlign w:val="center"/>
          </w:tcPr>
          <w:p>
            <w:pPr>
              <w:pStyle w:val="7"/>
              <w:spacing w:before="65" w:line="226"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评标价的评审：</w:t>
            </w:r>
          </w:p>
          <w:p>
            <w:pPr>
              <w:pStyle w:val="7"/>
              <w:spacing w:before="163" w:line="226" w:lineRule="auto"/>
              <w:ind w:left="165"/>
              <w:jc w:val="both"/>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(1)评标价计算公式：</w:t>
            </w:r>
          </w:p>
          <w:p>
            <w:pPr>
              <w:pStyle w:val="7"/>
              <w:spacing w:before="132" w:line="408" w:lineRule="exact"/>
              <w:ind w:left="128"/>
              <w:jc w:val="both"/>
              <w:rPr>
                <w:rFonts w:hint="eastAsia" w:ascii="宋体" w:hAnsi="宋体" w:eastAsia="宋体" w:cs="宋体"/>
                <w:color w:val="auto"/>
                <w:spacing w:val="9"/>
                <w:position w:val="4"/>
                <w:sz w:val="21"/>
                <w:szCs w:val="21"/>
                <w:highlight w:val="none"/>
              </w:rPr>
            </w:pPr>
            <w:r>
              <w:rPr>
                <w:rFonts w:hint="eastAsia" w:ascii="宋体" w:hAnsi="宋体" w:eastAsia="宋体" w:cs="宋体"/>
                <w:color w:val="auto"/>
                <w:spacing w:val="9"/>
                <w:position w:val="4"/>
                <w:sz w:val="21"/>
                <w:szCs w:val="21"/>
                <w:highlight w:val="none"/>
              </w:rPr>
              <w:t>评标价=</w:t>
            </w:r>
            <w:r>
              <w:rPr>
                <w:rFonts w:hint="eastAsia" w:ascii="宋体" w:hAnsi="宋体" w:eastAsia="宋体" w:cs="宋体"/>
                <w:color w:val="auto"/>
                <w:spacing w:val="9"/>
                <w:position w:val="4"/>
                <w:sz w:val="21"/>
                <w:szCs w:val="21"/>
                <w:highlight w:val="none"/>
                <w:lang w:eastAsia="zh-CN"/>
              </w:rPr>
              <w:t>投标函文字</w:t>
            </w:r>
            <w:r>
              <w:rPr>
                <w:rFonts w:hint="eastAsia" w:ascii="宋体" w:hAnsi="宋体" w:eastAsia="宋体" w:cs="宋体"/>
                <w:color w:val="auto"/>
                <w:spacing w:val="9"/>
                <w:position w:val="4"/>
                <w:sz w:val="21"/>
                <w:szCs w:val="21"/>
                <w:highlight w:val="none"/>
                <w:lang w:val="en-US" w:eastAsia="zh-CN"/>
              </w:rPr>
              <w:t>投标总</w:t>
            </w:r>
            <w:r>
              <w:rPr>
                <w:rFonts w:hint="eastAsia" w:ascii="宋体" w:hAnsi="宋体" w:eastAsia="宋体" w:cs="宋体"/>
                <w:color w:val="auto"/>
                <w:spacing w:val="9"/>
                <w:position w:val="4"/>
                <w:sz w:val="21"/>
                <w:szCs w:val="21"/>
                <w:highlight w:val="none"/>
              </w:rPr>
              <w:t>报价</w:t>
            </w:r>
          </w:p>
          <w:p>
            <w:pPr>
              <w:pStyle w:val="7"/>
              <w:spacing w:before="132" w:line="408" w:lineRule="exact"/>
              <w:ind w:left="128" w:firstLine="456" w:firstLineChars="200"/>
              <w:jc w:val="both"/>
              <w:rPr>
                <w:rFonts w:hint="eastAsia" w:ascii="宋体" w:hAnsi="宋体" w:eastAsia="宋体" w:cs="宋体"/>
                <w:color w:val="auto"/>
                <w:spacing w:val="1"/>
                <w:sz w:val="21"/>
                <w:szCs w:val="21"/>
                <w:highlight w:val="none"/>
              </w:rPr>
            </w:pPr>
            <w:r>
              <w:rPr>
                <w:rFonts w:hint="eastAsia" w:ascii="宋体" w:hAnsi="宋体" w:eastAsia="宋体" w:cs="宋体"/>
                <w:color w:val="auto"/>
                <w:spacing w:val="9"/>
                <w:sz w:val="21"/>
                <w:szCs w:val="21"/>
                <w:highlight w:val="none"/>
              </w:rPr>
              <w:t>若投标人的评标价小于最高投标限价85％的，启动澄清程序，</w:t>
            </w:r>
            <w:r>
              <w:rPr>
                <w:rFonts w:hint="eastAsia" w:ascii="宋体" w:hAnsi="宋体" w:eastAsia="宋体" w:cs="宋体"/>
                <w:color w:val="auto"/>
                <w:spacing w:val="8"/>
                <w:sz w:val="21"/>
                <w:szCs w:val="21"/>
                <w:highlight w:val="none"/>
              </w:rPr>
              <w:t>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1005" w:type="dxa"/>
            <w:vAlign w:val="top"/>
          </w:tcPr>
          <w:p>
            <w:pPr>
              <w:spacing w:line="246"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pStyle w:val="7"/>
              <w:spacing w:before="65" w:line="189" w:lineRule="auto"/>
              <w:ind w:left="296" w:leftChars="0"/>
              <w:rPr>
                <w:rFonts w:hint="eastAsia" w:ascii="宋体" w:hAnsi="宋体" w:eastAsia="宋体" w:cs="宋体"/>
                <w:color w:val="auto"/>
                <w:sz w:val="21"/>
                <w:szCs w:val="21"/>
                <w:highlight w:val="none"/>
              </w:rPr>
            </w:pPr>
            <w:r>
              <w:rPr>
                <w:rFonts w:hint="eastAsia" w:ascii="宋体" w:hAnsi="宋体" w:eastAsia="宋体" w:cs="宋体"/>
                <w:color w:val="auto"/>
                <w:spacing w:val="-11"/>
                <w:sz w:val="20"/>
                <w:szCs w:val="20"/>
                <w:highlight w:val="none"/>
              </w:rPr>
              <w:t>3.2.4</w:t>
            </w:r>
          </w:p>
        </w:tc>
        <w:tc>
          <w:tcPr>
            <w:tcW w:w="1543" w:type="dxa"/>
            <w:vAlign w:val="center"/>
          </w:tcPr>
          <w:p>
            <w:pPr>
              <w:spacing w:line="314" w:lineRule="auto"/>
              <w:jc w:val="center"/>
              <w:rPr>
                <w:rFonts w:hint="eastAsia" w:ascii="宋体" w:hAnsi="宋体" w:eastAsia="宋体" w:cs="宋体"/>
                <w:color w:val="auto"/>
                <w:sz w:val="21"/>
                <w:szCs w:val="21"/>
                <w:highlight w:val="none"/>
              </w:rPr>
            </w:pPr>
          </w:p>
          <w:p>
            <w:pPr>
              <w:pStyle w:val="7"/>
              <w:spacing w:before="65"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通过第一</w:t>
            </w:r>
            <w:r>
              <w:rPr>
                <w:rFonts w:hint="eastAsia" w:ascii="宋体" w:hAnsi="宋体" w:eastAsia="宋体" w:cs="宋体"/>
                <w:color w:val="auto"/>
                <w:spacing w:val="7"/>
                <w:sz w:val="21"/>
                <w:szCs w:val="21"/>
                <w:highlight w:val="none"/>
              </w:rPr>
              <w:t>个信封详细评审的</w:t>
            </w:r>
            <w:r>
              <w:rPr>
                <w:rFonts w:hint="eastAsia" w:ascii="宋体" w:hAnsi="宋体" w:eastAsia="宋体" w:cs="宋体"/>
                <w:color w:val="auto"/>
                <w:spacing w:val="6"/>
                <w:sz w:val="21"/>
                <w:szCs w:val="21"/>
                <w:highlight w:val="none"/>
              </w:rPr>
              <w:t>投标人数</w:t>
            </w:r>
            <w:r>
              <w:rPr>
                <w:rFonts w:hint="eastAsia" w:ascii="宋体" w:hAnsi="宋体" w:eastAsia="宋体" w:cs="宋体"/>
                <w:color w:val="auto"/>
                <w:sz w:val="21"/>
                <w:szCs w:val="21"/>
                <w:highlight w:val="none"/>
              </w:rPr>
              <w:t>量</w:t>
            </w:r>
          </w:p>
        </w:tc>
        <w:tc>
          <w:tcPr>
            <w:tcW w:w="7931" w:type="dxa"/>
            <w:vAlign w:val="center"/>
          </w:tcPr>
          <w:p>
            <w:pPr>
              <w:pStyle w:val="7"/>
              <w:spacing w:before="65" w:line="348" w:lineRule="auto"/>
              <w:jc w:val="both"/>
              <w:rPr>
                <w:rFonts w:hint="eastAsia" w:ascii="宋体" w:hAnsi="宋体" w:eastAsia="宋体" w:cs="宋体"/>
                <w:color w:val="auto"/>
                <w:spacing w:val="1"/>
                <w:sz w:val="21"/>
                <w:szCs w:val="21"/>
                <w:highlight w:val="none"/>
              </w:rPr>
            </w:pPr>
            <w:r>
              <w:rPr>
                <w:rFonts w:hint="eastAsia" w:ascii="宋体" w:hAnsi="宋体" w:eastAsia="宋体" w:cs="宋体"/>
                <w:color w:val="auto"/>
                <w:spacing w:val="7"/>
                <w:sz w:val="21"/>
                <w:szCs w:val="21"/>
                <w:highlight w:val="none"/>
              </w:rPr>
              <w:t>按照投标人的商务和技术得分由高到低排序，选择</w:t>
            </w:r>
            <w:r>
              <w:rPr>
                <w:rFonts w:hint="eastAsia" w:ascii="宋体" w:hAnsi="宋体" w:eastAsia="宋体" w:cs="宋体"/>
                <w:color w:val="auto"/>
                <w:spacing w:val="6"/>
                <w:sz w:val="21"/>
                <w:szCs w:val="21"/>
                <w:highlight w:val="none"/>
                <w:u w:val="single" w:color="auto"/>
              </w:rPr>
              <w:t>前5名（不少于3名但不</w:t>
            </w:r>
            <w:r>
              <w:rPr>
                <w:rFonts w:hint="eastAsia" w:ascii="宋体" w:hAnsi="宋体" w:eastAsia="宋体" w:cs="宋体"/>
                <w:color w:val="auto"/>
                <w:spacing w:val="7"/>
                <w:sz w:val="21"/>
                <w:szCs w:val="21"/>
                <w:highlight w:val="none"/>
                <w:u w:val="single" w:color="auto"/>
              </w:rPr>
              <w:t>足5名时，按全部实际数量）</w:t>
            </w:r>
            <w:r>
              <w:rPr>
                <w:rFonts w:hint="eastAsia" w:ascii="宋体" w:hAnsi="宋体" w:eastAsia="宋体" w:cs="宋体"/>
                <w:color w:val="auto"/>
                <w:spacing w:val="7"/>
                <w:sz w:val="21"/>
                <w:szCs w:val="21"/>
                <w:highlight w:val="none"/>
              </w:rPr>
              <w:t>通过详细评审。</w:t>
            </w:r>
            <w:r>
              <w:rPr>
                <w:rFonts w:hint="eastAsia" w:ascii="宋体" w:hAnsi="宋体" w:eastAsia="宋体" w:cs="宋体"/>
                <w:color w:val="auto"/>
                <w:spacing w:val="7"/>
                <w:sz w:val="21"/>
                <w:szCs w:val="21"/>
                <w:highlight w:val="none"/>
                <w:lang w:eastAsia="zh-CN"/>
              </w:rPr>
              <w:t>（本条所述“名次”包含了并列的情况；如名次为1,1,3,4,5，则前5名为5家投标人；如名次为1,2,3,4,5,5，则前5名为6家投标人，下同。）</w:t>
            </w:r>
          </w:p>
        </w:tc>
      </w:tr>
    </w:tbl>
    <w:p>
      <w:pPr>
        <w:pStyle w:val="3"/>
        <w:rPr>
          <w:rFonts w:hint="eastAsia" w:ascii="宋体" w:hAnsi="宋体" w:eastAsia="宋体" w:cs="宋体"/>
          <w:color w:val="auto"/>
        </w:rPr>
        <w:sectPr>
          <w:pgSz w:w="11900" w:h="16838"/>
          <w:pgMar w:top="1304" w:right="1304" w:bottom="1304" w:left="1304" w:header="567" w:footer="850" w:gutter="0"/>
          <w:pgNumType w:fmt="decimal"/>
          <w:cols w:space="0" w:num="1"/>
          <w:rtlGutter w:val="0"/>
          <w:docGrid w:linePitch="0" w:charSpace="0"/>
        </w:sectPr>
      </w:pPr>
    </w:p>
    <w:tbl>
      <w:tblPr>
        <w:tblStyle w:val="8"/>
        <w:tblpPr w:leftFromText="180" w:rightFromText="180" w:vertAnchor="text" w:horzAnchor="page" w:tblpX="793" w:tblpY="-63"/>
        <w:tblOverlap w:val="never"/>
        <w:tblW w:w="105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983"/>
        <w:gridCol w:w="880"/>
        <w:gridCol w:w="1014"/>
        <w:gridCol w:w="676"/>
        <w:gridCol w:w="6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37" w:type="dxa"/>
            <w:gridSpan w:val="5"/>
            <w:noWrap w:val="0"/>
            <w:vAlign w:val="top"/>
          </w:tcPr>
          <w:p>
            <w:pPr>
              <w:widowControl w:val="0"/>
              <w:spacing w:before="38" w:line="220" w:lineRule="auto"/>
              <w:ind w:left="988"/>
              <w:jc w:val="center"/>
              <w:rPr>
                <w:rFonts w:hint="eastAsia" w:ascii="宋体" w:hAnsi="宋体" w:eastAsia="宋体" w:cs="宋体"/>
                <w:b/>
                <w:bCs/>
                <w:color w:val="auto"/>
                <w:kern w:val="2"/>
                <w:sz w:val="22"/>
                <w:szCs w:val="22"/>
                <w:highlight w:val="none"/>
                <w:lang w:val="en-US" w:eastAsia="en-US" w:bidi="ar-SA"/>
              </w:rPr>
            </w:pPr>
            <w:bookmarkStart w:id="1" w:name="_bookmark140"/>
            <w:bookmarkEnd w:id="1"/>
            <w:r>
              <w:rPr>
                <w:rFonts w:hint="eastAsia" w:ascii="宋体" w:hAnsi="宋体" w:eastAsia="宋体" w:cs="宋体"/>
                <w:b/>
                <w:bCs/>
                <w:color w:val="auto"/>
                <w:spacing w:val="-1"/>
                <w:kern w:val="2"/>
                <w:sz w:val="22"/>
                <w:szCs w:val="22"/>
                <w:highlight w:val="none"/>
                <w:lang w:val="en-US" w:eastAsia="en-US" w:bidi="ar-SA"/>
              </w:rPr>
              <w:t>评分因素与权重分值</w:t>
            </w:r>
          </w:p>
        </w:tc>
        <w:tc>
          <w:tcPr>
            <w:tcW w:w="6051" w:type="dxa"/>
            <w:noWrap w:val="0"/>
            <w:vAlign w:val="top"/>
          </w:tcPr>
          <w:p>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1"/>
                <w:szCs w:val="24"/>
                <w:highlight w:val="none"/>
              </w:rPr>
            </w:pPr>
            <w:bookmarkStart w:id="2" w:name="_GoBack"/>
            <w:bookmarkEnd w:id="2"/>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84" w:type="dxa"/>
            <w:noWrap w:val="0"/>
            <w:vAlign w:val="center"/>
          </w:tcPr>
          <w:p>
            <w:pPr>
              <w:widowControl w:val="0"/>
              <w:spacing w:before="195" w:line="231" w:lineRule="auto"/>
              <w:ind w:left="388" w:right="111" w:hanging="221"/>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5"/>
                <w:kern w:val="2"/>
                <w:sz w:val="21"/>
                <w:szCs w:val="21"/>
                <w:highlight w:val="none"/>
                <w:lang w:val="en-US" w:eastAsia="en-US" w:bidi="ar-SA"/>
              </w:rPr>
              <w:t>条款</w:t>
            </w:r>
            <w:r>
              <w:rPr>
                <w:rFonts w:hint="eastAsia" w:ascii="宋体" w:hAnsi="宋体" w:eastAsia="宋体" w:cs="宋体"/>
                <w:b/>
                <w:bCs/>
                <w:color w:val="auto"/>
                <w:spacing w:val="-13"/>
                <w:kern w:val="2"/>
                <w:sz w:val="21"/>
                <w:szCs w:val="21"/>
                <w:highlight w:val="none"/>
                <w:lang w:val="en-US" w:eastAsia="en-US" w:bidi="ar-SA"/>
              </w:rPr>
              <w:t>号</w:t>
            </w:r>
          </w:p>
        </w:tc>
        <w:tc>
          <w:tcPr>
            <w:tcW w:w="983" w:type="dxa"/>
            <w:noWrap w:val="0"/>
            <w:vAlign w:val="center"/>
          </w:tcPr>
          <w:p>
            <w:pPr>
              <w:widowControl w:val="0"/>
              <w:spacing w:before="196" w:line="240" w:lineRule="auto"/>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3"/>
                <w:kern w:val="2"/>
                <w:sz w:val="21"/>
                <w:szCs w:val="21"/>
                <w:highlight w:val="none"/>
                <w:lang w:val="en-US" w:eastAsia="en-US" w:bidi="ar-SA"/>
              </w:rPr>
              <w:t>评分</w:t>
            </w:r>
            <w:r>
              <w:rPr>
                <w:rFonts w:hint="eastAsia" w:ascii="宋体" w:hAnsi="宋体" w:eastAsia="宋体" w:cs="宋体"/>
                <w:b/>
                <w:bCs/>
                <w:color w:val="auto"/>
                <w:spacing w:val="-13"/>
                <w:kern w:val="2"/>
                <w:sz w:val="21"/>
                <w:szCs w:val="21"/>
                <w:highlight w:val="none"/>
                <w:lang w:val="en-US" w:eastAsia="en-US" w:bidi="ar-SA"/>
              </w:rPr>
              <w:t>因素</w:t>
            </w:r>
          </w:p>
        </w:tc>
        <w:tc>
          <w:tcPr>
            <w:tcW w:w="880" w:type="dxa"/>
            <w:noWrap w:val="0"/>
            <w:vAlign w:val="center"/>
          </w:tcPr>
          <w:p>
            <w:pPr>
              <w:widowControl w:val="0"/>
              <w:spacing w:before="55" w:line="221" w:lineRule="auto"/>
              <w:ind w:left="23"/>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2"/>
                <w:kern w:val="2"/>
                <w:sz w:val="21"/>
                <w:szCs w:val="21"/>
                <w:highlight w:val="none"/>
                <w:lang w:val="en-US" w:eastAsia="en-US" w:bidi="ar-SA"/>
              </w:rPr>
              <w:t>评分因</w:t>
            </w:r>
          </w:p>
          <w:p>
            <w:pPr>
              <w:widowControl w:val="0"/>
              <w:spacing w:before="20" w:line="220" w:lineRule="auto"/>
              <w:ind w:left="27"/>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3"/>
                <w:kern w:val="2"/>
                <w:sz w:val="21"/>
                <w:szCs w:val="21"/>
                <w:highlight w:val="none"/>
                <w:lang w:val="en-US" w:eastAsia="en-US" w:bidi="ar-SA"/>
              </w:rPr>
              <w:t>素权重</w:t>
            </w:r>
          </w:p>
          <w:p>
            <w:pPr>
              <w:widowControl w:val="0"/>
              <w:spacing w:before="23" w:line="220" w:lineRule="auto"/>
              <w:ind w:left="137"/>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5"/>
                <w:kern w:val="2"/>
                <w:sz w:val="21"/>
                <w:szCs w:val="21"/>
                <w:highlight w:val="none"/>
                <w:lang w:val="en-US" w:eastAsia="en-US" w:bidi="ar-SA"/>
              </w:rPr>
              <w:t>分值</w:t>
            </w:r>
          </w:p>
        </w:tc>
        <w:tc>
          <w:tcPr>
            <w:tcW w:w="1014" w:type="dxa"/>
            <w:noWrap w:val="0"/>
            <w:vAlign w:val="center"/>
          </w:tcPr>
          <w:p>
            <w:pPr>
              <w:widowControl w:val="0"/>
              <w:spacing w:before="196" w:line="230" w:lineRule="auto"/>
              <w:ind w:left="74" w:right="62"/>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各评分因素细分项</w:t>
            </w:r>
          </w:p>
        </w:tc>
        <w:tc>
          <w:tcPr>
            <w:tcW w:w="676" w:type="dxa"/>
            <w:noWrap w:val="0"/>
            <w:vAlign w:val="center"/>
          </w:tcPr>
          <w:p>
            <w:pPr>
              <w:widowControl w:val="0"/>
              <w:kinsoku/>
              <w:autoSpaceDE/>
              <w:autoSpaceDN/>
              <w:adjustRightInd/>
              <w:snapToGrid/>
              <w:spacing w:line="265" w:lineRule="auto"/>
              <w:jc w:val="center"/>
              <w:textAlignment w:val="auto"/>
              <w:rPr>
                <w:rFonts w:hint="eastAsia" w:ascii="宋体" w:hAnsi="宋体" w:eastAsia="宋体" w:cs="宋体"/>
                <w:b/>
                <w:bCs/>
                <w:snapToGrid/>
                <w:color w:val="auto"/>
                <w:kern w:val="2"/>
                <w:sz w:val="21"/>
                <w:szCs w:val="21"/>
                <w:highlight w:val="none"/>
              </w:rPr>
            </w:pPr>
          </w:p>
          <w:p>
            <w:pPr>
              <w:widowControl w:val="0"/>
              <w:spacing w:before="71" w:line="220" w:lineRule="auto"/>
              <w:ind w:left="126"/>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5"/>
                <w:kern w:val="2"/>
                <w:sz w:val="21"/>
                <w:szCs w:val="21"/>
                <w:highlight w:val="none"/>
                <w:lang w:val="en-US" w:eastAsia="en-US" w:bidi="ar-SA"/>
              </w:rPr>
              <w:t>分值</w:t>
            </w:r>
          </w:p>
        </w:tc>
        <w:tc>
          <w:tcPr>
            <w:tcW w:w="6051" w:type="dxa"/>
            <w:noWrap w:val="0"/>
            <w:vAlign w:val="center"/>
          </w:tcPr>
          <w:p>
            <w:pPr>
              <w:widowControl w:val="0"/>
              <w:kinsoku/>
              <w:autoSpaceDE/>
              <w:autoSpaceDN/>
              <w:adjustRightInd/>
              <w:snapToGrid/>
              <w:spacing w:line="265" w:lineRule="auto"/>
              <w:jc w:val="center"/>
              <w:textAlignment w:val="auto"/>
              <w:rPr>
                <w:rFonts w:hint="eastAsia" w:ascii="宋体" w:hAnsi="宋体" w:eastAsia="宋体" w:cs="宋体"/>
                <w:b/>
                <w:bCs/>
                <w:snapToGrid/>
                <w:color w:val="auto"/>
                <w:kern w:val="2"/>
                <w:sz w:val="21"/>
                <w:szCs w:val="21"/>
                <w:highlight w:val="none"/>
              </w:rPr>
            </w:pPr>
          </w:p>
          <w:p>
            <w:pPr>
              <w:widowControl w:val="0"/>
              <w:spacing w:before="71" w:line="221" w:lineRule="auto"/>
              <w:ind w:left="2187"/>
              <w:jc w:val="both"/>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2"/>
                <w:kern w:val="2"/>
                <w:sz w:val="21"/>
                <w:szCs w:val="21"/>
                <w:highlight w:val="none"/>
                <w:lang w:val="en-US" w:eastAsia="en-US" w:bidi="ar-SA"/>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1" w:hRule="atLeast"/>
        </w:trPr>
        <w:tc>
          <w:tcPr>
            <w:tcW w:w="984" w:type="dxa"/>
            <w:vMerge w:val="restart"/>
            <w:tcBorders>
              <w:bottom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spacing w:before="65" w:line="375" w:lineRule="exact"/>
              <w:ind w:left="153"/>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position w:val="16"/>
                <w:sz w:val="21"/>
                <w:szCs w:val="21"/>
                <w:highlight w:val="none"/>
                <w:lang w:val="en-US" w:eastAsia="en-US" w:bidi="ar-SA"/>
              </w:rPr>
              <w:t>2.2.2</w:t>
            </w:r>
          </w:p>
          <w:p>
            <w:pPr>
              <w:widowControl w:val="0"/>
              <w:spacing w:line="230" w:lineRule="auto"/>
              <w:ind w:left="271"/>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8"/>
                <w:kern w:val="2"/>
                <w:sz w:val="21"/>
                <w:szCs w:val="21"/>
                <w:highlight w:val="none"/>
                <w:lang w:val="en-US" w:eastAsia="en-US" w:bidi="ar-SA"/>
              </w:rPr>
              <w:t>(1)</w:t>
            </w:r>
          </w:p>
        </w:tc>
        <w:tc>
          <w:tcPr>
            <w:tcW w:w="983" w:type="dxa"/>
            <w:vMerge w:val="restart"/>
            <w:tcBorders>
              <w:bottom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spacing w:before="65" w:line="408" w:lineRule="exact"/>
              <w:ind w:left="127"/>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5"/>
                <w:kern w:val="2"/>
                <w:position w:val="15"/>
                <w:sz w:val="21"/>
                <w:szCs w:val="21"/>
                <w:highlight w:val="none"/>
                <w:lang w:val="en-US" w:eastAsia="en-US" w:bidi="ar-SA"/>
              </w:rPr>
              <w:t>施工</w:t>
            </w:r>
            <w:r>
              <w:rPr>
                <w:rFonts w:hint="eastAsia" w:ascii="宋体" w:hAnsi="宋体" w:eastAsia="宋体" w:cs="宋体"/>
                <w:color w:val="auto"/>
                <w:spacing w:val="5"/>
                <w:kern w:val="2"/>
                <w:position w:val="15"/>
                <w:sz w:val="21"/>
                <w:szCs w:val="21"/>
                <w:highlight w:val="none"/>
                <w:lang w:val="en-US" w:eastAsia="zh-CN" w:bidi="ar-SA"/>
              </w:rPr>
              <w:t>组织设计</w:t>
            </w:r>
          </w:p>
        </w:tc>
        <w:tc>
          <w:tcPr>
            <w:tcW w:w="880" w:type="dxa"/>
            <w:noWrap w:val="0"/>
            <w:vAlign w:val="top"/>
          </w:tcPr>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332"/>
              </w:tabs>
              <w:spacing w:before="65" w:line="228" w:lineRule="auto"/>
              <w:ind w:left="120"/>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1014" w:type="dxa"/>
            <w:noWrap w:val="0"/>
            <w:vAlign w:val="top"/>
          </w:tcPr>
          <w:p>
            <w:pPr>
              <w:widowControl w:val="0"/>
              <w:kinsoku/>
              <w:autoSpaceDE/>
              <w:autoSpaceDN/>
              <w:adjustRightInd/>
              <w:snapToGrid/>
              <w:spacing w:line="267"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center"/>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before="0" w:line="228" w:lineRule="auto"/>
              <w:ind w:left="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5"/>
                <w:kern w:val="2"/>
                <w:sz w:val="21"/>
                <w:szCs w:val="21"/>
                <w:highlight w:val="none"/>
                <w:lang w:val="en-US" w:eastAsia="en-US" w:bidi="ar-SA"/>
              </w:rPr>
              <w:t>总体施</w:t>
            </w:r>
            <w:r>
              <w:rPr>
                <w:rFonts w:hint="eastAsia" w:ascii="宋体" w:hAnsi="宋体" w:eastAsia="宋体" w:cs="宋体"/>
                <w:color w:val="auto"/>
                <w:spacing w:val="6"/>
                <w:kern w:val="2"/>
                <w:sz w:val="21"/>
                <w:szCs w:val="21"/>
                <w:highlight w:val="none"/>
                <w:lang w:val="en-US" w:eastAsia="en-US" w:bidi="ar-SA"/>
              </w:rPr>
              <w:t>工组织布置及</w:t>
            </w:r>
            <w:r>
              <w:rPr>
                <w:rFonts w:hint="eastAsia" w:ascii="宋体" w:hAnsi="宋体" w:eastAsia="宋体" w:cs="宋体"/>
                <w:color w:val="auto"/>
                <w:spacing w:val="4"/>
                <w:kern w:val="2"/>
                <w:sz w:val="21"/>
                <w:szCs w:val="21"/>
                <w:highlight w:val="none"/>
                <w:lang w:val="en-US" w:eastAsia="en-US" w:bidi="ar-SA"/>
              </w:rPr>
              <w:t>规划</w:t>
            </w:r>
          </w:p>
        </w:tc>
        <w:tc>
          <w:tcPr>
            <w:tcW w:w="676" w:type="dxa"/>
            <w:noWrap w:val="0"/>
            <w:vAlign w:val="top"/>
          </w:tcPr>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212"/>
              </w:tabs>
              <w:spacing w:before="65" w:line="228" w:lineRule="auto"/>
              <w:ind w:left="1"/>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6051" w:type="dxa"/>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right="0" w:rightChars="0"/>
              <w:jc w:val="left"/>
              <w:textAlignment w:val="auto"/>
              <w:rPr>
                <w:rFonts w:hint="eastAsia" w:ascii="宋体" w:hAnsi="宋体" w:eastAsia="宋体" w:cs="宋体"/>
                <w:snapToGrid w:val="0"/>
                <w:color w:val="auto"/>
                <w:spacing w:val="9"/>
                <w:kern w:val="2"/>
                <w:sz w:val="21"/>
                <w:szCs w:val="21"/>
                <w:highlight w:val="none"/>
                <w:lang w:val="en-US" w:eastAsia="en-US" w:bidi="ar-SA"/>
              </w:rPr>
            </w:pPr>
            <w:r>
              <w:rPr>
                <w:rFonts w:hint="eastAsia" w:ascii="宋体" w:hAnsi="宋体" w:eastAsia="宋体" w:cs="宋体"/>
                <w:color w:val="auto"/>
                <w:spacing w:val="9"/>
                <w:kern w:val="2"/>
                <w:sz w:val="21"/>
                <w:szCs w:val="21"/>
                <w:highlight w:val="none"/>
                <w:lang w:val="en-US" w:eastAsia="en-US" w:bidi="ar-SA"/>
              </w:rPr>
              <w:t>对项目的基本情况了解全面、准确，施</w:t>
            </w:r>
            <w:r>
              <w:rPr>
                <w:rFonts w:hint="eastAsia" w:ascii="宋体" w:hAnsi="宋体" w:eastAsia="宋体" w:cs="宋体"/>
                <w:color w:val="auto"/>
                <w:spacing w:val="8"/>
                <w:kern w:val="2"/>
                <w:sz w:val="21"/>
                <w:szCs w:val="21"/>
                <w:highlight w:val="none"/>
                <w:lang w:val="en-US" w:eastAsia="en-US" w:bidi="ar-SA"/>
              </w:rPr>
              <w:t>工总体布</w:t>
            </w:r>
            <w:r>
              <w:rPr>
                <w:rFonts w:hint="eastAsia" w:ascii="宋体" w:hAnsi="宋体" w:eastAsia="宋体" w:cs="宋体"/>
                <w:color w:val="auto"/>
                <w:spacing w:val="7"/>
                <w:kern w:val="2"/>
                <w:sz w:val="21"/>
                <w:szCs w:val="21"/>
                <w:highlight w:val="none"/>
                <w:lang w:val="en-US" w:eastAsia="en-US" w:bidi="ar-SA"/>
              </w:rPr>
              <w:t>置规划、施工进度计划科学合理、可操作性强，按《广东省公路工程施工标准化指南》及《广东省高速公路工程施工安全标准化指南》《公路工程施工安全防护设施</w:t>
            </w:r>
            <w:r>
              <w:rPr>
                <w:rFonts w:hint="eastAsia" w:ascii="宋体" w:hAnsi="宋体" w:eastAsia="宋体" w:cs="宋体"/>
                <w:color w:val="auto"/>
                <w:spacing w:val="4"/>
                <w:kern w:val="2"/>
                <w:sz w:val="21"/>
                <w:szCs w:val="21"/>
                <w:highlight w:val="none"/>
                <w:lang w:val="en-US" w:eastAsia="en-US" w:bidi="ar-SA"/>
              </w:rPr>
              <w:t>技术指南》执行，得</w:t>
            </w:r>
            <w:r>
              <w:rPr>
                <w:rFonts w:hint="eastAsia" w:ascii="宋体" w:hAnsi="宋体" w:eastAsia="宋体" w:cs="宋体"/>
                <w:color w:val="auto"/>
                <w:spacing w:val="5"/>
                <w:kern w:val="2"/>
                <w:sz w:val="21"/>
                <w:szCs w:val="21"/>
                <w:highlight w:val="none"/>
                <w:u w:val="single" w:color="auto"/>
                <w:lang w:val="en-US" w:eastAsia="zh-CN" w:bidi="ar-SA"/>
              </w:rPr>
              <w:t>12-15</w:t>
            </w:r>
            <w:r>
              <w:rPr>
                <w:rFonts w:hint="eastAsia" w:ascii="宋体" w:hAnsi="宋体" w:eastAsia="宋体" w:cs="宋体"/>
                <w:color w:val="auto"/>
                <w:spacing w:val="4"/>
                <w:kern w:val="2"/>
                <w:sz w:val="21"/>
                <w:szCs w:val="21"/>
                <w:highlight w:val="none"/>
                <w:lang w:val="en-US" w:eastAsia="en-US" w:bidi="ar-SA"/>
              </w:rPr>
              <w:t>分（满分分值的80%～100%</w:t>
            </w:r>
            <w:r>
              <w:rPr>
                <w:rFonts w:hint="eastAsia" w:ascii="宋体" w:hAnsi="宋体" w:eastAsia="宋体" w:cs="宋体"/>
                <w:color w:val="auto"/>
                <w:spacing w:val="-30"/>
                <w:kern w:val="2"/>
                <w:sz w:val="21"/>
                <w:szCs w:val="21"/>
                <w:highlight w:val="none"/>
                <w:lang w:val="en-US" w:eastAsia="en-US"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right="0" w:rightChars="0"/>
              <w:jc w:val="left"/>
              <w:textAlignment w:val="auto"/>
              <w:rPr>
                <w:rFonts w:hint="eastAsia" w:ascii="宋体" w:hAnsi="宋体" w:eastAsia="宋体" w:cs="宋体"/>
                <w:snapToGrid w:val="0"/>
                <w:color w:val="auto"/>
                <w:spacing w:val="9"/>
                <w:kern w:val="2"/>
                <w:sz w:val="21"/>
                <w:szCs w:val="21"/>
                <w:highlight w:val="none"/>
                <w:lang w:val="en-US" w:eastAsia="en-US" w:bidi="ar-SA"/>
              </w:rPr>
            </w:pPr>
            <w:r>
              <w:rPr>
                <w:rFonts w:hint="eastAsia" w:ascii="宋体" w:hAnsi="宋体" w:eastAsia="宋体" w:cs="宋体"/>
                <w:color w:val="auto"/>
                <w:spacing w:val="9"/>
                <w:kern w:val="2"/>
                <w:sz w:val="21"/>
                <w:szCs w:val="21"/>
                <w:highlight w:val="none"/>
                <w:lang w:val="en-US" w:eastAsia="en-US" w:bidi="ar-SA"/>
              </w:rPr>
              <w:t>满足工程建设需要，施工总体布置规划、施</w:t>
            </w:r>
            <w:r>
              <w:rPr>
                <w:rFonts w:hint="eastAsia" w:ascii="宋体" w:hAnsi="宋体" w:eastAsia="宋体" w:cs="宋体"/>
                <w:color w:val="auto"/>
                <w:spacing w:val="8"/>
                <w:kern w:val="2"/>
                <w:sz w:val="21"/>
                <w:szCs w:val="21"/>
                <w:highlight w:val="none"/>
                <w:lang w:val="en-US" w:eastAsia="en-US" w:bidi="ar-SA"/>
              </w:rPr>
              <w:t>工进</w:t>
            </w:r>
            <w:r>
              <w:rPr>
                <w:rFonts w:hint="eastAsia" w:ascii="宋体" w:hAnsi="宋体" w:eastAsia="宋体" w:cs="宋体"/>
                <w:color w:val="auto"/>
                <w:spacing w:val="7"/>
                <w:kern w:val="2"/>
                <w:sz w:val="21"/>
                <w:szCs w:val="21"/>
                <w:highlight w:val="none"/>
                <w:lang w:val="en-US" w:eastAsia="en-US" w:bidi="ar-SA"/>
              </w:rPr>
              <w:t>度计划基本可行，得</w:t>
            </w:r>
            <w:r>
              <w:rPr>
                <w:rFonts w:hint="eastAsia" w:ascii="宋体" w:hAnsi="宋体" w:eastAsia="宋体" w:cs="宋体"/>
                <w:color w:val="auto"/>
                <w:spacing w:val="7"/>
                <w:kern w:val="2"/>
                <w:sz w:val="21"/>
                <w:szCs w:val="21"/>
                <w:highlight w:val="none"/>
                <w:u w:val="single" w:color="auto"/>
                <w:lang w:val="en-US" w:eastAsia="zh-CN" w:bidi="ar-SA"/>
              </w:rPr>
              <w:t>9-12</w:t>
            </w:r>
            <w:r>
              <w:rPr>
                <w:rFonts w:hint="eastAsia" w:ascii="宋体" w:hAnsi="宋体" w:eastAsia="宋体" w:cs="宋体"/>
                <w:color w:val="auto"/>
                <w:spacing w:val="7"/>
                <w:kern w:val="2"/>
                <w:sz w:val="21"/>
                <w:szCs w:val="21"/>
                <w:highlight w:val="none"/>
                <w:lang w:val="en-US" w:eastAsia="en-US" w:bidi="ar-SA"/>
              </w:rPr>
              <w:t>分（满分分值的60%～80%</w:t>
            </w:r>
            <w:r>
              <w:rPr>
                <w:rFonts w:hint="eastAsia" w:ascii="宋体" w:hAnsi="宋体" w:eastAsia="宋体" w:cs="宋体"/>
                <w:snapToGrid w:val="0"/>
                <w:color w:val="auto"/>
                <w:spacing w:val="9"/>
                <w:kern w:val="2"/>
                <w:sz w:val="21"/>
                <w:szCs w:val="21"/>
                <w:highlight w:val="none"/>
                <w:lang w:val="en-US" w:eastAsia="en-US"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right="0" w:rightChars="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snapToGrid w:val="0"/>
                <w:color w:val="auto"/>
                <w:spacing w:val="9"/>
                <w:kern w:val="2"/>
                <w:sz w:val="21"/>
                <w:szCs w:val="21"/>
                <w:highlight w:val="none"/>
                <w:lang w:val="en-US" w:eastAsia="zh-CN" w:bidi="ar-SA"/>
              </w:rPr>
              <w:t>（3）</w:t>
            </w:r>
            <w:r>
              <w:rPr>
                <w:rFonts w:hint="eastAsia" w:ascii="宋体" w:hAnsi="宋体" w:eastAsia="宋体" w:cs="宋体"/>
                <w:snapToGrid w:val="0"/>
                <w:color w:val="auto"/>
                <w:spacing w:val="9"/>
                <w:kern w:val="2"/>
                <w:sz w:val="21"/>
                <w:szCs w:val="21"/>
                <w:highlight w:val="none"/>
                <w:lang w:val="en-US" w:eastAsia="en-US" w:bidi="ar-SA"/>
              </w:rPr>
              <w:t>一般但不被评定为不响应的,得</w:t>
            </w:r>
            <w:r>
              <w:rPr>
                <w:rFonts w:hint="eastAsia" w:ascii="宋体" w:hAnsi="宋体" w:eastAsia="宋体" w:cs="宋体"/>
                <w:snapToGrid w:val="0"/>
                <w:color w:val="auto"/>
                <w:spacing w:val="9"/>
                <w:kern w:val="2"/>
                <w:sz w:val="21"/>
                <w:szCs w:val="21"/>
                <w:highlight w:val="none"/>
                <w:u w:val="single"/>
                <w:lang w:val="en-US" w:eastAsia="zh-CN" w:bidi="ar-SA"/>
              </w:rPr>
              <w:t>9</w:t>
            </w:r>
            <w:r>
              <w:rPr>
                <w:rFonts w:hint="eastAsia" w:ascii="宋体" w:hAnsi="宋体" w:eastAsia="宋体" w:cs="宋体"/>
                <w:snapToGrid w:val="0"/>
                <w:color w:val="auto"/>
                <w:spacing w:val="9"/>
                <w:kern w:val="2"/>
                <w:sz w:val="21"/>
                <w:szCs w:val="21"/>
                <w:highlight w:val="none"/>
                <w:lang w:val="en-US" w:eastAsia="en-US" w:bidi="ar-SA"/>
              </w:rPr>
              <w:t>分（满分分值的60%）。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5" w:hRule="atLeast"/>
        </w:trPr>
        <w:tc>
          <w:tcPr>
            <w:tcW w:w="984" w:type="dxa"/>
            <w:vMerge w:val="continue"/>
            <w:tcBorders>
              <w:top w:val="nil"/>
              <w:bottom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983" w:type="dxa"/>
            <w:vMerge w:val="continue"/>
            <w:tcBorders>
              <w:top w:val="nil"/>
              <w:bottom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880" w:type="dxa"/>
            <w:noWrap w:val="0"/>
            <w:vAlign w:val="top"/>
          </w:tcPr>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332"/>
              </w:tabs>
              <w:spacing w:before="65" w:line="228" w:lineRule="auto"/>
              <w:ind w:left="120"/>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1014" w:type="dxa"/>
            <w:noWrap w:val="0"/>
            <w:vAlign w:val="top"/>
          </w:tcPr>
          <w:p>
            <w:pPr>
              <w:widowControl w:val="0"/>
              <w:kinsoku/>
              <w:autoSpaceDE/>
              <w:autoSpaceDN/>
              <w:adjustRightInd/>
              <w:snapToGrid/>
              <w:spacing w:line="266"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6"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6"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center"/>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before="0" w:line="320" w:lineRule="auto"/>
              <w:ind w:left="0" w:right="0" w:firstLine="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重点、难</w:t>
            </w:r>
            <w:r>
              <w:rPr>
                <w:rFonts w:hint="eastAsia" w:ascii="宋体" w:hAnsi="宋体" w:eastAsia="宋体" w:cs="宋体"/>
                <w:color w:val="auto"/>
                <w:spacing w:val="7"/>
                <w:kern w:val="2"/>
                <w:sz w:val="21"/>
                <w:szCs w:val="21"/>
                <w:highlight w:val="none"/>
                <w:lang w:val="en-US" w:eastAsia="en-US" w:bidi="ar-SA"/>
              </w:rPr>
              <w:t>点和关键工程的施工方案与技术措</w:t>
            </w:r>
            <w:r>
              <w:rPr>
                <w:rFonts w:hint="eastAsia" w:ascii="宋体" w:hAnsi="宋体" w:eastAsia="宋体" w:cs="宋体"/>
                <w:color w:val="auto"/>
                <w:spacing w:val="1"/>
                <w:kern w:val="2"/>
                <w:sz w:val="21"/>
                <w:szCs w:val="21"/>
                <w:highlight w:val="none"/>
                <w:lang w:val="en-US" w:eastAsia="en-US" w:bidi="ar-SA"/>
              </w:rPr>
              <w:t>施</w:t>
            </w:r>
          </w:p>
        </w:tc>
        <w:tc>
          <w:tcPr>
            <w:tcW w:w="676" w:type="dxa"/>
            <w:noWrap w:val="0"/>
            <w:vAlign w:val="top"/>
          </w:tcPr>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212"/>
              </w:tabs>
              <w:spacing w:before="65" w:line="228" w:lineRule="auto"/>
              <w:ind w:left="1"/>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6051" w:type="dxa"/>
            <w:noWrap w:val="0"/>
            <w:vAlign w:val="top"/>
          </w:tcPr>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（1）对项目重点、难点和关键工程认识分析透彻，能</w:t>
            </w:r>
            <w:r>
              <w:rPr>
                <w:rFonts w:hint="eastAsia" w:ascii="宋体" w:hAnsi="宋体" w:eastAsia="宋体" w:cs="宋体"/>
                <w:color w:val="auto"/>
                <w:spacing w:val="4"/>
                <w:kern w:val="2"/>
                <w:sz w:val="21"/>
                <w:szCs w:val="21"/>
                <w:highlight w:val="none"/>
                <w:lang w:val="en-US" w:eastAsia="en-US" w:bidi="ar-SA"/>
              </w:rPr>
              <w:t>充分发挥自身优势，积极采用“四新”技术，制定的施</w:t>
            </w:r>
            <w:r>
              <w:rPr>
                <w:rFonts w:hint="eastAsia" w:ascii="宋体" w:hAnsi="宋体" w:eastAsia="宋体" w:cs="宋体"/>
                <w:color w:val="auto"/>
                <w:spacing w:val="7"/>
                <w:kern w:val="2"/>
                <w:sz w:val="21"/>
                <w:szCs w:val="21"/>
                <w:highlight w:val="none"/>
                <w:lang w:val="en-US" w:eastAsia="en-US" w:bidi="ar-SA"/>
              </w:rPr>
              <w:t>工方案与技术措施针对性和可操作性强，重点突出的，按《广东省公路工程施工标准化指南》及《广东省高速公路工程施工安全标准化指南》《公路工程施工安全防</w:t>
            </w:r>
            <w:r>
              <w:rPr>
                <w:rFonts w:hint="eastAsia" w:ascii="宋体" w:hAnsi="宋体" w:eastAsia="宋体" w:cs="宋体"/>
                <w:color w:val="auto"/>
                <w:spacing w:val="11"/>
                <w:kern w:val="2"/>
                <w:sz w:val="21"/>
                <w:szCs w:val="21"/>
                <w:highlight w:val="none"/>
                <w:lang w:val="en-US" w:eastAsia="en-US" w:bidi="ar-SA"/>
              </w:rPr>
              <w:t>护设施技术指南》执行，得</w:t>
            </w:r>
            <w:r>
              <w:rPr>
                <w:rFonts w:hint="eastAsia" w:ascii="宋体" w:hAnsi="宋体" w:eastAsia="宋体" w:cs="宋体"/>
                <w:color w:val="auto"/>
                <w:spacing w:val="8"/>
                <w:kern w:val="2"/>
                <w:sz w:val="21"/>
                <w:szCs w:val="21"/>
                <w:highlight w:val="none"/>
                <w:u w:val="single" w:color="auto"/>
                <w:lang w:val="en-US" w:eastAsia="zh-CN" w:bidi="ar-SA"/>
              </w:rPr>
              <w:t>12-15</w:t>
            </w:r>
            <w:r>
              <w:rPr>
                <w:rFonts w:hint="eastAsia" w:ascii="宋体" w:hAnsi="宋体" w:eastAsia="宋体" w:cs="宋体"/>
                <w:color w:val="auto"/>
                <w:spacing w:val="11"/>
                <w:kern w:val="2"/>
                <w:sz w:val="21"/>
                <w:szCs w:val="21"/>
                <w:highlight w:val="none"/>
                <w:lang w:val="en-US" w:eastAsia="en-US" w:bidi="ar-SA"/>
              </w:rPr>
              <w:t>分（满分分值的80%~</w:t>
            </w:r>
            <w:r>
              <w:rPr>
                <w:rFonts w:hint="eastAsia" w:ascii="宋体" w:hAnsi="宋体" w:eastAsia="宋体" w:cs="宋体"/>
                <w:color w:val="auto"/>
                <w:spacing w:val="3"/>
                <w:kern w:val="2"/>
                <w:sz w:val="21"/>
                <w:szCs w:val="21"/>
                <w:highlight w:val="none"/>
                <w:lang w:val="en-US" w:eastAsia="en-US" w:bidi="ar-SA"/>
              </w:rPr>
              <w:t>100%</w:t>
            </w:r>
            <w:r>
              <w:rPr>
                <w:rFonts w:hint="eastAsia" w:ascii="宋体" w:hAnsi="宋体" w:eastAsia="宋体" w:cs="宋体"/>
                <w:color w:val="auto"/>
                <w:kern w:val="2"/>
                <w:sz w:val="21"/>
                <w:szCs w:val="21"/>
                <w:highlight w:val="none"/>
                <w:lang w:val="en-US" w:eastAsia="en-US" w:bidi="ar-SA"/>
              </w:rPr>
              <w:t>）；</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（2）对项目重点、难点和关键工程认识基本到位，施</w:t>
            </w:r>
            <w:r>
              <w:rPr>
                <w:rFonts w:hint="eastAsia" w:ascii="宋体" w:hAnsi="宋体" w:eastAsia="宋体" w:cs="宋体"/>
                <w:color w:val="auto"/>
                <w:spacing w:val="22"/>
                <w:kern w:val="2"/>
                <w:sz w:val="21"/>
                <w:szCs w:val="21"/>
                <w:highlight w:val="none"/>
                <w:lang w:val="en-US" w:eastAsia="en-US" w:bidi="ar-SA"/>
              </w:rPr>
              <w:t>工方案与技术措施基本可行，重点较为突出的，得</w:t>
            </w:r>
            <w:r>
              <w:rPr>
                <w:rFonts w:hint="eastAsia" w:ascii="宋体" w:hAnsi="宋体" w:eastAsia="宋体" w:cs="宋体"/>
                <w:color w:val="auto"/>
                <w:kern w:val="2"/>
                <w:sz w:val="21"/>
                <w:szCs w:val="21"/>
                <w:highlight w:val="none"/>
                <w:u w:val="single"/>
                <w:lang w:val="en-US" w:eastAsia="zh-CN" w:bidi="ar-SA"/>
              </w:rPr>
              <w:t>9-12</w:t>
            </w:r>
            <w:r>
              <w:rPr>
                <w:rFonts w:hint="eastAsia" w:ascii="宋体" w:hAnsi="宋体" w:eastAsia="宋体" w:cs="宋体"/>
                <w:color w:val="auto"/>
                <w:spacing w:val="6"/>
                <w:kern w:val="2"/>
                <w:sz w:val="21"/>
                <w:szCs w:val="21"/>
                <w:highlight w:val="none"/>
                <w:lang w:val="en-US" w:eastAsia="en-US" w:bidi="ar-SA"/>
              </w:rPr>
              <w:t>分（满分分值的60%～80%</w:t>
            </w:r>
            <w:r>
              <w:rPr>
                <w:rFonts w:hint="eastAsia" w:ascii="宋体" w:hAnsi="宋体" w:eastAsia="宋体" w:cs="宋体"/>
                <w:color w:val="auto"/>
                <w:spacing w:val="1"/>
                <w:kern w:val="2"/>
                <w:sz w:val="21"/>
                <w:szCs w:val="21"/>
                <w:highlight w:val="none"/>
                <w:lang w:val="en-US" w:eastAsia="en-US" w:bidi="ar-SA"/>
              </w:rPr>
              <w:t>）；</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sz w:val="21"/>
                <w:szCs w:val="21"/>
                <w:highlight w:val="none"/>
                <w:lang w:val="en-US" w:eastAsia="en-US" w:bidi="ar-SA"/>
              </w:rPr>
              <w:t>（3）一般但不被评定为不响应的,得</w:t>
            </w:r>
            <w:r>
              <w:rPr>
                <w:rFonts w:hint="eastAsia" w:ascii="宋体" w:hAnsi="宋体" w:eastAsia="宋体" w:cs="宋体"/>
                <w:color w:val="auto"/>
                <w:spacing w:val="7"/>
                <w:kern w:val="2"/>
                <w:sz w:val="21"/>
                <w:szCs w:val="21"/>
                <w:highlight w:val="none"/>
                <w:u w:val="single" w:color="auto"/>
                <w:lang w:val="en-US" w:eastAsia="zh-CN" w:bidi="ar-SA"/>
              </w:rPr>
              <w:t>9</w:t>
            </w:r>
            <w:r>
              <w:rPr>
                <w:rFonts w:hint="eastAsia" w:ascii="宋体" w:hAnsi="宋体" w:eastAsia="宋体" w:cs="宋体"/>
                <w:color w:val="auto"/>
                <w:spacing w:val="10"/>
                <w:kern w:val="2"/>
                <w:sz w:val="21"/>
                <w:szCs w:val="21"/>
                <w:highlight w:val="none"/>
                <w:lang w:val="en-US" w:eastAsia="en-US" w:bidi="ar-SA"/>
              </w:rPr>
              <w:t>分（满分分</w:t>
            </w:r>
            <w:r>
              <w:rPr>
                <w:rFonts w:hint="eastAsia" w:ascii="宋体" w:hAnsi="宋体" w:eastAsia="宋体" w:cs="宋体"/>
                <w:color w:val="auto"/>
                <w:spacing w:val="2"/>
                <w:kern w:val="2"/>
                <w:sz w:val="21"/>
                <w:szCs w:val="21"/>
                <w:highlight w:val="none"/>
                <w:lang w:val="en-US" w:eastAsia="en-US" w:bidi="ar-SA"/>
              </w:rPr>
              <w:t>值的60%）。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6" w:hRule="atLeast"/>
        </w:trPr>
        <w:tc>
          <w:tcPr>
            <w:tcW w:w="984" w:type="dxa"/>
            <w:vMerge w:val="continue"/>
            <w:tcBorders>
              <w:top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983" w:type="dxa"/>
            <w:vMerge w:val="continue"/>
            <w:tcBorders>
              <w:top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88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tabs>
                <w:tab w:val="left" w:pos="332"/>
              </w:tabs>
              <w:kinsoku/>
              <w:wordWrap/>
              <w:overflowPunct/>
              <w:topLinePunct w:val="0"/>
              <w:autoSpaceDE/>
              <w:autoSpaceDN/>
              <w:bidi w:val="0"/>
              <w:adjustRightInd/>
              <w:snapToGrid/>
              <w:spacing w:before="0" w:line="228" w:lineRule="auto"/>
              <w:ind w:left="0" w:right="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10</w:t>
            </w:r>
            <w:r>
              <w:rPr>
                <w:rFonts w:hint="eastAsia" w:ascii="宋体" w:hAnsi="宋体" w:eastAsia="宋体" w:cs="宋体"/>
                <w:color w:val="auto"/>
                <w:kern w:val="2"/>
                <w:sz w:val="21"/>
                <w:szCs w:val="21"/>
                <w:highlight w:val="none"/>
                <w:lang w:val="en-US" w:eastAsia="en-US" w:bidi="ar-SA"/>
              </w:rPr>
              <w:t>分</w:t>
            </w: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spacing w:line="315"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315"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315"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before="0" w:line="318" w:lineRule="auto"/>
              <w:ind w:left="0" w:right="0" w:firstLine="3"/>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2"/>
                <w:kern w:val="2"/>
                <w:sz w:val="21"/>
                <w:szCs w:val="21"/>
                <w:highlight w:val="none"/>
                <w:lang w:val="en-US" w:eastAsia="en-US" w:bidi="ar-SA"/>
              </w:rPr>
              <w:t>工期、质</w:t>
            </w:r>
            <w:r>
              <w:rPr>
                <w:rFonts w:hint="eastAsia" w:ascii="宋体" w:hAnsi="宋体" w:eastAsia="宋体" w:cs="宋体"/>
                <w:color w:val="auto"/>
                <w:spacing w:val="7"/>
                <w:kern w:val="2"/>
                <w:sz w:val="21"/>
                <w:szCs w:val="21"/>
                <w:highlight w:val="none"/>
                <w:lang w:val="en-US" w:eastAsia="en-US" w:bidi="ar-SA"/>
              </w:rPr>
              <w:t>量、安</w:t>
            </w:r>
            <w:r>
              <w:rPr>
                <w:rFonts w:hint="eastAsia" w:ascii="宋体" w:hAnsi="宋体" w:eastAsia="宋体" w:cs="宋体"/>
                <w:color w:val="auto"/>
                <w:spacing w:val="-11"/>
                <w:kern w:val="2"/>
                <w:sz w:val="21"/>
                <w:szCs w:val="21"/>
                <w:highlight w:val="none"/>
                <w:lang w:val="en-US" w:eastAsia="en-US" w:bidi="ar-SA"/>
              </w:rPr>
              <w:t>全、环保水保、文</w:t>
            </w:r>
            <w:r>
              <w:rPr>
                <w:rFonts w:hint="eastAsia" w:ascii="宋体" w:hAnsi="宋体" w:eastAsia="宋体" w:cs="宋体"/>
                <w:color w:val="auto"/>
                <w:spacing w:val="7"/>
                <w:kern w:val="2"/>
                <w:sz w:val="21"/>
                <w:szCs w:val="21"/>
                <w:highlight w:val="none"/>
                <w:lang w:val="en-US" w:eastAsia="en-US" w:bidi="ar-SA"/>
              </w:rPr>
              <w:t>明施工保证措</w:t>
            </w:r>
            <w:r>
              <w:rPr>
                <w:rFonts w:hint="eastAsia" w:ascii="宋体" w:hAnsi="宋体" w:eastAsia="宋体" w:cs="宋体"/>
                <w:color w:val="auto"/>
                <w:spacing w:val="1"/>
                <w:kern w:val="2"/>
                <w:sz w:val="21"/>
                <w:szCs w:val="21"/>
                <w:highlight w:val="none"/>
                <w:lang w:val="en-US" w:eastAsia="en-US" w:bidi="ar-SA"/>
              </w:rPr>
              <w:t>施</w:t>
            </w:r>
          </w:p>
        </w:tc>
        <w:tc>
          <w:tcPr>
            <w:tcW w:w="676" w:type="dxa"/>
            <w:noWrap w:val="0"/>
            <w:vAlign w:val="top"/>
          </w:tcPr>
          <w:p>
            <w:pPr>
              <w:widowControl w:val="0"/>
              <w:kinsoku/>
              <w:autoSpaceDE/>
              <w:autoSpaceDN/>
              <w:adjustRightInd/>
              <w:snapToGrid/>
              <w:spacing w:line="252"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2"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2"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2"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3"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3"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3"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3"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212"/>
              </w:tabs>
              <w:spacing w:before="65" w:line="228" w:lineRule="auto"/>
              <w:ind w:left="1"/>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10</w:t>
            </w:r>
            <w:r>
              <w:rPr>
                <w:rFonts w:hint="eastAsia" w:ascii="宋体" w:hAnsi="宋体" w:eastAsia="宋体" w:cs="宋体"/>
                <w:color w:val="auto"/>
                <w:kern w:val="2"/>
                <w:sz w:val="21"/>
                <w:szCs w:val="21"/>
                <w:highlight w:val="none"/>
                <w:lang w:val="en-US" w:eastAsia="en-US" w:bidi="ar-SA"/>
              </w:rPr>
              <w:t>分</w:t>
            </w:r>
          </w:p>
        </w:tc>
        <w:tc>
          <w:tcPr>
            <w:tcW w:w="6051" w:type="dxa"/>
            <w:noWrap w:val="0"/>
            <w:vAlign w:val="top"/>
          </w:tcPr>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（1）能够准确预判分析工期、质量、安全、环保、水</w:t>
            </w:r>
            <w:r>
              <w:rPr>
                <w:rFonts w:hint="eastAsia" w:ascii="宋体" w:hAnsi="宋体" w:eastAsia="宋体" w:cs="宋体"/>
                <w:color w:val="auto"/>
                <w:spacing w:val="7"/>
                <w:kern w:val="2"/>
                <w:sz w:val="21"/>
                <w:szCs w:val="21"/>
                <w:highlight w:val="none"/>
                <w:lang w:val="en-US" w:eastAsia="en-US" w:bidi="ar-SA"/>
              </w:rPr>
              <w:t>保、文明施工目标实现的主要影响因素，拟采取预防保证措施针对性强、科学有效，重点突出的，按《广东省公路工程施工标准化指南》及《广东省高速公路工程施工安全标准化指南》《公路工程施工安全防护设施技术指南》执行，得</w:t>
            </w:r>
            <w:r>
              <w:rPr>
                <w:rFonts w:hint="eastAsia" w:ascii="宋体" w:hAnsi="宋体" w:eastAsia="宋体" w:cs="宋体"/>
                <w:color w:val="auto"/>
                <w:spacing w:val="5"/>
                <w:kern w:val="2"/>
                <w:sz w:val="21"/>
                <w:szCs w:val="21"/>
                <w:highlight w:val="none"/>
                <w:u w:val="single" w:color="auto"/>
                <w:lang w:val="en-US" w:eastAsia="zh-CN" w:bidi="ar-SA"/>
              </w:rPr>
              <w:t>8-</w:t>
            </w:r>
            <w:r>
              <w:rPr>
                <w:rFonts w:hint="eastAsia" w:ascii="宋体" w:hAnsi="宋体" w:eastAsia="宋体" w:cs="宋体"/>
                <w:color w:val="auto"/>
                <w:spacing w:val="8"/>
                <w:kern w:val="2"/>
                <w:sz w:val="21"/>
                <w:szCs w:val="21"/>
                <w:highlight w:val="none"/>
                <w:u w:val="single" w:color="auto"/>
                <w:lang w:val="en-US" w:eastAsia="zh-CN" w:bidi="ar-SA"/>
              </w:rPr>
              <w:t>10</w:t>
            </w:r>
            <w:r>
              <w:rPr>
                <w:rFonts w:hint="eastAsia" w:ascii="宋体" w:hAnsi="宋体" w:eastAsia="宋体" w:cs="宋体"/>
                <w:color w:val="auto"/>
                <w:spacing w:val="7"/>
                <w:kern w:val="2"/>
                <w:sz w:val="21"/>
                <w:szCs w:val="21"/>
                <w:highlight w:val="none"/>
                <w:lang w:val="en-US" w:eastAsia="en-US" w:bidi="ar-SA"/>
              </w:rPr>
              <w:t>分（满分分值的80%～100%</w:t>
            </w:r>
            <w:r>
              <w:rPr>
                <w:rFonts w:hint="eastAsia" w:ascii="宋体" w:hAnsi="宋体" w:eastAsia="宋体" w:cs="宋体"/>
                <w:color w:val="auto"/>
                <w:spacing w:val="1"/>
                <w:kern w:val="2"/>
                <w:sz w:val="21"/>
                <w:szCs w:val="21"/>
                <w:highlight w:val="none"/>
                <w:lang w:val="en-US" w:eastAsia="en-US" w:bidi="ar-SA"/>
              </w:rPr>
              <w:t>）；</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（2）对工期、质量、安全、环保、水保等风险有一定</w:t>
            </w:r>
            <w:r>
              <w:rPr>
                <w:rFonts w:hint="eastAsia" w:ascii="宋体" w:hAnsi="宋体" w:eastAsia="宋体" w:cs="宋体"/>
                <w:color w:val="auto"/>
                <w:spacing w:val="16"/>
                <w:kern w:val="2"/>
                <w:sz w:val="21"/>
                <w:szCs w:val="21"/>
                <w:highlight w:val="none"/>
                <w:lang w:val="en-US" w:eastAsia="en-US" w:bidi="ar-SA"/>
              </w:rPr>
              <w:t>认识，预防保证措施基本可行，重点较为突出的，得</w:t>
            </w:r>
            <w:r>
              <w:rPr>
                <w:rFonts w:hint="eastAsia" w:ascii="宋体" w:hAnsi="宋体" w:eastAsia="宋体" w:cs="宋体"/>
                <w:color w:val="auto"/>
                <w:spacing w:val="16"/>
                <w:kern w:val="2"/>
                <w:sz w:val="21"/>
                <w:szCs w:val="21"/>
                <w:highlight w:val="none"/>
                <w:u w:val="single"/>
                <w:lang w:val="en-US" w:eastAsia="zh-CN" w:bidi="ar-SA"/>
              </w:rPr>
              <w:t>6-8</w:t>
            </w:r>
            <w:r>
              <w:rPr>
                <w:rFonts w:hint="eastAsia" w:ascii="宋体" w:hAnsi="宋体" w:eastAsia="宋体" w:cs="宋体"/>
                <w:color w:val="auto"/>
                <w:spacing w:val="6"/>
                <w:kern w:val="2"/>
                <w:sz w:val="21"/>
                <w:szCs w:val="21"/>
                <w:highlight w:val="none"/>
                <w:lang w:val="en-US" w:eastAsia="en-US" w:bidi="ar-SA"/>
              </w:rPr>
              <w:t>分（满分分值的60%～80%</w:t>
            </w:r>
            <w:r>
              <w:rPr>
                <w:rFonts w:hint="eastAsia" w:ascii="宋体" w:hAnsi="宋体" w:eastAsia="宋体" w:cs="宋体"/>
                <w:color w:val="auto"/>
                <w:spacing w:val="2"/>
                <w:kern w:val="2"/>
                <w:sz w:val="21"/>
                <w:szCs w:val="21"/>
                <w:highlight w:val="none"/>
                <w:lang w:val="en-US" w:eastAsia="en-US" w:bidi="ar-SA"/>
              </w:rPr>
              <w:t>）；</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sz w:val="21"/>
                <w:szCs w:val="21"/>
                <w:highlight w:val="none"/>
                <w:lang w:val="en-US" w:eastAsia="en-US" w:bidi="ar-SA"/>
              </w:rPr>
              <w:t>（3）一般但不被评定为不响应的,得</w:t>
            </w:r>
            <w:r>
              <w:rPr>
                <w:rFonts w:hint="eastAsia" w:ascii="宋体" w:hAnsi="宋体" w:eastAsia="宋体" w:cs="宋体"/>
                <w:color w:val="auto"/>
                <w:spacing w:val="7"/>
                <w:kern w:val="2"/>
                <w:sz w:val="21"/>
                <w:szCs w:val="21"/>
                <w:highlight w:val="none"/>
                <w:u w:val="single" w:color="auto"/>
                <w:lang w:val="en-US" w:eastAsia="zh-CN" w:bidi="ar-SA"/>
              </w:rPr>
              <w:t>6</w:t>
            </w:r>
            <w:r>
              <w:rPr>
                <w:rFonts w:hint="eastAsia" w:ascii="宋体" w:hAnsi="宋体" w:eastAsia="宋体" w:cs="宋体"/>
                <w:color w:val="auto"/>
                <w:spacing w:val="10"/>
                <w:kern w:val="2"/>
                <w:sz w:val="21"/>
                <w:szCs w:val="21"/>
                <w:highlight w:val="none"/>
                <w:lang w:val="en-US" w:eastAsia="en-US" w:bidi="ar-SA"/>
              </w:rPr>
              <w:t>分（满分分</w:t>
            </w:r>
            <w:r>
              <w:rPr>
                <w:rFonts w:hint="eastAsia" w:ascii="宋体" w:hAnsi="宋体" w:eastAsia="宋体" w:cs="宋体"/>
                <w:color w:val="auto"/>
                <w:spacing w:val="2"/>
                <w:kern w:val="2"/>
                <w:sz w:val="21"/>
                <w:szCs w:val="21"/>
                <w:highlight w:val="none"/>
                <w:lang w:val="en-US" w:eastAsia="en-US" w:bidi="ar-SA"/>
              </w:rPr>
              <w:t>值的60%）。</w:t>
            </w:r>
          </w:p>
        </w:tc>
      </w:tr>
    </w:tbl>
    <w:tbl>
      <w:tblPr>
        <w:tblStyle w:val="8"/>
        <w:tblW w:w="10150" w:type="dxa"/>
        <w:tblInd w:w="-3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833"/>
        <w:gridCol w:w="1183"/>
        <w:gridCol w:w="834"/>
        <w:gridCol w:w="1733"/>
        <w:gridCol w:w="917"/>
        <w:gridCol w:w="3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trPr>
        <w:tc>
          <w:tcPr>
            <w:tcW w:w="8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before="65" w:line="375" w:lineRule="exact"/>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position w:val="16"/>
                <w:sz w:val="21"/>
                <w:szCs w:val="21"/>
                <w:highlight w:val="none"/>
                <w:lang w:val="en-US" w:eastAsia="en-US" w:bidi="ar-SA"/>
              </w:rPr>
              <w:t>2.2.2</w:t>
            </w:r>
          </w:p>
          <w:p>
            <w:pPr>
              <w:widowControl w:val="0"/>
              <w:spacing w:line="23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8"/>
                <w:kern w:val="2"/>
                <w:sz w:val="21"/>
                <w:szCs w:val="21"/>
                <w:highlight w:val="none"/>
                <w:lang w:val="en-US" w:eastAsia="en-US" w:bidi="ar-SA"/>
              </w:rPr>
              <w:t>(2)</w:t>
            </w:r>
          </w:p>
        </w:tc>
        <w:tc>
          <w:tcPr>
            <w:tcW w:w="201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before="65" w:line="408"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主要人员</w:t>
            </w:r>
          </w:p>
        </w:tc>
        <w:tc>
          <w:tcPr>
            <w:tcW w:w="8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342"/>
              </w:tabs>
              <w:spacing w:before="65" w:line="228"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snapToGrid/>
                <w:color w:val="auto"/>
                <w:kern w:val="0"/>
                <w:sz w:val="21"/>
                <w:szCs w:val="21"/>
                <w:highlight w:val="none"/>
                <w:lang w:val="en-US" w:eastAsia="zh-CN" w:bidi="ar"/>
              </w:rPr>
              <w:t>25分</w:t>
            </w:r>
          </w:p>
        </w:tc>
        <w:tc>
          <w:tcPr>
            <w:tcW w:w="1733" w:type="dxa"/>
            <w:tcBorders>
              <w:left w:val="single" w:color="auto" w:sz="4" w:space="0"/>
            </w:tcBorders>
            <w:noWrap w:val="0"/>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项目经理任职资格与业绩</w:t>
            </w:r>
          </w:p>
        </w:tc>
        <w:tc>
          <w:tcPr>
            <w:tcW w:w="917" w:type="dxa"/>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0"/>
                <w:sz w:val="21"/>
                <w:szCs w:val="21"/>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0"/>
                <w:sz w:val="21"/>
                <w:szCs w:val="21"/>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center"/>
              <w:textAlignment w:val="baseline"/>
              <w:rPr>
                <w:rFonts w:hint="eastAsia" w:ascii="宋体" w:hAnsi="宋体" w:eastAsia="宋体" w:cs="宋体"/>
                <w:snapToGrid/>
                <w:color w:val="auto"/>
                <w:kern w:val="0"/>
                <w:sz w:val="21"/>
                <w:szCs w:val="21"/>
                <w:highlight w:val="none"/>
                <w:lang w:val="en-US" w:eastAsia="zh-CN" w:bidi="ar"/>
              </w:rPr>
            </w:pPr>
            <w:r>
              <w:rPr>
                <w:rFonts w:hint="eastAsia" w:ascii="宋体" w:hAnsi="宋体" w:eastAsia="宋体" w:cs="宋体"/>
                <w:snapToGrid/>
                <w:color w:val="auto"/>
                <w:kern w:val="0"/>
                <w:sz w:val="21"/>
                <w:szCs w:val="21"/>
                <w:highlight w:val="none"/>
                <w:lang w:val="en-US" w:eastAsia="zh-CN" w:bidi="ar"/>
              </w:rPr>
              <w:t>12.50分</w:t>
            </w:r>
          </w:p>
        </w:tc>
        <w:tc>
          <w:tcPr>
            <w:tcW w:w="3816" w:type="dxa"/>
            <w:noWrap w:val="0"/>
            <w:vAlign w:val="top"/>
          </w:tcPr>
          <w:p>
            <w:pPr>
              <w:keepNext w:val="0"/>
              <w:keepLines w:val="0"/>
              <w:pageBreakBefore w:val="0"/>
              <w:widowControl w:val="0"/>
              <w:kinsoku/>
              <w:wordWrap/>
              <w:overflowPunct/>
              <w:topLinePunct w:val="0"/>
              <w:autoSpaceDE/>
              <w:autoSpaceDN/>
              <w:bidi w:val="0"/>
              <w:adjustRightInd/>
              <w:snapToGrid/>
              <w:spacing w:line="372"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wordWrap/>
              <w:overflowPunct/>
              <w:topLinePunct w:val="0"/>
              <w:bidi w:val="0"/>
              <w:spacing w:before="0" w:line="280" w:lineRule="auto"/>
              <w:ind w:left="0" w:right="0" w:firstLine="10"/>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（1）满足资格审查条件（项目经理和项目总工最低要</w:t>
            </w:r>
            <w:r>
              <w:rPr>
                <w:rFonts w:hint="eastAsia" w:ascii="宋体" w:hAnsi="宋体" w:eastAsia="宋体" w:cs="宋体"/>
                <w:color w:val="auto"/>
                <w:spacing w:val="5"/>
                <w:kern w:val="2"/>
                <w:sz w:val="21"/>
                <w:szCs w:val="21"/>
                <w:highlight w:val="none"/>
                <w:lang w:val="en-US" w:eastAsia="en-US" w:bidi="ar-SA"/>
              </w:rPr>
              <w:t>求）时，得</w:t>
            </w:r>
            <w:r>
              <w:rPr>
                <w:rFonts w:hint="eastAsia" w:ascii="宋体" w:hAnsi="宋体" w:eastAsia="宋体" w:cs="宋体"/>
                <w:snapToGrid/>
                <w:color w:val="auto"/>
                <w:kern w:val="0"/>
                <w:sz w:val="21"/>
                <w:szCs w:val="21"/>
                <w:highlight w:val="none"/>
                <w:lang w:val="en-US" w:eastAsia="zh-CN" w:bidi="ar"/>
              </w:rPr>
              <w:t>12.50</w:t>
            </w:r>
            <w:r>
              <w:rPr>
                <w:rFonts w:hint="eastAsia" w:ascii="宋体" w:hAnsi="宋体" w:eastAsia="宋体" w:cs="宋体"/>
                <w:color w:val="auto"/>
                <w:spacing w:val="5"/>
                <w:kern w:val="2"/>
                <w:sz w:val="21"/>
                <w:szCs w:val="21"/>
                <w:highlight w:val="none"/>
                <w:lang w:val="en-US" w:eastAsia="en-US" w:bidi="ar-SA"/>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834" w:type="dxa"/>
            <w:vMerge w:val="continue"/>
            <w:tcBorders>
              <w:top w:val="single" w:color="auto" w:sz="4" w:space="0"/>
              <w:left w:val="single" w:color="auto" w:sz="4" w:space="0"/>
              <w:bottom w:val="single" w:color="auto" w:sz="4" w:space="0"/>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2016" w:type="dxa"/>
            <w:gridSpan w:val="2"/>
            <w:vMerge w:val="continue"/>
            <w:tcBorders>
              <w:top w:val="single" w:color="auto" w:sz="4" w:space="0"/>
              <w:bottom w:val="single" w:color="auto" w:sz="4" w:space="0"/>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834" w:type="dxa"/>
            <w:vMerge w:val="continue"/>
            <w:tcBorders>
              <w:top w:val="single" w:color="auto" w:sz="4" w:space="0"/>
              <w:bottom w:val="single" w:color="auto" w:sz="4" w:space="0"/>
              <w:right w:val="single" w:color="auto" w:sz="4" w:space="0"/>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1733" w:type="dxa"/>
            <w:tcBorders>
              <w:left w:val="single" w:color="auto" w:sz="4" w:space="0"/>
            </w:tcBorders>
            <w:noWrap w:val="0"/>
            <w:vAlign w:val="center"/>
          </w:tcPr>
          <w:p>
            <w:pPr>
              <w:keepNext w:val="0"/>
              <w:keepLines w:val="0"/>
              <w:pageBreakBefore w:val="0"/>
              <w:widowControl w:val="0"/>
              <w:wordWrap/>
              <w:overflowPunct/>
              <w:topLinePunct w:val="0"/>
              <w:bidi w:val="0"/>
              <w:spacing w:before="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项目总工任职资格与业绩</w:t>
            </w:r>
          </w:p>
        </w:tc>
        <w:tc>
          <w:tcPr>
            <w:tcW w:w="917" w:type="dxa"/>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0"/>
                <w:sz w:val="21"/>
                <w:szCs w:val="21"/>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0"/>
                <w:sz w:val="21"/>
                <w:szCs w:val="21"/>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center"/>
              <w:textAlignment w:val="baseline"/>
              <w:rPr>
                <w:rFonts w:hint="eastAsia" w:ascii="宋体" w:hAnsi="宋体" w:eastAsia="宋体" w:cs="宋体"/>
                <w:snapToGrid/>
                <w:color w:val="auto"/>
                <w:kern w:val="0"/>
                <w:sz w:val="21"/>
                <w:szCs w:val="21"/>
                <w:highlight w:val="none"/>
                <w:lang w:val="en-US" w:eastAsia="zh-CN" w:bidi="ar"/>
              </w:rPr>
            </w:pPr>
            <w:r>
              <w:rPr>
                <w:rFonts w:hint="eastAsia" w:ascii="宋体" w:hAnsi="宋体" w:eastAsia="宋体" w:cs="宋体"/>
                <w:snapToGrid/>
                <w:color w:val="auto"/>
                <w:kern w:val="0"/>
                <w:sz w:val="21"/>
                <w:szCs w:val="21"/>
                <w:highlight w:val="none"/>
                <w:lang w:val="en-US" w:eastAsia="zh-CN" w:bidi="ar"/>
              </w:rPr>
              <w:t>12.50分</w:t>
            </w:r>
          </w:p>
        </w:tc>
        <w:tc>
          <w:tcPr>
            <w:tcW w:w="3816" w:type="dxa"/>
            <w:noWrap w:val="0"/>
            <w:vAlign w:val="top"/>
          </w:tcPr>
          <w:p>
            <w:pPr>
              <w:keepNext w:val="0"/>
              <w:keepLines w:val="0"/>
              <w:pageBreakBefore w:val="0"/>
              <w:widowControl w:val="0"/>
              <w:kinsoku/>
              <w:wordWrap/>
              <w:overflowPunct/>
              <w:topLinePunct w:val="0"/>
              <w:autoSpaceDE/>
              <w:autoSpaceDN/>
              <w:bidi w:val="0"/>
              <w:adjustRightInd/>
              <w:snapToGrid/>
              <w:spacing w:line="379"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0"/>
                <w:sz w:val="21"/>
                <w:szCs w:val="21"/>
                <w:highlight w:val="none"/>
                <w:lang w:val="en-US" w:eastAsia="zh-CN" w:bidi="ar"/>
              </w:rPr>
              <w:t>（1）项目总工在满足资格审查条件的最低要求时，得12.50分。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1" w:hRule="atLeast"/>
        </w:trPr>
        <w:tc>
          <w:tcPr>
            <w:tcW w:w="834" w:type="dxa"/>
            <w:tcBorders>
              <w:top w:val="single" w:color="auto" w:sz="4" w:space="0"/>
            </w:tcBorders>
            <w:noWrap w:val="0"/>
            <w:vAlign w:val="center"/>
          </w:tcPr>
          <w:p>
            <w:pPr>
              <w:widowControl w:val="0"/>
              <w:spacing w:before="65" w:line="375" w:lineRule="exact"/>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position w:val="16"/>
                <w:sz w:val="21"/>
                <w:szCs w:val="21"/>
                <w:highlight w:val="none"/>
                <w:lang w:val="en-US" w:eastAsia="en-US" w:bidi="ar-SA"/>
              </w:rPr>
              <w:t>2.2.2</w:t>
            </w:r>
          </w:p>
          <w:p>
            <w:pPr>
              <w:widowControl w:val="0"/>
              <w:spacing w:line="23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9"/>
                <w:kern w:val="2"/>
                <w:sz w:val="21"/>
                <w:szCs w:val="21"/>
                <w:highlight w:val="none"/>
                <w:lang w:val="en-US" w:eastAsia="en-US" w:bidi="ar-SA"/>
              </w:rPr>
              <w:t>(3)</w:t>
            </w:r>
          </w:p>
        </w:tc>
        <w:tc>
          <w:tcPr>
            <w:tcW w:w="833" w:type="dxa"/>
            <w:tcBorders>
              <w:top w:val="single" w:color="auto" w:sz="4" w:space="0"/>
            </w:tcBorders>
            <w:noWrap w:val="0"/>
            <w:textDirection w:val="tbRlV"/>
            <w:vAlign w:val="center"/>
          </w:tcPr>
          <w:p>
            <w:pPr>
              <w:widowControl w:val="0"/>
              <w:spacing w:before="72" w:line="206" w:lineRule="auto"/>
              <w:ind w:left="0" w:leftChars="0" w:firstLine="0" w:firstLineChars="0"/>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其他因素</w:t>
            </w:r>
          </w:p>
        </w:tc>
        <w:tc>
          <w:tcPr>
            <w:tcW w:w="1183" w:type="dxa"/>
            <w:tcBorders>
              <w:top w:val="single" w:color="auto" w:sz="4" w:space="0"/>
            </w:tcBorders>
            <w:noWrap w:val="0"/>
            <w:vAlign w:val="center"/>
          </w:tcPr>
          <w:p>
            <w:pPr>
              <w:widowControl w:val="0"/>
              <w:kinsoku/>
              <w:autoSpaceDE/>
              <w:autoSpaceDN/>
              <w:adjustRightInd/>
              <w:snapToGrid/>
              <w:spacing w:line="242" w:lineRule="auto"/>
              <w:jc w:val="center"/>
              <w:textAlignment w:val="auto"/>
              <w:rPr>
                <w:rFonts w:hint="eastAsia" w:ascii="宋体" w:hAnsi="宋体" w:eastAsia="宋体" w:cs="宋体"/>
                <w:snapToGrid/>
                <w:color w:val="auto"/>
                <w:kern w:val="2"/>
                <w:sz w:val="21"/>
                <w:szCs w:val="21"/>
                <w:highlight w:val="none"/>
              </w:rPr>
            </w:pPr>
          </w:p>
          <w:p>
            <w:pPr>
              <w:widowControl w:val="0"/>
              <w:spacing w:before="65" w:line="239" w:lineRule="auto"/>
              <w:ind w:right="47"/>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技术能力</w:t>
            </w:r>
          </w:p>
        </w:tc>
        <w:tc>
          <w:tcPr>
            <w:tcW w:w="834" w:type="dxa"/>
            <w:tcBorders>
              <w:top w:val="single" w:color="auto" w:sz="4" w:space="0"/>
            </w:tcBorders>
            <w:noWrap w:val="0"/>
            <w:vAlign w:val="center"/>
          </w:tcPr>
          <w:p>
            <w:pPr>
              <w:widowControl w:val="0"/>
              <w:tabs>
                <w:tab w:val="left" w:pos="395"/>
              </w:tabs>
              <w:spacing w:before="62" w:line="229"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20</w:t>
            </w:r>
            <w:r>
              <w:rPr>
                <w:rFonts w:hint="eastAsia" w:ascii="宋体" w:hAnsi="宋体" w:eastAsia="宋体" w:cs="宋体"/>
                <w:color w:val="auto"/>
                <w:kern w:val="2"/>
                <w:sz w:val="21"/>
                <w:szCs w:val="21"/>
                <w:highlight w:val="none"/>
                <w:lang w:val="en-US" w:eastAsia="en-US" w:bidi="ar-SA"/>
              </w:rPr>
              <w:t>分</w:t>
            </w:r>
          </w:p>
        </w:tc>
        <w:tc>
          <w:tcPr>
            <w:tcW w:w="6466" w:type="dxa"/>
            <w:gridSpan w:val="3"/>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8"/>
                <w:kern w:val="2"/>
                <w:sz w:val="21"/>
                <w:szCs w:val="21"/>
                <w:highlight w:val="none"/>
                <w:lang w:val="en-US" w:eastAsia="en-US" w:bidi="ar-SA"/>
              </w:rPr>
              <w:t>（1）投标人获得与</w:t>
            </w:r>
            <w:r>
              <w:rPr>
                <w:rFonts w:hint="eastAsia" w:ascii="宋体" w:hAnsi="宋体" w:eastAsia="宋体" w:cs="宋体"/>
                <w:color w:val="auto"/>
                <w:spacing w:val="8"/>
                <w:kern w:val="2"/>
                <w:sz w:val="21"/>
                <w:szCs w:val="21"/>
                <w:highlight w:val="none"/>
                <w:lang w:val="en-US" w:eastAsia="zh-CN" w:bidi="ar-SA"/>
              </w:rPr>
              <w:t>公路工程施工</w:t>
            </w:r>
            <w:r>
              <w:rPr>
                <w:rFonts w:hint="eastAsia" w:ascii="宋体" w:hAnsi="宋体" w:eastAsia="宋体" w:cs="宋体"/>
                <w:color w:val="auto"/>
                <w:spacing w:val="8"/>
                <w:kern w:val="2"/>
                <w:sz w:val="21"/>
                <w:szCs w:val="21"/>
                <w:highlight w:val="none"/>
                <w:lang w:val="en-US" w:eastAsia="en-US" w:bidi="ar-SA"/>
              </w:rPr>
              <w:t>有关的国家级工法、专利（发明专利或实用新型专利）、国家级科学技术进步奖、鲁班奖、詹天佑奖，主编或参编过</w:t>
            </w:r>
            <w:r>
              <w:rPr>
                <w:rFonts w:hint="eastAsia" w:ascii="宋体" w:hAnsi="宋体" w:eastAsia="宋体" w:cs="宋体"/>
                <w:color w:val="auto"/>
                <w:spacing w:val="6"/>
                <w:kern w:val="2"/>
                <w:sz w:val="21"/>
                <w:szCs w:val="21"/>
                <w:highlight w:val="none"/>
                <w:lang w:val="en-US" w:eastAsia="en-US" w:bidi="ar-SA"/>
              </w:rPr>
              <w:t>国家标准，每项加</w:t>
            </w:r>
            <w:r>
              <w:rPr>
                <w:rFonts w:hint="eastAsia" w:ascii="宋体" w:hAnsi="宋体" w:eastAsia="宋体" w:cs="宋体"/>
                <w:color w:val="auto"/>
                <w:spacing w:val="6"/>
                <w:kern w:val="2"/>
                <w:sz w:val="21"/>
                <w:szCs w:val="21"/>
                <w:highlight w:val="none"/>
                <w:u w:val="single" w:color="auto"/>
                <w:lang w:val="en-US" w:eastAsia="zh-CN" w:bidi="ar-SA"/>
              </w:rPr>
              <w:t xml:space="preserve"> </w:t>
            </w:r>
            <w:r>
              <w:rPr>
                <w:rFonts w:hint="eastAsia" w:ascii="宋体" w:hAnsi="宋体" w:eastAsia="宋体" w:cs="宋体"/>
                <w:color w:val="auto"/>
                <w:spacing w:val="5"/>
                <w:kern w:val="2"/>
                <w:sz w:val="21"/>
                <w:szCs w:val="21"/>
                <w:highlight w:val="none"/>
                <w:u w:val="single" w:color="auto"/>
                <w:lang w:val="en-US" w:eastAsia="zh-CN" w:bidi="ar-SA"/>
              </w:rPr>
              <w:t xml:space="preserve">4 </w:t>
            </w:r>
            <w:r>
              <w:rPr>
                <w:rFonts w:hint="eastAsia" w:ascii="宋体" w:hAnsi="宋体" w:eastAsia="宋体" w:cs="宋体"/>
                <w:color w:val="auto"/>
                <w:spacing w:val="6"/>
                <w:kern w:val="2"/>
                <w:sz w:val="21"/>
                <w:szCs w:val="21"/>
                <w:highlight w:val="none"/>
                <w:lang w:val="en-US" w:eastAsia="en-US" w:bidi="ar-SA"/>
              </w:rPr>
              <w:t>分；</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9"/>
                <w:kern w:val="2"/>
                <w:sz w:val="21"/>
                <w:szCs w:val="21"/>
                <w:highlight w:val="none"/>
                <w:lang w:val="en-US" w:eastAsia="en-US" w:bidi="ar-SA"/>
              </w:rPr>
              <w:t>（2）投标人获得省级科学技术进步奖，主编或参编过的行业或地方（指</w:t>
            </w:r>
            <w:r>
              <w:rPr>
                <w:rFonts w:hint="eastAsia" w:ascii="宋体" w:hAnsi="宋体" w:eastAsia="宋体" w:cs="宋体"/>
                <w:color w:val="auto"/>
                <w:spacing w:val="6"/>
                <w:kern w:val="2"/>
                <w:sz w:val="21"/>
                <w:szCs w:val="21"/>
                <w:highlight w:val="none"/>
                <w:lang w:val="en-US" w:eastAsia="en-US" w:bidi="ar-SA"/>
              </w:rPr>
              <w:t>省级）标准，每项加</w:t>
            </w:r>
            <w:r>
              <w:rPr>
                <w:rFonts w:hint="eastAsia" w:ascii="宋体" w:hAnsi="宋体" w:eastAsia="宋体" w:cs="宋体"/>
                <w:color w:val="auto"/>
                <w:spacing w:val="6"/>
                <w:kern w:val="2"/>
                <w:sz w:val="21"/>
                <w:szCs w:val="21"/>
                <w:highlight w:val="none"/>
                <w:u w:val="single" w:color="auto"/>
                <w:lang w:val="en-US" w:eastAsia="zh-CN" w:bidi="ar-SA"/>
              </w:rPr>
              <w:t xml:space="preserve"> </w:t>
            </w:r>
            <w:r>
              <w:rPr>
                <w:rFonts w:hint="eastAsia" w:ascii="宋体" w:hAnsi="宋体" w:eastAsia="宋体" w:cs="宋体"/>
                <w:color w:val="auto"/>
                <w:spacing w:val="5"/>
                <w:kern w:val="2"/>
                <w:sz w:val="21"/>
                <w:szCs w:val="21"/>
                <w:highlight w:val="none"/>
                <w:u w:val="single" w:color="auto"/>
                <w:lang w:val="en-US" w:eastAsia="zh-CN" w:bidi="ar-SA"/>
              </w:rPr>
              <w:t xml:space="preserve">4 </w:t>
            </w:r>
            <w:r>
              <w:rPr>
                <w:rFonts w:hint="eastAsia" w:ascii="宋体" w:hAnsi="宋体" w:eastAsia="宋体" w:cs="宋体"/>
                <w:color w:val="auto"/>
                <w:spacing w:val="6"/>
                <w:kern w:val="2"/>
                <w:sz w:val="21"/>
                <w:szCs w:val="21"/>
                <w:highlight w:val="none"/>
                <w:lang w:val="en-US" w:eastAsia="en-US" w:bidi="ar-SA"/>
              </w:rPr>
              <w:t>分；</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8"/>
                <w:kern w:val="2"/>
                <w:sz w:val="21"/>
                <w:szCs w:val="21"/>
                <w:highlight w:val="none"/>
                <w:lang w:val="en-US" w:eastAsia="en-US" w:bidi="ar-SA"/>
              </w:rPr>
              <w:t>注：技术能力加分最高</w:t>
            </w:r>
            <w:r>
              <w:rPr>
                <w:rFonts w:hint="eastAsia" w:ascii="宋体" w:hAnsi="宋体" w:eastAsia="宋体" w:cs="宋体"/>
                <w:color w:val="auto"/>
                <w:spacing w:val="5"/>
                <w:kern w:val="2"/>
                <w:sz w:val="21"/>
                <w:szCs w:val="21"/>
                <w:highlight w:val="none"/>
                <w:u w:val="single" w:color="auto"/>
                <w:lang w:val="en-US" w:eastAsia="zh-CN" w:bidi="ar-SA"/>
              </w:rPr>
              <w:t>20</w:t>
            </w:r>
            <w:r>
              <w:rPr>
                <w:rFonts w:hint="eastAsia" w:ascii="宋体" w:hAnsi="宋体" w:eastAsia="宋体" w:cs="宋体"/>
                <w:color w:val="auto"/>
                <w:spacing w:val="8"/>
                <w:kern w:val="2"/>
                <w:sz w:val="21"/>
                <w:szCs w:val="21"/>
                <w:highlight w:val="none"/>
                <w:lang w:val="en-US" w:eastAsia="en-US" w:bidi="ar-SA"/>
              </w:rPr>
              <w:t>分，同一事项按较高分只计一次。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0" w:hRule="atLeast"/>
        </w:trPr>
        <w:tc>
          <w:tcPr>
            <w:tcW w:w="834" w:type="dxa"/>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spacing w:val="-19"/>
                <w:kern w:val="2"/>
                <w:sz w:val="21"/>
                <w:szCs w:val="21"/>
                <w:highlight w:val="none"/>
              </w:rPr>
            </w:pPr>
          </w:p>
        </w:tc>
        <w:tc>
          <w:tcPr>
            <w:tcW w:w="833" w:type="dxa"/>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1183" w:type="dxa"/>
            <w:noWrap w:val="0"/>
            <w:vAlign w:val="center"/>
          </w:tcPr>
          <w:p>
            <w:pPr>
              <w:widowControl w:val="0"/>
              <w:spacing w:before="65" w:line="408" w:lineRule="exact"/>
              <w:jc w:val="center"/>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履约信誉</w:t>
            </w:r>
          </w:p>
        </w:tc>
        <w:tc>
          <w:tcPr>
            <w:tcW w:w="834" w:type="dxa"/>
            <w:noWrap w:val="0"/>
            <w:vAlign w:val="center"/>
          </w:tcPr>
          <w:p>
            <w:pPr>
              <w:widowControl w:val="0"/>
              <w:tabs>
                <w:tab w:val="left" w:pos="419"/>
              </w:tabs>
              <w:spacing w:before="65" w:line="228" w:lineRule="auto"/>
              <w:jc w:val="center"/>
              <w:rPr>
                <w:rFonts w:hint="eastAsia" w:ascii="宋体" w:hAnsi="宋体" w:eastAsia="宋体" w:cs="宋体"/>
                <w:color w:val="auto"/>
                <w:kern w:val="2"/>
                <w:sz w:val="21"/>
                <w:szCs w:val="21"/>
                <w:highlight w:val="none"/>
                <w:u w:val="single" w:color="auto"/>
                <w:lang w:val="en-US" w:eastAsia="zh-CN"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6466"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1.信用等级分值（10分）</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AA、A、B、C级单位的信用等级分得分分别为10、9.5、8.9、7.3分。</w:t>
            </w:r>
          </w:p>
          <w:p>
            <w:pPr>
              <w:keepNext w:val="0"/>
              <w:keepLines w:val="0"/>
              <w:pageBreakBefore w:val="0"/>
              <w:widowControl w:val="0"/>
              <w:kinsoku/>
              <w:wordWrap/>
              <w:overflowPunct/>
              <w:topLinePunct w:val="0"/>
              <w:autoSpaceDE/>
              <w:autoSpaceDN/>
              <w:bidi w:val="0"/>
              <w:adjustRightInd/>
              <w:snapToGrid/>
              <w:spacing w:before="0" w:line="360" w:lineRule="auto"/>
              <w:ind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注：信用等级的确定原则遵循投标人须知前附表10.2款的规定。</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2.履约情况（5分）</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若没出现下述情形得满分；</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投标文件递交截止日前1年内，投标人因公路工程（含附属设施）质量、安全、履约或招标投标问题等原因被：</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（1）交通运输部行政处罚的，扣5分/次。</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（2）广东省交通运输厅行政处罚的，扣3分/次。</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（3）招标项目所在地地级以上市交通运输局行政处罚的，扣1.5分/次。</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（4）广东省交通运输厅正式约谈的，扣0.1分/次。</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8"/>
                <w:kern w:val="2"/>
                <w:sz w:val="21"/>
                <w:szCs w:val="21"/>
                <w:highlight w:val="none"/>
                <w:lang w:val="en-US" w:eastAsia="en-US" w:bidi="ar-SA"/>
              </w:rPr>
            </w:pPr>
            <w:r>
              <w:rPr>
                <w:rFonts w:hint="eastAsia" w:ascii="宋体" w:hAnsi="宋体" w:eastAsia="宋体" w:cs="宋体"/>
                <w:color w:val="auto"/>
                <w:spacing w:val="1"/>
                <w:kern w:val="2"/>
                <w:sz w:val="21"/>
                <w:szCs w:val="21"/>
                <w:highlight w:val="none"/>
                <w:lang w:val="en-US" w:eastAsia="zh-CN" w:bidi="ar-SA"/>
              </w:rPr>
              <w:t>同一事项同时被多个部门行政处罚或正式约谈只按最高的扣分计算1次。如果扣完本项分值，可以从总分中扣。</w:t>
            </w:r>
          </w:p>
        </w:tc>
      </w:tr>
    </w:tbl>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4BA52"/>
    <w:multiLevelType w:val="singleLevel"/>
    <w:tmpl w:val="90D4BA5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jYzOGFhZTg5ZDZiYzBhNTI4MjVkNWU1MzkxNTcifQ=="/>
  </w:docVars>
  <w:rsids>
    <w:rsidRoot w:val="0F360C34"/>
    <w:rsid w:val="0F360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Normal Indent"/>
    <w:basedOn w:val="1"/>
    <w:next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customStyle="1" w:styleId="6">
    <w:name w:val="Table Normal_0"/>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basedOn w:val="4"/>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2023-10-20T07:30:00Z</dcterms:created>
  <dc:creator>2y6</dc:creator>
  <cp:lastModifiedBy>2y6</cp:lastModifiedBy>
  <dcterms:modified xsi:type="dcterms:W3CDTF">2023-10-20T07:31:42Z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0218E25455354049912DC759DAED0C27_11</vt:lpwstr>
  </property>
</Properties>
</file>