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Pr>
      <w:bookmarkStart w:id="0" w:name="_Toc535938694"/>
      <w:bookmarkStart w:id="34" w:name="_GoBack"/>
      <w:bookmarkEnd w:id="34"/>
    </w:p>
    <w:p>
      <w:pPr>
        <w:jc w:val="center"/>
        <w:rPr>
          <w:rFonts w:ascii="宋体" w:hAnsi="宋体"/>
          <w:b/>
          <w:sz w:val="44"/>
          <w:szCs w:val="36"/>
          <w:u w:val="single"/>
        </w:rPr>
      </w:pPr>
    </w:p>
    <w:p>
      <w:pPr>
        <w:spacing w:after="240" w:line="360" w:lineRule="auto"/>
        <w:jc w:val="center"/>
        <w:rPr>
          <w:rFonts w:ascii="宋体" w:hAnsi="宋体"/>
          <w:b/>
          <w:sz w:val="48"/>
          <w:szCs w:val="48"/>
        </w:rPr>
      </w:pPr>
      <w:r>
        <w:rPr>
          <w:rFonts w:hint="eastAsia" w:ascii="宋体" w:hAnsi="宋体"/>
          <w:b/>
          <w:sz w:val="48"/>
          <w:szCs w:val="48"/>
        </w:rPr>
        <w:t>中山大学附属第一医院东院区改扩建工程监理服务</w:t>
      </w:r>
    </w:p>
    <w:p>
      <w:pPr>
        <w:spacing w:line="400" w:lineRule="exact"/>
        <w:rPr>
          <w:rFonts w:ascii="宋体" w:hAnsi="宋体"/>
        </w:rPr>
      </w:pPr>
    </w:p>
    <w:p>
      <w:pPr>
        <w:spacing w:line="400" w:lineRule="exact"/>
        <w:jc w:val="right"/>
        <w:rPr>
          <w:rFonts w:ascii="宋体" w:hAnsi="宋体"/>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rPr>
      </w:pPr>
    </w:p>
    <w:p>
      <w:pPr>
        <w:jc w:val="center"/>
        <w:rPr>
          <w:rFonts w:ascii="宋体" w:hAnsi="宋体"/>
          <w:b/>
          <w:sz w:val="72"/>
          <w:szCs w:val="52"/>
        </w:rPr>
      </w:pPr>
      <w:r>
        <w:rPr>
          <w:rFonts w:hint="eastAsia" w:ascii="宋体" w:hAnsi="宋体"/>
          <w:b/>
          <w:sz w:val="72"/>
          <w:szCs w:val="52"/>
        </w:rPr>
        <w:t>招 标 公 告</w:t>
      </w:r>
    </w:p>
    <w:p>
      <w:pPr>
        <w:spacing w:line="400" w:lineRule="exact"/>
        <w:rPr>
          <w:rFonts w:ascii="宋体" w:hAnsi="宋体"/>
        </w:rPr>
      </w:pPr>
    </w:p>
    <w:p>
      <w:pPr>
        <w:spacing w:line="400" w:lineRule="exact"/>
        <w:rPr>
          <w:rFonts w:ascii="宋体" w:hAnsi="宋体"/>
        </w:rPr>
      </w:pPr>
    </w:p>
    <w:p>
      <w:pPr>
        <w:spacing w:line="400" w:lineRule="exact"/>
        <w:rPr>
          <w:rFonts w:ascii="宋体" w:hAnsi="宋体"/>
        </w:rPr>
      </w:pPr>
    </w:p>
    <w:p>
      <w:pPr>
        <w:spacing w:line="400" w:lineRule="exact"/>
        <w:rPr>
          <w:rFonts w:ascii="宋体" w:hAnsi="宋体"/>
        </w:rPr>
      </w:pPr>
    </w:p>
    <w:p>
      <w:pPr>
        <w:spacing w:line="400" w:lineRule="exact"/>
        <w:rPr>
          <w:rFonts w:ascii="宋体" w:hAnsi="宋体"/>
        </w:rPr>
      </w:pPr>
    </w:p>
    <w:p>
      <w:pPr>
        <w:spacing w:line="400" w:lineRule="exact"/>
        <w:rPr>
          <w:rFonts w:ascii="宋体" w:hAnsi="宋体"/>
        </w:rPr>
      </w:pPr>
    </w:p>
    <w:p>
      <w:pPr>
        <w:spacing w:line="400" w:lineRule="exact"/>
        <w:rPr>
          <w:rFonts w:ascii="宋体" w:hAnsi="宋体"/>
        </w:rPr>
      </w:pPr>
    </w:p>
    <w:p>
      <w:pPr>
        <w:spacing w:line="400" w:lineRule="exact"/>
        <w:rPr>
          <w:rFonts w:ascii="宋体" w:hAnsi="宋体"/>
        </w:rPr>
      </w:pPr>
    </w:p>
    <w:p>
      <w:pPr>
        <w:ind w:firstLine="1560" w:firstLineChars="555"/>
        <w:jc w:val="left"/>
        <w:rPr>
          <w:rFonts w:ascii="宋体" w:hAnsi="宋体"/>
          <w:b/>
          <w:sz w:val="28"/>
          <w:szCs w:val="24"/>
        </w:rPr>
      </w:pPr>
      <w:r>
        <w:rPr>
          <w:rFonts w:hint="eastAsia" w:ascii="宋体" w:hAnsi="宋体"/>
          <w:b/>
          <w:sz w:val="28"/>
          <w:szCs w:val="24"/>
        </w:rPr>
        <w:t>招   标   人：中山大学附属第一医院（盖章）</w:t>
      </w:r>
    </w:p>
    <w:p>
      <w:pPr>
        <w:ind w:firstLine="1560" w:firstLineChars="555"/>
        <w:jc w:val="left"/>
        <w:rPr>
          <w:rFonts w:ascii="宋体" w:hAnsi="宋体"/>
          <w:b/>
          <w:sz w:val="28"/>
          <w:szCs w:val="24"/>
        </w:rPr>
      </w:pPr>
      <w:r>
        <w:rPr>
          <w:rFonts w:hint="eastAsia" w:ascii="宋体" w:hAnsi="宋体"/>
          <w:b/>
          <w:sz w:val="28"/>
          <w:szCs w:val="24"/>
        </w:rPr>
        <w:t>招标代理单位：国义招标股份有限公司（盖章）</w:t>
      </w:r>
    </w:p>
    <w:p>
      <w:pPr>
        <w:jc w:val="center"/>
        <w:rPr>
          <w:rFonts w:ascii="宋体" w:hAnsi="宋体"/>
          <w:b/>
          <w:sz w:val="28"/>
          <w:szCs w:val="24"/>
        </w:rPr>
      </w:pPr>
    </w:p>
    <w:p>
      <w:pPr>
        <w:jc w:val="center"/>
        <w:rPr>
          <w:rFonts w:ascii="宋体" w:hAnsi="宋体"/>
          <w:b/>
          <w:sz w:val="36"/>
          <w:szCs w:val="36"/>
        </w:rPr>
      </w:pPr>
      <w:r>
        <w:rPr>
          <w:rFonts w:hint="eastAsia" w:ascii="宋体" w:hAnsi="宋体"/>
          <w:b/>
          <w:sz w:val="28"/>
          <w:szCs w:val="28"/>
          <w:u w:val="single"/>
        </w:rPr>
        <w:t>2023</w:t>
      </w:r>
      <w:r>
        <w:rPr>
          <w:rFonts w:hint="eastAsia" w:ascii="宋体" w:hAnsi="宋体"/>
          <w:b/>
          <w:sz w:val="28"/>
          <w:szCs w:val="28"/>
        </w:rPr>
        <w:t>年</w:t>
      </w:r>
      <w:r>
        <w:rPr>
          <w:rFonts w:hint="eastAsia" w:ascii="宋体" w:hAnsi="宋体"/>
          <w:b/>
          <w:sz w:val="28"/>
          <w:szCs w:val="28"/>
          <w:u w:val="single"/>
        </w:rPr>
        <w:t>10</w:t>
      </w:r>
      <w:r>
        <w:rPr>
          <w:rFonts w:hint="eastAsia" w:ascii="宋体" w:hAnsi="宋体"/>
          <w:b/>
          <w:sz w:val="28"/>
          <w:szCs w:val="28"/>
        </w:rPr>
        <w:t>月日</w:t>
      </w:r>
      <w:r>
        <w:rPr>
          <w:rFonts w:ascii="宋体" w:hAnsi="宋体"/>
          <w:b/>
          <w:sz w:val="36"/>
          <w:szCs w:val="36"/>
        </w:rPr>
        <w:br w:type="column"/>
      </w:r>
      <w:r>
        <w:rPr>
          <w:rFonts w:hint="eastAsia" w:ascii="宋体" w:hAnsi="宋体"/>
          <w:b/>
          <w:sz w:val="36"/>
          <w:szCs w:val="36"/>
        </w:rPr>
        <w:t>中山大学附属第一医院东院区改扩建工程监理服务</w:t>
      </w:r>
    </w:p>
    <w:p>
      <w:pPr>
        <w:jc w:val="center"/>
        <w:outlineLvl w:val="0"/>
        <w:rPr>
          <w:rFonts w:ascii="宋体" w:hAnsi="宋体"/>
          <w:b/>
          <w:kern w:val="44"/>
          <w:sz w:val="36"/>
          <w:szCs w:val="36"/>
        </w:rPr>
      </w:pPr>
      <w:r>
        <w:rPr>
          <w:rFonts w:hint="eastAsia" w:ascii="宋体" w:hAnsi="宋体"/>
          <w:b/>
          <w:kern w:val="44"/>
          <w:sz w:val="36"/>
          <w:szCs w:val="36"/>
        </w:rPr>
        <w:t>招标公告</w:t>
      </w:r>
      <w:bookmarkEnd w:id="0"/>
    </w:p>
    <w:p>
      <w:pPr>
        <w:spacing w:line="360" w:lineRule="auto"/>
        <w:jc w:val="left"/>
        <w:outlineLvl w:val="1"/>
        <w:rPr>
          <w:rFonts w:ascii="宋体" w:hAnsi="宋体" w:cs="宋体"/>
          <w:b/>
          <w:bCs/>
          <w:kern w:val="0"/>
          <w:szCs w:val="21"/>
        </w:rPr>
      </w:pPr>
      <w:bookmarkStart w:id="1" w:name="_Toc529196504"/>
      <w:bookmarkStart w:id="2" w:name="_Toc511557025"/>
      <w:bookmarkStart w:id="3" w:name="_Toc535938695"/>
      <w:bookmarkStart w:id="4" w:name="_Toc529196507"/>
      <w:bookmarkStart w:id="5" w:name="_Toc511557028"/>
      <w:r>
        <w:rPr>
          <w:rFonts w:hint="eastAsia" w:ascii="宋体" w:hAnsi="宋体" w:cs="宋体"/>
          <w:b/>
          <w:bCs/>
          <w:kern w:val="0"/>
          <w:szCs w:val="21"/>
        </w:rPr>
        <w:t>1. 招标条件</w:t>
      </w:r>
      <w:bookmarkEnd w:id="1"/>
      <w:bookmarkEnd w:id="2"/>
      <w:bookmarkEnd w:id="3"/>
    </w:p>
    <w:p>
      <w:pPr>
        <w:tabs>
          <w:tab w:val="left" w:pos="7513"/>
        </w:tabs>
        <w:spacing w:line="360" w:lineRule="auto"/>
        <w:ind w:firstLine="420" w:firstLineChars="200"/>
        <w:rPr>
          <w:rFonts w:ascii="宋体" w:hAnsi="宋体" w:cs="宋体"/>
          <w:szCs w:val="21"/>
        </w:rPr>
      </w:pPr>
      <w:bookmarkStart w:id="6" w:name="_Toc511557026"/>
      <w:r>
        <w:rPr>
          <w:rFonts w:hint="eastAsia" w:ascii="宋体" w:hAnsi="宋体" w:cs="宋体"/>
          <w:szCs w:val="21"/>
        </w:rPr>
        <w:t>本招标项目</w:t>
      </w:r>
      <w:r>
        <w:rPr>
          <w:rFonts w:hint="eastAsia" w:ascii="宋体" w:hAnsi="宋体" w:cs="宋体"/>
          <w:szCs w:val="21"/>
          <w:u w:val="single"/>
        </w:rPr>
        <w:t>中山大学附属第一医院东院区改扩建工程监理服务</w:t>
      </w:r>
      <w:r>
        <w:rPr>
          <w:rFonts w:hint="eastAsia" w:ascii="宋体" w:hAnsi="宋体" w:cs="宋体"/>
          <w:szCs w:val="21"/>
        </w:rPr>
        <w:t>以</w:t>
      </w:r>
      <w:r>
        <w:rPr>
          <w:rFonts w:hint="eastAsia" w:ascii="宋体" w:hAnsi="宋体" w:cs="宋体"/>
          <w:szCs w:val="21"/>
          <w:u w:val="single"/>
        </w:rPr>
        <w:t>国卫规划函[2023]36号文</w:t>
      </w:r>
      <w:r>
        <w:rPr>
          <w:rFonts w:hint="eastAsia" w:ascii="宋体" w:hAnsi="宋体"/>
          <w:szCs w:val="21"/>
        </w:rPr>
        <w:t>批准建设</w:t>
      </w:r>
      <w:r>
        <w:rPr>
          <w:rFonts w:hint="eastAsia" w:ascii="宋体" w:hAnsi="宋体" w:cs="宋体"/>
          <w:szCs w:val="21"/>
        </w:rPr>
        <w:t>，项目业主为</w:t>
      </w:r>
      <w:r>
        <w:rPr>
          <w:rFonts w:hint="eastAsia" w:ascii="宋体" w:hAnsi="宋体" w:cs="宋体"/>
          <w:szCs w:val="21"/>
          <w:u w:val="single"/>
        </w:rPr>
        <w:t>中山大学附属第一医院</w:t>
      </w:r>
      <w:r>
        <w:rPr>
          <w:rFonts w:hint="eastAsia" w:ascii="宋体" w:hAnsi="宋体" w:cs="宋体"/>
          <w:szCs w:val="21"/>
        </w:rPr>
        <w:t>，建设资金来源为</w:t>
      </w:r>
      <w:r>
        <w:rPr>
          <w:rFonts w:hint="eastAsia" w:ascii="宋体" w:hAnsi="宋体" w:cs="宋体"/>
          <w:szCs w:val="21"/>
          <w:u w:val="single"/>
        </w:rPr>
        <w:t>申请中央预算内投资、广东省及广州市黄埔区财政资金和医院筹措资金共同解决</w:t>
      </w:r>
      <w:r>
        <w:rPr>
          <w:rFonts w:hint="eastAsia" w:ascii="宋体" w:hAnsi="宋体" w:cs="宋体"/>
          <w:szCs w:val="21"/>
        </w:rPr>
        <w:t>，出资比例为</w:t>
      </w:r>
      <w:r>
        <w:rPr>
          <w:rFonts w:hint="eastAsia" w:ascii="宋体" w:hAnsi="宋体" w:cs="宋体"/>
          <w:szCs w:val="21"/>
          <w:u w:val="single"/>
        </w:rPr>
        <w:t>100%</w:t>
      </w:r>
      <w:r>
        <w:rPr>
          <w:rFonts w:hint="eastAsia" w:ascii="宋体" w:hAnsi="宋体" w:cs="宋体"/>
          <w:szCs w:val="21"/>
        </w:rPr>
        <w:t>，招标人为</w:t>
      </w:r>
      <w:r>
        <w:rPr>
          <w:rFonts w:hint="eastAsia" w:ascii="宋体" w:hAnsi="宋体" w:cs="宋体"/>
          <w:szCs w:val="21"/>
          <w:u w:val="single"/>
        </w:rPr>
        <w:t>中山大学附属第一医院</w:t>
      </w:r>
      <w:r>
        <w:rPr>
          <w:rFonts w:hint="eastAsia" w:ascii="宋体" w:hAnsi="宋体" w:cs="宋体"/>
          <w:szCs w:val="21"/>
        </w:rPr>
        <w:t>。项目已具备招标条件，现对该项目的</w:t>
      </w:r>
      <w:r>
        <w:rPr>
          <w:rFonts w:hint="eastAsia" w:ascii="宋体" w:hAnsi="宋体" w:cs="宋体"/>
          <w:szCs w:val="21"/>
          <w:u w:val="single"/>
        </w:rPr>
        <w:t>监理</w:t>
      </w:r>
      <w:r>
        <w:rPr>
          <w:rFonts w:hint="eastAsia" w:ascii="宋体" w:hAnsi="宋体" w:cs="宋体"/>
          <w:szCs w:val="21"/>
        </w:rPr>
        <w:t>进行公开招标。</w:t>
      </w:r>
    </w:p>
    <w:p>
      <w:pPr>
        <w:spacing w:line="360" w:lineRule="auto"/>
        <w:jc w:val="left"/>
        <w:outlineLvl w:val="1"/>
        <w:rPr>
          <w:rFonts w:ascii="宋体" w:hAnsi="宋体" w:cs="宋体"/>
          <w:b/>
          <w:bCs/>
          <w:kern w:val="0"/>
          <w:szCs w:val="21"/>
        </w:rPr>
      </w:pPr>
      <w:bookmarkStart w:id="7" w:name="_Toc529196505"/>
      <w:bookmarkStart w:id="8" w:name="_Toc535938696"/>
      <w:r>
        <w:rPr>
          <w:rFonts w:hint="eastAsia" w:ascii="宋体" w:hAnsi="宋体" w:cs="宋体"/>
          <w:b/>
          <w:bCs/>
          <w:kern w:val="0"/>
          <w:szCs w:val="21"/>
        </w:rPr>
        <w:t>2. 项目概况与招标范围</w:t>
      </w:r>
      <w:bookmarkEnd w:id="6"/>
      <w:bookmarkEnd w:id="7"/>
      <w:bookmarkEnd w:id="8"/>
    </w:p>
    <w:p>
      <w:pPr>
        <w:tabs>
          <w:tab w:val="left" w:pos="7513"/>
        </w:tabs>
        <w:spacing w:line="360" w:lineRule="auto"/>
        <w:ind w:firstLine="422" w:firstLineChars="200"/>
        <w:rPr>
          <w:rFonts w:ascii="宋体" w:hAnsi="宋体" w:cs="宋体"/>
          <w:b/>
          <w:szCs w:val="21"/>
        </w:rPr>
      </w:pPr>
      <w:r>
        <w:rPr>
          <w:rFonts w:hint="eastAsia" w:ascii="宋体" w:hAnsi="宋体" w:cs="宋体"/>
          <w:b/>
          <w:szCs w:val="21"/>
        </w:rPr>
        <w:t>2.1招标项目概况</w:t>
      </w:r>
    </w:p>
    <w:p>
      <w:pPr>
        <w:tabs>
          <w:tab w:val="left" w:pos="7513"/>
        </w:tabs>
        <w:spacing w:line="360" w:lineRule="auto"/>
        <w:ind w:firstLine="420" w:firstLineChars="200"/>
        <w:rPr>
          <w:rFonts w:ascii="宋体" w:hAnsi="宋体" w:cs="宋体"/>
          <w:szCs w:val="21"/>
        </w:rPr>
      </w:pPr>
      <w:r>
        <w:rPr>
          <w:rFonts w:hint="eastAsia" w:ascii="宋体" w:hAnsi="宋体" w:cs="宋体"/>
          <w:szCs w:val="21"/>
        </w:rPr>
        <w:t>2.1.1招标项目名称：</w:t>
      </w:r>
      <w:r>
        <w:rPr>
          <w:rFonts w:hint="eastAsia" w:ascii="宋体" w:hAnsi="宋体" w:cs="宋体"/>
          <w:szCs w:val="21"/>
          <w:u w:val="single"/>
        </w:rPr>
        <w:t>中山大学附属第一医院东院区改扩建工程监理服务</w:t>
      </w:r>
    </w:p>
    <w:p>
      <w:pPr>
        <w:tabs>
          <w:tab w:val="left" w:pos="7513"/>
        </w:tabs>
        <w:spacing w:line="360" w:lineRule="auto"/>
        <w:ind w:firstLine="420" w:firstLineChars="200"/>
        <w:rPr>
          <w:rFonts w:ascii="宋体" w:hAnsi="宋体"/>
          <w:szCs w:val="21"/>
          <w:u w:val="single"/>
        </w:rPr>
      </w:pPr>
      <w:r>
        <w:rPr>
          <w:rFonts w:hint="eastAsia" w:ascii="宋体" w:hAnsi="宋体" w:cs="宋体"/>
          <w:szCs w:val="21"/>
        </w:rPr>
        <w:t>2.1.2</w:t>
      </w:r>
      <w:r>
        <w:rPr>
          <w:rFonts w:hint="eastAsia" w:ascii="宋体" w:hAnsi="宋体"/>
          <w:bCs/>
          <w:szCs w:val="21"/>
        </w:rPr>
        <w:t>工程建设规模</w:t>
      </w:r>
      <w:r>
        <w:rPr>
          <w:rFonts w:hint="eastAsia" w:ascii="宋体" w:hAnsi="宋体" w:cs="宋体"/>
          <w:szCs w:val="21"/>
        </w:rPr>
        <w:t>：主要建设内容为门急诊、住院、医技、后勤辅助、停车等功能用房及相关配套设施。工程总建筑面积172,000平方米,其中，地上建筑面积116,520平方米,地下建筑面积55,480平方米。工程估算总投资220,407万元。地上22层，地下5层，最大建筑高度99.9m。</w:t>
      </w:r>
    </w:p>
    <w:p>
      <w:pPr>
        <w:tabs>
          <w:tab w:val="left" w:pos="7513"/>
        </w:tabs>
        <w:spacing w:line="360" w:lineRule="auto"/>
        <w:ind w:firstLine="420" w:firstLineChars="200"/>
        <w:rPr>
          <w:rFonts w:ascii="宋体" w:hAnsi="宋体" w:cs="宋体"/>
          <w:szCs w:val="21"/>
          <w:u w:val="single"/>
        </w:rPr>
      </w:pPr>
      <w:r>
        <w:rPr>
          <w:rFonts w:hint="eastAsia" w:ascii="宋体" w:hAnsi="宋体" w:cs="宋体"/>
          <w:szCs w:val="21"/>
        </w:rPr>
        <w:t>2.1.3工程建设地点：</w:t>
      </w:r>
      <w:r>
        <w:rPr>
          <w:rFonts w:hint="eastAsia" w:ascii="宋体" w:hAnsi="宋体" w:cs="宋体"/>
          <w:szCs w:val="21"/>
          <w:u w:val="single"/>
        </w:rPr>
        <w:t>广州市黄埔区黄埔东路183号中山大学附属第一医院东院区。</w:t>
      </w:r>
    </w:p>
    <w:p>
      <w:pPr>
        <w:tabs>
          <w:tab w:val="left" w:pos="7513"/>
        </w:tabs>
        <w:spacing w:line="360" w:lineRule="auto"/>
        <w:ind w:left="105" w:leftChars="50" w:firstLine="315" w:firstLineChars="150"/>
        <w:rPr>
          <w:rFonts w:ascii="宋体" w:hAnsi="宋体" w:cs="宋体"/>
          <w:szCs w:val="21"/>
        </w:rPr>
      </w:pPr>
      <w:r>
        <w:rPr>
          <w:rFonts w:hint="eastAsia" w:ascii="宋体" w:hAnsi="宋体"/>
          <w:szCs w:val="21"/>
        </w:rPr>
        <w:t>2.1.4建筑安装工程费：暂定工程费用189595.26万元。</w:t>
      </w:r>
    </w:p>
    <w:p>
      <w:pPr>
        <w:tabs>
          <w:tab w:val="left" w:pos="7513"/>
        </w:tabs>
        <w:spacing w:line="360" w:lineRule="auto"/>
        <w:ind w:firstLine="422" w:firstLineChars="200"/>
        <w:rPr>
          <w:rFonts w:ascii="宋体" w:hAnsi="宋体" w:cs="宋体"/>
          <w:b/>
          <w:szCs w:val="21"/>
        </w:rPr>
      </w:pPr>
      <w:r>
        <w:rPr>
          <w:rFonts w:hint="eastAsia" w:ascii="宋体" w:hAnsi="宋体" w:cs="宋体"/>
          <w:b/>
          <w:szCs w:val="21"/>
        </w:rPr>
        <w:t>2.2招标范围</w:t>
      </w:r>
    </w:p>
    <w:p>
      <w:pPr>
        <w:tabs>
          <w:tab w:val="left" w:pos="7513"/>
        </w:tabs>
        <w:adjustRightInd w:val="0"/>
        <w:snapToGrid w:val="0"/>
        <w:spacing w:line="360" w:lineRule="auto"/>
        <w:ind w:firstLine="420" w:firstLineChars="200"/>
        <w:rPr>
          <w:rFonts w:ascii="宋体" w:hAnsi="宋体" w:cs="宋体"/>
          <w:szCs w:val="21"/>
        </w:rPr>
      </w:pPr>
      <w:r>
        <w:rPr>
          <w:rFonts w:hint="eastAsia" w:ascii="宋体" w:hAnsi="宋体" w:cs="宋体"/>
          <w:szCs w:val="21"/>
        </w:rPr>
        <w:t>2.2.1</w:t>
      </w:r>
      <w:r>
        <w:rPr>
          <w:rFonts w:hint="eastAsia" w:ascii="宋体" w:hAnsi="宋体"/>
          <w:bCs/>
          <w:szCs w:val="21"/>
        </w:rPr>
        <w:t>标段划分：</w:t>
      </w:r>
      <w:r>
        <w:rPr>
          <w:rFonts w:hint="eastAsia" w:ascii="宋体" w:hAnsi="宋体"/>
          <w:szCs w:val="21"/>
          <w:u w:val="single"/>
        </w:rPr>
        <w:t>本项目设1个标段。</w:t>
      </w:r>
    </w:p>
    <w:p>
      <w:pPr>
        <w:tabs>
          <w:tab w:val="left" w:pos="7513"/>
        </w:tabs>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2.2.2监理范围：负责本项目立项（含可研）范围所有工程的内容勘察设计阶段、施工准备阶段、施工阶段、工程收尾阶段（包括隐蔽验收、竣工验收、整改、工程移交及工程结算）及工程质量保修期阶段的图纸会审、方案审核、质量控制、安全生产监督管理、投资控制、进度控制、合同管理、工程技术规范/标准落实执行、信息资料档案收集管理、组织协调等全过程监理工作</w:t>
      </w:r>
      <w:r>
        <w:rPr>
          <w:rFonts w:hint="eastAsia" w:ascii="宋体" w:hAnsi="宋体" w:cs="宋体"/>
          <w:szCs w:val="21"/>
          <w:u w:val="single"/>
        </w:rPr>
        <w:t>，包括但不限于：</w:t>
      </w:r>
    </w:p>
    <w:p>
      <w:pPr>
        <w:tabs>
          <w:tab w:val="left" w:pos="7513"/>
        </w:tabs>
        <w:adjustRightInd w:val="0"/>
        <w:snapToGrid w:val="0"/>
        <w:spacing w:line="360" w:lineRule="auto"/>
        <w:ind w:firstLine="420" w:firstLineChars="200"/>
        <w:rPr>
          <w:rFonts w:ascii="宋体" w:hAnsi="宋体" w:cs="宋体"/>
          <w:szCs w:val="21"/>
          <w:u w:val="single"/>
        </w:rPr>
      </w:pPr>
      <w:r>
        <w:rPr>
          <w:rFonts w:hint="eastAsia" w:ascii="宋体" w:hAnsi="宋体" w:cs="宋体"/>
          <w:szCs w:val="21"/>
          <w:u w:val="single"/>
        </w:rPr>
        <w:t>①计划及统筹管理：统筹及协调项目各层面、各参建单位、各项工作的关系；编制项目总控计划，经委托人审定后，跟踪项目总控计划实时情况；如计划出现偏差，分析偏差原因，提出解决方案报委托人审批。</w:t>
      </w:r>
    </w:p>
    <w:p>
      <w:pPr>
        <w:tabs>
          <w:tab w:val="left" w:pos="7513"/>
        </w:tabs>
        <w:adjustRightInd w:val="0"/>
        <w:snapToGrid w:val="0"/>
        <w:spacing w:line="360" w:lineRule="auto"/>
        <w:ind w:firstLine="420" w:firstLineChars="200"/>
        <w:rPr>
          <w:rFonts w:ascii="宋体" w:hAnsi="宋体" w:cs="宋体"/>
          <w:szCs w:val="21"/>
          <w:u w:val="single"/>
        </w:rPr>
      </w:pPr>
      <w:r>
        <w:rPr>
          <w:rFonts w:hint="eastAsia" w:ascii="宋体" w:hAnsi="宋体" w:cs="宋体"/>
          <w:szCs w:val="21"/>
          <w:u w:val="single"/>
        </w:rPr>
        <w:t>②配合委托人组织设计施工总承包单位完成工程开工及验收所需的各项报监、报建、报验手续。</w:t>
      </w:r>
    </w:p>
    <w:p>
      <w:pPr>
        <w:tabs>
          <w:tab w:val="left" w:pos="7513"/>
        </w:tabs>
        <w:adjustRightInd w:val="0"/>
        <w:snapToGrid w:val="0"/>
        <w:spacing w:line="360" w:lineRule="auto"/>
        <w:ind w:firstLine="420" w:firstLineChars="200"/>
        <w:rPr>
          <w:rFonts w:ascii="宋体" w:hAnsi="宋体" w:cs="宋体"/>
          <w:szCs w:val="21"/>
          <w:u w:val="single"/>
        </w:rPr>
      </w:pPr>
      <w:r>
        <w:rPr>
          <w:rFonts w:hint="eastAsia" w:ascii="宋体" w:hAnsi="宋体" w:cs="宋体"/>
          <w:szCs w:val="21"/>
          <w:u w:val="single"/>
        </w:rPr>
        <w:t>③对工程勘察设计质量、进度、投资控制、合同、信息管理等进行全过程管理，协助委托人制定勘察设计管理工作各项制度，明确勘察、设计管理的工作目标、管理模式、管理方法等，使工程项目建设达到预期的质量、工期和经济目标；参与设计方案评审或专家论证会，提供相关优化意见，跟踪方案设计优化意见的落实及修改情况，并跟进设计工作进度。</w:t>
      </w:r>
    </w:p>
    <w:p>
      <w:pPr>
        <w:tabs>
          <w:tab w:val="left" w:pos="7513"/>
        </w:tabs>
        <w:adjustRightInd w:val="0"/>
        <w:snapToGrid w:val="0"/>
        <w:spacing w:line="360" w:lineRule="auto"/>
        <w:ind w:firstLine="420" w:firstLineChars="200"/>
        <w:rPr>
          <w:rFonts w:ascii="宋体" w:hAnsi="宋体" w:cs="宋体"/>
          <w:szCs w:val="21"/>
          <w:u w:val="single"/>
        </w:rPr>
      </w:pPr>
      <w:r>
        <w:rPr>
          <w:rFonts w:hint="eastAsia" w:ascii="宋体" w:hAnsi="宋体" w:cs="宋体"/>
          <w:szCs w:val="21"/>
          <w:u w:val="single"/>
        </w:rPr>
        <w:t>④按委托人的要求提前进场参与开工前期的准备和筹划工作，协助委托人制定各项工程管理办法及制度。</w:t>
      </w:r>
    </w:p>
    <w:p>
      <w:pPr>
        <w:tabs>
          <w:tab w:val="left" w:pos="7513"/>
        </w:tabs>
        <w:adjustRightInd w:val="0"/>
        <w:snapToGrid w:val="0"/>
        <w:spacing w:line="360" w:lineRule="auto"/>
        <w:ind w:firstLine="420" w:firstLineChars="200"/>
        <w:rPr>
          <w:rFonts w:ascii="宋体" w:hAnsi="宋体" w:cs="宋体"/>
          <w:szCs w:val="21"/>
          <w:u w:val="single"/>
        </w:rPr>
      </w:pPr>
      <w:r>
        <w:rPr>
          <w:rFonts w:hint="eastAsia" w:ascii="宋体" w:hAnsi="宋体" w:cs="宋体"/>
          <w:szCs w:val="21"/>
          <w:u w:val="single"/>
        </w:rPr>
        <w:t>⑤为工程建设各项内容实施提供监理（含项目管理）服务，包括但不限于以下内容：原建筑物拆除工程、勘察工程、超前钻（如有）工程旁站监理，施工准备阶段、施工阶段、工程收尾阶段（包括但不限于竣工验收、整改、工程移交、工程结算等）、工程质量保修阶段的质量控制、职业健康安全及环境监督管理、投资控制、进度控制、合同管理、信息管理、组织协调、设备监造以及协调委托人和工程建设有关各方的工作关系等。</w:t>
      </w:r>
    </w:p>
    <w:p>
      <w:pPr>
        <w:tabs>
          <w:tab w:val="left" w:pos="7513"/>
        </w:tabs>
        <w:adjustRightInd w:val="0"/>
        <w:snapToGrid w:val="0"/>
        <w:spacing w:line="360" w:lineRule="auto"/>
        <w:ind w:firstLine="420" w:firstLineChars="200"/>
        <w:rPr>
          <w:rFonts w:ascii="宋体" w:hAnsi="宋体" w:cs="宋体"/>
          <w:szCs w:val="21"/>
          <w:u w:val="single"/>
        </w:rPr>
      </w:pPr>
      <w:r>
        <w:rPr>
          <w:rFonts w:hint="eastAsia" w:ascii="宋体" w:hAnsi="宋体" w:cs="宋体"/>
          <w:szCs w:val="21"/>
          <w:u w:val="single"/>
        </w:rPr>
        <w:t>⑥督促并检查设计施工总承包单位运用BIM技术完成相关工作（包括各专业模型创建及深化、管线综合、场地布置模拟、材料设备工程量统计等）并收集相关应用成果；督促设计施工总承包单位在项目不同阶段基于各BIM模型进行可视化交底、施工；监督设计施工总承包单位对BIM模型进行实时更新与维护，准确反映施工实际情况；根据项目实际进度等情况制定BIM实施计划并实时调整，为项目部署BIM工作和制定BIM工作决策向委托人提供建议和参考。监督设计施工总承包单位在安全文明施工和智慧工地充分应用BIM技术。协助委托人对BIM应用成果进行验收；督促设计施工总承包单位按要求提交模型、资料等，并负责归档。</w:t>
      </w:r>
    </w:p>
    <w:p>
      <w:pPr>
        <w:tabs>
          <w:tab w:val="left" w:pos="7513"/>
        </w:tabs>
        <w:adjustRightInd w:val="0"/>
        <w:snapToGrid w:val="0"/>
        <w:spacing w:line="360" w:lineRule="auto"/>
        <w:ind w:firstLine="420" w:firstLineChars="200"/>
        <w:rPr>
          <w:rFonts w:ascii="宋体" w:hAnsi="宋体" w:cs="宋体"/>
          <w:szCs w:val="21"/>
        </w:rPr>
      </w:pPr>
      <w:r>
        <w:rPr>
          <w:rFonts w:hint="eastAsia" w:ascii="宋体" w:hAnsi="宋体" w:cs="宋体"/>
          <w:szCs w:val="21"/>
        </w:rPr>
        <w:t>2.2.3监理服务期限：</w:t>
      </w:r>
    </w:p>
    <w:p>
      <w:pPr>
        <w:tabs>
          <w:tab w:val="left" w:pos="7513"/>
        </w:tabs>
        <w:adjustRightInd w:val="0"/>
        <w:snapToGrid w:val="0"/>
        <w:spacing w:line="360" w:lineRule="auto"/>
        <w:ind w:firstLine="420" w:firstLineChars="200"/>
        <w:rPr>
          <w:rFonts w:ascii="宋体" w:hAnsi="宋体"/>
          <w:szCs w:val="21"/>
          <w:u w:val="single"/>
        </w:rPr>
      </w:pPr>
      <w:r>
        <w:rPr>
          <w:rFonts w:hint="eastAsia" w:ascii="宋体" w:hAnsi="宋体"/>
          <w:szCs w:val="21"/>
          <w:u w:val="single"/>
        </w:rPr>
        <w:t>监理（含项目管理）服务期从中标人完成合同签订后或参加由招标人组织的进场会开始起算，至本项目工程质量保修期届满且项目竣工结算完成时止，包括项目的勘察阶段、设计阶段、施工准备阶段、施工阶段、工程收尾阶段、竣工结算阶段、工程交付阶段等全过程监理（含项目管理）服务。</w:t>
      </w:r>
    </w:p>
    <w:p>
      <w:pPr>
        <w:tabs>
          <w:tab w:val="left" w:pos="7513"/>
        </w:tabs>
        <w:adjustRightInd w:val="0"/>
        <w:snapToGrid w:val="0"/>
        <w:spacing w:line="360" w:lineRule="auto"/>
        <w:ind w:firstLine="420" w:firstLineChars="200"/>
        <w:rPr>
          <w:rFonts w:ascii="宋体" w:hAnsi="宋体"/>
          <w:szCs w:val="21"/>
          <w:u w:val="single"/>
        </w:rPr>
      </w:pPr>
      <w:r>
        <w:rPr>
          <w:rFonts w:hint="eastAsia" w:ascii="宋体" w:hAnsi="宋体"/>
          <w:szCs w:val="21"/>
          <w:u w:val="single"/>
        </w:rPr>
        <w:t>监理服务期内，监理人的项目总监、专业监理工程师、专职安全员、资料员须在工程现场开展监理服务工作。</w:t>
      </w:r>
    </w:p>
    <w:p>
      <w:pPr>
        <w:tabs>
          <w:tab w:val="left" w:pos="7513"/>
        </w:tabs>
        <w:adjustRightInd w:val="0"/>
        <w:snapToGrid w:val="0"/>
        <w:spacing w:line="360" w:lineRule="auto"/>
        <w:ind w:firstLine="422" w:firstLineChars="200"/>
        <w:rPr>
          <w:rFonts w:ascii="宋体" w:hAnsi="宋体" w:cs="宋体"/>
          <w:b/>
          <w:szCs w:val="21"/>
          <w:u w:val="single"/>
        </w:rPr>
      </w:pPr>
      <w:r>
        <w:rPr>
          <w:rFonts w:hint="eastAsia" w:ascii="宋体" w:hAnsi="宋体" w:cs="宋体"/>
          <w:b/>
          <w:szCs w:val="21"/>
        </w:rPr>
        <w:t>2.3</w:t>
      </w:r>
      <w:r>
        <w:rPr>
          <w:rFonts w:hint="eastAsia" w:ascii="宋体" w:hAnsi="宋体" w:cs="宋体"/>
          <w:b/>
          <w:szCs w:val="21"/>
          <w:u w:val="single"/>
        </w:rPr>
        <w:t>最高投标限价：2380.11万元</w:t>
      </w:r>
    </w:p>
    <w:p>
      <w:pPr>
        <w:spacing w:line="360" w:lineRule="auto"/>
        <w:jc w:val="left"/>
        <w:outlineLvl w:val="1"/>
        <w:rPr>
          <w:rFonts w:ascii="宋体" w:hAnsi="宋体" w:cs="宋体"/>
          <w:b/>
          <w:bCs/>
          <w:kern w:val="0"/>
          <w:szCs w:val="21"/>
        </w:rPr>
      </w:pPr>
      <w:bookmarkStart w:id="9" w:name="_Toc511557027"/>
      <w:bookmarkStart w:id="10" w:name="_Toc529196506"/>
      <w:bookmarkStart w:id="11" w:name="_Toc535938697"/>
      <w:r>
        <w:rPr>
          <w:rFonts w:hint="eastAsia" w:ascii="宋体" w:hAnsi="宋体" w:cs="宋体"/>
          <w:b/>
          <w:bCs/>
          <w:kern w:val="0"/>
          <w:szCs w:val="21"/>
        </w:rPr>
        <w:t>3. 投标人资格要求</w:t>
      </w:r>
      <w:bookmarkEnd w:id="9"/>
      <w:bookmarkEnd w:id="10"/>
      <w:bookmarkEnd w:id="11"/>
    </w:p>
    <w:p>
      <w:pPr>
        <w:spacing w:line="360" w:lineRule="auto"/>
        <w:ind w:firstLine="420" w:firstLineChars="200"/>
        <w:rPr>
          <w:rFonts w:ascii="宋体" w:hAnsi="宋体" w:cs="楷体"/>
          <w:szCs w:val="21"/>
          <w:u w:val="single"/>
        </w:rPr>
      </w:pPr>
      <w:r>
        <w:rPr>
          <w:rFonts w:hint="eastAsia" w:ascii="宋体" w:hAnsi="宋体" w:cs="宋体"/>
          <w:szCs w:val="21"/>
        </w:rPr>
        <w:t>3.1投标人须具备建设行政主管部门颁发的工程监理</w:t>
      </w:r>
      <w:r>
        <w:rPr>
          <w:rFonts w:hint="eastAsia" w:ascii="宋体" w:hAnsi="宋体" w:cs="宋体"/>
          <w:szCs w:val="21"/>
          <w:u w:val="single"/>
        </w:rPr>
        <w:t>综合资质或房屋建筑工程监理专业甲级资质</w:t>
      </w:r>
      <w:r>
        <w:rPr>
          <w:rFonts w:hint="eastAsia" w:ascii="宋体" w:hAnsi="宋体" w:cs="宋体"/>
          <w:szCs w:val="21"/>
        </w:rPr>
        <w:t>；</w:t>
      </w:r>
      <w:r>
        <w:rPr>
          <w:rFonts w:hint="eastAsia" w:ascii="宋体" w:hAnsi="宋体" w:cs="楷体"/>
          <w:szCs w:val="21"/>
          <w:u w:val="single"/>
        </w:rPr>
        <w:t>香港企业参加投标的，须在广东省住房和城乡建设主管部门备案且备案的业务范围满足本项目资质要求。</w:t>
      </w:r>
    </w:p>
    <w:p>
      <w:pPr>
        <w:spacing w:line="360" w:lineRule="auto"/>
        <w:ind w:firstLine="420" w:firstLineChars="200"/>
        <w:rPr>
          <w:rFonts w:ascii="宋体" w:hAnsi="宋体" w:cs="楷体"/>
          <w:szCs w:val="21"/>
          <w:u w:val="single"/>
        </w:rPr>
      </w:pPr>
      <w:r>
        <w:rPr>
          <w:rFonts w:hint="eastAsia" w:ascii="宋体" w:hAnsi="宋体" w:cs="楷体"/>
          <w:szCs w:val="21"/>
          <w:u w:val="single"/>
        </w:rPr>
        <w:t>注：资质证书有效期按《住房和城乡建设部办公厅关于建设工程企业资质延续有关事项的通知》（建办市函〔2020〕334号）、《住房和城乡建设部建筑市场监管司关于建设工程企业资质有效期延期的通知》（建司局函市〔2020〕38号）、《广东省住房和城乡建设厅关于建设工程企业资质延续有关事项的通知》（粤建许函〔2020〕298号）、《广州市住房和城乡建设局关于建设工程企业资质有效期顺延的通知》（穗建审批〔2020〕295号）执行和《住房和城乡建设部办公厅关于做好建筑业“证照分离”改革衔接有关工作的通知》（建办市〔2021〕30号）执行。</w:t>
      </w:r>
    </w:p>
    <w:p>
      <w:pPr>
        <w:spacing w:line="360" w:lineRule="auto"/>
        <w:ind w:firstLine="420" w:firstLineChars="200"/>
        <w:rPr>
          <w:rFonts w:ascii="宋体" w:hAnsi="宋体" w:cs="宋体"/>
          <w:szCs w:val="21"/>
        </w:rPr>
      </w:pPr>
      <w:r>
        <w:rPr>
          <w:rFonts w:hint="eastAsia" w:ascii="宋体" w:hAnsi="宋体" w:cs="宋体"/>
          <w:szCs w:val="21"/>
        </w:rPr>
        <w:t>3.2投标人自2020年1月1日至今完成过质量合格的类似工程业绩（类似工程是指第3.1点所述资质方能承接的房屋建筑工程监理业绩）。需同时提供中标通知书或免招标的相关证明、监理服务合同、竣工验收报告或竣工验收证明（竣工验收报告或竣工验收证明至少包含建设单位、设计单位、施工单位、监理单位四方主体盖章，否则不予以认可），业绩时间以竣工验收报告或竣工验收证明出具时间为准；</w:t>
      </w:r>
    </w:p>
    <w:p>
      <w:pPr>
        <w:spacing w:line="360" w:lineRule="auto"/>
        <w:ind w:firstLine="420" w:firstLineChars="200"/>
        <w:rPr>
          <w:rFonts w:ascii="宋体" w:hAnsi="宋体" w:cs="宋体"/>
          <w:szCs w:val="21"/>
        </w:rPr>
      </w:pPr>
      <w:r>
        <w:rPr>
          <w:rFonts w:hint="eastAsia" w:ascii="宋体" w:hAnsi="宋体" w:cs="宋体"/>
          <w:szCs w:val="21"/>
        </w:rPr>
        <w:t>3.3本次招标</w:t>
      </w:r>
      <w:r>
        <w:rPr>
          <w:rFonts w:hint="eastAsia" w:ascii="宋体" w:hAnsi="宋体" w:cs="宋体"/>
          <w:szCs w:val="21"/>
          <w:u w:val="single"/>
        </w:rPr>
        <w:t xml:space="preserve"> 不接受 </w:t>
      </w:r>
      <w:r>
        <w:rPr>
          <w:rFonts w:hint="eastAsia" w:ascii="宋体" w:hAnsi="宋体" w:cs="宋体"/>
          <w:szCs w:val="21"/>
        </w:rPr>
        <w:t>联合体投标。</w:t>
      </w:r>
    </w:p>
    <w:p>
      <w:pPr>
        <w:spacing w:line="360" w:lineRule="auto"/>
        <w:ind w:firstLine="371" w:firstLineChars="177"/>
        <w:rPr>
          <w:rFonts w:ascii="宋体" w:hAnsi="宋体" w:cs="楷体"/>
          <w:szCs w:val="21"/>
          <w:u w:val="single"/>
        </w:rPr>
      </w:pPr>
      <w:r>
        <w:rPr>
          <w:rFonts w:hint="eastAsia" w:ascii="宋体" w:hAnsi="宋体" w:cs="宋体"/>
          <w:szCs w:val="21"/>
        </w:rPr>
        <w:t>3.4拟派项目总监理工程师须具有建设部2006年4月1日后颁发的中华人民共和国注册监理工程师注册执业证书，且其注册专业为</w:t>
      </w:r>
      <w:r>
        <w:rPr>
          <w:rFonts w:hint="eastAsia" w:ascii="宋体" w:hAnsi="宋体" w:cs="宋体"/>
          <w:szCs w:val="21"/>
          <w:u w:val="single"/>
        </w:rPr>
        <w:t>房屋建筑工程</w:t>
      </w:r>
      <w:r>
        <w:rPr>
          <w:rFonts w:hint="eastAsia" w:ascii="宋体" w:hAnsi="宋体" w:cs="宋体"/>
          <w:szCs w:val="21"/>
        </w:rPr>
        <w:t>，注册执业单位为本公司，并具备本科或以上学历</w:t>
      </w:r>
      <w:r>
        <w:rPr>
          <w:rFonts w:hint="eastAsia" w:ascii="宋体" w:hAnsi="宋体" w:cs="宋体"/>
          <w:kern w:val="0"/>
          <w:szCs w:val="21"/>
        </w:rPr>
        <w:t>；</w:t>
      </w:r>
      <w:r>
        <w:rPr>
          <w:rFonts w:hint="eastAsia" w:ascii="宋体" w:hAnsi="宋体" w:cs="楷体"/>
          <w:szCs w:val="21"/>
          <w:u w:val="single"/>
        </w:rPr>
        <w:t>或在广东省住房和城乡建设主管部门备案且备案的资格满足本项目总监理工程师资格要求的香港专业人士。注：依据《广东省住房和城乡建设厅关于印发香港工程建设咨询企业和专业人士在粤港澳大湾区内地城市开业执业试点管理暂行办法的通知》（粤建规范〔2020〕1号，详见链接：http://zfcxjst.gd.gov.cn/xxgk/wjtz/content/post_3137220.html），自2021年1月1日起，经备案且备案的业务范围满足招标文件要求的香港企业参加勘察、设计和监理项目的投标，允许经备案且备案的业务范围满足招标文件要求的香港专业人士担任勘察、设计和监理项目管理团队中的相应职务。满足前述内容的香港企业及香港专业人士参与本次投标的，应按招标文件要求提供满足评审的相关证明文件。</w:t>
      </w:r>
    </w:p>
    <w:p>
      <w:pPr>
        <w:spacing w:line="360" w:lineRule="auto"/>
        <w:ind w:firstLine="420" w:firstLineChars="200"/>
        <w:rPr>
          <w:rFonts w:ascii="宋体" w:hAnsi="宋体" w:cs="宋体"/>
          <w:szCs w:val="21"/>
        </w:rPr>
      </w:pPr>
      <w:r>
        <w:rPr>
          <w:rFonts w:hint="eastAsia" w:ascii="宋体" w:hAnsi="宋体" w:cs="宋体"/>
          <w:szCs w:val="21"/>
        </w:rPr>
        <w:t>3.5其他要求：</w:t>
      </w:r>
    </w:p>
    <w:p>
      <w:pPr>
        <w:spacing w:line="360" w:lineRule="auto"/>
        <w:ind w:firstLine="420" w:firstLineChars="200"/>
        <w:rPr>
          <w:rFonts w:ascii="宋体" w:hAnsi="宋体" w:cs="宋体"/>
          <w:szCs w:val="21"/>
          <w:u w:val="single"/>
        </w:rPr>
      </w:pPr>
      <w:r>
        <w:rPr>
          <w:rFonts w:hint="eastAsia" w:ascii="宋体" w:hAnsi="宋体" w:cs="宋体"/>
          <w:szCs w:val="21"/>
          <w:u w:val="single"/>
        </w:rPr>
        <w:t>①投标人参加投标的意思表达清楚，投标人代表被授权有效。</w:t>
      </w:r>
    </w:p>
    <w:p>
      <w:pPr>
        <w:spacing w:line="360" w:lineRule="auto"/>
        <w:ind w:firstLine="420" w:firstLineChars="200"/>
        <w:rPr>
          <w:rFonts w:ascii="宋体" w:hAnsi="宋体" w:cs="宋体"/>
          <w:szCs w:val="21"/>
          <w:u w:val="single"/>
        </w:rPr>
      </w:pPr>
      <w:r>
        <w:rPr>
          <w:rFonts w:hint="eastAsia" w:ascii="宋体" w:hAnsi="宋体" w:cs="宋体"/>
          <w:szCs w:val="21"/>
          <w:u w:val="single"/>
        </w:rPr>
        <w:t>②投标人均具有独立法人资格，持有工商行政管理部门核发的法人营业执照，按国家法律经营。</w:t>
      </w:r>
    </w:p>
    <w:p>
      <w:pPr>
        <w:spacing w:line="360" w:lineRule="auto"/>
        <w:ind w:firstLine="420" w:firstLineChars="200"/>
        <w:rPr>
          <w:rFonts w:ascii="宋体" w:hAnsi="宋体" w:cs="宋体"/>
          <w:szCs w:val="21"/>
          <w:u w:val="single"/>
        </w:rPr>
      </w:pPr>
      <w:r>
        <w:rPr>
          <w:rFonts w:hint="eastAsia" w:ascii="宋体" w:hAnsi="宋体" w:cs="宋体"/>
          <w:szCs w:val="21"/>
          <w:u w:val="single"/>
        </w:rPr>
        <w:t>③投标人已按规定格式签名盖章《投标人声明》（详见招标公告附件一）。</w:t>
      </w:r>
    </w:p>
    <w:p>
      <w:pPr>
        <w:spacing w:line="360" w:lineRule="auto"/>
        <w:ind w:firstLine="420" w:firstLineChars="200"/>
        <w:rPr>
          <w:rFonts w:ascii="宋体" w:hAnsi="宋体" w:cs="宋体"/>
          <w:szCs w:val="21"/>
          <w:u w:val="single"/>
        </w:rPr>
      </w:pPr>
      <w:r>
        <w:rPr>
          <w:rFonts w:hint="eastAsia" w:ascii="宋体" w:hAnsi="宋体" w:cs="宋体"/>
          <w:szCs w:val="21"/>
          <w:u w:val="single"/>
        </w:rPr>
        <w:t>④投标人在广州市住房和城乡建设局建立了企业信用档案，且拟担任本项目的总监理工程师是本企业信用档案中的在册人员。</w:t>
      </w:r>
    </w:p>
    <w:p>
      <w:pPr>
        <w:spacing w:line="360" w:lineRule="auto"/>
        <w:ind w:firstLine="420" w:firstLineChars="200"/>
        <w:rPr>
          <w:rFonts w:ascii="宋体" w:hAnsi="宋体" w:cs="楷体"/>
          <w:szCs w:val="21"/>
          <w:u w:val="single"/>
        </w:rPr>
      </w:pPr>
      <w:r>
        <w:rPr>
          <w:rFonts w:hint="eastAsia" w:ascii="宋体" w:hAnsi="宋体" w:cs="宋体"/>
          <w:szCs w:val="21"/>
          <w:u w:val="single"/>
        </w:rPr>
        <w:t>⑤</w:t>
      </w:r>
      <w:r>
        <w:rPr>
          <w:rFonts w:hint="eastAsia" w:ascii="宋体" w:hAnsi="宋体" w:cs="楷体"/>
          <w:szCs w:val="21"/>
          <w:u w:val="single"/>
        </w:rPr>
        <w:t>投标人未出现以下情形：与其它投标人的单位负责人为同一人或者存在控股、管理关系的（按投标人提供的《投标人声明》第六条内容进行评审）。如不同投标申请人出现单位负责人为同一人或者存在控股、管理关系的情形，则相关投标均无效。</w:t>
      </w:r>
    </w:p>
    <w:p>
      <w:pPr>
        <w:spacing w:line="360" w:lineRule="auto"/>
        <w:ind w:firstLine="420" w:firstLineChars="200"/>
        <w:rPr>
          <w:rFonts w:ascii="宋体" w:hAnsi="宋体" w:cs="宋体"/>
          <w:szCs w:val="21"/>
          <w:u w:val="single"/>
        </w:rPr>
      </w:pPr>
      <w:r>
        <w:rPr>
          <w:rFonts w:hint="eastAsia" w:ascii="宋体" w:hAnsi="宋体" w:cs="宋体"/>
          <w:szCs w:val="21"/>
          <w:u w:val="single"/>
        </w:rPr>
        <w:t>⑥未被列入拖欠农民工工资失信联合惩戒对象名单（投标人无需提供资料，按交易系统比对的结果进行评审）。</w:t>
      </w:r>
    </w:p>
    <w:p>
      <w:pPr>
        <w:spacing w:line="360" w:lineRule="auto"/>
        <w:jc w:val="left"/>
        <w:outlineLvl w:val="1"/>
        <w:rPr>
          <w:rFonts w:ascii="宋体" w:hAnsi="宋体" w:cs="宋体"/>
          <w:b/>
          <w:bCs/>
          <w:kern w:val="0"/>
          <w:szCs w:val="21"/>
        </w:rPr>
      </w:pPr>
      <w:bookmarkStart w:id="12" w:name="_Toc535938699"/>
      <w:r>
        <w:rPr>
          <w:rFonts w:hint="eastAsia" w:ascii="宋体" w:hAnsi="宋体" w:cs="宋体"/>
          <w:b/>
          <w:bCs/>
          <w:kern w:val="0"/>
          <w:szCs w:val="21"/>
        </w:rPr>
        <w:t>4.招标文件的获取</w:t>
      </w:r>
    </w:p>
    <w:p>
      <w:pPr>
        <w:spacing w:line="360" w:lineRule="auto"/>
        <w:ind w:firstLine="420" w:firstLineChars="200"/>
        <w:rPr>
          <w:rFonts w:ascii="宋体" w:hAnsi="宋体" w:cs="宋体"/>
          <w:szCs w:val="21"/>
        </w:rPr>
      </w:pPr>
      <w:bookmarkStart w:id="13" w:name="_Toc514099628"/>
      <w:bookmarkStart w:id="14" w:name="_Toc3471142"/>
      <w:r>
        <w:rPr>
          <w:rFonts w:hint="eastAsia" w:ascii="宋体" w:hAnsi="宋体" w:cs="宋体"/>
          <w:szCs w:val="21"/>
        </w:rPr>
        <w:t>4.1凡有意参加投标者，请于年月日时分至年月日时分(北京时间，下同)，登录广州公共资源交易中心网站（http://ggzy.gz.gov.cn）</w:t>
      </w:r>
      <w:r>
        <w:rPr>
          <w:rFonts w:hint="eastAsia" w:ascii="宋体" w:hAnsi="宋体"/>
          <w:szCs w:val="21"/>
        </w:rPr>
        <w:t>下载电子招标文件。</w:t>
      </w:r>
    </w:p>
    <w:p>
      <w:pPr>
        <w:spacing w:line="360" w:lineRule="auto"/>
        <w:ind w:firstLine="420" w:firstLineChars="200"/>
        <w:rPr>
          <w:rFonts w:ascii="宋体" w:hAnsi="宋体" w:cs="宋体"/>
          <w:szCs w:val="21"/>
        </w:rPr>
      </w:pPr>
      <w:bookmarkStart w:id="15" w:name="_Toc511557030"/>
      <w:r>
        <w:rPr>
          <w:rFonts w:hint="eastAsia" w:ascii="宋体" w:hAnsi="宋体" w:cs="宋体"/>
          <w:szCs w:val="21"/>
        </w:rPr>
        <w:t>4.2 发布招标公告时间（含本日）：年月日时分至年月日时分。</w:t>
      </w:r>
    </w:p>
    <w:p>
      <w:pPr>
        <w:spacing w:line="360" w:lineRule="auto"/>
        <w:ind w:firstLine="420" w:firstLineChars="200"/>
        <w:rPr>
          <w:rFonts w:ascii="宋体" w:hAnsi="宋体" w:cs="宋体"/>
          <w:szCs w:val="21"/>
        </w:rPr>
      </w:pPr>
      <w:r>
        <w:rPr>
          <w:rFonts w:hint="eastAsia" w:ascii="宋体" w:hAnsi="宋体" w:cs="宋体"/>
          <w:szCs w:val="21"/>
        </w:rPr>
        <w:t>注：发布招标公告的时间为招标公告发出之日起至递交投标文件截止时间止。</w:t>
      </w:r>
    </w:p>
    <w:p>
      <w:pPr>
        <w:spacing w:line="360" w:lineRule="auto"/>
        <w:ind w:firstLine="420" w:firstLineChars="200"/>
        <w:rPr>
          <w:rFonts w:ascii="宋体" w:hAnsi="宋体" w:cs="宋体"/>
          <w:szCs w:val="21"/>
        </w:rPr>
      </w:pPr>
      <w:r>
        <w:rPr>
          <w:rFonts w:hint="eastAsia" w:ascii="宋体" w:hAnsi="宋体" w:cs="宋体"/>
          <w:szCs w:val="21"/>
        </w:rPr>
        <w:t>4.2.1投标人通过广州公共资源交易中心交易平台递交电子投标文件。投标人应在递交投标文件截止时间前，登录广州公共资源交易中心交易平台网站办理网上投标登记手续。按照交易平台关于全流程电子化项目的相关指南进行操作。详见：广州公共资源交易中心网站。</w:t>
      </w:r>
    </w:p>
    <w:p>
      <w:pPr>
        <w:spacing w:line="360" w:lineRule="auto"/>
        <w:ind w:firstLine="420" w:firstLineChars="200"/>
        <w:rPr>
          <w:rFonts w:ascii="宋体" w:hAnsi="宋体" w:cs="宋体"/>
          <w:szCs w:val="21"/>
        </w:rPr>
      </w:pPr>
      <w:r>
        <w:rPr>
          <w:rFonts w:ascii="宋体" w:hAnsi="宋体"/>
          <w:szCs w:val="21"/>
        </w:rPr>
        <w:t>注：在投标登记时，投标人应按本项目招标文件第</w:t>
      </w:r>
      <w:r>
        <w:rPr>
          <w:rFonts w:hint="eastAsia" w:ascii="宋体" w:hAnsi="宋体"/>
          <w:szCs w:val="21"/>
        </w:rPr>
        <w:t>三</w:t>
      </w:r>
      <w:r>
        <w:rPr>
          <w:rFonts w:ascii="宋体" w:hAnsi="宋体"/>
          <w:szCs w:val="21"/>
        </w:rPr>
        <w:t>章</w:t>
      </w:r>
      <w:r>
        <w:rPr>
          <w:rFonts w:hint="eastAsia" w:ascii="宋体" w:hAnsi="宋体"/>
          <w:szCs w:val="21"/>
        </w:rPr>
        <w:t>附表：</w:t>
      </w:r>
      <w:r>
        <w:rPr>
          <w:rFonts w:ascii="宋体" w:hAnsi="宋体"/>
          <w:szCs w:val="21"/>
        </w:rPr>
        <w:t>《项目监理人员组成配备要求表》中的人员配备要求在交易系统中填写《监理项目管理团队人员信息表》（详见招标公告附件</w:t>
      </w:r>
      <w:r>
        <w:rPr>
          <w:rFonts w:hint="eastAsia" w:ascii="宋体" w:hAnsi="宋体"/>
          <w:szCs w:val="21"/>
        </w:rPr>
        <w:t>二</w:t>
      </w:r>
      <w:r>
        <w:rPr>
          <w:rFonts w:ascii="宋体" w:hAnsi="宋体"/>
          <w:szCs w:val="21"/>
        </w:rPr>
        <w:t>），表中的项目管理团队人员信息作为投标文件的一部分，将由交易系统提取后供各相关单位在中标人履约时进行比对、查核。</w:t>
      </w:r>
    </w:p>
    <w:p>
      <w:pPr>
        <w:spacing w:line="360" w:lineRule="auto"/>
        <w:ind w:firstLine="420" w:firstLineChars="200"/>
        <w:rPr>
          <w:rFonts w:ascii="宋体" w:hAnsi="宋体" w:cs="宋体"/>
          <w:szCs w:val="21"/>
        </w:rPr>
      </w:pPr>
      <w:r>
        <w:rPr>
          <w:rFonts w:hint="eastAsia" w:ascii="宋体" w:hAnsi="宋体" w:cs="宋体"/>
          <w:szCs w:val="21"/>
        </w:rPr>
        <w:t>4.2.2开标时间：年月日时分。</w:t>
      </w:r>
    </w:p>
    <w:p>
      <w:pPr>
        <w:spacing w:line="360" w:lineRule="auto"/>
        <w:ind w:firstLine="420" w:firstLineChars="200"/>
        <w:rPr>
          <w:rFonts w:ascii="宋体" w:hAnsi="宋体" w:cs="宋体"/>
          <w:szCs w:val="21"/>
        </w:rPr>
      </w:pPr>
      <w:r>
        <w:rPr>
          <w:rFonts w:hint="eastAsia" w:ascii="宋体" w:hAnsi="宋体" w:cs="宋体"/>
          <w:szCs w:val="21"/>
        </w:rPr>
        <w:t>4.3 本项目采用资格后审方式。</w:t>
      </w:r>
    </w:p>
    <w:p>
      <w:pPr>
        <w:spacing w:line="360" w:lineRule="auto"/>
        <w:ind w:firstLine="420" w:firstLineChars="200"/>
        <w:rPr>
          <w:rFonts w:ascii="宋体" w:hAnsi="宋体" w:cs="宋体"/>
          <w:szCs w:val="21"/>
        </w:rPr>
      </w:pPr>
      <w:r>
        <w:rPr>
          <w:rFonts w:hint="eastAsia" w:ascii="宋体" w:hAnsi="宋体" w:cs="宋体"/>
          <w:szCs w:val="21"/>
        </w:rPr>
        <w:t>注：（1）电子招投标操作流程详见广州公共资源交易中心网站发布的最新版操作指引。</w:t>
      </w:r>
    </w:p>
    <w:p>
      <w:pPr>
        <w:spacing w:line="360" w:lineRule="auto"/>
        <w:ind w:firstLine="707" w:firstLineChars="337"/>
        <w:rPr>
          <w:rFonts w:ascii="宋体" w:hAnsi="宋体" w:cs="宋体"/>
          <w:szCs w:val="21"/>
        </w:rPr>
      </w:pPr>
      <w:bookmarkStart w:id="16" w:name="_Toc27470_WPSOffice_Level3"/>
      <w:r>
        <w:rPr>
          <w:rFonts w:hint="eastAsia" w:ascii="宋体" w:hAnsi="宋体" w:cs="宋体"/>
          <w:szCs w:val="21"/>
        </w:rPr>
        <w:t>（2）本公告发布之日起开始计算备标时间。</w:t>
      </w:r>
      <w:bookmarkEnd w:id="16"/>
    </w:p>
    <w:p>
      <w:pPr>
        <w:spacing w:line="360" w:lineRule="auto"/>
        <w:ind w:firstLine="420" w:firstLineChars="200"/>
        <w:rPr>
          <w:rFonts w:ascii="宋体" w:hAnsi="宋体" w:cs="宋体"/>
          <w:szCs w:val="21"/>
        </w:rPr>
      </w:pPr>
      <w:r>
        <w:rPr>
          <w:rFonts w:hint="eastAsia" w:ascii="宋体" w:hAnsi="宋体" w:cs="宋体"/>
          <w:szCs w:val="21"/>
        </w:rPr>
        <w:t>4.4 潜在投标人或利害关系人对本招标公告及招标文件有异议的，应当在投标截止时间10日前向招标人书面提出。</w:t>
      </w:r>
    </w:p>
    <w:p>
      <w:pPr>
        <w:spacing w:line="360" w:lineRule="auto"/>
        <w:ind w:firstLine="420" w:firstLineChars="200"/>
        <w:rPr>
          <w:rFonts w:ascii="宋体" w:hAnsi="宋体" w:cs="宋体"/>
          <w:szCs w:val="21"/>
        </w:rPr>
      </w:pPr>
      <w:r>
        <w:rPr>
          <w:rFonts w:hint="eastAsia" w:ascii="宋体" w:hAnsi="宋体" w:cs="宋体"/>
          <w:szCs w:val="21"/>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bookmarkEnd w:id="13"/>
    <w:bookmarkEnd w:id="14"/>
    <w:bookmarkEnd w:id="15"/>
    <w:p>
      <w:pPr>
        <w:spacing w:line="360" w:lineRule="auto"/>
        <w:ind w:firstLine="420" w:firstLineChars="200"/>
        <w:rPr>
          <w:rFonts w:ascii="宋体" w:hAnsi="宋体" w:cs="宋体"/>
          <w:szCs w:val="21"/>
        </w:rPr>
      </w:pPr>
    </w:p>
    <w:p>
      <w:pPr>
        <w:spacing w:line="360" w:lineRule="auto"/>
        <w:jc w:val="left"/>
        <w:outlineLvl w:val="1"/>
        <w:rPr>
          <w:rFonts w:ascii="宋体" w:hAnsi="宋体" w:cs="宋体"/>
          <w:b/>
          <w:bCs/>
          <w:kern w:val="0"/>
          <w:szCs w:val="21"/>
        </w:rPr>
      </w:pPr>
      <w:r>
        <w:rPr>
          <w:rFonts w:hint="eastAsia" w:ascii="宋体" w:hAnsi="宋体" w:cs="宋体"/>
          <w:b/>
          <w:bCs/>
          <w:kern w:val="0"/>
          <w:szCs w:val="21"/>
        </w:rPr>
        <w:t>5. 投标文件的递交</w:t>
      </w:r>
      <w:bookmarkEnd w:id="12"/>
    </w:p>
    <w:p>
      <w:pPr>
        <w:snapToGrid w:val="0"/>
        <w:spacing w:line="360" w:lineRule="auto"/>
        <w:ind w:firstLine="420" w:firstLineChars="200"/>
        <w:rPr>
          <w:rFonts w:ascii="宋体" w:hAnsi="宋体" w:cs="宋体"/>
          <w:szCs w:val="21"/>
        </w:rPr>
      </w:pPr>
      <w:r>
        <w:rPr>
          <w:rFonts w:hint="eastAsia" w:ascii="宋体" w:hAnsi="宋体" w:cs="宋体"/>
          <w:szCs w:val="21"/>
        </w:rPr>
        <w:t>5.1 投标文件递交的截止时间（投标截止时间，下同）为年月日时分，投标人应在截止时间前通过广州公共资源交易中心数字交易平台（http://ggzy.gz.gov.cn）递交电子投标文件。</w:t>
      </w:r>
    </w:p>
    <w:p>
      <w:pPr>
        <w:snapToGrid w:val="0"/>
        <w:spacing w:line="360" w:lineRule="auto"/>
        <w:ind w:left="120" w:leftChars="57" w:firstLine="315" w:firstLineChars="150"/>
        <w:rPr>
          <w:rFonts w:ascii="宋体" w:hAnsi="宋体" w:cs="宋体"/>
          <w:szCs w:val="21"/>
        </w:rPr>
      </w:pPr>
      <w:r>
        <w:rPr>
          <w:rFonts w:hint="eastAsia" w:ascii="宋体" w:hAnsi="宋体" w:cs="宋体"/>
          <w:szCs w:val="21"/>
        </w:rPr>
        <w:t>递交备用投标文件电子光盘的规定：时间为：年月日时分至年月日时分；地点：广州公共资源交易中心第开标室。（电子光盘需按规定封装。投标人将数据刻录到光盘之后，投标前自行检查文件是否可以读取。）</w:t>
      </w:r>
    </w:p>
    <w:p>
      <w:pPr>
        <w:tabs>
          <w:tab w:val="left" w:pos="1100"/>
        </w:tabs>
        <w:spacing w:line="360" w:lineRule="auto"/>
        <w:ind w:firstLine="420" w:firstLineChars="200"/>
        <w:jc w:val="left"/>
        <w:rPr>
          <w:rFonts w:ascii="宋体" w:hAnsi="宋体" w:cs="宋体"/>
          <w:szCs w:val="21"/>
        </w:rPr>
      </w:pPr>
      <w:r>
        <w:rPr>
          <w:rFonts w:hint="eastAsia" w:ascii="宋体" w:hAnsi="宋体" w:cs="宋体"/>
          <w:szCs w:val="21"/>
        </w:rPr>
        <w:t>5.2  采取电子投标时，逾期送达的投标文件，电子招标投标交易平台将予以拒收。逾期未上传成功的电子投标文件，招标人拒绝接收。</w:t>
      </w:r>
    </w:p>
    <w:p>
      <w:pPr>
        <w:spacing w:line="360" w:lineRule="auto"/>
        <w:jc w:val="left"/>
        <w:outlineLvl w:val="1"/>
        <w:rPr>
          <w:rFonts w:ascii="宋体" w:hAnsi="宋体" w:cs="宋体"/>
          <w:b/>
          <w:bCs/>
          <w:kern w:val="0"/>
          <w:szCs w:val="21"/>
        </w:rPr>
      </w:pPr>
      <w:bookmarkStart w:id="17" w:name="_Toc535938700"/>
      <w:r>
        <w:rPr>
          <w:rFonts w:hint="eastAsia" w:ascii="宋体" w:hAnsi="宋体" w:cs="宋体"/>
          <w:b/>
          <w:bCs/>
          <w:kern w:val="0"/>
          <w:szCs w:val="21"/>
        </w:rPr>
        <w:t>6.</w:t>
      </w:r>
      <w:bookmarkEnd w:id="17"/>
      <w:bookmarkStart w:id="18" w:name="_Toc535938701"/>
      <w:r>
        <w:rPr>
          <w:rFonts w:hint="eastAsia" w:ascii="宋体" w:hAnsi="宋体" w:cs="宋体"/>
          <w:b/>
          <w:bCs/>
          <w:kern w:val="0"/>
          <w:szCs w:val="21"/>
        </w:rPr>
        <w:t>发布公告的媒介</w:t>
      </w:r>
      <w:bookmarkEnd w:id="18"/>
    </w:p>
    <w:p>
      <w:pPr>
        <w:spacing w:line="360" w:lineRule="auto"/>
        <w:ind w:firstLine="420" w:firstLineChars="200"/>
        <w:rPr>
          <w:rFonts w:ascii="宋体" w:hAnsi="宋体" w:cs="宋体"/>
          <w:szCs w:val="21"/>
        </w:rPr>
      </w:pPr>
      <w:r>
        <w:rPr>
          <w:rFonts w:hint="eastAsia" w:ascii="宋体" w:hAnsi="宋体" w:cs="宋体"/>
          <w:szCs w:val="21"/>
        </w:rPr>
        <w:t>本次招标公告同时在</w:t>
      </w:r>
      <w:r>
        <w:rPr>
          <w:rFonts w:hint="eastAsia" w:ascii="宋体" w:hAnsi="宋体" w:cs="宋体"/>
          <w:szCs w:val="21"/>
          <w:u w:val="single"/>
        </w:rPr>
        <w:t>广州公共资源交易中心网（网址：http://ggzy.gz.gov.cn）、广东省招标投标监管网（网址：</w:t>
      </w:r>
      <w:r>
        <w:rPr>
          <w:rFonts w:hint="eastAsia" w:ascii="宋体" w:hAnsi="宋体"/>
          <w:szCs w:val="21"/>
          <w:u w:val="single"/>
        </w:rPr>
        <w:t>http://zbtb.gd.gov.cn</w:t>
      </w:r>
      <w:r>
        <w:rPr>
          <w:rFonts w:hint="eastAsia" w:ascii="宋体" w:hAnsi="宋体" w:cs="宋体"/>
          <w:szCs w:val="21"/>
          <w:u w:val="single"/>
        </w:rPr>
        <w:t>）和中国招标投标公共服务平台（网址：http：//www.cebpubservice.com/）等媒体</w:t>
      </w:r>
      <w:r>
        <w:rPr>
          <w:rFonts w:hint="eastAsia" w:ascii="宋体" w:hAnsi="宋体" w:cs="宋体"/>
          <w:szCs w:val="21"/>
        </w:rPr>
        <w:t>上发布，</w:t>
      </w:r>
      <w:r>
        <w:rPr>
          <w:rFonts w:hint="eastAsia" w:ascii="宋体" w:hAnsi="宋体" w:cs="宋体"/>
          <w:szCs w:val="21"/>
          <w:u w:val="single"/>
        </w:rPr>
        <w:t>本公告的修改、补充，在广州公共资源交易中心网站</w:t>
      </w:r>
      <w:r>
        <w:rPr>
          <w:rFonts w:hint="eastAsia" w:ascii="宋体" w:hAnsi="宋体" w:cs="宋体"/>
          <w:szCs w:val="21"/>
        </w:rPr>
        <w:t>上发布。本公告在各媒体发布的文本如有不同之处，以在广州公共资源交易网发布的文本为准。</w:t>
      </w:r>
    </w:p>
    <w:bookmarkEnd w:id="4"/>
    <w:bookmarkEnd w:id="5"/>
    <w:p>
      <w:pPr>
        <w:spacing w:line="360" w:lineRule="auto"/>
        <w:jc w:val="left"/>
        <w:outlineLvl w:val="1"/>
        <w:rPr>
          <w:rFonts w:ascii="宋体" w:hAnsi="宋体" w:cs="宋体"/>
          <w:b/>
          <w:bCs/>
          <w:kern w:val="0"/>
          <w:szCs w:val="21"/>
        </w:rPr>
      </w:pPr>
      <w:bookmarkStart w:id="19" w:name="_Toc511557031"/>
      <w:bookmarkStart w:id="20" w:name="_Toc529196510"/>
      <w:bookmarkStart w:id="21" w:name="_Toc535938702"/>
      <w:bookmarkStart w:id="22" w:name="_Toc516170523"/>
      <w:bookmarkStart w:id="23" w:name="_Toc300834931"/>
      <w:bookmarkStart w:id="24" w:name="_Toc247527537"/>
      <w:bookmarkStart w:id="25" w:name="_Toc384308189"/>
      <w:bookmarkStart w:id="26" w:name="_Toc2312"/>
      <w:bookmarkStart w:id="27" w:name="_Toc369531499"/>
      <w:bookmarkStart w:id="28" w:name="_Toc152045514"/>
      <w:bookmarkStart w:id="29" w:name="_Toc144974482"/>
      <w:bookmarkStart w:id="30" w:name="_Toc247513936"/>
      <w:bookmarkStart w:id="31" w:name="_Toc152042290"/>
      <w:bookmarkStart w:id="32" w:name="_Toc352691457"/>
      <w:bookmarkStart w:id="33" w:name="_Toc361508564"/>
      <w:r>
        <w:rPr>
          <w:rFonts w:hint="eastAsia" w:ascii="宋体" w:hAnsi="宋体" w:cs="宋体"/>
          <w:b/>
          <w:bCs/>
          <w:kern w:val="0"/>
          <w:szCs w:val="21"/>
        </w:rPr>
        <w:t>7.联系方式</w:t>
      </w:r>
      <w:bookmarkEnd w:id="19"/>
      <w:bookmarkEnd w:id="20"/>
      <w:bookmarkEnd w:id="21"/>
      <w:bookmarkEnd w:id="22"/>
    </w:p>
    <w:bookmarkEnd w:id="23"/>
    <w:bookmarkEnd w:id="24"/>
    <w:bookmarkEnd w:id="25"/>
    <w:bookmarkEnd w:id="26"/>
    <w:bookmarkEnd w:id="27"/>
    <w:bookmarkEnd w:id="28"/>
    <w:bookmarkEnd w:id="29"/>
    <w:bookmarkEnd w:id="30"/>
    <w:bookmarkEnd w:id="31"/>
    <w:bookmarkEnd w:id="32"/>
    <w:bookmarkEnd w:id="33"/>
    <w:p>
      <w:pPr>
        <w:snapToGrid w:val="0"/>
        <w:spacing w:line="360" w:lineRule="auto"/>
        <w:ind w:firstLine="420" w:firstLineChars="200"/>
        <w:rPr>
          <w:rFonts w:ascii="宋体" w:hAnsi="宋体" w:cs="宋体"/>
          <w:szCs w:val="21"/>
          <w:u w:val="single"/>
        </w:rPr>
      </w:pPr>
      <w:r>
        <w:rPr>
          <w:rFonts w:hint="eastAsia" w:ascii="宋体" w:hAnsi="宋体" w:cs="宋体"/>
          <w:szCs w:val="21"/>
        </w:rPr>
        <w:t>招  标</w:t>
      </w:r>
      <w:r>
        <w:rPr>
          <w:rFonts w:ascii="宋体" w:hAnsi="宋体" w:cs="宋体"/>
          <w:szCs w:val="21"/>
        </w:rPr>
        <w:t>人：</w:t>
      </w:r>
      <w:r>
        <w:rPr>
          <w:rFonts w:hint="eastAsia" w:ascii="宋体" w:hAnsi="宋体" w:cs="宋体"/>
          <w:szCs w:val="21"/>
          <w:u w:val="single"/>
        </w:rPr>
        <w:t>中山大学附属第一医院</w:t>
      </w:r>
    </w:p>
    <w:p>
      <w:pPr>
        <w:snapToGrid w:val="0"/>
        <w:spacing w:line="360" w:lineRule="auto"/>
        <w:ind w:firstLine="420" w:firstLineChars="200"/>
        <w:rPr>
          <w:rFonts w:ascii="宋体" w:hAnsi="宋体" w:cs="宋体"/>
          <w:szCs w:val="21"/>
          <w:u w:val="single"/>
        </w:rPr>
      </w:pPr>
      <w:r>
        <w:rPr>
          <w:rFonts w:hint="eastAsia" w:ascii="宋体" w:hAnsi="宋体" w:cs="宋体"/>
          <w:szCs w:val="21"/>
        </w:rPr>
        <w:t>地        址：</w:t>
      </w:r>
      <w:r>
        <w:rPr>
          <w:rFonts w:hint="eastAsia" w:ascii="宋体" w:hAnsi="宋体" w:cs="宋体"/>
          <w:bCs/>
          <w:szCs w:val="21"/>
          <w:u w:val="single"/>
        </w:rPr>
        <w:t>广州市越秀区中山二路58号</w:t>
      </w:r>
    </w:p>
    <w:p>
      <w:pPr>
        <w:snapToGrid w:val="0"/>
        <w:spacing w:line="360" w:lineRule="auto"/>
        <w:ind w:firstLine="420" w:firstLineChars="200"/>
        <w:rPr>
          <w:rFonts w:ascii="宋体" w:hAnsi="宋体" w:cs="宋体"/>
          <w:szCs w:val="21"/>
          <w:u w:val="single"/>
        </w:rPr>
      </w:pPr>
      <w:r>
        <w:rPr>
          <w:rFonts w:hint="eastAsia" w:ascii="宋体" w:hAnsi="宋体" w:cs="宋体"/>
          <w:szCs w:val="21"/>
        </w:rPr>
        <w:t>联   系   人：</w:t>
      </w:r>
      <w:r>
        <w:rPr>
          <w:rFonts w:hint="eastAsia" w:ascii="宋体" w:hAnsi="宋体" w:cs="宋体"/>
          <w:szCs w:val="21"/>
          <w:u w:val="single"/>
        </w:rPr>
        <w:t xml:space="preserve">苏工  </w:t>
      </w:r>
      <w:r>
        <w:rPr>
          <w:rFonts w:hint="eastAsia" w:ascii="宋体" w:hAnsi="宋体" w:cs="宋体"/>
          <w:szCs w:val="21"/>
        </w:rPr>
        <w:t xml:space="preserve">  电话：</w:t>
      </w:r>
      <w:r>
        <w:rPr>
          <w:rFonts w:hint="eastAsia" w:ascii="宋体" w:hAnsi="宋体" w:cs="宋体"/>
          <w:szCs w:val="21"/>
          <w:u w:val="single"/>
        </w:rPr>
        <w:t xml:space="preserve">020-87608341 </w:t>
      </w:r>
    </w:p>
    <w:p>
      <w:pPr>
        <w:spacing w:line="360" w:lineRule="auto"/>
        <w:rPr>
          <w:rFonts w:ascii="宋体" w:hAnsi="宋体"/>
          <w:szCs w:val="21"/>
        </w:rPr>
      </w:pPr>
    </w:p>
    <w:p>
      <w:pPr>
        <w:snapToGrid w:val="0"/>
        <w:spacing w:line="360" w:lineRule="auto"/>
        <w:ind w:firstLine="420" w:firstLineChars="200"/>
        <w:rPr>
          <w:rFonts w:ascii="宋体" w:hAnsi="宋体" w:cs="宋体"/>
          <w:szCs w:val="21"/>
          <w:u w:val="single"/>
        </w:rPr>
      </w:pPr>
      <w:r>
        <w:rPr>
          <w:rFonts w:hint="eastAsia" w:ascii="宋体" w:hAnsi="宋体" w:cs="宋体"/>
          <w:szCs w:val="21"/>
        </w:rPr>
        <w:t>招标代理机构：</w:t>
      </w:r>
      <w:r>
        <w:rPr>
          <w:rFonts w:hint="eastAsia" w:ascii="宋体" w:hAnsi="宋体" w:cs="宋体"/>
          <w:szCs w:val="21"/>
          <w:u w:val="single"/>
        </w:rPr>
        <w:t>国义招标股份有限公司</w:t>
      </w:r>
    </w:p>
    <w:p>
      <w:pPr>
        <w:snapToGrid w:val="0"/>
        <w:spacing w:line="360" w:lineRule="auto"/>
        <w:ind w:firstLine="420" w:firstLineChars="200"/>
        <w:rPr>
          <w:rFonts w:ascii="宋体" w:hAnsi="宋体" w:cs="宋体"/>
          <w:szCs w:val="21"/>
          <w:u w:val="single"/>
        </w:rPr>
      </w:pPr>
      <w:r>
        <w:rPr>
          <w:rFonts w:hint="eastAsia" w:ascii="宋体" w:hAnsi="宋体" w:cs="宋体"/>
          <w:szCs w:val="21"/>
        </w:rPr>
        <w:t>地        址：</w:t>
      </w:r>
      <w:r>
        <w:rPr>
          <w:rFonts w:hint="eastAsia" w:ascii="宋体" w:hAnsi="宋体"/>
          <w:szCs w:val="21"/>
          <w:u w:val="single"/>
        </w:rPr>
        <w:t>广州市越秀区东风东路726号19楼</w:t>
      </w:r>
    </w:p>
    <w:p>
      <w:pPr>
        <w:snapToGrid w:val="0"/>
        <w:spacing w:line="360" w:lineRule="auto"/>
        <w:ind w:firstLine="420" w:firstLineChars="200"/>
        <w:rPr>
          <w:rFonts w:ascii="宋体" w:hAnsi="宋体" w:cs="宋体"/>
          <w:kern w:val="0"/>
          <w:szCs w:val="21"/>
          <w:u w:val="single"/>
        </w:rPr>
      </w:pPr>
      <w:r>
        <w:rPr>
          <w:rFonts w:hint="eastAsia" w:ascii="宋体" w:hAnsi="宋体" w:cs="宋体"/>
          <w:szCs w:val="21"/>
        </w:rPr>
        <w:t>联   系   人：</w:t>
      </w:r>
      <w:r>
        <w:rPr>
          <w:rFonts w:hint="eastAsia" w:ascii="宋体" w:hAnsi="宋体" w:cs="宋体"/>
          <w:szCs w:val="21"/>
          <w:u w:val="single"/>
        </w:rPr>
        <w:t>林工、何工</w:t>
      </w:r>
      <w:r>
        <w:rPr>
          <w:rFonts w:hint="eastAsia" w:ascii="宋体" w:hAnsi="宋体" w:cs="宋体"/>
          <w:szCs w:val="21"/>
        </w:rPr>
        <w:t xml:space="preserve">    联系电话：</w:t>
      </w:r>
      <w:r>
        <w:rPr>
          <w:rFonts w:hint="eastAsia" w:ascii="宋体" w:hAnsi="宋体" w:cs="宋体"/>
          <w:szCs w:val="21"/>
          <w:u w:val="single"/>
        </w:rPr>
        <w:t>020-37861059、37860558</w:t>
      </w:r>
    </w:p>
    <w:p>
      <w:pPr>
        <w:spacing w:line="360" w:lineRule="auto"/>
        <w:rPr>
          <w:rFonts w:ascii="宋体" w:hAnsi="宋体"/>
          <w:szCs w:val="21"/>
        </w:rPr>
      </w:pPr>
    </w:p>
    <w:p>
      <w:pPr>
        <w:snapToGrid w:val="0"/>
        <w:spacing w:line="360" w:lineRule="auto"/>
        <w:ind w:firstLine="420" w:firstLineChars="200"/>
        <w:rPr>
          <w:rFonts w:ascii="宋体" w:hAnsi="宋体" w:cs="宋体"/>
          <w:szCs w:val="21"/>
          <w:u w:val="single"/>
        </w:rPr>
      </w:pPr>
      <w:r>
        <w:rPr>
          <w:rFonts w:hint="eastAsia" w:ascii="宋体" w:hAnsi="宋体" w:cs="宋体"/>
          <w:szCs w:val="21"/>
        </w:rPr>
        <w:t>异议受理部门：</w:t>
      </w:r>
      <w:r>
        <w:rPr>
          <w:rFonts w:hint="eastAsia" w:ascii="宋体" w:hAnsi="宋体" w:cs="宋体"/>
          <w:szCs w:val="21"/>
          <w:u w:val="single"/>
        </w:rPr>
        <w:t>中山大学附属第一医院</w:t>
      </w:r>
    </w:p>
    <w:p>
      <w:pPr>
        <w:snapToGrid w:val="0"/>
        <w:spacing w:line="360" w:lineRule="auto"/>
        <w:ind w:firstLine="420" w:firstLineChars="200"/>
        <w:rPr>
          <w:rFonts w:ascii="宋体" w:hAnsi="宋体" w:cs="宋体"/>
          <w:szCs w:val="21"/>
          <w:u w:val="single"/>
        </w:rPr>
      </w:pPr>
      <w:r>
        <w:rPr>
          <w:rFonts w:hint="eastAsia" w:ascii="宋体" w:hAnsi="宋体" w:cs="宋体"/>
          <w:szCs w:val="21"/>
        </w:rPr>
        <w:t>地        址：</w:t>
      </w:r>
      <w:r>
        <w:rPr>
          <w:rFonts w:hint="eastAsia" w:ascii="宋体" w:hAnsi="宋体" w:cs="宋体"/>
          <w:bCs/>
          <w:szCs w:val="21"/>
          <w:u w:val="single"/>
        </w:rPr>
        <w:t>广州市越秀区中山二路58号</w:t>
      </w:r>
    </w:p>
    <w:p>
      <w:pPr>
        <w:snapToGrid w:val="0"/>
        <w:spacing w:line="360" w:lineRule="auto"/>
        <w:ind w:firstLine="420" w:firstLineChars="200"/>
        <w:rPr>
          <w:rFonts w:ascii="宋体" w:hAnsi="宋体" w:cs="宋体"/>
          <w:szCs w:val="21"/>
          <w:u w:val="single"/>
        </w:rPr>
      </w:pPr>
      <w:r>
        <w:rPr>
          <w:rFonts w:hint="eastAsia" w:ascii="宋体" w:hAnsi="宋体" w:cs="宋体"/>
          <w:szCs w:val="21"/>
        </w:rPr>
        <w:t>联   系   人：</w:t>
      </w:r>
      <w:r>
        <w:rPr>
          <w:rFonts w:hint="eastAsia" w:ascii="宋体" w:hAnsi="宋体" w:cs="宋体"/>
          <w:szCs w:val="21"/>
          <w:u w:val="single"/>
        </w:rPr>
        <w:t>苏工</w:t>
      </w:r>
      <w:r>
        <w:rPr>
          <w:rFonts w:hint="eastAsia" w:ascii="宋体" w:hAnsi="宋体" w:cs="宋体"/>
          <w:szCs w:val="21"/>
        </w:rPr>
        <w:t xml:space="preserve">  电话：</w:t>
      </w:r>
      <w:r>
        <w:rPr>
          <w:rFonts w:hint="eastAsia" w:ascii="宋体" w:hAnsi="宋体" w:cs="宋体"/>
          <w:szCs w:val="21"/>
          <w:u w:val="single"/>
        </w:rPr>
        <w:t>020-</w:t>
      </w:r>
      <w:r>
        <w:rPr>
          <w:rFonts w:ascii="宋体" w:hAnsi="宋体" w:cs="宋体"/>
          <w:szCs w:val="21"/>
          <w:u w:val="single"/>
        </w:rPr>
        <w:t>87608341</w:t>
      </w:r>
    </w:p>
    <w:p>
      <w:pPr>
        <w:spacing w:line="360" w:lineRule="auto"/>
        <w:rPr>
          <w:rFonts w:ascii="宋体" w:hAnsi="宋体"/>
          <w:szCs w:val="21"/>
        </w:rPr>
      </w:pPr>
    </w:p>
    <w:p>
      <w:pPr>
        <w:snapToGrid w:val="0"/>
        <w:spacing w:line="360" w:lineRule="auto"/>
        <w:ind w:firstLine="420" w:firstLineChars="200"/>
        <w:rPr>
          <w:rFonts w:ascii="宋体" w:hAnsi="宋体" w:cs="宋体"/>
          <w:szCs w:val="21"/>
          <w:u w:val="single"/>
        </w:rPr>
      </w:pPr>
      <w:r>
        <w:rPr>
          <w:rFonts w:hint="eastAsia" w:ascii="宋体" w:hAnsi="宋体" w:cs="宋体"/>
          <w:szCs w:val="21"/>
        </w:rPr>
        <w:t>招标监督机构：</w:t>
      </w:r>
      <w:r>
        <w:rPr>
          <w:rFonts w:hint="eastAsia" w:ascii="宋体" w:hAnsi="宋体" w:cs="宋体"/>
          <w:kern w:val="0"/>
          <w:szCs w:val="21"/>
          <w:u w:val="single"/>
        </w:rPr>
        <w:t>广州市建设工程招标管理办公室</w:t>
      </w:r>
    </w:p>
    <w:p>
      <w:pPr>
        <w:snapToGrid w:val="0"/>
        <w:spacing w:line="360" w:lineRule="auto"/>
        <w:ind w:firstLine="420" w:firstLineChars="200"/>
        <w:rPr>
          <w:rFonts w:ascii="宋体" w:hAnsi="宋体" w:cs="宋体"/>
          <w:szCs w:val="21"/>
          <w:u w:val="single"/>
        </w:rPr>
      </w:pPr>
      <w:r>
        <w:rPr>
          <w:rFonts w:hint="eastAsia" w:ascii="宋体" w:hAnsi="宋体" w:cs="宋体"/>
          <w:szCs w:val="21"/>
        </w:rPr>
        <w:t>监  督 电 话：</w:t>
      </w:r>
      <w:r>
        <w:rPr>
          <w:rFonts w:hint="eastAsia" w:ascii="宋体" w:hAnsi="宋体" w:cs="宋体"/>
          <w:szCs w:val="21"/>
          <w:u w:val="single"/>
        </w:rPr>
        <w:t>020-</w:t>
      </w:r>
      <w:r>
        <w:rPr>
          <w:rFonts w:ascii="宋体" w:hAnsi="宋体" w:cs="宋体"/>
          <w:szCs w:val="21"/>
          <w:u w:val="single"/>
        </w:rPr>
        <w:t>28053283</w:t>
      </w:r>
    </w:p>
    <w:p>
      <w:pPr>
        <w:snapToGrid w:val="0"/>
        <w:spacing w:line="360" w:lineRule="auto"/>
        <w:ind w:firstLine="420" w:firstLineChars="200"/>
        <w:rPr>
          <w:rFonts w:ascii="宋体" w:hAnsi="宋体" w:cs="宋体"/>
          <w:szCs w:val="21"/>
          <w:u w:val="single"/>
        </w:rPr>
      </w:pPr>
      <w:r>
        <w:rPr>
          <w:rFonts w:hint="eastAsia" w:ascii="宋体" w:hAnsi="宋体" w:cs="宋体"/>
          <w:szCs w:val="21"/>
        </w:rPr>
        <w:t>地        址：</w:t>
      </w:r>
      <w:r>
        <w:rPr>
          <w:rFonts w:hint="eastAsia" w:ascii="宋体" w:hAnsi="宋体"/>
          <w:szCs w:val="21"/>
          <w:u w:val="single"/>
        </w:rPr>
        <w:t>广州市天河区天润路333号</w:t>
      </w:r>
    </w:p>
    <w:p>
      <w:pPr>
        <w:topLinePunct/>
        <w:spacing w:line="360" w:lineRule="auto"/>
        <w:jc w:val="right"/>
        <w:rPr>
          <w:rFonts w:ascii="宋体" w:hAnsi="宋体" w:cs="宋体"/>
          <w:szCs w:val="21"/>
        </w:rPr>
      </w:pPr>
      <w:r>
        <w:rPr>
          <w:rFonts w:hint="eastAsia" w:ascii="宋体" w:hAnsi="宋体" w:cs="宋体"/>
          <w:szCs w:val="21"/>
        </w:rPr>
        <w:t xml:space="preserve">     年   月   日</w:t>
      </w:r>
    </w:p>
    <w:p>
      <w:pPr>
        <w:widowControl/>
        <w:jc w:val="left"/>
        <w:outlineLvl w:val="1"/>
        <w:rPr>
          <w:rFonts w:ascii="宋体" w:hAnsi="宋体"/>
        </w:rPr>
      </w:pPr>
      <w:r>
        <w:rPr>
          <w:rFonts w:hint="eastAsia" w:ascii="宋体" w:hAnsi="宋体"/>
        </w:rPr>
        <w:br w:type="page"/>
      </w:r>
      <w:r>
        <w:rPr>
          <w:rFonts w:hint="eastAsia" w:ascii="宋体" w:hAnsi="宋体" w:cs="宋体"/>
          <w:b/>
          <w:kern w:val="0"/>
          <w:sz w:val="28"/>
          <w:szCs w:val="28"/>
        </w:rPr>
        <w:t>附件一：投标人声明</w:t>
      </w:r>
    </w:p>
    <w:p>
      <w:pPr>
        <w:widowControl/>
        <w:snapToGrid w:val="0"/>
        <w:spacing w:beforeLines="50" w:afterLines="50"/>
        <w:ind w:right="386"/>
        <w:jc w:val="center"/>
        <w:rPr>
          <w:rFonts w:ascii="宋体" w:hAnsi="宋体" w:cs="宋体"/>
          <w:b/>
          <w:kern w:val="0"/>
          <w:sz w:val="28"/>
          <w:szCs w:val="28"/>
        </w:rPr>
      </w:pPr>
      <w:r>
        <w:rPr>
          <w:rFonts w:hint="eastAsia" w:ascii="宋体" w:hAnsi="宋体" w:cs="宋体"/>
          <w:b/>
          <w:kern w:val="0"/>
          <w:sz w:val="28"/>
          <w:szCs w:val="28"/>
        </w:rPr>
        <w:t>投标人声明</w:t>
      </w:r>
    </w:p>
    <w:p>
      <w:pPr>
        <w:snapToGrid w:val="0"/>
        <w:spacing w:line="360" w:lineRule="auto"/>
        <w:rPr>
          <w:rFonts w:ascii="宋体" w:hAnsi="宋体" w:cs="宋体"/>
          <w:b/>
          <w:kern w:val="0"/>
          <w:sz w:val="24"/>
          <w:szCs w:val="24"/>
        </w:rPr>
      </w:pPr>
      <w:r>
        <w:rPr>
          <w:rFonts w:hint="eastAsia" w:ascii="宋体" w:hAnsi="宋体" w:cs="宋体"/>
          <w:b/>
          <w:kern w:val="0"/>
          <w:sz w:val="24"/>
          <w:szCs w:val="24"/>
        </w:rPr>
        <w:t>广州市住房和城乡建设局、本招标项目招标人及招标监管机构：</w:t>
      </w:r>
    </w:p>
    <w:p>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本公司就参加</w:t>
      </w:r>
      <w:r>
        <w:rPr>
          <w:rFonts w:hint="eastAsia" w:ascii="宋体" w:hAnsi="宋体" w:cs="宋体"/>
          <w:kern w:val="0"/>
          <w:sz w:val="24"/>
          <w:szCs w:val="24"/>
          <w:u w:val="single"/>
        </w:rPr>
        <w:t>                </w:t>
      </w:r>
      <w:r>
        <w:rPr>
          <w:rFonts w:hint="eastAsia" w:ascii="宋体" w:hAnsi="宋体" w:cs="宋体"/>
          <w:kern w:val="0"/>
          <w:sz w:val="24"/>
          <w:szCs w:val="24"/>
        </w:rPr>
        <w:t>项目投标工作，作出郑重声明：</w:t>
      </w:r>
    </w:p>
    <w:p>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一、本公司保证投标登记材料及其后提供的一切材料都是真实的。如我司成为本项目中标候选人，我司同意并授权招标人将我司投标文件商务部分的人员、业绩、奖项等资料进行公开。</w:t>
      </w:r>
    </w:p>
    <w:p>
      <w:pPr>
        <w:snapToGrid w:val="0"/>
        <w:spacing w:line="360" w:lineRule="auto"/>
        <w:ind w:firstLine="482" w:firstLineChars="200"/>
        <w:rPr>
          <w:rFonts w:ascii="宋体" w:hAnsi="宋体" w:cs="宋体"/>
          <w:b/>
          <w:kern w:val="0"/>
          <w:sz w:val="24"/>
          <w:szCs w:val="24"/>
        </w:rPr>
      </w:pPr>
      <w:r>
        <w:rPr>
          <w:rFonts w:hint="eastAsia" w:ascii="宋体" w:hAnsi="宋体" w:cs="宋体"/>
          <w:b/>
          <w:kern w:val="0"/>
          <w:sz w:val="24"/>
          <w:szCs w:val="24"/>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三、本公司不存在招标文件第二章投标人须知第1.4.3项所规定的任何一种情形。</w:t>
      </w:r>
    </w:p>
    <w:p>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四、本公司及其有隶属关系的机构，没有参加本项目招标文件的编写工作；本公司与本次招标的招标代理机构没有隶属关系或其他利害关系。</w:t>
      </w:r>
    </w:p>
    <w:p>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五、本公司承诺，中标后严格执行安全生产相关管理规定。</w:t>
      </w:r>
    </w:p>
    <w:p>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六、与本公司单位负责人为同一人或者与本公司存在控股、管理关系的其他单位包括：。（注：本条由投标人如实填写，如有，应列出全部满足招标公告资质要求的相关单位的名称；如无，则填写“无”。）</w:t>
      </w:r>
    </w:p>
    <w:p>
      <w:pPr>
        <w:snapToGrid w:val="0"/>
        <w:spacing w:line="360" w:lineRule="auto"/>
        <w:ind w:firstLine="482" w:firstLineChars="200"/>
        <w:rPr>
          <w:rFonts w:ascii="宋体" w:hAnsi="宋体" w:cs="宋体"/>
          <w:kern w:val="0"/>
          <w:sz w:val="24"/>
          <w:szCs w:val="24"/>
        </w:rPr>
      </w:pPr>
      <w:r>
        <w:rPr>
          <w:rFonts w:hint="eastAsia" w:ascii="宋体" w:hAnsi="宋体" w:cs="宋体"/>
          <w:b/>
          <w:kern w:val="0"/>
          <w:sz w:val="24"/>
          <w:szCs w:val="24"/>
        </w:rPr>
        <w:t>本公司违反上述承诺，或本声明陈述与事实不符，经查实，本公司愿意接受公开通报，愿意按照《广州市建筑市场信用管理办法》（穗建规字</w:t>
      </w:r>
      <w:r>
        <w:rPr>
          <w:rFonts w:hint="eastAsia" w:ascii="宋体" w:hAnsi="宋体" w:cs="微软雅黑"/>
          <w:b/>
          <w:kern w:val="0"/>
          <w:sz w:val="24"/>
          <w:szCs w:val="24"/>
        </w:rPr>
        <w:t>﹝</w:t>
      </w:r>
      <w:r>
        <w:rPr>
          <w:rFonts w:hint="eastAsia" w:ascii="宋体" w:hAnsi="宋体" w:cs="宋体"/>
          <w:b/>
          <w:kern w:val="0"/>
          <w:sz w:val="24"/>
          <w:szCs w:val="24"/>
        </w:rPr>
        <w:t>2019</w:t>
      </w:r>
      <w:r>
        <w:rPr>
          <w:rFonts w:hint="eastAsia" w:ascii="宋体" w:hAnsi="宋体" w:cs="微软雅黑"/>
          <w:b/>
          <w:kern w:val="0"/>
          <w:sz w:val="24"/>
          <w:szCs w:val="24"/>
        </w:rPr>
        <w:t>﹞</w:t>
      </w:r>
      <w:r>
        <w:rPr>
          <w:rFonts w:hint="eastAsia" w:ascii="宋体" w:hAnsi="宋体" w:cs="宋体"/>
          <w:b/>
          <w:kern w:val="0"/>
          <w:sz w:val="24"/>
          <w:szCs w:val="24"/>
        </w:rPr>
        <w:t>16号）的规定被记录为失信信息，</w:t>
      </w:r>
      <w:r>
        <w:rPr>
          <w:rFonts w:hint="eastAsia" w:ascii="宋体" w:hAnsi="宋体" w:cs="宋体"/>
          <w:kern w:val="0"/>
          <w:sz w:val="24"/>
          <w:szCs w:val="24"/>
        </w:rPr>
        <w:t>承担由此带来的一切后果，并自愿停止参加广州市行政辖区内的招标投标活动三个月。</w:t>
      </w:r>
    </w:p>
    <w:p>
      <w:pPr>
        <w:widowControl/>
        <w:shd w:val="clear" w:color="auto" w:fill="FFFFFF"/>
        <w:spacing w:line="360" w:lineRule="auto"/>
        <w:ind w:firstLine="480" w:firstLineChars="200"/>
        <w:rPr>
          <w:rFonts w:ascii="宋体" w:hAnsi="宋体" w:cs="宋体"/>
          <w:kern w:val="0"/>
          <w:sz w:val="24"/>
          <w:szCs w:val="24"/>
        </w:rPr>
      </w:pPr>
      <w:r>
        <w:rPr>
          <w:rFonts w:hint="eastAsia" w:ascii="宋体" w:hAnsi="宋体" w:cs="宋体"/>
          <w:kern w:val="0"/>
          <w:sz w:val="24"/>
          <w:szCs w:val="24"/>
        </w:rPr>
        <w:t>特此声明。</w:t>
      </w:r>
    </w:p>
    <w:p>
      <w:pPr>
        <w:snapToGrid w:val="0"/>
        <w:spacing w:line="360" w:lineRule="auto"/>
        <w:ind w:firstLine="4320" w:firstLineChars="1800"/>
        <w:rPr>
          <w:rFonts w:ascii="宋体" w:hAnsi="宋体" w:cs="宋体"/>
          <w:kern w:val="0"/>
          <w:sz w:val="24"/>
          <w:szCs w:val="24"/>
        </w:rPr>
      </w:pPr>
    </w:p>
    <w:p>
      <w:pPr>
        <w:snapToGrid w:val="0"/>
        <w:spacing w:line="360" w:lineRule="auto"/>
        <w:ind w:firstLine="4320" w:firstLineChars="1800"/>
        <w:rPr>
          <w:rFonts w:ascii="宋体" w:hAnsi="宋体" w:cs="宋体"/>
          <w:kern w:val="0"/>
          <w:sz w:val="24"/>
          <w:szCs w:val="24"/>
        </w:rPr>
      </w:pPr>
      <w:r>
        <w:rPr>
          <w:rFonts w:hint="eastAsia" w:ascii="宋体" w:hAnsi="宋体" w:cs="宋体"/>
          <w:kern w:val="0"/>
          <w:sz w:val="24"/>
          <w:szCs w:val="24"/>
        </w:rPr>
        <w:t>声明企业：            (企业公章)</w:t>
      </w:r>
    </w:p>
    <w:p>
      <w:pPr>
        <w:snapToGrid w:val="0"/>
        <w:spacing w:line="360" w:lineRule="auto"/>
        <w:ind w:firstLine="4320" w:firstLineChars="1800"/>
        <w:rPr>
          <w:rFonts w:ascii="宋体" w:hAnsi="宋体" w:cs="宋体"/>
          <w:kern w:val="0"/>
          <w:sz w:val="24"/>
          <w:szCs w:val="24"/>
        </w:rPr>
      </w:pPr>
      <w:r>
        <w:rPr>
          <w:rFonts w:hint="eastAsia" w:ascii="宋体" w:hAnsi="宋体" w:cs="宋体"/>
          <w:kern w:val="0"/>
          <w:sz w:val="24"/>
          <w:szCs w:val="24"/>
        </w:rPr>
        <w:t>总监理工程师：         （签字）</w:t>
      </w:r>
    </w:p>
    <w:p>
      <w:pPr>
        <w:snapToGrid w:val="0"/>
        <w:spacing w:line="360" w:lineRule="auto"/>
        <w:ind w:firstLine="4252" w:firstLineChars="1772"/>
        <w:rPr>
          <w:rFonts w:ascii="宋体" w:hAnsi="宋体" w:cs="宋体"/>
          <w:kern w:val="0"/>
          <w:sz w:val="24"/>
          <w:szCs w:val="24"/>
        </w:rPr>
      </w:pPr>
      <w:r>
        <w:rPr>
          <w:rFonts w:hint="eastAsia" w:ascii="宋体" w:hAnsi="宋体" w:cs="宋体"/>
          <w:kern w:val="0"/>
          <w:sz w:val="24"/>
          <w:szCs w:val="24"/>
        </w:rPr>
        <w:t>法定代表人签字：</w:t>
      </w:r>
    </w:p>
    <w:p>
      <w:pPr>
        <w:spacing w:line="360" w:lineRule="auto"/>
        <w:ind w:firstLine="4920" w:firstLineChars="2050"/>
        <w:rPr>
          <w:rFonts w:ascii="宋体" w:hAnsi="宋体" w:cs="宋体"/>
          <w:kern w:val="0"/>
          <w:sz w:val="24"/>
          <w:szCs w:val="24"/>
        </w:rPr>
      </w:pPr>
      <w:r>
        <w:rPr>
          <w:rFonts w:hint="eastAsia" w:ascii="宋体" w:hAnsi="宋体" w:cs="宋体"/>
          <w:kern w:val="0"/>
          <w:sz w:val="24"/>
          <w:szCs w:val="24"/>
        </w:rPr>
        <w:t>年   月   日</w:t>
      </w:r>
    </w:p>
    <w:p>
      <w:pPr>
        <w:spacing w:line="360" w:lineRule="auto"/>
        <w:outlineLvl w:val="2"/>
        <w:rPr>
          <w:rFonts w:ascii="宋体" w:hAnsi="宋体"/>
          <w:b/>
          <w:sz w:val="28"/>
          <w:szCs w:val="28"/>
        </w:rPr>
      </w:pPr>
      <w:r>
        <w:rPr>
          <w:rFonts w:hint="eastAsia" w:ascii="宋体" w:hAnsi="宋体" w:cs="宋体"/>
          <w:b/>
          <w:bCs/>
          <w:kern w:val="0"/>
          <w:sz w:val="28"/>
          <w:szCs w:val="28"/>
        </w:rPr>
        <w:t>附件二：</w:t>
      </w:r>
      <w:r>
        <w:rPr>
          <w:rFonts w:hint="eastAsia" w:ascii="宋体" w:hAnsi="宋体"/>
          <w:b/>
          <w:sz w:val="28"/>
          <w:szCs w:val="28"/>
        </w:rPr>
        <w:t>监理项目管理团队人员信息</w:t>
      </w:r>
    </w:p>
    <w:p>
      <w:pPr>
        <w:spacing w:line="360" w:lineRule="auto"/>
        <w:jc w:val="center"/>
        <w:rPr>
          <w:rFonts w:ascii="宋体" w:hAnsi="宋体"/>
          <w:b/>
          <w:sz w:val="28"/>
          <w:szCs w:val="21"/>
        </w:rPr>
      </w:pPr>
      <w:r>
        <w:rPr>
          <w:rFonts w:hint="eastAsia" w:ascii="宋体" w:hAnsi="宋体"/>
          <w:b/>
          <w:sz w:val="28"/>
          <w:szCs w:val="21"/>
        </w:rPr>
        <w:t>监理项目管理团队人员信息表</w:t>
      </w:r>
    </w:p>
    <w:tbl>
      <w:tblPr>
        <w:tblStyle w:val="9"/>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391"/>
        <w:gridCol w:w="3260"/>
        <w:gridCol w:w="992"/>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
                <w:szCs w:val="21"/>
              </w:rPr>
            </w:pPr>
            <w:r>
              <w:rPr>
                <w:rFonts w:hint="eastAsia" w:ascii="宋体" w:hAnsi="宋体"/>
                <w:b/>
                <w:szCs w:val="21"/>
              </w:rPr>
              <w:t>序号</w:t>
            </w:r>
          </w:p>
        </w:tc>
        <w:tc>
          <w:tcPr>
            <w:tcW w:w="139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
                <w:szCs w:val="21"/>
              </w:rPr>
            </w:pPr>
            <w:r>
              <w:rPr>
                <w:rFonts w:hint="eastAsia" w:ascii="宋体" w:hAnsi="宋体"/>
                <w:b/>
                <w:szCs w:val="21"/>
              </w:rPr>
              <w:t>姓名</w:t>
            </w:r>
          </w:p>
        </w:tc>
        <w:tc>
          <w:tcPr>
            <w:tcW w:w="32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
                <w:szCs w:val="21"/>
              </w:rPr>
            </w:pPr>
            <w:r>
              <w:rPr>
                <w:rFonts w:hint="eastAsia" w:ascii="宋体" w:hAnsi="宋体"/>
                <w:b/>
                <w:szCs w:val="21"/>
              </w:rPr>
              <w:t>岗位</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
                <w:szCs w:val="21"/>
              </w:rPr>
            </w:pPr>
            <w:r>
              <w:rPr>
                <w:rFonts w:hint="eastAsia" w:ascii="宋体" w:hAnsi="宋体"/>
                <w:b/>
                <w:szCs w:val="21"/>
              </w:rPr>
              <w:t>职称</w:t>
            </w:r>
          </w:p>
        </w:tc>
        <w:tc>
          <w:tcPr>
            <w:tcW w:w="34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
                <w:szCs w:val="21"/>
              </w:rPr>
            </w:pPr>
            <w:r>
              <w:rPr>
                <w:rFonts w:hint="eastAsia" w:ascii="宋体" w:hAnsi="宋体"/>
                <w:b/>
                <w:szCs w:val="21"/>
              </w:rPr>
              <w:t>职称证书或资格证书编号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4" w:type="dxa"/>
            <w:tcBorders>
              <w:top w:val="single" w:color="auto" w:sz="4" w:space="0"/>
              <w:left w:val="single" w:color="auto" w:sz="4" w:space="0"/>
              <w:bottom w:val="single" w:color="auto" w:sz="4" w:space="0"/>
              <w:right w:val="single" w:color="auto" w:sz="4" w:space="0"/>
            </w:tcBorders>
            <w:vAlign w:val="center"/>
          </w:tcPr>
          <w:p>
            <w:pPr>
              <w:pStyle w:val="18"/>
              <w:numPr>
                <w:ilvl w:val="0"/>
                <w:numId w:val="1"/>
              </w:numPr>
              <w:ind w:firstLineChars="0"/>
              <w:jc w:val="right"/>
              <w:rPr>
                <w:rFonts w:ascii="宋体" w:hAnsi="宋体"/>
                <w:szCs w:val="21"/>
              </w:rPr>
            </w:pPr>
          </w:p>
        </w:tc>
        <w:tc>
          <w:tcPr>
            <w:tcW w:w="139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kern w:val="0"/>
                <w:szCs w:val="21"/>
              </w:rPr>
            </w:pPr>
            <w:r>
              <w:rPr>
                <w:bCs/>
                <w:spacing w:val="-10"/>
                <w:szCs w:val="21"/>
              </w:rPr>
              <w:t>项目总协调人</w:t>
            </w:r>
          </w:p>
        </w:tc>
        <w:tc>
          <w:tcPr>
            <w:tcW w:w="99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yellow"/>
              </w:rPr>
            </w:pPr>
          </w:p>
        </w:tc>
        <w:tc>
          <w:tcPr>
            <w:tcW w:w="3402" w:type="dxa"/>
            <w:tcBorders>
              <w:top w:val="single" w:color="auto" w:sz="4" w:space="0"/>
              <w:left w:val="single" w:color="auto" w:sz="4" w:space="0"/>
              <w:bottom w:val="single" w:color="auto" w:sz="4" w:space="0"/>
              <w:right w:val="single" w:color="auto" w:sz="4" w:space="0"/>
            </w:tcBorders>
          </w:tcPr>
          <w:p>
            <w:pPr>
              <w:rPr>
                <w:rFonts w:ascii="宋体" w:hAnsi="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4" w:type="dxa"/>
            <w:tcBorders>
              <w:top w:val="single" w:color="auto" w:sz="4" w:space="0"/>
              <w:left w:val="single" w:color="auto" w:sz="4" w:space="0"/>
              <w:bottom w:val="single" w:color="auto" w:sz="4" w:space="0"/>
              <w:right w:val="single" w:color="auto" w:sz="4" w:space="0"/>
            </w:tcBorders>
            <w:vAlign w:val="center"/>
          </w:tcPr>
          <w:p>
            <w:pPr>
              <w:pStyle w:val="18"/>
              <w:numPr>
                <w:ilvl w:val="0"/>
                <w:numId w:val="1"/>
              </w:numPr>
              <w:ind w:firstLineChars="0"/>
              <w:jc w:val="right"/>
              <w:rPr>
                <w:rFonts w:ascii="宋体" w:hAnsi="宋体"/>
                <w:szCs w:val="21"/>
              </w:rPr>
            </w:pPr>
          </w:p>
        </w:tc>
        <w:tc>
          <w:tcPr>
            <w:tcW w:w="139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kern w:val="0"/>
                <w:szCs w:val="21"/>
              </w:rPr>
            </w:pPr>
            <w:r>
              <w:rPr>
                <w:szCs w:val="21"/>
              </w:rPr>
              <w:t>总监代表</w:t>
            </w:r>
          </w:p>
        </w:tc>
        <w:tc>
          <w:tcPr>
            <w:tcW w:w="99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40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4" w:type="dxa"/>
            <w:tcBorders>
              <w:top w:val="single" w:color="auto" w:sz="4" w:space="0"/>
              <w:left w:val="single" w:color="auto" w:sz="4" w:space="0"/>
              <w:bottom w:val="single" w:color="auto" w:sz="4" w:space="0"/>
              <w:right w:val="single" w:color="auto" w:sz="4" w:space="0"/>
            </w:tcBorders>
            <w:vAlign w:val="center"/>
          </w:tcPr>
          <w:p>
            <w:pPr>
              <w:pStyle w:val="18"/>
              <w:numPr>
                <w:ilvl w:val="0"/>
                <w:numId w:val="1"/>
              </w:numPr>
              <w:ind w:firstLineChars="0"/>
              <w:jc w:val="right"/>
              <w:rPr>
                <w:rFonts w:ascii="宋体" w:hAnsi="宋体"/>
                <w:szCs w:val="21"/>
              </w:rPr>
            </w:pPr>
          </w:p>
        </w:tc>
        <w:tc>
          <w:tcPr>
            <w:tcW w:w="139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kern w:val="0"/>
                <w:szCs w:val="21"/>
              </w:rPr>
            </w:pPr>
            <w:r>
              <w:rPr>
                <w:szCs w:val="21"/>
              </w:rPr>
              <w:t>BIM专业工程师</w:t>
            </w:r>
          </w:p>
        </w:tc>
        <w:tc>
          <w:tcPr>
            <w:tcW w:w="99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40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4" w:type="dxa"/>
            <w:tcBorders>
              <w:top w:val="single" w:color="auto" w:sz="4" w:space="0"/>
              <w:left w:val="single" w:color="auto" w:sz="4" w:space="0"/>
              <w:bottom w:val="single" w:color="auto" w:sz="4" w:space="0"/>
              <w:right w:val="single" w:color="auto" w:sz="4" w:space="0"/>
            </w:tcBorders>
            <w:vAlign w:val="center"/>
          </w:tcPr>
          <w:p>
            <w:pPr>
              <w:pStyle w:val="18"/>
              <w:numPr>
                <w:ilvl w:val="0"/>
                <w:numId w:val="1"/>
              </w:numPr>
              <w:ind w:firstLineChars="0"/>
              <w:jc w:val="right"/>
              <w:rPr>
                <w:rFonts w:ascii="宋体" w:hAnsi="宋体"/>
                <w:szCs w:val="21"/>
              </w:rPr>
            </w:pPr>
          </w:p>
        </w:tc>
        <w:tc>
          <w:tcPr>
            <w:tcW w:w="139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kern w:val="0"/>
                <w:szCs w:val="21"/>
              </w:rPr>
            </w:pPr>
            <w:r>
              <w:rPr>
                <w:szCs w:val="21"/>
              </w:rPr>
              <w:t>造价工程师</w:t>
            </w:r>
            <w:r>
              <w:rPr>
                <w:rFonts w:hint="eastAsia"/>
                <w:szCs w:val="21"/>
              </w:rPr>
              <w:t>1</w:t>
            </w:r>
          </w:p>
        </w:tc>
        <w:tc>
          <w:tcPr>
            <w:tcW w:w="99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40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4" w:type="dxa"/>
            <w:tcBorders>
              <w:top w:val="single" w:color="auto" w:sz="4" w:space="0"/>
              <w:left w:val="single" w:color="auto" w:sz="4" w:space="0"/>
              <w:bottom w:val="single" w:color="auto" w:sz="4" w:space="0"/>
              <w:right w:val="single" w:color="auto" w:sz="4" w:space="0"/>
            </w:tcBorders>
            <w:vAlign w:val="center"/>
          </w:tcPr>
          <w:p>
            <w:pPr>
              <w:pStyle w:val="18"/>
              <w:numPr>
                <w:ilvl w:val="0"/>
                <w:numId w:val="1"/>
              </w:numPr>
              <w:ind w:firstLineChars="0"/>
              <w:jc w:val="right"/>
              <w:rPr>
                <w:rFonts w:ascii="宋体" w:hAnsi="宋体"/>
                <w:szCs w:val="21"/>
              </w:rPr>
            </w:pPr>
          </w:p>
        </w:tc>
        <w:tc>
          <w:tcPr>
            <w:tcW w:w="139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szCs w:val="21"/>
              </w:rPr>
            </w:pPr>
            <w:r>
              <w:rPr>
                <w:szCs w:val="21"/>
              </w:rPr>
              <w:t>造价工程师</w:t>
            </w:r>
            <w:r>
              <w:rPr>
                <w:rFonts w:hint="eastAsia"/>
                <w:szCs w:val="21"/>
              </w:rPr>
              <w:t>2</w:t>
            </w:r>
          </w:p>
        </w:tc>
        <w:tc>
          <w:tcPr>
            <w:tcW w:w="99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40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4" w:type="dxa"/>
            <w:tcBorders>
              <w:top w:val="single" w:color="auto" w:sz="4" w:space="0"/>
              <w:left w:val="single" w:color="auto" w:sz="4" w:space="0"/>
              <w:bottom w:val="single" w:color="auto" w:sz="4" w:space="0"/>
              <w:right w:val="single" w:color="auto" w:sz="4" w:space="0"/>
            </w:tcBorders>
            <w:vAlign w:val="center"/>
          </w:tcPr>
          <w:p>
            <w:pPr>
              <w:pStyle w:val="18"/>
              <w:numPr>
                <w:ilvl w:val="0"/>
                <w:numId w:val="1"/>
              </w:numPr>
              <w:ind w:firstLineChars="0"/>
              <w:jc w:val="right"/>
              <w:rPr>
                <w:rFonts w:ascii="宋体" w:hAnsi="宋体"/>
                <w:szCs w:val="21"/>
              </w:rPr>
            </w:pPr>
          </w:p>
        </w:tc>
        <w:tc>
          <w:tcPr>
            <w:tcW w:w="139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kern w:val="0"/>
                <w:szCs w:val="21"/>
              </w:rPr>
            </w:pPr>
            <w:r>
              <w:rPr>
                <w:rFonts w:hint="eastAsia"/>
                <w:szCs w:val="21"/>
              </w:rPr>
              <w:t>报批报建和设计管理工程师1</w:t>
            </w:r>
          </w:p>
        </w:tc>
        <w:tc>
          <w:tcPr>
            <w:tcW w:w="99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40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4" w:type="dxa"/>
            <w:tcBorders>
              <w:top w:val="single" w:color="auto" w:sz="4" w:space="0"/>
              <w:left w:val="single" w:color="auto" w:sz="4" w:space="0"/>
              <w:bottom w:val="single" w:color="auto" w:sz="4" w:space="0"/>
              <w:right w:val="single" w:color="auto" w:sz="4" w:space="0"/>
            </w:tcBorders>
            <w:vAlign w:val="center"/>
          </w:tcPr>
          <w:p>
            <w:pPr>
              <w:pStyle w:val="18"/>
              <w:numPr>
                <w:ilvl w:val="0"/>
                <w:numId w:val="1"/>
              </w:numPr>
              <w:ind w:firstLineChars="0"/>
              <w:jc w:val="right"/>
              <w:rPr>
                <w:rFonts w:ascii="宋体" w:hAnsi="宋体"/>
                <w:szCs w:val="21"/>
              </w:rPr>
            </w:pPr>
          </w:p>
        </w:tc>
        <w:tc>
          <w:tcPr>
            <w:tcW w:w="139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kern w:val="0"/>
                <w:szCs w:val="21"/>
              </w:rPr>
            </w:pPr>
            <w:r>
              <w:rPr>
                <w:szCs w:val="21"/>
              </w:rPr>
              <w:t>土建专业监理工程师</w:t>
            </w:r>
            <w:r>
              <w:rPr>
                <w:rFonts w:hint="eastAsia"/>
                <w:szCs w:val="21"/>
              </w:rPr>
              <w:t>1</w:t>
            </w:r>
          </w:p>
        </w:tc>
        <w:tc>
          <w:tcPr>
            <w:tcW w:w="99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40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4" w:type="dxa"/>
            <w:tcBorders>
              <w:top w:val="single" w:color="auto" w:sz="4" w:space="0"/>
              <w:left w:val="single" w:color="auto" w:sz="4" w:space="0"/>
              <w:bottom w:val="single" w:color="auto" w:sz="4" w:space="0"/>
              <w:right w:val="single" w:color="auto" w:sz="4" w:space="0"/>
            </w:tcBorders>
            <w:vAlign w:val="center"/>
          </w:tcPr>
          <w:p>
            <w:pPr>
              <w:pStyle w:val="18"/>
              <w:numPr>
                <w:ilvl w:val="0"/>
                <w:numId w:val="1"/>
              </w:numPr>
              <w:ind w:firstLineChars="0"/>
              <w:jc w:val="right"/>
              <w:rPr>
                <w:rFonts w:ascii="宋体" w:hAnsi="宋体"/>
                <w:szCs w:val="21"/>
              </w:rPr>
            </w:pPr>
          </w:p>
        </w:tc>
        <w:tc>
          <w:tcPr>
            <w:tcW w:w="139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szCs w:val="21"/>
              </w:rPr>
            </w:pPr>
            <w:r>
              <w:rPr>
                <w:szCs w:val="21"/>
              </w:rPr>
              <w:t>土建专业监理工程师</w:t>
            </w:r>
            <w:r>
              <w:rPr>
                <w:rFonts w:hint="eastAsia"/>
                <w:szCs w:val="21"/>
              </w:rPr>
              <w:t>2</w:t>
            </w:r>
          </w:p>
        </w:tc>
        <w:tc>
          <w:tcPr>
            <w:tcW w:w="99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40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4" w:type="dxa"/>
            <w:tcBorders>
              <w:top w:val="single" w:color="auto" w:sz="4" w:space="0"/>
              <w:left w:val="single" w:color="auto" w:sz="4" w:space="0"/>
              <w:bottom w:val="single" w:color="auto" w:sz="4" w:space="0"/>
              <w:right w:val="single" w:color="auto" w:sz="4" w:space="0"/>
            </w:tcBorders>
            <w:vAlign w:val="center"/>
          </w:tcPr>
          <w:p>
            <w:pPr>
              <w:pStyle w:val="18"/>
              <w:numPr>
                <w:ilvl w:val="0"/>
                <w:numId w:val="1"/>
              </w:numPr>
              <w:ind w:firstLineChars="0"/>
              <w:jc w:val="right"/>
              <w:rPr>
                <w:rFonts w:ascii="宋体" w:hAnsi="宋体"/>
                <w:szCs w:val="21"/>
              </w:rPr>
            </w:pPr>
          </w:p>
        </w:tc>
        <w:tc>
          <w:tcPr>
            <w:tcW w:w="139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szCs w:val="21"/>
              </w:rPr>
            </w:pPr>
            <w:r>
              <w:rPr>
                <w:szCs w:val="21"/>
              </w:rPr>
              <w:t>土建专业监理工程师</w:t>
            </w:r>
            <w:r>
              <w:rPr>
                <w:rFonts w:hint="eastAsia"/>
                <w:szCs w:val="21"/>
              </w:rPr>
              <w:t>3</w:t>
            </w:r>
          </w:p>
        </w:tc>
        <w:tc>
          <w:tcPr>
            <w:tcW w:w="99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40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4" w:type="dxa"/>
            <w:tcBorders>
              <w:top w:val="single" w:color="auto" w:sz="4" w:space="0"/>
              <w:left w:val="single" w:color="auto" w:sz="4" w:space="0"/>
              <w:bottom w:val="single" w:color="auto" w:sz="4" w:space="0"/>
              <w:right w:val="single" w:color="auto" w:sz="4" w:space="0"/>
            </w:tcBorders>
            <w:vAlign w:val="center"/>
          </w:tcPr>
          <w:p>
            <w:pPr>
              <w:pStyle w:val="18"/>
              <w:numPr>
                <w:ilvl w:val="0"/>
                <w:numId w:val="1"/>
              </w:numPr>
              <w:ind w:firstLineChars="0"/>
              <w:jc w:val="right"/>
              <w:rPr>
                <w:rFonts w:ascii="宋体" w:hAnsi="宋体"/>
                <w:szCs w:val="21"/>
              </w:rPr>
            </w:pPr>
          </w:p>
        </w:tc>
        <w:tc>
          <w:tcPr>
            <w:tcW w:w="139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szCs w:val="21"/>
              </w:rPr>
            </w:pPr>
            <w:r>
              <w:rPr>
                <w:szCs w:val="21"/>
              </w:rPr>
              <w:t>土建专业监理工程师</w:t>
            </w:r>
            <w:r>
              <w:rPr>
                <w:rFonts w:hint="eastAsia"/>
                <w:szCs w:val="21"/>
              </w:rPr>
              <w:t>4</w:t>
            </w:r>
          </w:p>
        </w:tc>
        <w:tc>
          <w:tcPr>
            <w:tcW w:w="99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40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4" w:type="dxa"/>
            <w:tcBorders>
              <w:top w:val="single" w:color="auto" w:sz="4" w:space="0"/>
              <w:left w:val="single" w:color="auto" w:sz="4" w:space="0"/>
              <w:bottom w:val="single" w:color="auto" w:sz="4" w:space="0"/>
              <w:right w:val="single" w:color="auto" w:sz="4" w:space="0"/>
            </w:tcBorders>
            <w:vAlign w:val="center"/>
          </w:tcPr>
          <w:p>
            <w:pPr>
              <w:pStyle w:val="18"/>
              <w:numPr>
                <w:ilvl w:val="0"/>
                <w:numId w:val="1"/>
              </w:numPr>
              <w:ind w:firstLineChars="0"/>
              <w:jc w:val="right"/>
              <w:rPr>
                <w:rFonts w:ascii="宋体" w:hAnsi="宋体"/>
                <w:szCs w:val="21"/>
              </w:rPr>
            </w:pPr>
          </w:p>
        </w:tc>
        <w:tc>
          <w:tcPr>
            <w:tcW w:w="139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kern w:val="0"/>
                <w:szCs w:val="21"/>
              </w:rPr>
            </w:pPr>
            <w:r>
              <w:rPr>
                <w:szCs w:val="21"/>
              </w:rPr>
              <w:t>装饰装修</w:t>
            </w:r>
            <w:r>
              <w:rPr>
                <w:rFonts w:hint="eastAsia"/>
                <w:szCs w:val="21"/>
              </w:rPr>
              <w:t>专业</w:t>
            </w:r>
            <w:r>
              <w:rPr>
                <w:szCs w:val="21"/>
              </w:rPr>
              <w:t>监理工程师</w:t>
            </w:r>
            <w:r>
              <w:rPr>
                <w:rFonts w:hint="eastAsia"/>
                <w:szCs w:val="21"/>
              </w:rPr>
              <w:t>1</w:t>
            </w:r>
          </w:p>
        </w:tc>
        <w:tc>
          <w:tcPr>
            <w:tcW w:w="99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40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4" w:type="dxa"/>
            <w:tcBorders>
              <w:top w:val="single" w:color="auto" w:sz="4" w:space="0"/>
              <w:left w:val="single" w:color="auto" w:sz="4" w:space="0"/>
              <w:bottom w:val="single" w:color="auto" w:sz="4" w:space="0"/>
              <w:right w:val="single" w:color="auto" w:sz="4" w:space="0"/>
            </w:tcBorders>
            <w:vAlign w:val="center"/>
          </w:tcPr>
          <w:p>
            <w:pPr>
              <w:pStyle w:val="18"/>
              <w:numPr>
                <w:ilvl w:val="0"/>
                <w:numId w:val="1"/>
              </w:numPr>
              <w:ind w:firstLineChars="0"/>
              <w:jc w:val="right"/>
              <w:rPr>
                <w:rFonts w:ascii="宋体" w:hAnsi="宋体"/>
                <w:szCs w:val="21"/>
              </w:rPr>
            </w:pPr>
          </w:p>
        </w:tc>
        <w:tc>
          <w:tcPr>
            <w:tcW w:w="139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szCs w:val="21"/>
              </w:rPr>
            </w:pPr>
            <w:r>
              <w:rPr>
                <w:szCs w:val="21"/>
              </w:rPr>
              <w:t>装饰装修</w:t>
            </w:r>
            <w:r>
              <w:rPr>
                <w:rFonts w:hint="eastAsia"/>
                <w:szCs w:val="21"/>
              </w:rPr>
              <w:t>专业</w:t>
            </w:r>
            <w:r>
              <w:rPr>
                <w:szCs w:val="21"/>
              </w:rPr>
              <w:t>监理工程师</w:t>
            </w:r>
            <w:r>
              <w:rPr>
                <w:rFonts w:hint="eastAsia"/>
                <w:szCs w:val="21"/>
              </w:rPr>
              <w:t>2</w:t>
            </w:r>
          </w:p>
        </w:tc>
        <w:tc>
          <w:tcPr>
            <w:tcW w:w="99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40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4" w:type="dxa"/>
            <w:tcBorders>
              <w:top w:val="single" w:color="auto" w:sz="4" w:space="0"/>
              <w:left w:val="single" w:color="auto" w:sz="4" w:space="0"/>
              <w:bottom w:val="single" w:color="auto" w:sz="4" w:space="0"/>
              <w:right w:val="single" w:color="auto" w:sz="4" w:space="0"/>
            </w:tcBorders>
            <w:vAlign w:val="center"/>
          </w:tcPr>
          <w:p>
            <w:pPr>
              <w:pStyle w:val="18"/>
              <w:numPr>
                <w:ilvl w:val="0"/>
                <w:numId w:val="1"/>
              </w:numPr>
              <w:ind w:firstLineChars="0"/>
              <w:jc w:val="right"/>
              <w:rPr>
                <w:rFonts w:ascii="宋体" w:hAnsi="宋体"/>
                <w:szCs w:val="21"/>
              </w:rPr>
            </w:pPr>
          </w:p>
        </w:tc>
        <w:tc>
          <w:tcPr>
            <w:tcW w:w="139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kern w:val="0"/>
                <w:szCs w:val="21"/>
              </w:rPr>
            </w:pPr>
            <w:r>
              <w:rPr>
                <w:szCs w:val="21"/>
              </w:rPr>
              <w:t>电气专业</w:t>
            </w:r>
            <w:r>
              <w:rPr>
                <w:rFonts w:hint="eastAsia"/>
                <w:szCs w:val="21"/>
              </w:rPr>
              <w:t>监理</w:t>
            </w:r>
            <w:r>
              <w:rPr>
                <w:szCs w:val="21"/>
              </w:rPr>
              <w:t>工程师</w:t>
            </w:r>
            <w:r>
              <w:rPr>
                <w:rFonts w:hint="eastAsia"/>
                <w:szCs w:val="21"/>
              </w:rPr>
              <w:t>1</w:t>
            </w:r>
          </w:p>
        </w:tc>
        <w:tc>
          <w:tcPr>
            <w:tcW w:w="99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40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4" w:type="dxa"/>
            <w:tcBorders>
              <w:top w:val="single" w:color="auto" w:sz="4" w:space="0"/>
              <w:left w:val="single" w:color="auto" w:sz="4" w:space="0"/>
              <w:bottom w:val="single" w:color="auto" w:sz="4" w:space="0"/>
              <w:right w:val="single" w:color="auto" w:sz="4" w:space="0"/>
            </w:tcBorders>
            <w:vAlign w:val="center"/>
          </w:tcPr>
          <w:p>
            <w:pPr>
              <w:pStyle w:val="18"/>
              <w:numPr>
                <w:ilvl w:val="0"/>
                <w:numId w:val="1"/>
              </w:numPr>
              <w:ind w:firstLineChars="0"/>
              <w:jc w:val="right"/>
              <w:rPr>
                <w:rFonts w:ascii="宋体" w:hAnsi="宋体"/>
                <w:szCs w:val="21"/>
              </w:rPr>
            </w:pPr>
          </w:p>
        </w:tc>
        <w:tc>
          <w:tcPr>
            <w:tcW w:w="139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szCs w:val="21"/>
              </w:rPr>
            </w:pPr>
            <w:r>
              <w:rPr>
                <w:szCs w:val="21"/>
              </w:rPr>
              <w:t>电气专业</w:t>
            </w:r>
            <w:r>
              <w:rPr>
                <w:rFonts w:hint="eastAsia"/>
                <w:szCs w:val="21"/>
              </w:rPr>
              <w:t>监理</w:t>
            </w:r>
            <w:r>
              <w:rPr>
                <w:szCs w:val="21"/>
              </w:rPr>
              <w:t>工程师</w:t>
            </w:r>
            <w:r>
              <w:rPr>
                <w:rFonts w:hint="eastAsia"/>
                <w:szCs w:val="21"/>
              </w:rPr>
              <w:t>2</w:t>
            </w:r>
          </w:p>
        </w:tc>
        <w:tc>
          <w:tcPr>
            <w:tcW w:w="99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40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4" w:type="dxa"/>
            <w:tcBorders>
              <w:top w:val="single" w:color="auto" w:sz="4" w:space="0"/>
              <w:left w:val="single" w:color="auto" w:sz="4" w:space="0"/>
              <w:bottom w:val="single" w:color="auto" w:sz="4" w:space="0"/>
              <w:right w:val="single" w:color="auto" w:sz="4" w:space="0"/>
            </w:tcBorders>
            <w:vAlign w:val="center"/>
          </w:tcPr>
          <w:p>
            <w:pPr>
              <w:pStyle w:val="18"/>
              <w:numPr>
                <w:ilvl w:val="0"/>
                <w:numId w:val="1"/>
              </w:numPr>
              <w:ind w:firstLineChars="0"/>
              <w:jc w:val="right"/>
              <w:rPr>
                <w:rFonts w:ascii="宋体" w:hAnsi="宋体"/>
                <w:szCs w:val="21"/>
              </w:rPr>
            </w:pPr>
          </w:p>
        </w:tc>
        <w:tc>
          <w:tcPr>
            <w:tcW w:w="139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szCs w:val="21"/>
              </w:rPr>
            </w:pPr>
            <w:r>
              <w:rPr>
                <w:szCs w:val="21"/>
              </w:rPr>
              <w:t>电气专业</w:t>
            </w:r>
            <w:r>
              <w:rPr>
                <w:rFonts w:hint="eastAsia"/>
                <w:szCs w:val="21"/>
              </w:rPr>
              <w:t>监理</w:t>
            </w:r>
            <w:r>
              <w:rPr>
                <w:szCs w:val="21"/>
              </w:rPr>
              <w:t>工程师</w:t>
            </w:r>
            <w:r>
              <w:rPr>
                <w:rFonts w:hint="eastAsia"/>
                <w:szCs w:val="21"/>
              </w:rPr>
              <w:t>3</w:t>
            </w:r>
          </w:p>
        </w:tc>
        <w:tc>
          <w:tcPr>
            <w:tcW w:w="99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40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4" w:type="dxa"/>
            <w:tcBorders>
              <w:top w:val="single" w:color="auto" w:sz="4" w:space="0"/>
              <w:left w:val="single" w:color="auto" w:sz="4" w:space="0"/>
              <w:bottom w:val="single" w:color="auto" w:sz="4" w:space="0"/>
              <w:right w:val="single" w:color="auto" w:sz="4" w:space="0"/>
            </w:tcBorders>
            <w:vAlign w:val="center"/>
          </w:tcPr>
          <w:p>
            <w:pPr>
              <w:pStyle w:val="18"/>
              <w:numPr>
                <w:ilvl w:val="0"/>
                <w:numId w:val="1"/>
              </w:numPr>
              <w:ind w:firstLineChars="0"/>
              <w:jc w:val="right"/>
              <w:rPr>
                <w:rFonts w:ascii="宋体" w:hAnsi="宋体"/>
                <w:szCs w:val="21"/>
              </w:rPr>
            </w:pPr>
          </w:p>
        </w:tc>
        <w:tc>
          <w:tcPr>
            <w:tcW w:w="139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kern w:val="0"/>
                <w:szCs w:val="21"/>
              </w:rPr>
            </w:pPr>
            <w:r>
              <w:rPr>
                <w:szCs w:val="21"/>
              </w:rPr>
              <w:t>给排水专业</w:t>
            </w:r>
            <w:r>
              <w:rPr>
                <w:rFonts w:hint="eastAsia"/>
                <w:szCs w:val="21"/>
              </w:rPr>
              <w:t>监理</w:t>
            </w:r>
            <w:r>
              <w:rPr>
                <w:szCs w:val="21"/>
              </w:rPr>
              <w:t>工程师</w:t>
            </w:r>
          </w:p>
        </w:tc>
        <w:tc>
          <w:tcPr>
            <w:tcW w:w="99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40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4" w:type="dxa"/>
            <w:tcBorders>
              <w:top w:val="single" w:color="auto" w:sz="4" w:space="0"/>
              <w:left w:val="single" w:color="auto" w:sz="4" w:space="0"/>
              <w:bottom w:val="single" w:color="auto" w:sz="4" w:space="0"/>
              <w:right w:val="single" w:color="auto" w:sz="4" w:space="0"/>
            </w:tcBorders>
            <w:vAlign w:val="center"/>
          </w:tcPr>
          <w:p>
            <w:pPr>
              <w:pStyle w:val="18"/>
              <w:numPr>
                <w:ilvl w:val="0"/>
                <w:numId w:val="1"/>
              </w:numPr>
              <w:ind w:firstLineChars="0"/>
              <w:jc w:val="right"/>
              <w:rPr>
                <w:rFonts w:ascii="宋体" w:hAnsi="宋体"/>
                <w:szCs w:val="21"/>
              </w:rPr>
            </w:pPr>
          </w:p>
        </w:tc>
        <w:tc>
          <w:tcPr>
            <w:tcW w:w="139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kern w:val="0"/>
                <w:szCs w:val="21"/>
              </w:rPr>
            </w:pPr>
            <w:r>
              <w:rPr>
                <w:szCs w:val="21"/>
              </w:rPr>
              <w:t>暖通专业</w:t>
            </w:r>
            <w:r>
              <w:rPr>
                <w:rFonts w:hint="eastAsia"/>
                <w:szCs w:val="21"/>
              </w:rPr>
              <w:t>监理</w:t>
            </w:r>
            <w:r>
              <w:rPr>
                <w:szCs w:val="21"/>
              </w:rPr>
              <w:t>工程师</w:t>
            </w:r>
          </w:p>
        </w:tc>
        <w:tc>
          <w:tcPr>
            <w:tcW w:w="99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40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4" w:type="dxa"/>
            <w:tcBorders>
              <w:top w:val="single" w:color="auto" w:sz="4" w:space="0"/>
              <w:left w:val="single" w:color="auto" w:sz="4" w:space="0"/>
              <w:bottom w:val="single" w:color="auto" w:sz="4" w:space="0"/>
              <w:right w:val="single" w:color="auto" w:sz="4" w:space="0"/>
            </w:tcBorders>
            <w:vAlign w:val="center"/>
          </w:tcPr>
          <w:p>
            <w:pPr>
              <w:pStyle w:val="18"/>
              <w:numPr>
                <w:ilvl w:val="0"/>
                <w:numId w:val="1"/>
              </w:numPr>
              <w:ind w:firstLineChars="0"/>
              <w:jc w:val="right"/>
              <w:rPr>
                <w:rFonts w:ascii="宋体" w:hAnsi="宋体"/>
                <w:szCs w:val="21"/>
              </w:rPr>
            </w:pPr>
          </w:p>
        </w:tc>
        <w:tc>
          <w:tcPr>
            <w:tcW w:w="139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kern w:val="0"/>
                <w:szCs w:val="21"/>
              </w:rPr>
            </w:pPr>
            <w:r>
              <w:rPr>
                <w:szCs w:val="21"/>
              </w:rPr>
              <w:t>弱电专业</w:t>
            </w:r>
            <w:r>
              <w:rPr>
                <w:rFonts w:hint="eastAsia"/>
                <w:szCs w:val="21"/>
              </w:rPr>
              <w:t>监理</w:t>
            </w:r>
            <w:r>
              <w:rPr>
                <w:szCs w:val="21"/>
              </w:rPr>
              <w:t>工程师</w:t>
            </w:r>
          </w:p>
        </w:tc>
        <w:tc>
          <w:tcPr>
            <w:tcW w:w="99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40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4" w:type="dxa"/>
            <w:tcBorders>
              <w:top w:val="single" w:color="auto" w:sz="4" w:space="0"/>
              <w:left w:val="single" w:color="auto" w:sz="4" w:space="0"/>
              <w:bottom w:val="single" w:color="auto" w:sz="4" w:space="0"/>
              <w:right w:val="single" w:color="auto" w:sz="4" w:space="0"/>
            </w:tcBorders>
            <w:vAlign w:val="center"/>
          </w:tcPr>
          <w:p>
            <w:pPr>
              <w:pStyle w:val="18"/>
              <w:numPr>
                <w:ilvl w:val="0"/>
                <w:numId w:val="1"/>
              </w:numPr>
              <w:ind w:firstLineChars="0"/>
              <w:jc w:val="right"/>
              <w:rPr>
                <w:rFonts w:ascii="宋体" w:hAnsi="宋体"/>
                <w:szCs w:val="21"/>
              </w:rPr>
            </w:pPr>
          </w:p>
        </w:tc>
        <w:tc>
          <w:tcPr>
            <w:tcW w:w="139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szCs w:val="21"/>
              </w:rPr>
            </w:pPr>
            <w:r>
              <w:rPr>
                <w:rFonts w:hint="eastAsia"/>
                <w:szCs w:val="21"/>
              </w:rPr>
              <w:t>智能化专业监理工程师</w:t>
            </w:r>
          </w:p>
        </w:tc>
        <w:tc>
          <w:tcPr>
            <w:tcW w:w="99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40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844" w:type="dxa"/>
            <w:tcBorders>
              <w:top w:val="single" w:color="auto" w:sz="4" w:space="0"/>
              <w:left w:val="single" w:color="auto" w:sz="4" w:space="0"/>
              <w:bottom w:val="single" w:color="auto" w:sz="4" w:space="0"/>
              <w:right w:val="single" w:color="auto" w:sz="4" w:space="0"/>
            </w:tcBorders>
            <w:vAlign w:val="center"/>
          </w:tcPr>
          <w:p>
            <w:pPr>
              <w:pStyle w:val="18"/>
              <w:numPr>
                <w:ilvl w:val="0"/>
                <w:numId w:val="1"/>
              </w:numPr>
              <w:ind w:firstLineChars="0"/>
              <w:jc w:val="right"/>
              <w:rPr>
                <w:rFonts w:ascii="宋体" w:hAnsi="宋体"/>
                <w:szCs w:val="21"/>
              </w:rPr>
            </w:pPr>
          </w:p>
        </w:tc>
        <w:tc>
          <w:tcPr>
            <w:tcW w:w="139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s="宋体"/>
                <w:kern w:val="0"/>
                <w:szCs w:val="21"/>
              </w:rPr>
            </w:pPr>
            <w:r>
              <w:rPr>
                <w:szCs w:val="21"/>
              </w:rPr>
              <w:t>测量</w:t>
            </w:r>
            <w:r>
              <w:rPr>
                <w:rFonts w:hint="eastAsia"/>
                <w:szCs w:val="21"/>
              </w:rPr>
              <w:t>专业</w:t>
            </w:r>
            <w:r>
              <w:rPr>
                <w:szCs w:val="21"/>
              </w:rPr>
              <w:t>监理工程师</w:t>
            </w:r>
          </w:p>
        </w:tc>
        <w:tc>
          <w:tcPr>
            <w:tcW w:w="99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40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4" w:type="dxa"/>
            <w:tcBorders>
              <w:top w:val="single" w:color="auto" w:sz="4" w:space="0"/>
              <w:left w:val="single" w:color="auto" w:sz="4" w:space="0"/>
              <w:bottom w:val="single" w:color="auto" w:sz="4" w:space="0"/>
              <w:right w:val="single" w:color="auto" w:sz="4" w:space="0"/>
            </w:tcBorders>
            <w:vAlign w:val="center"/>
          </w:tcPr>
          <w:p>
            <w:pPr>
              <w:pStyle w:val="18"/>
              <w:numPr>
                <w:ilvl w:val="0"/>
                <w:numId w:val="1"/>
              </w:numPr>
              <w:ind w:firstLineChars="0"/>
              <w:jc w:val="right"/>
              <w:rPr>
                <w:rFonts w:ascii="宋体" w:hAnsi="宋体"/>
                <w:szCs w:val="21"/>
              </w:rPr>
            </w:pPr>
          </w:p>
        </w:tc>
        <w:tc>
          <w:tcPr>
            <w:tcW w:w="139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kern w:val="0"/>
                <w:szCs w:val="21"/>
              </w:rPr>
            </w:pPr>
            <w:r>
              <w:rPr>
                <w:szCs w:val="21"/>
              </w:rPr>
              <w:t>安全工程师</w:t>
            </w:r>
            <w:r>
              <w:rPr>
                <w:rFonts w:hint="eastAsia"/>
                <w:szCs w:val="21"/>
              </w:rPr>
              <w:t>1</w:t>
            </w:r>
          </w:p>
        </w:tc>
        <w:tc>
          <w:tcPr>
            <w:tcW w:w="99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40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4" w:type="dxa"/>
            <w:tcBorders>
              <w:top w:val="single" w:color="auto" w:sz="4" w:space="0"/>
              <w:left w:val="single" w:color="auto" w:sz="4" w:space="0"/>
              <w:bottom w:val="single" w:color="auto" w:sz="4" w:space="0"/>
              <w:right w:val="single" w:color="auto" w:sz="4" w:space="0"/>
            </w:tcBorders>
            <w:vAlign w:val="center"/>
          </w:tcPr>
          <w:p>
            <w:pPr>
              <w:pStyle w:val="18"/>
              <w:numPr>
                <w:ilvl w:val="0"/>
                <w:numId w:val="1"/>
              </w:numPr>
              <w:ind w:firstLineChars="0"/>
              <w:jc w:val="right"/>
              <w:rPr>
                <w:rFonts w:ascii="宋体" w:hAnsi="宋体"/>
                <w:szCs w:val="21"/>
              </w:rPr>
            </w:pPr>
          </w:p>
        </w:tc>
        <w:tc>
          <w:tcPr>
            <w:tcW w:w="139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szCs w:val="21"/>
              </w:rPr>
            </w:pPr>
            <w:r>
              <w:rPr>
                <w:szCs w:val="21"/>
              </w:rPr>
              <w:t>安全工程师</w:t>
            </w:r>
            <w:r>
              <w:rPr>
                <w:rFonts w:hint="eastAsia"/>
                <w:szCs w:val="21"/>
              </w:rPr>
              <w:t>2</w:t>
            </w:r>
          </w:p>
        </w:tc>
        <w:tc>
          <w:tcPr>
            <w:tcW w:w="99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40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4" w:type="dxa"/>
            <w:tcBorders>
              <w:top w:val="single" w:color="auto" w:sz="4" w:space="0"/>
              <w:left w:val="single" w:color="auto" w:sz="4" w:space="0"/>
              <w:bottom w:val="single" w:color="auto" w:sz="4" w:space="0"/>
              <w:right w:val="single" w:color="auto" w:sz="4" w:space="0"/>
            </w:tcBorders>
            <w:vAlign w:val="center"/>
          </w:tcPr>
          <w:p>
            <w:pPr>
              <w:pStyle w:val="18"/>
              <w:numPr>
                <w:ilvl w:val="0"/>
                <w:numId w:val="1"/>
              </w:numPr>
              <w:ind w:firstLineChars="0"/>
              <w:jc w:val="right"/>
              <w:rPr>
                <w:rFonts w:ascii="宋体" w:hAnsi="宋体"/>
                <w:szCs w:val="21"/>
              </w:rPr>
            </w:pPr>
          </w:p>
        </w:tc>
        <w:tc>
          <w:tcPr>
            <w:tcW w:w="139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kern w:val="0"/>
                <w:szCs w:val="21"/>
              </w:rPr>
            </w:pPr>
            <w:r>
              <w:rPr>
                <w:szCs w:val="21"/>
              </w:rPr>
              <w:t>监理员</w:t>
            </w:r>
            <w:r>
              <w:rPr>
                <w:rFonts w:hint="eastAsia"/>
                <w:szCs w:val="21"/>
              </w:rPr>
              <w:t>1</w:t>
            </w:r>
          </w:p>
        </w:tc>
        <w:tc>
          <w:tcPr>
            <w:tcW w:w="99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40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4" w:type="dxa"/>
            <w:tcBorders>
              <w:top w:val="single" w:color="auto" w:sz="4" w:space="0"/>
              <w:left w:val="single" w:color="auto" w:sz="4" w:space="0"/>
              <w:bottom w:val="single" w:color="auto" w:sz="4" w:space="0"/>
              <w:right w:val="single" w:color="auto" w:sz="4" w:space="0"/>
            </w:tcBorders>
            <w:vAlign w:val="center"/>
          </w:tcPr>
          <w:p>
            <w:pPr>
              <w:pStyle w:val="18"/>
              <w:numPr>
                <w:ilvl w:val="0"/>
                <w:numId w:val="1"/>
              </w:numPr>
              <w:ind w:firstLineChars="0"/>
              <w:jc w:val="right"/>
              <w:rPr>
                <w:rFonts w:ascii="宋体" w:hAnsi="宋体"/>
                <w:szCs w:val="21"/>
              </w:rPr>
            </w:pPr>
          </w:p>
        </w:tc>
        <w:tc>
          <w:tcPr>
            <w:tcW w:w="139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szCs w:val="21"/>
              </w:rPr>
            </w:pPr>
            <w:r>
              <w:rPr>
                <w:szCs w:val="21"/>
              </w:rPr>
              <w:t>监理员</w:t>
            </w:r>
            <w:r>
              <w:rPr>
                <w:rFonts w:hint="eastAsia"/>
                <w:szCs w:val="21"/>
              </w:rPr>
              <w:t>2</w:t>
            </w:r>
          </w:p>
        </w:tc>
        <w:tc>
          <w:tcPr>
            <w:tcW w:w="99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40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4" w:type="dxa"/>
            <w:tcBorders>
              <w:top w:val="single" w:color="auto" w:sz="4" w:space="0"/>
              <w:left w:val="single" w:color="auto" w:sz="4" w:space="0"/>
              <w:bottom w:val="single" w:color="auto" w:sz="4" w:space="0"/>
              <w:right w:val="single" w:color="auto" w:sz="4" w:space="0"/>
            </w:tcBorders>
            <w:vAlign w:val="center"/>
          </w:tcPr>
          <w:p>
            <w:pPr>
              <w:pStyle w:val="18"/>
              <w:numPr>
                <w:ilvl w:val="0"/>
                <w:numId w:val="1"/>
              </w:numPr>
              <w:ind w:firstLineChars="0"/>
              <w:jc w:val="right"/>
              <w:rPr>
                <w:rFonts w:ascii="宋体" w:hAnsi="宋体"/>
                <w:szCs w:val="21"/>
              </w:rPr>
            </w:pPr>
          </w:p>
        </w:tc>
        <w:tc>
          <w:tcPr>
            <w:tcW w:w="139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szCs w:val="21"/>
              </w:rPr>
            </w:pPr>
            <w:r>
              <w:rPr>
                <w:szCs w:val="21"/>
              </w:rPr>
              <w:t>监理员</w:t>
            </w:r>
            <w:r>
              <w:rPr>
                <w:rFonts w:hint="eastAsia"/>
                <w:szCs w:val="21"/>
              </w:rPr>
              <w:t>3</w:t>
            </w:r>
          </w:p>
        </w:tc>
        <w:tc>
          <w:tcPr>
            <w:tcW w:w="99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40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4" w:type="dxa"/>
            <w:tcBorders>
              <w:top w:val="single" w:color="auto" w:sz="4" w:space="0"/>
              <w:left w:val="single" w:color="auto" w:sz="4" w:space="0"/>
              <w:bottom w:val="single" w:color="auto" w:sz="4" w:space="0"/>
              <w:right w:val="single" w:color="auto" w:sz="4" w:space="0"/>
            </w:tcBorders>
            <w:vAlign w:val="center"/>
          </w:tcPr>
          <w:p>
            <w:pPr>
              <w:pStyle w:val="18"/>
              <w:numPr>
                <w:ilvl w:val="0"/>
                <w:numId w:val="1"/>
              </w:numPr>
              <w:ind w:firstLineChars="0"/>
              <w:jc w:val="right"/>
              <w:rPr>
                <w:rFonts w:ascii="宋体" w:hAnsi="宋体"/>
                <w:szCs w:val="21"/>
              </w:rPr>
            </w:pPr>
          </w:p>
        </w:tc>
        <w:tc>
          <w:tcPr>
            <w:tcW w:w="139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szCs w:val="21"/>
              </w:rPr>
            </w:pPr>
            <w:r>
              <w:rPr>
                <w:szCs w:val="21"/>
              </w:rPr>
              <w:t>监理员</w:t>
            </w:r>
            <w:r>
              <w:rPr>
                <w:rFonts w:hint="eastAsia"/>
                <w:szCs w:val="21"/>
              </w:rPr>
              <w:t>4</w:t>
            </w:r>
          </w:p>
        </w:tc>
        <w:tc>
          <w:tcPr>
            <w:tcW w:w="99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40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4" w:type="dxa"/>
            <w:tcBorders>
              <w:top w:val="single" w:color="auto" w:sz="4" w:space="0"/>
              <w:left w:val="single" w:color="auto" w:sz="4" w:space="0"/>
              <w:bottom w:val="single" w:color="auto" w:sz="4" w:space="0"/>
              <w:right w:val="single" w:color="auto" w:sz="4" w:space="0"/>
            </w:tcBorders>
            <w:vAlign w:val="center"/>
          </w:tcPr>
          <w:p>
            <w:pPr>
              <w:pStyle w:val="18"/>
              <w:numPr>
                <w:ilvl w:val="0"/>
                <w:numId w:val="1"/>
              </w:numPr>
              <w:ind w:firstLineChars="0"/>
              <w:jc w:val="right"/>
              <w:rPr>
                <w:rFonts w:ascii="宋体" w:hAnsi="宋体"/>
                <w:szCs w:val="21"/>
              </w:rPr>
            </w:pPr>
          </w:p>
        </w:tc>
        <w:tc>
          <w:tcPr>
            <w:tcW w:w="139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szCs w:val="21"/>
              </w:rPr>
            </w:pPr>
            <w:r>
              <w:rPr>
                <w:szCs w:val="21"/>
              </w:rPr>
              <w:t>监理员</w:t>
            </w:r>
            <w:r>
              <w:rPr>
                <w:rFonts w:hint="eastAsia"/>
                <w:szCs w:val="21"/>
              </w:rPr>
              <w:t>5</w:t>
            </w:r>
          </w:p>
        </w:tc>
        <w:tc>
          <w:tcPr>
            <w:tcW w:w="99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40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4" w:type="dxa"/>
            <w:tcBorders>
              <w:top w:val="single" w:color="auto" w:sz="4" w:space="0"/>
              <w:left w:val="single" w:color="auto" w:sz="4" w:space="0"/>
              <w:bottom w:val="single" w:color="auto" w:sz="4" w:space="0"/>
              <w:right w:val="single" w:color="auto" w:sz="4" w:space="0"/>
            </w:tcBorders>
            <w:vAlign w:val="center"/>
          </w:tcPr>
          <w:p>
            <w:pPr>
              <w:pStyle w:val="18"/>
              <w:numPr>
                <w:ilvl w:val="0"/>
                <w:numId w:val="1"/>
              </w:numPr>
              <w:ind w:firstLineChars="0"/>
              <w:jc w:val="right"/>
              <w:rPr>
                <w:rFonts w:ascii="宋体" w:hAnsi="宋体"/>
                <w:szCs w:val="21"/>
              </w:rPr>
            </w:pPr>
          </w:p>
        </w:tc>
        <w:tc>
          <w:tcPr>
            <w:tcW w:w="139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szCs w:val="21"/>
              </w:rPr>
            </w:pPr>
            <w:r>
              <w:rPr>
                <w:szCs w:val="21"/>
              </w:rPr>
              <w:t>监理员</w:t>
            </w:r>
            <w:r>
              <w:rPr>
                <w:rFonts w:hint="eastAsia"/>
                <w:szCs w:val="21"/>
              </w:rPr>
              <w:t>6</w:t>
            </w:r>
          </w:p>
        </w:tc>
        <w:tc>
          <w:tcPr>
            <w:tcW w:w="99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40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4" w:type="dxa"/>
            <w:tcBorders>
              <w:top w:val="single" w:color="auto" w:sz="4" w:space="0"/>
              <w:left w:val="single" w:color="auto" w:sz="4" w:space="0"/>
              <w:bottom w:val="single" w:color="auto" w:sz="4" w:space="0"/>
              <w:right w:val="single" w:color="auto" w:sz="4" w:space="0"/>
            </w:tcBorders>
            <w:vAlign w:val="center"/>
          </w:tcPr>
          <w:p>
            <w:pPr>
              <w:pStyle w:val="18"/>
              <w:numPr>
                <w:ilvl w:val="0"/>
                <w:numId w:val="1"/>
              </w:numPr>
              <w:ind w:firstLineChars="0"/>
              <w:jc w:val="right"/>
              <w:rPr>
                <w:rFonts w:ascii="宋体" w:hAnsi="宋体"/>
                <w:szCs w:val="21"/>
              </w:rPr>
            </w:pPr>
          </w:p>
        </w:tc>
        <w:tc>
          <w:tcPr>
            <w:tcW w:w="139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szCs w:val="21"/>
              </w:rPr>
            </w:pPr>
            <w:r>
              <w:rPr>
                <w:szCs w:val="21"/>
              </w:rPr>
              <w:t>监理员</w:t>
            </w:r>
            <w:r>
              <w:rPr>
                <w:rFonts w:hint="eastAsia"/>
                <w:szCs w:val="21"/>
              </w:rPr>
              <w:t>7</w:t>
            </w:r>
          </w:p>
        </w:tc>
        <w:tc>
          <w:tcPr>
            <w:tcW w:w="99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40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4" w:type="dxa"/>
            <w:tcBorders>
              <w:top w:val="single" w:color="auto" w:sz="4" w:space="0"/>
              <w:left w:val="single" w:color="auto" w:sz="4" w:space="0"/>
              <w:bottom w:val="single" w:color="auto" w:sz="4" w:space="0"/>
              <w:right w:val="single" w:color="auto" w:sz="4" w:space="0"/>
            </w:tcBorders>
            <w:vAlign w:val="center"/>
          </w:tcPr>
          <w:p>
            <w:pPr>
              <w:pStyle w:val="18"/>
              <w:numPr>
                <w:ilvl w:val="0"/>
                <w:numId w:val="1"/>
              </w:numPr>
              <w:ind w:firstLineChars="0"/>
              <w:jc w:val="right"/>
              <w:rPr>
                <w:rFonts w:ascii="宋体" w:hAnsi="宋体"/>
                <w:szCs w:val="21"/>
              </w:rPr>
            </w:pPr>
          </w:p>
        </w:tc>
        <w:tc>
          <w:tcPr>
            <w:tcW w:w="139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szCs w:val="21"/>
              </w:rPr>
            </w:pPr>
            <w:r>
              <w:rPr>
                <w:szCs w:val="21"/>
              </w:rPr>
              <w:t>监理员</w:t>
            </w:r>
            <w:r>
              <w:rPr>
                <w:rFonts w:hint="eastAsia"/>
                <w:szCs w:val="21"/>
              </w:rPr>
              <w:t>8</w:t>
            </w:r>
          </w:p>
        </w:tc>
        <w:tc>
          <w:tcPr>
            <w:tcW w:w="99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40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4" w:type="dxa"/>
            <w:tcBorders>
              <w:top w:val="single" w:color="auto" w:sz="4" w:space="0"/>
              <w:left w:val="single" w:color="auto" w:sz="4" w:space="0"/>
              <w:bottom w:val="single" w:color="auto" w:sz="4" w:space="0"/>
              <w:right w:val="single" w:color="auto" w:sz="4" w:space="0"/>
            </w:tcBorders>
            <w:vAlign w:val="center"/>
          </w:tcPr>
          <w:p>
            <w:pPr>
              <w:pStyle w:val="18"/>
              <w:numPr>
                <w:ilvl w:val="0"/>
                <w:numId w:val="1"/>
              </w:numPr>
              <w:ind w:firstLineChars="0"/>
              <w:jc w:val="right"/>
              <w:rPr>
                <w:rFonts w:ascii="宋体" w:hAnsi="宋体"/>
                <w:szCs w:val="21"/>
              </w:rPr>
            </w:pPr>
          </w:p>
        </w:tc>
        <w:tc>
          <w:tcPr>
            <w:tcW w:w="139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szCs w:val="21"/>
              </w:rPr>
            </w:pPr>
            <w:r>
              <w:rPr>
                <w:szCs w:val="21"/>
              </w:rPr>
              <w:t>监理员</w:t>
            </w:r>
            <w:r>
              <w:rPr>
                <w:rFonts w:hint="eastAsia"/>
                <w:szCs w:val="21"/>
              </w:rPr>
              <w:t>9</w:t>
            </w:r>
          </w:p>
        </w:tc>
        <w:tc>
          <w:tcPr>
            <w:tcW w:w="99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40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4" w:type="dxa"/>
            <w:tcBorders>
              <w:top w:val="single" w:color="auto" w:sz="4" w:space="0"/>
              <w:left w:val="single" w:color="auto" w:sz="4" w:space="0"/>
              <w:bottom w:val="single" w:color="auto" w:sz="4" w:space="0"/>
              <w:right w:val="single" w:color="auto" w:sz="4" w:space="0"/>
            </w:tcBorders>
            <w:vAlign w:val="center"/>
          </w:tcPr>
          <w:p>
            <w:pPr>
              <w:pStyle w:val="18"/>
              <w:numPr>
                <w:ilvl w:val="0"/>
                <w:numId w:val="1"/>
              </w:numPr>
              <w:ind w:firstLineChars="0"/>
              <w:jc w:val="right"/>
              <w:rPr>
                <w:rFonts w:ascii="宋体" w:hAnsi="宋体"/>
                <w:szCs w:val="21"/>
              </w:rPr>
            </w:pPr>
          </w:p>
        </w:tc>
        <w:tc>
          <w:tcPr>
            <w:tcW w:w="139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szCs w:val="21"/>
              </w:rPr>
            </w:pPr>
            <w:r>
              <w:rPr>
                <w:szCs w:val="21"/>
              </w:rPr>
              <w:t>监理员</w:t>
            </w:r>
            <w:r>
              <w:rPr>
                <w:rFonts w:hint="eastAsia"/>
                <w:szCs w:val="21"/>
              </w:rPr>
              <w:t>10</w:t>
            </w:r>
          </w:p>
        </w:tc>
        <w:tc>
          <w:tcPr>
            <w:tcW w:w="99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40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4" w:type="dxa"/>
            <w:tcBorders>
              <w:top w:val="single" w:color="auto" w:sz="4" w:space="0"/>
              <w:left w:val="single" w:color="auto" w:sz="4" w:space="0"/>
              <w:bottom w:val="single" w:color="auto" w:sz="4" w:space="0"/>
              <w:right w:val="single" w:color="auto" w:sz="4" w:space="0"/>
            </w:tcBorders>
            <w:vAlign w:val="center"/>
          </w:tcPr>
          <w:p>
            <w:pPr>
              <w:pStyle w:val="18"/>
              <w:numPr>
                <w:ilvl w:val="0"/>
                <w:numId w:val="1"/>
              </w:numPr>
              <w:ind w:firstLineChars="0"/>
              <w:jc w:val="right"/>
              <w:rPr>
                <w:rFonts w:ascii="宋体" w:hAnsi="宋体"/>
                <w:szCs w:val="21"/>
              </w:rPr>
            </w:pPr>
          </w:p>
        </w:tc>
        <w:tc>
          <w:tcPr>
            <w:tcW w:w="139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szCs w:val="21"/>
              </w:rPr>
            </w:pPr>
            <w:r>
              <w:rPr>
                <w:szCs w:val="21"/>
              </w:rPr>
              <w:t>监理员</w:t>
            </w:r>
            <w:r>
              <w:rPr>
                <w:rFonts w:hint="eastAsia"/>
                <w:szCs w:val="21"/>
              </w:rPr>
              <w:t>11</w:t>
            </w:r>
          </w:p>
        </w:tc>
        <w:tc>
          <w:tcPr>
            <w:tcW w:w="99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40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4" w:type="dxa"/>
            <w:tcBorders>
              <w:top w:val="single" w:color="auto" w:sz="4" w:space="0"/>
              <w:left w:val="single" w:color="auto" w:sz="4" w:space="0"/>
              <w:bottom w:val="single" w:color="auto" w:sz="4" w:space="0"/>
              <w:right w:val="single" w:color="auto" w:sz="4" w:space="0"/>
            </w:tcBorders>
            <w:vAlign w:val="center"/>
          </w:tcPr>
          <w:p>
            <w:pPr>
              <w:pStyle w:val="18"/>
              <w:numPr>
                <w:ilvl w:val="0"/>
                <w:numId w:val="1"/>
              </w:numPr>
              <w:ind w:firstLineChars="0"/>
              <w:jc w:val="right"/>
              <w:rPr>
                <w:rFonts w:ascii="宋体" w:hAnsi="宋体"/>
                <w:szCs w:val="21"/>
              </w:rPr>
            </w:pPr>
          </w:p>
        </w:tc>
        <w:tc>
          <w:tcPr>
            <w:tcW w:w="139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szCs w:val="21"/>
              </w:rPr>
            </w:pPr>
            <w:r>
              <w:rPr>
                <w:szCs w:val="21"/>
              </w:rPr>
              <w:t>监理员</w:t>
            </w:r>
            <w:r>
              <w:rPr>
                <w:rFonts w:hint="eastAsia"/>
                <w:szCs w:val="21"/>
              </w:rPr>
              <w:t>12</w:t>
            </w:r>
          </w:p>
        </w:tc>
        <w:tc>
          <w:tcPr>
            <w:tcW w:w="99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40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4" w:type="dxa"/>
            <w:tcBorders>
              <w:top w:val="single" w:color="auto" w:sz="4" w:space="0"/>
              <w:left w:val="single" w:color="auto" w:sz="4" w:space="0"/>
              <w:bottom w:val="single" w:color="auto" w:sz="4" w:space="0"/>
              <w:right w:val="single" w:color="auto" w:sz="4" w:space="0"/>
            </w:tcBorders>
            <w:vAlign w:val="center"/>
          </w:tcPr>
          <w:p>
            <w:pPr>
              <w:pStyle w:val="18"/>
              <w:numPr>
                <w:ilvl w:val="0"/>
                <w:numId w:val="1"/>
              </w:numPr>
              <w:ind w:firstLineChars="0"/>
              <w:jc w:val="right"/>
              <w:rPr>
                <w:rFonts w:ascii="宋体" w:hAnsi="宋体"/>
                <w:szCs w:val="21"/>
              </w:rPr>
            </w:pPr>
          </w:p>
        </w:tc>
        <w:tc>
          <w:tcPr>
            <w:tcW w:w="139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szCs w:val="21"/>
              </w:rPr>
            </w:pPr>
            <w:r>
              <w:rPr>
                <w:szCs w:val="21"/>
              </w:rPr>
              <w:t>监理员</w:t>
            </w:r>
            <w:r>
              <w:rPr>
                <w:rFonts w:hint="eastAsia"/>
                <w:szCs w:val="21"/>
              </w:rPr>
              <w:t>13</w:t>
            </w:r>
          </w:p>
        </w:tc>
        <w:tc>
          <w:tcPr>
            <w:tcW w:w="99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40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4" w:type="dxa"/>
            <w:tcBorders>
              <w:top w:val="single" w:color="auto" w:sz="4" w:space="0"/>
              <w:left w:val="single" w:color="auto" w:sz="4" w:space="0"/>
              <w:bottom w:val="single" w:color="auto" w:sz="4" w:space="0"/>
              <w:right w:val="single" w:color="auto" w:sz="4" w:space="0"/>
            </w:tcBorders>
            <w:vAlign w:val="center"/>
          </w:tcPr>
          <w:p>
            <w:pPr>
              <w:pStyle w:val="18"/>
              <w:numPr>
                <w:ilvl w:val="0"/>
                <w:numId w:val="1"/>
              </w:numPr>
              <w:ind w:firstLineChars="0"/>
              <w:jc w:val="right"/>
              <w:rPr>
                <w:rFonts w:ascii="宋体" w:hAnsi="宋体"/>
                <w:szCs w:val="21"/>
              </w:rPr>
            </w:pPr>
          </w:p>
        </w:tc>
        <w:tc>
          <w:tcPr>
            <w:tcW w:w="139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szCs w:val="21"/>
              </w:rPr>
            </w:pPr>
            <w:r>
              <w:rPr>
                <w:szCs w:val="21"/>
              </w:rPr>
              <w:t>监理员</w:t>
            </w:r>
            <w:r>
              <w:rPr>
                <w:rFonts w:hint="eastAsia"/>
                <w:szCs w:val="21"/>
              </w:rPr>
              <w:t>14</w:t>
            </w:r>
          </w:p>
        </w:tc>
        <w:tc>
          <w:tcPr>
            <w:tcW w:w="99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40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4" w:type="dxa"/>
            <w:tcBorders>
              <w:top w:val="single" w:color="auto" w:sz="4" w:space="0"/>
              <w:left w:val="single" w:color="auto" w:sz="4" w:space="0"/>
              <w:bottom w:val="single" w:color="auto" w:sz="4" w:space="0"/>
              <w:right w:val="single" w:color="auto" w:sz="4" w:space="0"/>
            </w:tcBorders>
            <w:vAlign w:val="center"/>
          </w:tcPr>
          <w:p>
            <w:pPr>
              <w:pStyle w:val="18"/>
              <w:numPr>
                <w:ilvl w:val="0"/>
                <w:numId w:val="1"/>
              </w:numPr>
              <w:ind w:firstLineChars="0"/>
              <w:jc w:val="right"/>
              <w:rPr>
                <w:rFonts w:ascii="宋体" w:hAnsi="宋体"/>
                <w:szCs w:val="21"/>
              </w:rPr>
            </w:pPr>
          </w:p>
        </w:tc>
        <w:tc>
          <w:tcPr>
            <w:tcW w:w="139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szCs w:val="21"/>
              </w:rPr>
            </w:pPr>
            <w:r>
              <w:rPr>
                <w:szCs w:val="21"/>
              </w:rPr>
              <w:t>监理员</w:t>
            </w:r>
            <w:r>
              <w:rPr>
                <w:rFonts w:hint="eastAsia"/>
                <w:szCs w:val="21"/>
              </w:rPr>
              <w:t>15</w:t>
            </w:r>
          </w:p>
        </w:tc>
        <w:tc>
          <w:tcPr>
            <w:tcW w:w="99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40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4" w:type="dxa"/>
            <w:tcBorders>
              <w:top w:val="single" w:color="auto" w:sz="4" w:space="0"/>
              <w:left w:val="single" w:color="auto" w:sz="4" w:space="0"/>
              <w:bottom w:val="single" w:color="auto" w:sz="4" w:space="0"/>
              <w:right w:val="single" w:color="auto" w:sz="4" w:space="0"/>
            </w:tcBorders>
            <w:vAlign w:val="center"/>
          </w:tcPr>
          <w:p>
            <w:pPr>
              <w:pStyle w:val="18"/>
              <w:numPr>
                <w:ilvl w:val="0"/>
                <w:numId w:val="1"/>
              </w:numPr>
              <w:ind w:firstLineChars="0"/>
              <w:jc w:val="right"/>
              <w:rPr>
                <w:rFonts w:ascii="宋体" w:hAnsi="宋体"/>
                <w:szCs w:val="21"/>
              </w:rPr>
            </w:pPr>
          </w:p>
        </w:tc>
        <w:tc>
          <w:tcPr>
            <w:tcW w:w="139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cs="宋体"/>
                <w:kern w:val="0"/>
                <w:szCs w:val="21"/>
              </w:rPr>
            </w:pPr>
            <w:r>
              <w:rPr>
                <w:szCs w:val="21"/>
              </w:rPr>
              <w:t>图档资料管理员</w:t>
            </w:r>
            <w:r>
              <w:rPr>
                <w:rFonts w:hint="eastAsia"/>
                <w:szCs w:val="21"/>
              </w:rPr>
              <w:t>1</w:t>
            </w:r>
          </w:p>
        </w:tc>
        <w:tc>
          <w:tcPr>
            <w:tcW w:w="99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40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44" w:type="dxa"/>
            <w:tcBorders>
              <w:top w:val="single" w:color="auto" w:sz="4" w:space="0"/>
              <w:left w:val="single" w:color="auto" w:sz="4" w:space="0"/>
              <w:bottom w:val="single" w:color="auto" w:sz="4" w:space="0"/>
              <w:right w:val="single" w:color="auto" w:sz="4" w:space="0"/>
            </w:tcBorders>
            <w:vAlign w:val="center"/>
          </w:tcPr>
          <w:p>
            <w:pPr>
              <w:pStyle w:val="18"/>
              <w:numPr>
                <w:ilvl w:val="0"/>
                <w:numId w:val="1"/>
              </w:numPr>
              <w:ind w:firstLineChars="0"/>
              <w:jc w:val="right"/>
              <w:rPr>
                <w:rFonts w:ascii="宋体" w:hAnsi="宋体"/>
                <w:szCs w:val="21"/>
              </w:rPr>
            </w:pPr>
          </w:p>
        </w:tc>
        <w:tc>
          <w:tcPr>
            <w:tcW w:w="139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Cs w:val="21"/>
              </w:rPr>
            </w:pPr>
            <w:r>
              <w:rPr>
                <w:szCs w:val="21"/>
              </w:rPr>
              <w:t>图档资料管理员</w:t>
            </w:r>
            <w:r>
              <w:rPr>
                <w:rFonts w:hint="eastAsia"/>
                <w:szCs w:val="21"/>
              </w:rPr>
              <w:t>2</w:t>
            </w:r>
          </w:p>
        </w:tc>
        <w:tc>
          <w:tcPr>
            <w:tcW w:w="99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340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9889"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备注：</w:t>
            </w:r>
          </w:p>
          <w:p>
            <w:pPr>
              <w:rPr>
                <w:rFonts w:ascii="宋体" w:hAnsi="宋体"/>
              </w:rPr>
            </w:pPr>
            <w:r>
              <w:rPr>
                <w:rFonts w:hint="eastAsia" w:ascii="宋体" w:hAnsi="宋体"/>
              </w:rPr>
              <w:t>1、“岗位”要求（总监理工程师除外）由招标人根据项目管理需要在本表备注中明确提出，如：拟派驻施工现场的总监理工程师代表、专业监理工程师、监理员等。以上项目管理团队人员信息将由交易系统提取后供各相关单位在履约时比对、查核。</w:t>
            </w:r>
          </w:p>
          <w:p>
            <w:pPr>
              <w:rPr>
                <w:rFonts w:ascii="宋体" w:hAnsi="宋体"/>
              </w:rPr>
            </w:pPr>
            <w:r>
              <w:rPr>
                <w:rFonts w:hint="eastAsia" w:ascii="宋体" w:hAnsi="宋体"/>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rPr>
                <w:rFonts w:ascii="宋体" w:hAnsi="宋体"/>
              </w:rPr>
            </w:pPr>
            <w:r>
              <w:rPr>
                <w:rFonts w:hint="eastAsia" w:ascii="宋体" w:hAnsi="宋体"/>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rPr>
          <w:rFonts w:ascii="宋体" w:hAnsi="宋体"/>
        </w:rPr>
      </w:pPr>
    </w:p>
    <w:sectPr>
      <w:footerReference r:id="rId3" w:type="default"/>
      <w:pgSz w:w="11906" w:h="16838"/>
      <w:pgMar w:top="1247" w:right="1418" w:bottom="1247" w:left="1418" w:header="851"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书宋简体">
    <w:altName w:val="宋体"/>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b/>
        <w:sz w:val="21"/>
        <w:szCs w:val="21"/>
      </w:rPr>
    </w:pPr>
    <w:r>
      <w:rPr>
        <w:b/>
        <w:sz w:val="21"/>
        <w:szCs w:val="21"/>
      </w:rPr>
      <w:fldChar w:fldCharType="begin"/>
    </w:r>
    <w:r>
      <w:rPr>
        <w:b/>
        <w:sz w:val="21"/>
        <w:szCs w:val="21"/>
      </w:rPr>
      <w:instrText xml:space="preserve">PAGE   \* MERGEFORMAT</w:instrText>
    </w:r>
    <w:r>
      <w:rPr>
        <w:b/>
        <w:sz w:val="21"/>
        <w:szCs w:val="21"/>
      </w:rPr>
      <w:fldChar w:fldCharType="separate"/>
    </w:r>
    <w:r>
      <w:rPr>
        <w:b/>
        <w:sz w:val="21"/>
        <w:szCs w:val="21"/>
        <w:lang w:val="zh-CN"/>
      </w:rPr>
      <w:t>2</w:t>
    </w:r>
    <w:r>
      <w:rPr>
        <w:b/>
        <w:sz w:val="21"/>
        <w:szCs w:val="21"/>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D40331"/>
    <w:multiLevelType w:val="multilevel"/>
    <w:tmpl w:val="54D4033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0YzE1ODViZDcyMjAwMTc2YzY0NGViNDk0OTM3OTQifQ=="/>
  </w:docVars>
  <w:rsids>
    <w:rsidRoot w:val="003C4BE2"/>
    <w:rsid w:val="000816F9"/>
    <w:rsid w:val="0008403A"/>
    <w:rsid w:val="00111DB5"/>
    <w:rsid w:val="001233D0"/>
    <w:rsid w:val="001455FB"/>
    <w:rsid w:val="001541B4"/>
    <w:rsid w:val="00163E04"/>
    <w:rsid w:val="00172920"/>
    <w:rsid w:val="00173B0A"/>
    <w:rsid w:val="001A34F3"/>
    <w:rsid w:val="00203D62"/>
    <w:rsid w:val="0025575B"/>
    <w:rsid w:val="00274043"/>
    <w:rsid w:val="002A5254"/>
    <w:rsid w:val="002D0E6F"/>
    <w:rsid w:val="00321952"/>
    <w:rsid w:val="00322EB6"/>
    <w:rsid w:val="00340F05"/>
    <w:rsid w:val="00365C99"/>
    <w:rsid w:val="00386E42"/>
    <w:rsid w:val="00393BF3"/>
    <w:rsid w:val="00393C45"/>
    <w:rsid w:val="003C4BE2"/>
    <w:rsid w:val="003E082F"/>
    <w:rsid w:val="0041265F"/>
    <w:rsid w:val="00412F9A"/>
    <w:rsid w:val="00422ABA"/>
    <w:rsid w:val="00442F9E"/>
    <w:rsid w:val="00444D72"/>
    <w:rsid w:val="00482F7F"/>
    <w:rsid w:val="0049404B"/>
    <w:rsid w:val="004A1853"/>
    <w:rsid w:val="004A5D42"/>
    <w:rsid w:val="004D33E2"/>
    <w:rsid w:val="004E190E"/>
    <w:rsid w:val="004F74C5"/>
    <w:rsid w:val="00594BBC"/>
    <w:rsid w:val="005E20A8"/>
    <w:rsid w:val="005E54DB"/>
    <w:rsid w:val="005E7100"/>
    <w:rsid w:val="006226C1"/>
    <w:rsid w:val="00676771"/>
    <w:rsid w:val="006818A0"/>
    <w:rsid w:val="006B38DE"/>
    <w:rsid w:val="00757302"/>
    <w:rsid w:val="00795A1D"/>
    <w:rsid w:val="007A10C1"/>
    <w:rsid w:val="007A38EE"/>
    <w:rsid w:val="007A3ECB"/>
    <w:rsid w:val="007F1CD9"/>
    <w:rsid w:val="008457D1"/>
    <w:rsid w:val="00865720"/>
    <w:rsid w:val="00891666"/>
    <w:rsid w:val="008B5FEA"/>
    <w:rsid w:val="0091003A"/>
    <w:rsid w:val="0091406E"/>
    <w:rsid w:val="00922737"/>
    <w:rsid w:val="009305F2"/>
    <w:rsid w:val="009350EA"/>
    <w:rsid w:val="00961D44"/>
    <w:rsid w:val="00965091"/>
    <w:rsid w:val="00977427"/>
    <w:rsid w:val="0098776E"/>
    <w:rsid w:val="009A3FA6"/>
    <w:rsid w:val="009C3AD6"/>
    <w:rsid w:val="009D4F06"/>
    <w:rsid w:val="009D5110"/>
    <w:rsid w:val="009E4F2B"/>
    <w:rsid w:val="009F6879"/>
    <w:rsid w:val="00A00126"/>
    <w:rsid w:val="00A0129C"/>
    <w:rsid w:val="00A03AD9"/>
    <w:rsid w:val="00A15FBB"/>
    <w:rsid w:val="00A762AA"/>
    <w:rsid w:val="00A843DE"/>
    <w:rsid w:val="00A87E75"/>
    <w:rsid w:val="00AA6875"/>
    <w:rsid w:val="00AB5E6E"/>
    <w:rsid w:val="00B1519A"/>
    <w:rsid w:val="00B476B2"/>
    <w:rsid w:val="00B529AB"/>
    <w:rsid w:val="00B6095C"/>
    <w:rsid w:val="00B8728C"/>
    <w:rsid w:val="00B95CA6"/>
    <w:rsid w:val="00BC57DA"/>
    <w:rsid w:val="00BE0F18"/>
    <w:rsid w:val="00BE54F2"/>
    <w:rsid w:val="00C431BD"/>
    <w:rsid w:val="00C46E6F"/>
    <w:rsid w:val="00CB591E"/>
    <w:rsid w:val="00CC394B"/>
    <w:rsid w:val="00D40C69"/>
    <w:rsid w:val="00D61BC3"/>
    <w:rsid w:val="00D81952"/>
    <w:rsid w:val="00D827E9"/>
    <w:rsid w:val="00DA46CC"/>
    <w:rsid w:val="00DA6DA9"/>
    <w:rsid w:val="00DB0781"/>
    <w:rsid w:val="00DB0796"/>
    <w:rsid w:val="00E2314E"/>
    <w:rsid w:val="00E34775"/>
    <w:rsid w:val="00E353A9"/>
    <w:rsid w:val="00E5188F"/>
    <w:rsid w:val="00EA173F"/>
    <w:rsid w:val="00EF4554"/>
    <w:rsid w:val="00EF4EAC"/>
    <w:rsid w:val="00EF6205"/>
    <w:rsid w:val="00F010B1"/>
    <w:rsid w:val="00F0726E"/>
    <w:rsid w:val="00F42CE5"/>
    <w:rsid w:val="00F73659"/>
    <w:rsid w:val="00F75D6C"/>
    <w:rsid w:val="00F91181"/>
    <w:rsid w:val="00FA6076"/>
    <w:rsid w:val="00FC54DF"/>
    <w:rsid w:val="02732D1F"/>
    <w:rsid w:val="03760D12"/>
    <w:rsid w:val="04CE3D21"/>
    <w:rsid w:val="05471D9D"/>
    <w:rsid w:val="05C17679"/>
    <w:rsid w:val="060A2B37"/>
    <w:rsid w:val="079C07FE"/>
    <w:rsid w:val="07E51AAD"/>
    <w:rsid w:val="088C1F29"/>
    <w:rsid w:val="08B15210"/>
    <w:rsid w:val="0ADC77FE"/>
    <w:rsid w:val="0AFF78B0"/>
    <w:rsid w:val="0BA127DC"/>
    <w:rsid w:val="0BDA11FD"/>
    <w:rsid w:val="0C721436"/>
    <w:rsid w:val="0C855AC6"/>
    <w:rsid w:val="0CB84C95"/>
    <w:rsid w:val="0D0F4ED6"/>
    <w:rsid w:val="0D894C89"/>
    <w:rsid w:val="0E813BB2"/>
    <w:rsid w:val="0EF85162"/>
    <w:rsid w:val="1008058C"/>
    <w:rsid w:val="10B464C1"/>
    <w:rsid w:val="114E421F"/>
    <w:rsid w:val="116C388F"/>
    <w:rsid w:val="12661A3D"/>
    <w:rsid w:val="12C14EC5"/>
    <w:rsid w:val="134578A4"/>
    <w:rsid w:val="14EA26DE"/>
    <w:rsid w:val="151A48B5"/>
    <w:rsid w:val="15356EC3"/>
    <w:rsid w:val="16AB5C70"/>
    <w:rsid w:val="183A54FD"/>
    <w:rsid w:val="19241D0A"/>
    <w:rsid w:val="1945415A"/>
    <w:rsid w:val="197C5DAD"/>
    <w:rsid w:val="198A6011"/>
    <w:rsid w:val="19A370D2"/>
    <w:rsid w:val="1A494B95"/>
    <w:rsid w:val="1A5B79AD"/>
    <w:rsid w:val="1A9133CF"/>
    <w:rsid w:val="1E6F3A27"/>
    <w:rsid w:val="1EDD741A"/>
    <w:rsid w:val="1EF328AA"/>
    <w:rsid w:val="1F7024E3"/>
    <w:rsid w:val="1FD456CF"/>
    <w:rsid w:val="217575A6"/>
    <w:rsid w:val="237638A1"/>
    <w:rsid w:val="248C6C91"/>
    <w:rsid w:val="251515EE"/>
    <w:rsid w:val="25BF34E6"/>
    <w:rsid w:val="26CB0E3D"/>
    <w:rsid w:val="26E54CDA"/>
    <w:rsid w:val="273E2D97"/>
    <w:rsid w:val="27422056"/>
    <w:rsid w:val="27FE6547"/>
    <w:rsid w:val="280616A6"/>
    <w:rsid w:val="295C7E4C"/>
    <w:rsid w:val="296A3769"/>
    <w:rsid w:val="29CD43AB"/>
    <w:rsid w:val="2A122564"/>
    <w:rsid w:val="2A135BAE"/>
    <w:rsid w:val="2A354245"/>
    <w:rsid w:val="2A73489F"/>
    <w:rsid w:val="2BE47802"/>
    <w:rsid w:val="2C5030EA"/>
    <w:rsid w:val="2D54109B"/>
    <w:rsid w:val="2E0D3AF9"/>
    <w:rsid w:val="2F4F51FD"/>
    <w:rsid w:val="305E7D4D"/>
    <w:rsid w:val="3083696F"/>
    <w:rsid w:val="329E2929"/>
    <w:rsid w:val="32A72F92"/>
    <w:rsid w:val="32EB3B6C"/>
    <w:rsid w:val="33E47E31"/>
    <w:rsid w:val="352455E7"/>
    <w:rsid w:val="35D06417"/>
    <w:rsid w:val="361E6007"/>
    <w:rsid w:val="36C35A76"/>
    <w:rsid w:val="37332107"/>
    <w:rsid w:val="37904CE2"/>
    <w:rsid w:val="379D76ED"/>
    <w:rsid w:val="380134EA"/>
    <w:rsid w:val="388C3F06"/>
    <w:rsid w:val="390908A8"/>
    <w:rsid w:val="39974106"/>
    <w:rsid w:val="39A96C62"/>
    <w:rsid w:val="39D569DC"/>
    <w:rsid w:val="3A371445"/>
    <w:rsid w:val="3A410516"/>
    <w:rsid w:val="3A573895"/>
    <w:rsid w:val="3A794E2D"/>
    <w:rsid w:val="3ABB02C8"/>
    <w:rsid w:val="3B81506E"/>
    <w:rsid w:val="3B9E0D5D"/>
    <w:rsid w:val="3CA60B04"/>
    <w:rsid w:val="3CFE449C"/>
    <w:rsid w:val="3DB42432"/>
    <w:rsid w:val="3DEF02D0"/>
    <w:rsid w:val="3E993C6E"/>
    <w:rsid w:val="3EE5441D"/>
    <w:rsid w:val="3FBF2718"/>
    <w:rsid w:val="410F60D1"/>
    <w:rsid w:val="41636FC4"/>
    <w:rsid w:val="42550790"/>
    <w:rsid w:val="429A3B4C"/>
    <w:rsid w:val="42B6447F"/>
    <w:rsid w:val="43AC2EA4"/>
    <w:rsid w:val="43CC0E50"/>
    <w:rsid w:val="44145A76"/>
    <w:rsid w:val="44827761"/>
    <w:rsid w:val="449B6A63"/>
    <w:rsid w:val="44C63AF1"/>
    <w:rsid w:val="456F3B0D"/>
    <w:rsid w:val="457C3B24"/>
    <w:rsid w:val="46057B97"/>
    <w:rsid w:val="474C682D"/>
    <w:rsid w:val="485939D3"/>
    <w:rsid w:val="48912B2E"/>
    <w:rsid w:val="48DA1A4A"/>
    <w:rsid w:val="49796094"/>
    <w:rsid w:val="4982204F"/>
    <w:rsid w:val="49BD31BA"/>
    <w:rsid w:val="49D00F6E"/>
    <w:rsid w:val="4A143551"/>
    <w:rsid w:val="4AFA1D28"/>
    <w:rsid w:val="4CAA01A2"/>
    <w:rsid w:val="4CF80F08"/>
    <w:rsid w:val="4D17495C"/>
    <w:rsid w:val="4D4F3149"/>
    <w:rsid w:val="4E515766"/>
    <w:rsid w:val="500D7107"/>
    <w:rsid w:val="503C5C06"/>
    <w:rsid w:val="50493828"/>
    <w:rsid w:val="50CC6933"/>
    <w:rsid w:val="51414838"/>
    <w:rsid w:val="51BB2504"/>
    <w:rsid w:val="53171ACB"/>
    <w:rsid w:val="532B1E13"/>
    <w:rsid w:val="545C7FCE"/>
    <w:rsid w:val="54C3784F"/>
    <w:rsid w:val="54C44E9F"/>
    <w:rsid w:val="565E627F"/>
    <w:rsid w:val="56602CE9"/>
    <w:rsid w:val="570F1328"/>
    <w:rsid w:val="58801DB1"/>
    <w:rsid w:val="58AE691E"/>
    <w:rsid w:val="58D70546"/>
    <w:rsid w:val="59C02DAD"/>
    <w:rsid w:val="5A1F5D26"/>
    <w:rsid w:val="5A427C66"/>
    <w:rsid w:val="5AC32B55"/>
    <w:rsid w:val="5B386973"/>
    <w:rsid w:val="5B885B4D"/>
    <w:rsid w:val="5BC96E08"/>
    <w:rsid w:val="5BCF5C9F"/>
    <w:rsid w:val="5C291F54"/>
    <w:rsid w:val="5DB8540D"/>
    <w:rsid w:val="5E2E29DB"/>
    <w:rsid w:val="5E616449"/>
    <w:rsid w:val="5F985281"/>
    <w:rsid w:val="603718EF"/>
    <w:rsid w:val="60830253"/>
    <w:rsid w:val="621146E2"/>
    <w:rsid w:val="658253BB"/>
    <w:rsid w:val="666044D4"/>
    <w:rsid w:val="67B33F51"/>
    <w:rsid w:val="68BE495C"/>
    <w:rsid w:val="6B9F0F6A"/>
    <w:rsid w:val="6BB64C54"/>
    <w:rsid w:val="6CB43382"/>
    <w:rsid w:val="6D0765EE"/>
    <w:rsid w:val="6D11568A"/>
    <w:rsid w:val="6DD17F90"/>
    <w:rsid w:val="6EB34837"/>
    <w:rsid w:val="6F7246F2"/>
    <w:rsid w:val="6F920A79"/>
    <w:rsid w:val="70027824"/>
    <w:rsid w:val="70CE2DA2"/>
    <w:rsid w:val="72621C6E"/>
    <w:rsid w:val="72D75A96"/>
    <w:rsid w:val="74FB4C36"/>
    <w:rsid w:val="753D12FE"/>
    <w:rsid w:val="77131721"/>
    <w:rsid w:val="77244E6E"/>
    <w:rsid w:val="778154D2"/>
    <w:rsid w:val="78083231"/>
    <w:rsid w:val="7A214E90"/>
    <w:rsid w:val="7AF1296F"/>
    <w:rsid w:val="7AF20495"/>
    <w:rsid w:val="7BD96BC5"/>
    <w:rsid w:val="7BFA1CF7"/>
    <w:rsid w:val="7C643420"/>
    <w:rsid w:val="7CBB76D8"/>
    <w:rsid w:val="7F5F07EF"/>
    <w:rsid w:val="7F89586C"/>
    <w:rsid w:val="7F9507E7"/>
    <w:rsid w:val="7FA23C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keepNext/>
      <w:keepLines/>
      <w:spacing w:before="260" w:after="260" w:line="410" w:lineRule="auto"/>
      <w:outlineLvl w:val="1"/>
    </w:pPr>
    <w:rPr>
      <w:rFonts w:ascii="Arial" w:hAnsi="Arial" w:eastAsia="黑体"/>
      <w:b/>
      <w:kern w:val="0"/>
      <w:sz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jc w:val="left"/>
    </w:pPr>
    <w:rPr>
      <w:rFonts w:eastAsia="Calibri"/>
      <w:kern w:val="0"/>
      <w:sz w:val="22"/>
      <w:lang w:eastAsia="en-US"/>
    </w:rPr>
  </w:style>
  <w:style w:type="paragraph" w:styleId="4">
    <w:name w:val="annotation text"/>
    <w:basedOn w:val="1"/>
    <w:link w:val="12"/>
    <w:unhideWhenUsed/>
    <w:qFormat/>
    <w:uiPriority w:val="99"/>
    <w:pPr>
      <w:jc w:val="left"/>
    </w:pPr>
  </w:style>
  <w:style w:type="paragraph" w:styleId="5">
    <w:name w:val="Balloon Text"/>
    <w:basedOn w:val="1"/>
    <w:link w:val="13"/>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6"/>
    <w:unhideWhenUsed/>
    <w:qFormat/>
    <w:uiPriority w:val="99"/>
    <w:rPr>
      <w:b/>
      <w:bCs/>
    </w:rPr>
  </w:style>
  <w:style w:type="character" w:styleId="11">
    <w:name w:val="annotation reference"/>
    <w:unhideWhenUsed/>
    <w:qFormat/>
    <w:uiPriority w:val="99"/>
    <w:rPr>
      <w:sz w:val="21"/>
      <w:szCs w:val="21"/>
    </w:rPr>
  </w:style>
  <w:style w:type="character" w:customStyle="1" w:styleId="12">
    <w:name w:val="批注文字 Char"/>
    <w:link w:val="4"/>
    <w:semiHidden/>
    <w:qFormat/>
    <w:uiPriority w:val="99"/>
    <w:rPr>
      <w:kern w:val="2"/>
      <w:sz w:val="21"/>
      <w:szCs w:val="22"/>
    </w:rPr>
  </w:style>
  <w:style w:type="character" w:customStyle="1" w:styleId="13">
    <w:name w:val="批注框文本 Char"/>
    <w:link w:val="5"/>
    <w:semiHidden/>
    <w:qFormat/>
    <w:uiPriority w:val="99"/>
    <w:rPr>
      <w:kern w:val="2"/>
      <w:sz w:val="18"/>
      <w:szCs w:val="18"/>
    </w:rPr>
  </w:style>
  <w:style w:type="character" w:customStyle="1" w:styleId="14">
    <w:name w:val="页脚 Char"/>
    <w:link w:val="6"/>
    <w:qFormat/>
    <w:uiPriority w:val="99"/>
    <w:rPr>
      <w:sz w:val="18"/>
      <w:szCs w:val="18"/>
    </w:rPr>
  </w:style>
  <w:style w:type="character" w:customStyle="1" w:styleId="15">
    <w:name w:val="页眉 Char"/>
    <w:link w:val="7"/>
    <w:uiPriority w:val="99"/>
    <w:rPr>
      <w:sz w:val="18"/>
      <w:szCs w:val="18"/>
    </w:rPr>
  </w:style>
  <w:style w:type="character" w:customStyle="1" w:styleId="16">
    <w:name w:val="批注主题 Char"/>
    <w:link w:val="8"/>
    <w:semiHidden/>
    <w:qFormat/>
    <w:uiPriority w:val="99"/>
    <w:rPr>
      <w:b/>
      <w:bCs/>
      <w:kern w:val="2"/>
      <w:sz w:val="21"/>
      <w:szCs w:val="22"/>
    </w:rPr>
  </w:style>
  <w:style w:type="paragraph" w:customStyle="1" w:styleId="17">
    <w:name w:val="首行缩进"/>
    <w:basedOn w:val="1"/>
    <w:qFormat/>
    <w:uiPriority w:val="0"/>
    <w:pPr>
      <w:spacing w:line="300" w:lineRule="auto"/>
      <w:ind w:firstLine="420" w:firstLineChars="200"/>
    </w:pPr>
    <w:rPr>
      <w:rFonts w:eastAsia="方正书宋简体"/>
      <w:szCs w:val="20"/>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9</Pages>
  <Words>948</Words>
  <Characters>5409</Characters>
  <Lines>45</Lines>
  <Paragraphs>12</Paragraphs>
  <TotalTime>0</TotalTime>
  <ScaleCrop>false</ScaleCrop>
  <LinksUpToDate>false</LinksUpToDate>
  <CharactersWithSpaces>6345</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2023-10-18T12:17:00Z</dcterms:created>
  <dc:creator>宏达顾问负责人</dc:creator>
  <cp:lastModifiedBy>Johnson</cp:lastModifiedBy>
  <cp:lastPrinted>2022-01-04T03:44:00Z</cp:lastPrinted>
  <dcterms:modified xsi:type="dcterms:W3CDTF">2023-10-19T04:07:23Z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F975B2CF71FA42F1906BD1A540F73509_13</vt:lpwstr>
  </property>
</Properties>
</file>