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8960" w:firstLineChars="3200"/>
        <w:rPr>
          <w:rFonts w:hint="eastAsia" w:ascii="宋体" w:hAnsi="宋体" w:eastAsia="宋体" w:cs="宋体"/>
          <w:bCs/>
          <w:color w:val="auto"/>
          <w:sz w:val="28"/>
          <w:szCs w:val="28"/>
          <w:highlight w:val="none"/>
          <w:lang w:val="en-US" w:eastAsia="zh-CN"/>
        </w:rPr>
      </w:pPr>
    </w:p>
    <w:p>
      <w:pPr>
        <w:rPr>
          <w:rFonts w:hint="eastAsia" w:ascii="宋体" w:hAnsi="宋体" w:eastAsia="宋体" w:cs="宋体"/>
          <w:bCs/>
          <w:color w:val="auto"/>
          <w:sz w:val="28"/>
          <w:szCs w:val="28"/>
          <w:highlight w:val="none"/>
        </w:rPr>
      </w:pPr>
    </w:p>
    <w:p>
      <w:pPr>
        <w:spacing w:line="400" w:lineRule="atLeast"/>
        <w:rPr>
          <w:rFonts w:hint="eastAsia" w:ascii="宋体" w:hAnsi="宋体" w:eastAsia="宋体" w:cs="宋体"/>
          <w:color w:val="auto"/>
          <w:sz w:val="52"/>
          <w:szCs w:val="52"/>
          <w:highlight w:val="none"/>
        </w:rPr>
      </w:pPr>
    </w:p>
    <w:p>
      <w:pPr>
        <w:spacing w:line="400" w:lineRule="atLeas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hint="eastAsia" w:ascii="宋体" w:hAnsi="宋体" w:eastAsia="宋体" w:cs="宋体"/>
          <w:b/>
          <w:color w:val="auto"/>
          <w:sz w:val="28"/>
          <w:highlight w:val="none"/>
        </w:rPr>
      </w:pPr>
    </w:p>
    <w:p>
      <w:pPr>
        <w:spacing w:line="400" w:lineRule="atLeast"/>
        <w:ind w:firstLine="420"/>
        <w:jc w:val="center"/>
        <w:rPr>
          <w:rFonts w:hint="eastAsia" w:ascii="宋体" w:hAnsi="宋体" w:eastAsia="宋体" w:cs="宋体"/>
          <w:b/>
          <w:color w:val="auto"/>
          <w:sz w:val="28"/>
          <w:highlight w:val="none"/>
        </w:rPr>
      </w:pPr>
    </w:p>
    <w:p>
      <w:pPr>
        <w:spacing w:line="0" w:lineRule="atLeast"/>
        <w:rPr>
          <w:rFonts w:hint="eastAsia" w:ascii="宋体" w:hAnsi="宋体" w:eastAsia="宋体" w:cs="宋体"/>
          <w:b/>
          <w:color w:val="auto"/>
          <w:sz w:val="30"/>
          <w:highlight w:val="none"/>
        </w:rPr>
      </w:pPr>
    </w:p>
    <w:p>
      <w:pPr>
        <w:spacing w:line="0" w:lineRule="atLeast"/>
        <w:rPr>
          <w:rFonts w:hint="eastAsia" w:ascii="宋体" w:hAnsi="宋体" w:eastAsia="宋体" w:cs="宋体"/>
          <w:b/>
          <w:color w:val="auto"/>
          <w:sz w:val="30"/>
          <w:szCs w:val="30"/>
          <w:highlight w:val="none"/>
        </w:rPr>
      </w:pPr>
    </w:p>
    <w:p>
      <w:pPr>
        <w:spacing w:line="0" w:lineRule="atLeast"/>
        <w:ind w:left="1506" w:hanging="1506" w:hangingChars="5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项目名称: 广州净水公司京溪分公司2023年通风系统改造项目</w:t>
      </w:r>
    </w:p>
    <w:p>
      <w:pPr>
        <w:pStyle w:val="2"/>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rPr>
          <w:rFonts w:hint="eastAsia" w:ascii="宋体" w:hAnsi="宋体" w:eastAsia="宋体" w:cs="宋体"/>
          <w:b/>
          <w:color w:val="auto"/>
          <w:sz w:val="30"/>
          <w:szCs w:val="30"/>
          <w:highlight w:val="none"/>
        </w:rPr>
      </w:pPr>
    </w:p>
    <w:p>
      <w:pPr>
        <w:spacing w:line="400" w:lineRule="atLeast"/>
        <w:rPr>
          <w:rFonts w:hint="eastAsia" w:ascii="宋体" w:hAnsi="宋体" w:eastAsia="宋体" w:cs="宋体"/>
          <w:b/>
          <w:color w:val="auto"/>
          <w:sz w:val="30"/>
          <w:szCs w:val="30"/>
          <w:highlight w:val="none"/>
        </w:rPr>
      </w:pPr>
    </w:p>
    <w:p>
      <w:pPr>
        <w:spacing w:line="480" w:lineRule="auto"/>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ind w:firstLine="602" w:firstLineChars="200"/>
        <w:rPr>
          <w:rFonts w:hint="eastAsia" w:ascii="宋体" w:hAnsi="宋体" w:eastAsia="宋体" w:cs="宋体"/>
          <w:b/>
          <w:color w:val="auto"/>
          <w:sz w:val="30"/>
          <w:szCs w:val="30"/>
          <w:highlight w:val="none"/>
        </w:rPr>
      </w:pPr>
    </w:p>
    <w:p>
      <w:pPr>
        <w:spacing w:line="400" w:lineRule="atLeast"/>
        <w:rPr>
          <w:rFonts w:hint="eastAsia" w:ascii="宋体" w:hAnsi="宋体" w:eastAsia="宋体" w:cs="宋体"/>
          <w:b/>
          <w:color w:val="auto"/>
          <w:sz w:val="30"/>
          <w:szCs w:val="30"/>
          <w:highlight w:val="none"/>
        </w:rPr>
      </w:pPr>
    </w:p>
    <w:p>
      <w:pPr>
        <w:spacing w:line="400" w:lineRule="atLeas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hint="eastAsia" w:ascii="宋体" w:hAnsi="宋体" w:eastAsia="宋体" w:cs="宋体"/>
          <w:b/>
          <w:color w:val="auto"/>
          <w:sz w:val="30"/>
          <w:szCs w:val="30"/>
          <w:highlight w:val="none"/>
        </w:rPr>
      </w:pPr>
    </w:p>
    <w:p>
      <w:pPr>
        <w:spacing w:line="400" w:lineRule="atLeas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hint="eastAsia" w:ascii="宋体" w:hAnsi="宋体" w:eastAsia="宋体" w:cs="宋体"/>
          <w:b/>
          <w:color w:val="auto"/>
          <w:sz w:val="30"/>
          <w:szCs w:val="30"/>
          <w:highlight w:val="none"/>
        </w:rPr>
      </w:pPr>
    </w:p>
    <w:p>
      <w:pPr>
        <w:spacing w:line="400" w:lineRule="atLeast"/>
        <w:rPr>
          <w:rFonts w:hint="eastAsia" w:ascii="宋体" w:hAnsi="宋体" w:eastAsia="宋体" w:cs="宋体"/>
          <w:b/>
          <w:color w:val="auto"/>
          <w:sz w:val="30"/>
          <w:szCs w:val="30"/>
          <w:highlight w:val="none"/>
        </w:rPr>
      </w:pPr>
    </w:p>
    <w:p>
      <w:pPr>
        <w:spacing w:line="400" w:lineRule="atLeas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hint="eastAsia" w:ascii="宋体" w:hAnsi="宋体" w:eastAsia="宋体" w:cs="宋体"/>
          <w:b/>
          <w:color w:val="auto"/>
          <w:sz w:val="52"/>
          <w:highlight w:val="none"/>
          <w:lang w:eastAsia="zh-CN"/>
        </w:rPr>
      </w:pPr>
      <w:r>
        <w:rPr>
          <w:rFonts w:hint="eastAsia" w:ascii="宋体" w:hAnsi="宋体" w:eastAsia="宋体" w:cs="宋体"/>
          <w:b/>
          <w:color w:val="auto"/>
          <w:sz w:val="30"/>
          <w:highlight w:val="none"/>
        </w:rPr>
        <w:t>签约地点：广州市</w:t>
      </w:r>
    </w:p>
    <w:p>
      <w:pPr>
        <w:spacing w:line="24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spacing w:beforeLines="-2147483648" w:line="240" w:lineRule="auto"/>
        <w:ind w:left="0" w:leftChars="0" w:firstLine="0" w:firstLineChars="0"/>
        <w:rPr>
          <w:rFonts w:hint="eastAsia" w:ascii="宋体" w:hAnsi="宋体" w:eastAsia="宋体" w:cs="宋体"/>
          <w:color w:val="auto"/>
          <w:sz w:val="24"/>
          <w:highlight w:val="none"/>
        </w:rPr>
      </w:pPr>
    </w:p>
    <w:p>
      <w:pPr>
        <w:spacing w:beforeLines="30" w:line="384" w:lineRule="auto"/>
        <w:ind w:left="210" w:leftChars="1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》及其他有关法律、行政法规，</w:t>
      </w: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 xml:space="preserve"> （以下简称“甲方”）与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 xml:space="preserve">（以下简称“乙方”）就 </w:t>
      </w:r>
      <w:r>
        <w:rPr>
          <w:rFonts w:hint="eastAsia" w:ascii="宋体" w:hAnsi="宋体" w:eastAsia="宋体" w:cs="宋体"/>
          <w:color w:val="auto"/>
          <w:sz w:val="24"/>
          <w:highlight w:val="none"/>
          <w:u w:val="single"/>
        </w:rPr>
        <w:t>广州净水公司京溪分公司2023年通风系统改造</w:t>
      </w:r>
      <w:r>
        <w:rPr>
          <w:rFonts w:hint="eastAsia" w:ascii="宋体" w:hAnsi="宋体" w:eastAsia="宋体" w:cs="宋体"/>
          <w:color w:val="auto"/>
          <w:sz w:val="24"/>
          <w:highlight w:val="none"/>
        </w:rPr>
        <w:t>项目承接工作事宜，遵循平等、自愿、公平和诚实信用的原则，双方协商一致，订立本合同。</w:t>
      </w:r>
    </w:p>
    <w:p>
      <w:pPr>
        <w:spacing w:beforeLines="0" w:line="384" w:lineRule="auto"/>
        <w:ind w:left="0" w:lef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 组成合同的文件及优先顺序</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⑴ </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⑵ 本合同书；</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⑶ 中标通知书；</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⑷ 招标文件；</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⑸ 投标文件；</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⑺ 图纸；</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⑻ 工程量清单/</w:t>
      </w:r>
      <w:r>
        <w:rPr>
          <w:rFonts w:hint="eastAsia" w:ascii="宋体" w:hAnsi="宋体" w:eastAsia="宋体" w:cs="宋体"/>
          <w:color w:val="auto"/>
          <w:sz w:val="24"/>
          <w:highlight w:val="none"/>
        </w:rPr>
        <w:t>工程报价单或预算书；</w:t>
      </w:r>
    </w:p>
    <w:p>
      <w:pPr>
        <w:spacing w:line="384"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⑼ 本合同其他附件；</w:t>
      </w:r>
    </w:p>
    <w:p>
      <w:pPr>
        <w:spacing w:line="384"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 项目概况、项目承包范围</w:t>
      </w:r>
    </w:p>
    <w:p>
      <w:pPr>
        <w:spacing w:line="38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2.1项目名称：</w:t>
      </w:r>
      <w:r>
        <w:rPr>
          <w:rFonts w:hint="eastAsia" w:ascii="宋体" w:hAnsi="宋体" w:eastAsia="宋体" w:cs="宋体"/>
          <w:color w:val="auto"/>
          <w:sz w:val="24"/>
          <w:highlight w:val="none"/>
          <w:u w:val="single"/>
        </w:rPr>
        <w:t xml:space="preserve">  广州净水公司京溪分公司2023年通风系统改造项目。</w:t>
      </w:r>
    </w:p>
    <w:p>
      <w:pPr>
        <w:spacing w:line="38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2.2项目地点：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广州市净水有限公司京溪分公司内。</w:t>
      </w:r>
    </w:p>
    <w:p>
      <w:pPr>
        <w:spacing w:line="384" w:lineRule="auto"/>
        <w:ind w:firstLine="480" w:firstLineChars="200"/>
        <w:rPr>
          <w:rFonts w:hint="eastAsia" w:ascii="宋体" w:hAnsi="宋体" w:eastAsia="宋体" w:cs="宋体"/>
          <w:color w:val="auto"/>
          <w:spacing w:val="8"/>
          <w:sz w:val="24"/>
          <w:highlight w:val="none"/>
        </w:rPr>
      </w:pPr>
      <w:r>
        <w:rPr>
          <w:rFonts w:hint="eastAsia" w:ascii="宋体" w:hAnsi="宋体" w:eastAsia="宋体" w:cs="宋体"/>
          <w:color w:val="auto"/>
          <w:sz w:val="24"/>
          <w:highlight w:val="none"/>
        </w:rPr>
        <w:t>2.3项目内容：</w:t>
      </w:r>
      <w:r>
        <w:rPr>
          <w:rFonts w:hint="eastAsia" w:ascii="宋体" w:hAnsi="宋体" w:eastAsia="宋体" w:cs="宋体"/>
          <w:color w:val="auto"/>
          <w:sz w:val="24"/>
          <w:highlight w:val="none"/>
          <w:u w:val="single"/>
        </w:rPr>
        <w:t xml:space="preserve">  本项目拟根据《城镇地下污水处理设施通风与臭气处理技术标准》（DBJ/T</w:t>
      </w:r>
      <w:r>
        <w:rPr>
          <w:rFonts w:hint="eastAsia" w:ascii="宋体" w:hAnsi="宋体" w:eastAsia="宋体" w:cs="宋体"/>
          <w:color w:val="auto"/>
          <w:sz w:val="24"/>
          <w:highlight w:val="none"/>
          <w:u w:val="single"/>
          <w:lang w:val="en-US" w:eastAsia="zh-CN"/>
        </w:rPr>
        <w:t xml:space="preserve"> 15</w:t>
      </w:r>
      <w:r>
        <w:rPr>
          <w:rFonts w:hint="eastAsia" w:ascii="宋体" w:hAnsi="宋体" w:eastAsia="宋体" w:cs="宋体"/>
          <w:color w:val="auto"/>
          <w:sz w:val="24"/>
          <w:highlight w:val="none"/>
          <w:u w:val="single"/>
        </w:rPr>
        <w:t>-202-2020）中关于地下污水处理设施通风的换气次数等相关要求，对京溪厂通风系统进行全面升级改造，对除臭系统局部管道进行优化，并增加可视化运行状态监控措施，以全面提升京溪厂地下生产区域空气环境和运行管理。</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 项目承包方式</w:t>
      </w:r>
    </w:p>
    <w:p>
      <w:pPr>
        <w:spacing w:line="384"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4"/>
          <w:highlight w:val="none"/>
        </w:rPr>
        <w:t>包工、包料、包工期、包质量、包安全、包文明施工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包调试、包验收、包竣工图纸</w:t>
      </w:r>
      <w:r>
        <w:rPr>
          <w:rFonts w:hint="eastAsia" w:ascii="宋体" w:hAnsi="宋体" w:eastAsia="宋体" w:cs="宋体"/>
          <w:color w:val="auto"/>
          <w:sz w:val="24"/>
          <w:highlight w:val="none"/>
        </w:rPr>
        <w:t>。综合单价包干、项目措施费</w:t>
      </w:r>
      <w:r>
        <w:rPr>
          <w:rFonts w:hint="eastAsia" w:ascii="宋体" w:hAnsi="宋体" w:eastAsia="宋体" w:cs="宋体"/>
          <w:color w:val="auto"/>
          <w:sz w:val="24"/>
          <w:highlight w:val="none"/>
          <w:lang w:val="en-US" w:eastAsia="zh-CN"/>
        </w:rPr>
        <w:t>按实结算</w:t>
      </w:r>
      <w:r>
        <w:rPr>
          <w:rFonts w:hint="eastAsia" w:ascii="宋体" w:hAnsi="宋体" w:eastAsia="宋体" w:cs="宋体"/>
          <w:color w:val="auto"/>
          <w:sz w:val="24"/>
          <w:highlight w:val="none"/>
        </w:rPr>
        <w:t>。（单价包干要求附工程量报价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工程预算书）</w:t>
      </w:r>
    </w:p>
    <w:p>
      <w:pPr>
        <w:spacing w:line="384"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第四条合同价款</w:t>
      </w:r>
    </w:p>
    <w:p>
      <w:pPr>
        <w:spacing w:line="384" w:lineRule="auto"/>
        <w:ind w:firstLine="480" w:firstLineChars="200"/>
        <w:rPr>
          <w:rFonts w:hint="eastAsia" w:ascii="宋体" w:hAnsi="宋体" w:eastAsia="宋体" w:cs="宋体"/>
          <w:bCs/>
          <w:color w:val="auto"/>
          <w:sz w:val="24"/>
          <w:highlight w:val="none"/>
          <w:bdr w:val="single" w:color="auto" w:sz="4" w:space="0"/>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rPr>
        <w:t>合同价款按以下</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rPr>
        <w:t>1</w:t>
      </w:r>
      <w:r>
        <w:rPr>
          <w:rFonts w:hint="eastAsia" w:ascii="宋体" w:hAnsi="宋体" w:eastAsia="宋体" w:cs="宋体"/>
          <w:bCs/>
          <w:color w:val="auto"/>
          <w:sz w:val="24"/>
          <w:highlight w:val="none"/>
          <w:u w:val="single"/>
        </w:rPr>
        <w:t>）</w:t>
      </w:r>
      <w:r>
        <w:rPr>
          <w:rFonts w:hint="eastAsia" w:ascii="宋体" w:hAnsi="宋体" w:eastAsia="宋体" w:cs="宋体"/>
          <w:color w:val="auto"/>
          <w:sz w:val="24"/>
          <w:highlight w:val="none"/>
        </w:rPr>
        <w:t>执行。</w:t>
      </w:r>
    </w:p>
    <w:p>
      <w:pPr>
        <w:numPr>
          <w:ilvl w:val="0"/>
          <w:numId w:val="1"/>
        </w:num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合同暂定总价为：</w:t>
      </w:r>
      <w:r>
        <w:rPr>
          <w:rFonts w:hint="eastAsia" w:ascii="宋体" w:hAnsi="宋体" w:eastAsia="宋体" w:cs="宋体"/>
          <w:b/>
          <w:color w:val="auto"/>
          <w:sz w:val="24"/>
          <w:highlight w:val="none"/>
          <w:u w:val="single"/>
        </w:rPr>
        <w:t>人民币</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综合单价详见附件工程量报价清单。</w:t>
      </w:r>
    </w:p>
    <w:p>
      <w:pPr>
        <w:autoSpaceDE/>
        <w:autoSpaceDN/>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合同以总价包干形式，合同暂定总价为：</w:t>
      </w:r>
      <w:r>
        <w:rPr>
          <w:rFonts w:hint="eastAsia" w:ascii="宋体" w:hAnsi="宋体" w:eastAsia="宋体" w:cs="宋体"/>
          <w:b/>
          <w:color w:val="auto"/>
          <w:sz w:val="24"/>
          <w:highlight w:val="none"/>
          <w:u w:val="single"/>
        </w:rPr>
        <w:t>人民币</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4.2</w:t>
      </w:r>
      <w:r>
        <w:rPr>
          <w:rFonts w:hint="eastAsia" w:ascii="宋体" w:hAnsi="宋体" w:eastAsia="宋体" w:cs="宋体"/>
          <w:color w:val="auto"/>
          <w:kern w:val="0"/>
          <w:sz w:val="24"/>
          <w:highlight w:val="none"/>
        </w:rPr>
        <w:t>本合同约定的价格为含税价价格</w:t>
      </w:r>
      <w:r>
        <w:rPr>
          <w:rFonts w:hint="eastAsia" w:ascii="宋体" w:hAnsi="宋体" w:eastAsia="宋体" w:cs="宋体"/>
          <w:color w:val="auto"/>
          <w:sz w:val="24"/>
          <w:highlight w:val="none"/>
        </w:rPr>
        <w:t>（税率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4.3因非乙方原因引起工程量报价清单中工程量发生增减，且</w:t>
      </w:r>
      <w:r>
        <w:rPr>
          <w:rFonts w:hint="eastAsia" w:ascii="宋体" w:hAnsi="宋体" w:eastAsia="宋体" w:cs="宋体"/>
          <w:bCs/>
          <w:color w:val="auto"/>
          <w:sz w:val="24"/>
          <w:szCs w:val="24"/>
          <w:highlight w:val="none"/>
          <w:lang w:val="en-US" w:eastAsia="zh-CN"/>
        </w:rPr>
        <w:t>单个子</w:t>
      </w:r>
      <w:r>
        <w:rPr>
          <w:rFonts w:hint="eastAsia" w:ascii="宋体" w:hAnsi="宋体" w:eastAsia="宋体" w:cs="宋体"/>
          <w:bCs/>
          <w:color w:val="auto"/>
          <w:sz w:val="24"/>
          <w:szCs w:val="24"/>
          <w:highlight w:val="none"/>
          <w:lang w:val="en-US" w:eastAsia="zh-CN"/>
        </w:rPr>
        <w:t>目工程量变化幅度在25%以内（含）时，按工程量报价清单中列明的子目单价结算。否则，有权按新增单价执行。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（4）通过市场询价双方协商确定。</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eastAsia="宋体" w:cs="宋体"/>
          <w:color w:val="auto"/>
          <w:sz w:val="24"/>
          <w:highlight w:val="none"/>
        </w:rPr>
      </w:pPr>
    </w:p>
    <w:p>
      <w:pPr>
        <w:widowControl/>
        <w:tabs>
          <w:tab w:val="left" w:pos="851"/>
        </w:tabs>
        <w:adjustRightInd w:val="0"/>
        <w:snapToGrid w:val="0"/>
        <w:spacing w:line="384"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工期及要求</w:t>
      </w:r>
    </w:p>
    <w:p>
      <w:pPr>
        <w:widowControl/>
        <w:spacing w:line="384"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lang w:val="en-US" w:eastAsia="zh-CN"/>
        </w:rPr>
        <w:t>合同总工期为</w:t>
      </w:r>
      <w:r>
        <w:rPr>
          <w:rFonts w:hint="eastAsia" w:ascii="宋体" w:hAnsi="宋体" w:eastAsia="宋体" w:cs="宋体"/>
          <w:color w:val="auto"/>
          <w:sz w:val="24"/>
          <w:highlight w:val="none"/>
          <w:u w:val="single"/>
          <w:lang w:val="en-US" w:eastAsia="zh-CN"/>
        </w:rPr>
        <w:t xml:space="preserve"> 180个日历</w:t>
      </w:r>
      <w:r>
        <w:rPr>
          <w:rFonts w:hint="eastAsia" w:ascii="宋体" w:hAnsi="宋体" w:eastAsia="宋体" w:cs="宋体"/>
          <w:color w:val="auto"/>
          <w:sz w:val="24"/>
          <w:highlight w:val="none"/>
          <w:lang w:val="en-US" w:eastAsia="zh-CN"/>
        </w:rPr>
        <w:t>天（含设备货期），</w:t>
      </w:r>
      <w:r>
        <w:rPr>
          <w:rFonts w:hint="eastAsia" w:ascii="宋体" w:hAnsi="宋体" w:eastAsia="宋体" w:cs="宋体"/>
          <w:color w:val="auto"/>
          <w:sz w:val="24"/>
          <w:highlight w:val="none"/>
        </w:rPr>
        <w:t>开工日期暂定为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，具体日期以甲方发出的开工通知为准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工期计算由</w:t>
      </w:r>
      <w:r>
        <w:rPr>
          <w:rFonts w:hint="eastAsia" w:ascii="宋体" w:hAnsi="宋体" w:eastAsia="宋体" w:cs="宋体"/>
          <w:color w:val="auto"/>
          <w:sz w:val="24"/>
          <w:highlight w:val="none"/>
          <w:lang w:val="en-US" w:eastAsia="zh-CN"/>
        </w:rPr>
        <w:t>乙方收到开工</w:t>
      </w:r>
      <w:r>
        <w:rPr>
          <w:rFonts w:hint="eastAsia" w:ascii="宋体" w:hAnsi="宋体" w:eastAsia="宋体" w:cs="宋体"/>
          <w:color w:val="auto"/>
          <w:sz w:val="24"/>
          <w:szCs w:val="24"/>
          <w:highlight w:val="none"/>
        </w:rPr>
        <w:t>通知</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rPr>
        <w:t>日起开始起算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完成竣工验收</w:t>
      </w:r>
      <w:r>
        <w:rPr>
          <w:rFonts w:hint="eastAsia" w:ascii="宋体" w:hAnsi="宋体" w:eastAsia="宋体" w:cs="宋体"/>
          <w:color w:val="auto"/>
          <w:sz w:val="24"/>
          <w:highlight w:val="none"/>
        </w:rPr>
        <w:t>。乙方不能按时开工，应当于开工通知载明的开工日期</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前，以书面形式向甲方提出延期开工的理由。甲方应当在接到延期开工申请后的</w:t>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t>小时内以书面形式答复乙方。甲方在接到延期开工申请后</w:t>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t>小时内不答复，视为同意乙方要求，工期相应顺延。甲方不同意延期要求或乙方未在规定时间内提出延期开工，工期不予顺延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乙方不得有异议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因乙方原因未按甲方开工通知时间进场施工的，每逾期一日，应按2000元/日支付逾期违约金，逾期达到7日及以上的，甲方有权解除合同。</w:t>
      </w:r>
    </w:p>
    <w:p>
      <w:pPr>
        <w:pStyle w:val="14"/>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pacing w:val="-8"/>
          <w:sz w:val="24"/>
          <w:highlight w:val="none"/>
          <w:lang w:val="en-US" w:eastAsia="zh-CN"/>
        </w:rPr>
        <w:t>5.2项目需要办理施工备案，</w:t>
      </w:r>
      <w:r>
        <w:rPr>
          <w:rFonts w:hint="eastAsia" w:ascii="宋体" w:hAnsi="宋体" w:eastAsia="宋体" w:cs="宋体"/>
          <w:color w:val="auto"/>
          <w:spacing w:val="-8"/>
          <w:sz w:val="24"/>
          <w:highlight w:val="none"/>
          <w:lang w:val="en-US" w:eastAsia="zh-CN"/>
        </w:rPr>
        <w:t>合同签订后</w:t>
      </w:r>
      <w:r>
        <w:rPr>
          <w:rFonts w:hint="eastAsia" w:ascii="宋体" w:hAnsi="宋体" w:eastAsia="宋体" w:cs="宋体"/>
          <w:color w:val="auto"/>
          <w:spacing w:val="-8"/>
          <w:sz w:val="24"/>
          <w:highlight w:val="none"/>
          <w:u w:val="single"/>
          <w:lang w:val="en-US" w:eastAsia="zh-CN"/>
        </w:rPr>
        <w:t>10</w:t>
      </w:r>
      <w:r>
        <w:rPr>
          <w:rFonts w:hint="eastAsia" w:ascii="宋体" w:hAnsi="宋体" w:eastAsia="宋体" w:cs="宋体"/>
          <w:color w:val="auto"/>
          <w:spacing w:val="-8"/>
          <w:sz w:val="24"/>
          <w:highlight w:val="none"/>
          <w:lang w:val="en-US" w:eastAsia="zh-CN"/>
        </w:rPr>
        <w:t>日</w:t>
      </w:r>
      <w:r>
        <w:rPr>
          <w:rFonts w:hint="eastAsia" w:ascii="宋体" w:hAnsi="宋体" w:eastAsia="宋体" w:cs="宋体"/>
          <w:color w:val="auto"/>
          <w:spacing w:val="-8"/>
          <w:sz w:val="24"/>
          <w:highlight w:val="none"/>
          <w:lang w:val="en-US" w:eastAsia="zh-CN"/>
        </w:rPr>
        <w:t>内，</w:t>
      </w:r>
      <w:r>
        <w:rPr>
          <w:rFonts w:hint="eastAsia" w:ascii="宋体" w:hAnsi="宋体" w:eastAsia="宋体" w:cs="宋体"/>
          <w:color w:val="auto"/>
          <w:spacing w:val="-8"/>
          <w:sz w:val="24"/>
          <w:highlight w:val="none"/>
          <w:lang w:val="en-US" w:eastAsia="zh-CN"/>
        </w:rPr>
        <w:t>乙方</w:t>
      </w:r>
      <w:r>
        <w:rPr>
          <w:rFonts w:hint="eastAsia" w:ascii="宋体" w:hAnsi="宋体" w:eastAsia="宋体" w:cs="宋体"/>
          <w:color w:val="auto"/>
          <w:spacing w:val="-8"/>
          <w:sz w:val="24"/>
          <w:highlight w:val="none"/>
          <w:lang w:val="en-US" w:eastAsia="zh-CN"/>
        </w:rPr>
        <w:t>需提交完整的盖章版施工备案资料，</w:t>
      </w:r>
      <w:r>
        <w:rPr>
          <w:rFonts w:hint="eastAsia" w:ascii="宋体" w:hAnsi="宋体" w:eastAsia="宋体" w:cs="宋体"/>
          <w:color w:val="auto"/>
          <w:sz w:val="24"/>
          <w:szCs w:val="24"/>
          <w:highlight w:val="none"/>
        </w:rPr>
        <w:t>每逾期一日，应按</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合同暂定</w:t>
      </w:r>
      <w:r>
        <w:rPr>
          <w:rFonts w:hint="eastAsia" w:ascii="宋体" w:hAnsi="宋体" w:eastAsia="宋体" w:cs="宋体"/>
          <w:color w:val="auto"/>
          <w:sz w:val="24"/>
          <w:szCs w:val="24"/>
          <w:highlight w:val="none"/>
          <w:u w:val="single"/>
          <w:lang w:val="en-US" w:eastAsia="zh-CN"/>
        </w:rPr>
        <w:t>总</w:t>
      </w:r>
      <w:r>
        <w:rPr>
          <w:rFonts w:hint="eastAsia" w:ascii="宋体" w:hAnsi="宋体" w:eastAsia="宋体" w:cs="宋体"/>
          <w:color w:val="auto"/>
          <w:sz w:val="24"/>
          <w:szCs w:val="24"/>
          <w:highlight w:val="none"/>
          <w:u w:val="single"/>
        </w:rPr>
        <w:t>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日及以上的，甲方有权解除合同。</w:t>
      </w:r>
    </w:p>
    <w:p>
      <w:pPr>
        <w:pStyle w:val="14"/>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5.3项目实施期间，施工进度及人员投入管理要求：</w:t>
      </w:r>
    </w:p>
    <w:p>
      <w:pPr>
        <w:pStyle w:val="14"/>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highlight w:val="none"/>
          <w:lang w:val="en-US" w:eastAsia="zh-CN"/>
        </w:rPr>
        <w:t>5.3.1</w:t>
      </w:r>
      <w:r>
        <w:rPr>
          <w:rFonts w:hint="eastAsia" w:ascii="宋体" w:hAnsi="宋体" w:eastAsia="宋体" w:cs="宋体"/>
          <w:color w:val="auto"/>
          <w:spacing w:val="-8"/>
          <w:sz w:val="24"/>
          <w:highlight w:val="none"/>
          <w:lang w:val="en-US" w:eastAsia="zh-CN"/>
        </w:rPr>
        <w:t>合同签订后</w:t>
      </w:r>
      <w:r>
        <w:rPr>
          <w:rFonts w:hint="eastAsia" w:ascii="宋体" w:hAnsi="宋体" w:eastAsia="宋体" w:cs="宋体"/>
          <w:color w:val="auto"/>
          <w:spacing w:val="-8"/>
          <w:sz w:val="24"/>
          <w:highlight w:val="none"/>
          <w:u w:val="single"/>
          <w:lang w:val="en-US" w:eastAsia="zh-CN"/>
        </w:rPr>
        <w:t>10</w:t>
      </w:r>
      <w:r>
        <w:rPr>
          <w:rFonts w:hint="eastAsia" w:ascii="宋体" w:hAnsi="宋体" w:eastAsia="宋体" w:cs="宋体"/>
          <w:color w:val="auto"/>
          <w:spacing w:val="-8"/>
          <w:sz w:val="24"/>
          <w:highlight w:val="none"/>
          <w:lang w:val="en-US" w:eastAsia="zh-CN"/>
        </w:rPr>
        <w:t>日</w:t>
      </w:r>
      <w:r>
        <w:rPr>
          <w:rFonts w:hint="eastAsia" w:ascii="宋体" w:hAnsi="宋体" w:eastAsia="宋体" w:cs="宋体"/>
          <w:color w:val="auto"/>
          <w:spacing w:val="-8"/>
          <w:sz w:val="24"/>
          <w:highlight w:val="none"/>
          <w:lang w:val="en-US" w:eastAsia="zh-CN"/>
        </w:rPr>
        <w:t>内，</w:t>
      </w:r>
      <w:r>
        <w:rPr>
          <w:rFonts w:hint="eastAsia" w:ascii="宋体" w:hAnsi="宋体" w:eastAsia="宋体" w:cs="宋体"/>
          <w:color w:val="auto"/>
          <w:spacing w:val="-8"/>
          <w:sz w:val="24"/>
          <w:highlight w:val="none"/>
          <w:lang w:val="en-US" w:eastAsia="zh-CN"/>
        </w:rPr>
        <w:t>乙方向甲方</w:t>
      </w:r>
      <w:r>
        <w:rPr>
          <w:rFonts w:hint="eastAsia" w:ascii="宋体" w:hAnsi="宋体" w:eastAsia="宋体" w:cs="宋体"/>
          <w:color w:val="auto"/>
          <w:spacing w:val="-8"/>
          <w:sz w:val="24"/>
          <w:highlight w:val="none"/>
          <w:lang w:val="en-US" w:eastAsia="zh-CN"/>
        </w:rPr>
        <w:t>提交</w:t>
      </w:r>
      <w:r>
        <w:rPr>
          <w:rFonts w:hint="eastAsia" w:ascii="宋体" w:hAnsi="宋体" w:eastAsia="宋体" w:cs="宋体"/>
          <w:color w:val="auto"/>
          <w:spacing w:val="-8"/>
          <w:sz w:val="24"/>
          <w:highlight w:val="none"/>
          <w:lang w:val="en-US" w:eastAsia="zh-CN"/>
        </w:rPr>
        <w:t>详实的项目施工倒排计划盖章版资料，内容包括施工倒排工期计划表、与倒排计划对应的每日拟投入施工的人员数量以及设备材料计划进场节点等，资料的提交</w:t>
      </w:r>
      <w:r>
        <w:rPr>
          <w:rFonts w:hint="eastAsia" w:ascii="宋体" w:hAnsi="宋体" w:eastAsia="宋体" w:cs="宋体"/>
          <w:color w:val="auto"/>
          <w:sz w:val="24"/>
          <w:szCs w:val="24"/>
          <w:highlight w:val="none"/>
        </w:rPr>
        <w:t>每逾期一日，应按</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合同暂定</w:t>
      </w:r>
      <w:r>
        <w:rPr>
          <w:rFonts w:hint="eastAsia" w:ascii="宋体" w:hAnsi="宋体" w:eastAsia="宋体" w:cs="宋体"/>
          <w:color w:val="auto"/>
          <w:sz w:val="24"/>
          <w:szCs w:val="24"/>
          <w:highlight w:val="none"/>
          <w:u w:val="single"/>
          <w:lang w:val="en-US" w:eastAsia="zh-CN"/>
        </w:rPr>
        <w:t>总</w:t>
      </w:r>
      <w:r>
        <w:rPr>
          <w:rFonts w:hint="eastAsia" w:ascii="宋体" w:hAnsi="宋体" w:eastAsia="宋体" w:cs="宋体"/>
          <w:color w:val="auto"/>
          <w:sz w:val="24"/>
          <w:szCs w:val="24"/>
          <w:highlight w:val="none"/>
          <w:u w:val="single"/>
        </w:rPr>
        <w:t>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日及以上的，甲方有权解除合同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乙方报送的</w:t>
      </w:r>
      <w:r>
        <w:rPr>
          <w:rFonts w:hint="eastAsia" w:ascii="宋体" w:hAnsi="宋体" w:eastAsia="宋体" w:cs="宋体"/>
          <w:color w:val="auto"/>
          <w:spacing w:val="-8"/>
          <w:sz w:val="24"/>
          <w:highlight w:val="none"/>
          <w:lang w:val="en-US" w:eastAsia="zh-CN"/>
        </w:rPr>
        <w:t>项目施工倒排计划须经甲方审核通过方可实施。</w:t>
      </w:r>
    </w:p>
    <w:p>
      <w:pPr>
        <w:pStyle w:val="14"/>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5.3.2项目施工期间，如乙方投入的施工人员数量未能满足拟投入的人员计划要求，甲方有权要求乙方按照计划增补缺少的施工人员，否则</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有权要求</w:t>
      </w:r>
      <w:r>
        <w:rPr>
          <w:rFonts w:hint="eastAsia" w:ascii="宋体" w:hAnsi="宋体" w:eastAsia="宋体" w:cs="宋体"/>
          <w:color w:val="auto"/>
          <w:sz w:val="24"/>
          <w:szCs w:val="24"/>
          <w:highlight w:val="none"/>
        </w:rPr>
        <w:t>乙方支付</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rPr>
        <w:t>元/人次</w:t>
      </w:r>
      <w:r>
        <w:rPr>
          <w:rFonts w:hint="eastAsia" w:ascii="宋体" w:hAnsi="宋体" w:eastAsia="宋体" w:cs="宋体"/>
          <w:color w:val="auto"/>
          <w:sz w:val="24"/>
          <w:szCs w:val="24"/>
          <w:highlight w:val="none"/>
          <w:u w:val="single"/>
          <w:lang w:val="en-US" w:eastAsia="zh-CN"/>
        </w:rPr>
        <w:t>/日违约金，累计发生3次，甲方</w:t>
      </w:r>
      <w:r>
        <w:rPr>
          <w:rFonts w:hint="eastAsia" w:ascii="宋体" w:hAnsi="宋体" w:eastAsia="宋体" w:cs="宋体"/>
          <w:color w:val="auto"/>
          <w:sz w:val="24"/>
          <w:szCs w:val="24"/>
          <w:highlight w:val="none"/>
        </w:rPr>
        <w:t>有权解除合同</w:t>
      </w:r>
      <w:r>
        <w:rPr>
          <w:rFonts w:hint="eastAsia" w:ascii="宋体" w:hAnsi="宋体" w:eastAsia="宋体" w:cs="宋体"/>
          <w:color w:val="auto"/>
          <w:sz w:val="24"/>
          <w:szCs w:val="24"/>
          <w:highlight w:val="none"/>
          <w:lang w:eastAsia="zh-CN"/>
        </w:rPr>
        <w:t>。</w:t>
      </w:r>
    </w:p>
    <w:p>
      <w:pPr>
        <w:pStyle w:val="27"/>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5.3.3项目施工期间，乙方应每周向甲方报送施工周报，甲方根据项目施工进度，在施工进度存在滞后与计划的情况下，甲方有权要求乙方增大项目的施工人员投入，乙方应确保最大投入项目施工人员数量满足《</w:t>
      </w:r>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项目投入人员架构表</w:t>
      </w:r>
      <w:r>
        <w:rPr>
          <w:rFonts w:hint="eastAsia" w:ascii="宋体" w:hAnsi="宋体" w:eastAsia="宋体" w:cs="宋体"/>
          <w:color w:val="auto"/>
          <w:sz w:val="24"/>
          <w:szCs w:val="24"/>
          <w:highlight w:val="none"/>
          <w:lang w:val="en-US" w:eastAsia="zh-CN"/>
        </w:rPr>
        <w:t>》；乙方须响应甲方要求，否则</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有权按照未增加的施工人员数量要求</w:t>
      </w:r>
      <w:r>
        <w:rPr>
          <w:rFonts w:hint="eastAsia" w:ascii="宋体" w:hAnsi="宋体" w:eastAsia="宋体" w:cs="宋体"/>
          <w:color w:val="auto"/>
          <w:sz w:val="24"/>
          <w:szCs w:val="24"/>
          <w:highlight w:val="none"/>
        </w:rPr>
        <w:t>乙方支付</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rPr>
        <w:t>元/人次</w:t>
      </w:r>
      <w:r>
        <w:rPr>
          <w:rFonts w:hint="eastAsia" w:ascii="宋体" w:hAnsi="宋体" w:eastAsia="宋体" w:cs="宋体"/>
          <w:color w:val="auto"/>
          <w:sz w:val="24"/>
          <w:szCs w:val="24"/>
          <w:highlight w:val="none"/>
          <w:u w:val="single"/>
          <w:lang w:val="en-US" w:eastAsia="zh-CN"/>
        </w:rPr>
        <w:t>/日违约金，累计发生3次，甲方有权</w:t>
      </w:r>
      <w:r>
        <w:rPr>
          <w:rFonts w:hint="eastAsia" w:ascii="宋体" w:hAnsi="宋体" w:eastAsia="宋体" w:cs="宋体"/>
          <w:color w:val="auto"/>
          <w:sz w:val="24"/>
          <w:szCs w:val="24"/>
          <w:highlight w:val="none"/>
        </w:rPr>
        <w:t>解除合同</w:t>
      </w:r>
      <w:r>
        <w:rPr>
          <w:rFonts w:hint="eastAsia" w:ascii="宋体" w:hAnsi="宋体" w:eastAsia="宋体" w:cs="宋体"/>
          <w:color w:val="auto"/>
          <w:sz w:val="24"/>
          <w:szCs w:val="24"/>
          <w:highlight w:val="none"/>
          <w:lang w:eastAsia="zh-CN"/>
        </w:rPr>
        <w:t>。</w:t>
      </w:r>
    </w:p>
    <w:p>
      <w:pPr>
        <w:pStyle w:val="27"/>
        <w:widowControl w:val="0"/>
        <w:spacing w:line="500" w:lineRule="exact"/>
        <w:ind w:firstLine="480" w:firstLineChars="200"/>
        <w:jc w:val="left"/>
        <w:outlineLvl w:val="1"/>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highlight w:val="none"/>
        </w:rPr>
        <w:t>乙方未能</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总工期完成项目</w:t>
      </w:r>
      <w:r>
        <w:rPr>
          <w:rFonts w:hint="eastAsia" w:ascii="宋体" w:hAnsi="宋体" w:eastAsia="宋体" w:cs="宋体"/>
          <w:color w:val="auto"/>
          <w:sz w:val="24"/>
          <w:highlight w:val="none"/>
        </w:rPr>
        <w:t>竣工验收的，每逾期一</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，甲方有权要求乙方按</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u w:val="single"/>
        </w:rPr>
        <w:t>合同暂定总价的</w:t>
      </w:r>
      <w:r>
        <w:rPr>
          <w:rFonts w:hint="eastAsia" w:ascii="宋体" w:hAnsi="宋体" w:eastAsia="宋体" w:cs="宋体"/>
          <w:color w:val="auto"/>
          <w:sz w:val="24"/>
          <w:highlight w:val="none"/>
          <w:u w:val="single"/>
        </w:rPr>
        <w:t xml:space="preserve"> 1</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支付违约金，逾期达到</w:t>
      </w:r>
      <w:r>
        <w:rPr>
          <w:rFonts w:hint="eastAsia" w:ascii="宋体" w:hAnsi="宋体" w:eastAsia="宋体" w:cs="宋体"/>
          <w:color w:val="auto"/>
          <w:sz w:val="24"/>
          <w:highlight w:val="none"/>
          <w:u w:val="single"/>
          <w:lang w:val="en-US" w:eastAsia="zh-CN"/>
        </w:rPr>
        <w:t xml:space="preserve"> 20 </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及以上的，甲方有权解除合同并要求乙方支付</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u w:val="single"/>
        </w:rPr>
        <w:t>合同暂定总价的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作为违约金。</w:t>
      </w:r>
    </w:p>
    <w:p>
      <w:pPr>
        <w:widowControl/>
        <w:spacing w:line="384"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u w:val="single"/>
        </w:rPr>
        <w:t>合同暂定总价的</w:t>
      </w:r>
      <w:r>
        <w:rPr>
          <w:rFonts w:hint="eastAsia" w:ascii="宋体" w:hAnsi="宋体" w:eastAsia="宋体" w:cs="宋体"/>
          <w:bCs/>
          <w:color w:val="auto"/>
          <w:sz w:val="24"/>
          <w:highlight w:val="none"/>
          <w:u w:val="single"/>
        </w:rPr>
        <w:t>5%/</w:t>
      </w:r>
      <w:r>
        <w:rPr>
          <w:rFonts w:hint="eastAsia" w:ascii="宋体" w:hAnsi="宋体" w:eastAsia="宋体" w:cs="宋体"/>
          <w:bCs/>
          <w:color w:val="auto"/>
          <w:sz w:val="24"/>
          <w:highlight w:val="none"/>
          <w:u w:val="single"/>
        </w:rPr>
        <w:t>次</w:t>
      </w:r>
      <w:r>
        <w:rPr>
          <w:rFonts w:hint="eastAsia" w:ascii="宋体" w:hAnsi="宋体" w:eastAsia="宋体" w:cs="宋体"/>
          <w:bCs/>
          <w:color w:val="auto"/>
          <w:sz w:val="24"/>
          <w:highlight w:val="none"/>
        </w:rPr>
        <w:t>作为违约金，超过三次（含三次）的，甲方有权解除合同，要求乙方支付</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u w:val="single"/>
        </w:rPr>
        <w:t>合同暂定总价的</w:t>
      </w:r>
      <w:r>
        <w:rPr>
          <w:rFonts w:hint="eastAsia" w:ascii="宋体" w:hAnsi="宋体" w:eastAsia="宋体" w:cs="宋体"/>
          <w:bCs/>
          <w:color w:val="auto"/>
          <w:sz w:val="24"/>
          <w:highlight w:val="none"/>
          <w:u w:val="single"/>
        </w:rPr>
        <w:t>20%</w:t>
      </w:r>
      <w:r>
        <w:rPr>
          <w:rFonts w:hint="eastAsia" w:ascii="宋体" w:hAnsi="宋体" w:eastAsia="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eastAsia="宋体" w:cs="宋体"/>
          <w:bCs/>
          <w:color w:val="auto"/>
          <w:sz w:val="24"/>
          <w:highlight w:val="none"/>
          <w:u w:val="single"/>
          <w:lang w:val="en-US" w:eastAsia="zh-CN"/>
        </w:rPr>
        <w:t xml:space="preserve"> 20 </w:t>
      </w:r>
      <w:r>
        <w:rPr>
          <w:rFonts w:hint="eastAsia" w:ascii="宋体" w:hAnsi="宋体" w:eastAsia="宋体" w:cs="宋体"/>
          <w:bCs/>
          <w:color w:val="auto"/>
          <w:sz w:val="24"/>
          <w:highlight w:val="none"/>
        </w:rPr>
        <w:t>日内将全部图纸退还给甲方。</w:t>
      </w:r>
    </w:p>
    <w:p>
      <w:pPr>
        <w:widowControl/>
        <w:spacing w:line="384" w:lineRule="auto"/>
        <w:ind w:left="1"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合同约定的项目，乙方不得转包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不许擅自</w:t>
      </w:r>
      <w:r>
        <w:rPr>
          <w:rFonts w:hint="eastAsia" w:ascii="宋体" w:hAnsi="宋体" w:eastAsia="宋体" w:cs="宋体"/>
          <w:bCs/>
          <w:color w:val="auto"/>
          <w:sz w:val="24"/>
          <w:highlight w:val="none"/>
        </w:rPr>
        <w:t>分包。否则，甲方有权单方面终止合同，并令其立即退场，由此而造成的经济损失由乙方负责赔偿。</w:t>
      </w:r>
    </w:p>
    <w:p>
      <w:pPr>
        <w:widowControl/>
        <w:spacing w:line="384" w:lineRule="auto"/>
        <w:ind w:left="1"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宋体" w:cs="宋体"/>
          <w:bCs/>
          <w:color w:val="auto"/>
          <w:sz w:val="24"/>
          <w:highlight w:val="none"/>
          <w:u w:val="single"/>
        </w:rPr>
        <w:t>1万元</w:t>
      </w:r>
      <w:r>
        <w:rPr>
          <w:rFonts w:hint="eastAsia" w:ascii="宋体" w:hAnsi="宋体" w:eastAsia="宋体" w:cs="宋体"/>
          <w:bCs/>
          <w:color w:val="auto"/>
          <w:sz w:val="24"/>
          <w:highlight w:val="none"/>
        </w:rPr>
        <w:t>，超过_</w:t>
      </w:r>
      <w:r>
        <w:rPr>
          <w:rFonts w:hint="eastAsia" w:ascii="宋体" w:hAnsi="宋体" w:eastAsia="宋体" w:cs="宋体"/>
          <w:bCs/>
          <w:color w:val="auto"/>
          <w:sz w:val="24"/>
          <w:highlight w:val="none"/>
          <w:u w:val="single"/>
          <w:lang w:val="en-US" w:eastAsia="zh-CN"/>
        </w:rPr>
        <w:t>7</w:t>
      </w:r>
      <w:r>
        <w:rPr>
          <w:rFonts w:hint="eastAsia" w:ascii="宋体" w:hAnsi="宋体" w:eastAsia="宋体" w:cs="宋体"/>
          <w:bCs/>
          <w:color w:val="auto"/>
          <w:sz w:val="24"/>
          <w:highlight w:val="none"/>
        </w:rPr>
        <w:t>_日，甲方有权解除合同并要求乙方支付</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u w:val="single"/>
        </w:rPr>
        <w:t>合同暂定总价的20%</w:t>
      </w:r>
      <w:r>
        <w:rPr>
          <w:rFonts w:hint="eastAsia" w:ascii="宋体" w:hAnsi="宋体" w:eastAsia="宋体" w:cs="宋体"/>
          <w:bCs/>
          <w:color w:val="auto"/>
          <w:sz w:val="24"/>
          <w:highlight w:val="none"/>
        </w:rPr>
        <w:t>作为违约金</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如合同另行约定违约责任，从其约定</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rPr>
        <w:t>。</w:t>
      </w:r>
    </w:p>
    <w:p>
      <w:pPr>
        <w:topLinePunct/>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乙方不得随意更换项目负责人及</w:t>
      </w:r>
      <w:r>
        <w:rPr>
          <w:rFonts w:hint="eastAsia" w:ascii="宋体" w:hAnsi="宋体" w:eastAsia="宋体" w:cs="宋体"/>
          <w:color w:val="auto"/>
          <w:sz w:val="24"/>
          <w:szCs w:val="24"/>
          <w:highlight w:val="none"/>
          <w:lang w:val="en-US" w:eastAsia="zh-CN"/>
        </w:rPr>
        <w:t>附件5中的</w:t>
      </w:r>
      <w:r>
        <w:rPr>
          <w:rFonts w:hint="eastAsia" w:ascii="宋体" w:hAnsi="宋体" w:eastAsia="宋体" w:cs="宋体"/>
          <w:color w:val="auto"/>
          <w:sz w:val="24"/>
          <w:szCs w:val="24"/>
          <w:highlight w:val="none"/>
        </w:rPr>
        <w:t>相关人员，如确须更换，应提前征得甲方同意。如有违反，甲方有权解除合同并要求乙方支付</w:t>
      </w:r>
      <w:r>
        <w:rPr>
          <w:rFonts w:hint="eastAsia" w:ascii="宋体" w:hAnsi="宋体" w:eastAsia="宋体" w:cs="宋体"/>
          <w:color w:val="auto"/>
          <w:sz w:val="24"/>
          <w:szCs w:val="24"/>
          <w:highlight w:val="none"/>
          <w:u w:val="single"/>
          <w:lang w:val="en-US" w:eastAsia="zh-CN"/>
        </w:rPr>
        <w:t>5000</w:t>
      </w:r>
      <w:r>
        <w:rPr>
          <w:rFonts w:hint="eastAsia" w:ascii="宋体" w:hAnsi="宋体" w:eastAsia="宋体" w:cs="宋体"/>
          <w:color w:val="auto"/>
          <w:sz w:val="24"/>
          <w:szCs w:val="24"/>
          <w:highlight w:val="none"/>
          <w:u w:val="single"/>
        </w:rPr>
        <w:t>元/人次</w:t>
      </w:r>
      <w:r>
        <w:rPr>
          <w:rFonts w:hint="eastAsia" w:ascii="宋体" w:hAnsi="宋体" w:eastAsia="宋体" w:cs="宋体"/>
          <w:color w:val="auto"/>
          <w:sz w:val="24"/>
          <w:szCs w:val="24"/>
          <w:highlight w:val="none"/>
        </w:rPr>
        <w:t>作为违约金，以及赔偿由此造成的一切损失(包含质量安全事故、工期延误、增加投资等)。</w:t>
      </w:r>
      <w:r>
        <w:rPr>
          <w:rFonts w:hint="eastAsia" w:ascii="宋体" w:hAnsi="宋体" w:eastAsia="宋体" w:cs="宋体"/>
          <w:color w:val="auto"/>
          <w:sz w:val="24"/>
          <w:szCs w:val="24"/>
          <w:highlight w:val="none"/>
          <w:lang w:val="en-US" w:eastAsia="zh-CN"/>
        </w:rPr>
        <w:t xml:space="preserve"> </w:t>
      </w:r>
    </w:p>
    <w:p>
      <w:pPr>
        <w:numPr>
          <w:ilvl w:val="0"/>
          <w:numId w:val="0"/>
        </w:numPr>
        <w:shd w:val="clear" w:color="auto" w:fill="FFFFFF"/>
        <w:topLinePunct w:val="0"/>
        <w:spacing w:line="520" w:lineRule="exact"/>
        <w:ind w:firstLine="562"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5.10</w:t>
      </w:r>
      <w:r>
        <w:rPr>
          <w:rFonts w:hint="eastAsia" w:ascii="宋体" w:hAnsi="宋体" w:eastAsia="宋体" w:cs="宋体"/>
          <w:b w:val="0"/>
          <w:bCs w:val="0"/>
          <w:color w:val="auto"/>
          <w:sz w:val="24"/>
          <w:szCs w:val="24"/>
          <w:highlight w:val="none"/>
          <w:shd w:val="clear" w:color="auto" w:fill="auto"/>
          <w:lang w:val="en-US" w:eastAsia="zh-CN"/>
        </w:rPr>
        <w:t>项目人员最低配置要求为项目负责人、技术负责各1人，安全员2人、电工3人、焊工4人、</w:t>
      </w:r>
      <w:r>
        <w:rPr>
          <w:rFonts w:hint="eastAsia" w:ascii="宋体" w:hAnsi="宋体" w:eastAsia="宋体" w:cs="宋体"/>
          <w:b w:val="0"/>
          <w:bCs w:val="0"/>
          <w:color w:val="auto"/>
          <w:sz w:val="24"/>
          <w:szCs w:val="24"/>
          <w:highlight w:val="none"/>
          <w:shd w:val="clear" w:color="auto" w:fill="auto"/>
          <w:vertAlign w:val="baseline"/>
          <w:lang w:val="en-US" w:eastAsia="zh-CN"/>
        </w:rPr>
        <w:t>普工6人以及架子工4人，其他工种根据工程实际配置。</w:t>
      </w:r>
      <w:r>
        <w:rPr>
          <w:rFonts w:hint="eastAsia" w:ascii="宋体" w:hAnsi="宋体" w:eastAsia="宋体" w:cs="宋体"/>
          <w:color w:val="auto"/>
          <w:sz w:val="24"/>
          <w:szCs w:val="24"/>
          <w:highlight w:val="none"/>
          <w:lang w:val="en-US" w:eastAsia="zh-CN"/>
        </w:rPr>
        <w:t>施工过程中，项目负责人、安全员、电工</w:t>
      </w:r>
      <w:r>
        <w:rPr>
          <w:rFonts w:hint="eastAsia" w:ascii="宋体" w:hAnsi="宋体" w:eastAsia="宋体" w:cs="宋体"/>
          <w:color w:val="auto"/>
          <w:sz w:val="24"/>
          <w:szCs w:val="24"/>
          <w:highlight w:val="none"/>
          <w:shd w:val="clear" w:color="auto" w:fill="FFFFFF"/>
          <w:lang w:val="en-US" w:eastAsia="zh-CN"/>
        </w:rPr>
        <w:t>（不少于1人）</w:t>
      </w:r>
      <w:r>
        <w:rPr>
          <w:rFonts w:hint="eastAsia" w:ascii="宋体" w:hAnsi="宋体" w:eastAsia="宋体" w:cs="宋体"/>
          <w:color w:val="auto"/>
          <w:sz w:val="24"/>
          <w:szCs w:val="24"/>
          <w:highlight w:val="none"/>
          <w:lang w:val="en-US" w:eastAsia="zh-CN"/>
        </w:rPr>
        <w:t>应驻场管理，特种作业人员应持证上岗，否则甲方有权要求乙方支付违约</w:t>
      </w:r>
      <w:r>
        <w:rPr>
          <w:rFonts w:hint="eastAsia" w:ascii="宋体" w:hAnsi="宋体" w:eastAsia="宋体" w:cs="宋体"/>
          <w:color w:val="auto"/>
          <w:sz w:val="24"/>
          <w:szCs w:val="24"/>
          <w:highlight w:val="none"/>
          <w:u w:val="none"/>
          <w:lang w:val="en-US" w:eastAsia="zh-CN"/>
        </w:rPr>
        <w:t>金1000元/日</w:t>
      </w:r>
      <w:r>
        <w:rPr>
          <w:rFonts w:hint="eastAsia" w:ascii="宋体" w:hAnsi="宋体" w:eastAsia="宋体" w:cs="宋体"/>
          <w:color w:val="auto"/>
          <w:sz w:val="24"/>
          <w:szCs w:val="24"/>
          <w:highlight w:val="none"/>
          <w:lang w:val="en-US" w:eastAsia="zh-CN"/>
        </w:rPr>
        <w:t>，因此造成损失的，按实际发生额赔偿。</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 施工过程中，乙方应负责配备现场的应急物资。具体应急物资配备详见附件应急救援物资清单。</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w:t>
      </w:r>
      <w:r>
        <w:rPr>
          <w:rFonts w:hint="eastAsia" w:ascii="宋体" w:hAnsi="宋体" w:eastAsia="宋体" w:cs="宋体"/>
          <w:color w:val="auto"/>
          <w:sz w:val="24"/>
          <w:szCs w:val="24"/>
          <w:highlight w:val="none"/>
          <w:lang w:val="en-US" w:eastAsia="zh-CN"/>
        </w:rPr>
        <w:t>在合同有效期内，乙方自愿接受甲方按《广州净水公司工程项目承包单位质量安全考评细则（试行）》处理，具体处理标准详见附件</w:t>
      </w:r>
      <w:r>
        <w:rPr>
          <w:rFonts w:hint="eastAsia" w:ascii="宋体" w:hAnsi="宋体" w:eastAsia="宋体" w:cs="宋体"/>
          <w:color w:val="auto"/>
          <w:sz w:val="24"/>
          <w:szCs w:val="24"/>
          <w:highlight w:val="none"/>
          <w:lang w:val="en-US" w:eastAsia="zh-CN"/>
        </w:rPr>
        <w:t>7。</w:t>
      </w:r>
    </w:p>
    <w:p>
      <w:pPr>
        <w:pStyle w:val="2"/>
        <w:rPr>
          <w:rFonts w:hint="eastAsia" w:ascii="宋体" w:hAnsi="宋体" w:eastAsia="宋体" w:cs="宋体"/>
          <w:color w:val="auto"/>
          <w:highlight w:val="none"/>
        </w:rPr>
      </w:pPr>
    </w:p>
    <w:p>
      <w:pPr>
        <w:tabs>
          <w:tab w:val="left" w:pos="851"/>
        </w:tabs>
        <w:adjustRightInd w:val="0"/>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第六条</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实施条件及管理要求</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rPr>
        <w:t>施工用水用电采用以下</w:t>
      </w:r>
      <w:r>
        <w:rPr>
          <w:rFonts w:hint="eastAsia" w:ascii="宋体" w:hAnsi="宋体" w:eastAsia="宋体" w:cs="宋体"/>
          <w:color w:val="auto"/>
          <w:sz w:val="24"/>
          <w:highlight w:val="none"/>
          <w:u w:val="single"/>
          <w:lang w:val="en-US" w:eastAsia="zh-CN"/>
        </w:rPr>
        <w:t xml:space="preserve"> （1）  </w:t>
      </w:r>
      <w:r>
        <w:rPr>
          <w:rFonts w:hint="eastAsia" w:ascii="宋体" w:hAnsi="宋体" w:eastAsia="宋体" w:cs="宋体"/>
          <w:color w:val="auto"/>
          <w:sz w:val="24"/>
          <w:highlight w:val="none"/>
        </w:rPr>
        <w:t>方式执行。</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（1）由甲方提供施工用水用电接口，水电费按合同综合单价水电含量计算，从甲方支付的工程款中直接扣回。</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（3）由乙方自行负责。</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sz w:val="24"/>
          <w:highlight w:val="none"/>
        </w:rPr>
        <w:t>施工时间安排：上午</w:t>
      </w: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00-12</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rPr>
        <w:t>，下午</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00-18</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rPr>
        <w:t>，施工时间如需变动，以甲方的书面或口头通知为准。</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w:t>
      </w:r>
      <w:r>
        <w:rPr>
          <w:rFonts w:hint="eastAsia" w:ascii="宋体" w:hAnsi="宋体" w:eastAsia="宋体" w:cs="宋体"/>
          <w:color w:val="auto"/>
          <w:sz w:val="24"/>
          <w:highlight w:val="none"/>
        </w:rPr>
        <w:t>进场施工人员必须严格遵守</w:t>
      </w:r>
      <w:r>
        <w:rPr>
          <w:rFonts w:hint="eastAsia" w:ascii="宋体" w:hAnsi="宋体" w:eastAsia="宋体" w:cs="宋体"/>
          <w:color w:val="auto"/>
          <w:kern w:val="10"/>
          <w:sz w:val="24"/>
          <w:highlight w:val="none"/>
        </w:rPr>
        <w:t>污水处理厂</w:t>
      </w:r>
      <w:r>
        <w:rPr>
          <w:rFonts w:hint="eastAsia" w:ascii="宋体" w:hAnsi="宋体" w:eastAsia="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w:t>
      </w:r>
      <w:r>
        <w:rPr>
          <w:rFonts w:hint="eastAsia" w:ascii="宋体" w:hAnsi="宋体" w:eastAsia="宋体" w:cs="宋体"/>
          <w:color w:val="auto"/>
          <w:sz w:val="24"/>
          <w:highlight w:val="none"/>
        </w:rPr>
        <w:t>环境保护要求：</w:t>
      </w:r>
    </w:p>
    <w:p>
      <w:pPr>
        <w:snapToGrid w:val="0"/>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）做好施工噪声、废气、废水等控制；</w:t>
      </w:r>
    </w:p>
    <w:p>
      <w:pPr>
        <w:snapToGrid w:val="0"/>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）按照国家及广州市相关规定做好建筑垃圾的处理。</w:t>
      </w:r>
    </w:p>
    <w:p>
      <w:pPr>
        <w:snapToGrid w:val="0"/>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w:t>
      </w:r>
      <w:r>
        <w:rPr>
          <w:rFonts w:hint="eastAsia" w:ascii="宋体" w:hAnsi="宋体" w:eastAsia="宋体" w:cs="宋体"/>
          <w:color w:val="auto"/>
          <w:sz w:val="24"/>
          <w:highlight w:val="none"/>
        </w:rPr>
        <w:t>按相关法律法规及甲方相关作业施工管理要求执行。</w:t>
      </w:r>
    </w:p>
    <w:p>
      <w:pPr>
        <w:pStyle w:val="14"/>
        <w:spacing w:line="384"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材料及设备供应</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eastAsia="宋体" w:cs="宋体"/>
          <w:color w:val="auto"/>
          <w:sz w:val="24"/>
          <w:highlight w:val="none"/>
        </w:rPr>
        <w:t>采购供应的材料、其名称、品种、型号、规格、质量等，均应符合国家、地方及行业有关规范及要求。</w:t>
      </w:r>
    </w:p>
    <w:p>
      <w:pPr>
        <w:spacing w:line="384"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rPr>
        <w:t>所有材料必须具备合格证明，并保证产品的有效性</w:t>
      </w:r>
      <w:r>
        <w:rPr>
          <w:rFonts w:hint="eastAsia" w:ascii="宋体" w:hAnsi="宋体" w:eastAsia="宋体" w:cs="宋体"/>
          <w:color w:val="auto"/>
          <w:sz w:val="24"/>
          <w:highlight w:val="none"/>
          <w:lang w:eastAsia="zh-CN"/>
        </w:rPr>
        <w:t>。</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w:t>
      </w:r>
      <w:r>
        <w:rPr>
          <w:rFonts w:hint="eastAsia" w:ascii="宋体" w:hAnsi="宋体" w:eastAsia="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w:t>
      </w:r>
      <w:r>
        <w:rPr>
          <w:rFonts w:hint="eastAsia" w:ascii="宋体" w:hAnsi="宋体" w:eastAsia="宋体" w:cs="宋体"/>
          <w:color w:val="auto"/>
          <w:sz w:val="24"/>
          <w:highlight w:val="none"/>
        </w:rPr>
        <w:t>乙方必须根据投标文件（如有）上主要材料的明细（包括厂家、规格、品质等级等）提供材料。工程实施时，如发现材料不一致，甲方有权拒用，造成损失由乙方承担。</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7.5 </w:t>
      </w:r>
      <w:r>
        <w:rPr>
          <w:rFonts w:hint="eastAsia" w:ascii="宋体" w:hAnsi="宋体" w:eastAsia="宋体" w:cs="宋体"/>
          <w:color w:val="auto"/>
          <w:sz w:val="24"/>
          <w:szCs w:val="24"/>
          <w:highlight w:val="none"/>
        </w:rPr>
        <w:t>甲方有权</w:t>
      </w:r>
      <w:r>
        <w:rPr>
          <w:rFonts w:hint="eastAsia" w:ascii="宋体" w:hAnsi="宋体" w:eastAsia="宋体" w:cs="宋体"/>
          <w:color w:val="auto"/>
          <w:sz w:val="24"/>
          <w:szCs w:val="24"/>
          <w:highlight w:val="none"/>
          <w:lang w:val="en-US" w:eastAsia="zh-CN"/>
        </w:rPr>
        <w:t>对施工材料进行抽样送检</w:t>
      </w:r>
      <w:r>
        <w:rPr>
          <w:rFonts w:hint="eastAsia" w:ascii="宋体" w:hAnsi="宋体" w:eastAsia="宋体" w:cs="宋体"/>
          <w:color w:val="auto"/>
          <w:sz w:val="24"/>
          <w:szCs w:val="24"/>
          <w:highlight w:val="none"/>
          <w:lang w:val="en-US" w:eastAsia="zh-CN"/>
        </w:rPr>
        <w:t>（检测机构为甲方委托的第三方检测机构）</w:t>
      </w:r>
      <w:r>
        <w:rPr>
          <w:rFonts w:hint="eastAsia" w:ascii="宋体" w:hAnsi="宋体" w:eastAsia="宋体" w:cs="宋体"/>
          <w:color w:val="auto"/>
          <w:sz w:val="24"/>
          <w:szCs w:val="24"/>
          <w:highlight w:val="none"/>
          <w:lang w:val="en-US" w:eastAsia="zh-CN"/>
        </w:rPr>
        <w:t>，送检不合格的，</w:t>
      </w:r>
      <w:r>
        <w:rPr>
          <w:rFonts w:hint="eastAsia" w:ascii="宋体" w:hAnsi="宋体" w:eastAsia="宋体" w:cs="宋体"/>
          <w:color w:val="auto"/>
          <w:sz w:val="24"/>
          <w:szCs w:val="24"/>
          <w:highlight w:val="none"/>
        </w:rPr>
        <w:t>对乙方处以</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u w:val="single"/>
        </w:rPr>
        <w:t>合同暂定总价</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的处罚</w:t>
      </w:r>
      <w:r>
        <w:rPr>
          <w:rFonts w:hint="eastAsia" w:ascii="宋体" w:hAnsi="宋体" w:eastAsia="宋体" w:cs="宋体"/>
          <w:color w:val="auto"/>
          <w:sz w:val="24"/>
          <w:szCs w:val="24"/>
          <w:highlight w:val="none"/>
          <w:lang w:eastAsia="zh-CN"/>
        </w:rPr>
        <w:t>。检测费用先由乙方支付，如果检验结果为不合格，则该费用由乙方承担，如果检验结果为合格，则该费用由甲方承担。</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7.6 </w:t>
      </w:r>
      <w:r>
        <w:rPr>
          <w:rFonts w:hint="eastAsia" w:ascii="宋体" w:hAnsi="宋体" w:eastAsia="宋体" w:cs="宋体"/>
          <w:color w:val="auto"/>
          <w:sz w:val="24"/>
          <w:highlight w:val="none"/>
        </w:rPr>
        <w:t>承包范围之内工程所用之设备，由乙方提供。</w:t>
      </w:r>
    </w:p>
    <w:p>
      <w:pPr>
        <w:spacing w:line="384"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付</w:t>
      </w:r>
      <w:r>
        <w:rPr>
          <w:rFonts w:hint="eastAsia" w:ascii="宋体" w:hAnsi="宋体" w:eastAsia="宋体" w:cs="宋体"/>
          <w:b/>
          <w:color w:val="auto"/>
          <w:sz w:val="24"/>
          <w:highlight w:val="none"/>
        </w:rPr>
        <w:t>款及履约担保</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bCs/>
          <w:color w:val="auto"/>
          <w:sz w:val="24"/>
          <w:highlight w:val="none"/>
        </w:rPr>
        <w:t>预付款的支付：</w:t>
      </w:r>
      <w:r>
        <w:rPr>
          <w:rFonts w:hint="eastAsia" w:ascii="宋体" w:hAnsi="宋体" w:eastAsia="宋体" w:cs="宋体"/>
          <w:bCs/>
          <w:color w:val="auto"/>
          <w:sz w:val="24"/>
          <w:highlight w:val="none"/>
        </w:rPr>
        <w:sym w:font="Wingdings" w:char="F0A8"/>
      </w:r>
      <w:r>
        <w:rPr>
          <w:rFonts w:hint="eastAsia" w:ascii="宋体" w:hAnsi="宋体" w:eastAsia="宋体" w:cs="宋体"/>
          <w:bCs/>
          <w:color w:val="auto"/>
          <w:sz w:val="24"/>
          <w:highlight w:val="none"/>
        </w:rPr>
        <w:t>无；</w:t>
      </w:r>
      <w:r>
        <w:rPr>
          <w:rFonts w:hint="eastAsia" w:ascii="宋体" w:hAnsi="宋体" w:eastAsia="宋体" w:cs="宋体"/>
          <w:bCs/>
          <w:color w:val="auto"/>
          <w:sz w:val="24"/>
          <w:highlight w:val="none"/>
        </w:rPr>
        <w:sym w:font="Wingdings" w:char="00FE"/>
      </w:r>
      <w:r>
        <w:rPr>
          <w:rFonts w:hint="eastAsia" w:ascii="宋体" w:hAnsi="宋体" w:eastAsia="宋体" w:cs="宋体"/>
          <w:bCs/>
          <w:color w:val="auto"/>
          <w:sz w:val="24"/>
          <w:highlight w:val="none"/>
        </w:rPr>
        <w:t>有,合同签订后，乙方开具等额的增值税专用发票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提交履约担保</w:t>
      </w:r>
      <w:r>
        <w:rPr>
          <w:rFonts w:hint="eastAsia" w:ascii="宋体" w:hAnsi="宋体" w:eastAsia="宋体" w:cs="宋体"/>
          <w:bCs/>
          <w:color w:val="auto"/>
          <w:sz w:val="24"/>
          <w:szCs w:val="24"/>
          <w:highlight w:val="none"/>
          <w:lang w:val="en-US" w:eastAsia="zh-CN"/>
        </w:rPr>
        <w:t>及对应预付款金额的预付款</w:t>
      </w:r>
      <w:r>
        <w:rPr>
          <w:rFonts w:hint="eastAsia" w:ascii="宋体" w:hAnsi="宋体" w:eastAsia="宋体" w:cs="宋体"/>
          <w:bCs/>
          <w:color w:val="auto"/>
          <w:sz w:val="24"/>
          <w:highlight w:val="none"/>
        </w:rPr>
        <w:t>担保后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28</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个工作日内，甲方支付合同</w:t>
      </w:r>
      <w:r>
        <w:rPr>
          <w:rFonts w:hint="eastAsia" w:ascii="宋体" w:hAnsi="宋体" w:eastAsia="宋体" w:cs="宋体"/>
          <w:color w:val="auto"/>
          <w:sz w:val="24"/>
          <w:highlight w:val="none"/>
        </w:rPr>
        <w:t>暂定总价</w:t>
      </w:r>
      <w:r>
        <w:rPr>
          <w:rFonts w:hint="eastAsia" w:ascii="宋体" w:hAnsi="宋体" w:eastAsia="宋体" w:cs="宋体"/>
          <w:bCs/>
          <w:color w:val="auto"/>
          <w:sz w:val="24"/>
          <w:highlight w:val="none"/>
        </w:rPr>
        <w:t>的</w:t>
      </w:r>
      <w:r>
        <w:rPr>
          <w:rFonts w:hint="eastAsia" w:ascii="宋体" w:hAnsi="宋体" w:eastAsia="宋体" w:cs="宋体"/>
          <w:bCs/>
          <w:color w:val="auto"/>
          <w:sz w:val="24"/>
          <w:highlight w:val="none"/>
          <w:u w:val="single"/>
        </w:rPr>
        <w:t>30%</w:t>
      </w:r>
      <w:r>
        <w:rPr>
          <w:rFonts w:hint="eastAsia" w:ascii="宋体" w:hAnsi="宋体" w:eastAsia="宋体" w:cs="宋体"/>
          <w:color w:val="auto"/>
          <w:sz w:val="24"/>
          <w:highlight w:val="none"/>
        </w:rPr>
        <w:t>即</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元，（大写：</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w:t>
      </w:r>
      <w:r>
        <w:rPr>
          <w:rFonts w:hint="eastAsia" w:ascii="宋体" w:hAnsi="宋体" w:eastAsia="宋体" w:cs="宋体"/>
          <w:bCs/>
          <w:color w:val="auto"/>
          <w:sz w:val="24"/>
          <w:highlight w:val="none"/>
        </w:rPr>
        <w:t>作为预付款。</w:t>
      </w:r>
      <w:r>
        <w:rPr>
          <w:rFonts w:hint="eastAsia" w:ascii="宋体" w:hAnsi="宋体" w:eastAsia="宋体" w:cs="宋体"/>
          <w:color w:val="auto"/>
          <w:sz w:val="24"/>
          <w:highlight w:val="none"/>
        </w:rPr>
        <w:t>若合同解除或终止，乙方在</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个工作日内返还预付款（无息）。</w:t>
      </w:r>
      <w:r>
        <w:rPr>
          <w:rFonts w:hint="eastAsia" w:ascii="宋体" w:hAnsi="宋体" w:eastAsia="宋体" w:cs="宋体"/>
          <w:bCs/>
          <w:color w:val="auto"/>
          <w:kern w:val="0"/>
          <w:sz w:val="24"/>
          <w:highlight w:val="none"/>
        </w:rPr>
        <w:t>逾期未返还，每逾期一</w:t>
      </w:r>
      <w:r>
        <w:rPr>
          <w:rFonts w:hint="eastAsia" w:ascii="宋体" w:hAnsi="宋体" w:eastAsia="宋体" w:cs="宋体"/>
          <w:bCs/>
          <w:color w:val="auto"/>
          <w:kern w:val="0"/>
          <w:sz w:val="24"/>
          <w:highlight w:val="none"/>
          <w:lang w:val="en-US" w:eastAsia="zh-CN"/>
        </w:rPr>
        <w:t>日</w:t>
      </w:r>
      <w:r>
        <w:rPr>
          <w:rFonts w:hint="eastAsia" w:ascii="宋体" w:hAnsi="宋体" w:eastAsia="宋体" w:cs="宋体"/>
          <w:bCs/>
          <w:color w:val="auto"/>
          <w:kern w:val="0"/>
          <w:sz w:val="24"/>
          <w:highlight w:val="none"/>
        </w:rPr>
        <w:t>，乙方应按合同暂定总价的</w:t>
      </w:r>
      <w:r>
        <w:rPr>
          <w:rFonts w:hint="eastAsia" w:ascii="宋体" w:hAnsi="宋体" w:eastAsia="宋体" w:cs="宋体"/>
          <w:bCs/>
          <w:color w:val="auto"/>
          <w:kern w:val="0"/>
          <w:sz w:val="24"/>
          <w:highlight w:val="none"/>
          <w:u w:val="single"/>
        </w:rPr>
        <w:t>万分之五</w:t>
      </w:r>
      <w:r>
        <w:rPr>
          <w:rFonts w:hint="eastAsia" w:ascii="宋体" w:hAnsi="宋体" w:eastAsia="宋体" w:cs="宋体"/>
          <w:bCs/>
          <w:color w:val="auto"/>
          <w:kern w:val="0"/>
          <w:sz w:val="24"/>
          <w:highlight w:val="none"/>
          <w:u w:val="single"/>
        </w:rPr>
        <w:t>/</w:t>
      </w:r>
      <w:r>
        <w:rPr>
          <w:rFonts w:hint="eastAsia" w:ascii="宋体" w:hAnsi="宋体" w:eastAsia="宋体" w:cs="宋体"/>
          <w:bCs/>
          <w:color w:val="auto"/>
          <w:kern w:val="0"/>
          <w:sz w:val="24"/>
          <w:highlight w:val="none"/>
          <w:u w:val="single"/>
          <w:lang w:val="en-US" w:eastAsia="zh-CN"/>
        </w:rPr>
        <w:t>日</w:t>
      </w:r>
      <w:r>
        <w:rPr>
          <w:rFonts w:hint="eastAsia" w:ascii="宋体" w:hAnsi="宋体" w:eastAsia="宋体" w:cs="宋体"/>
          <w:bCs/>
          <w:color w:val="auto"/>
          <w:kern w:val="0"/>
          <w:sz w:val="24"/>
          <w:highlight w:val="none"/>
        </w:rPr>
        <w:t>支付违约金</w:t>
      </w:r>
      <w:r>
        <w:rPr>
          <w:rFonts w:hint="eastAsia" w:ascii="宋体" w:hAnsi="宋体" w:eastAsia="宋体" w:cs="宋体"/>
          <w:color w:val="auto"/>
          <w:sz w:val="24"/>
          <w:highlight w:val="none"/>
        </w:rPr>
        <w:t>。</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预付款担保</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（1）预付款担保的担保金额应与预付款金额相同。预付款从应支付给乙方的进度款中扣回。</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（2）预付款担保应在预付款扣清后14</w:t>
      </w:r>
      <w:r>
        <w:rPr>
          <w:rFonts w:hint="eastAsia" w:ascii="宋体" w:hAnsi="宋体" w:eastAsia="宋体" w:cs="宋体"/>
          <w:color w:val="auto"/>
          <w:sz w:val="24"/>
          <w:highlight w:val="none"/>
          <w:lang w:val="en-US" w:eastAsia="zh-CN"/>
        </w:rPr>
        <w:t>个工作日</w:t>
      </w:r>
      <w:r>
        <w:rPr>
          <w:rFonts w:hint="eastAsia" w:ascii="宋体" w:hAnsi="宋体" w:eastAsia="宋体" w:cs="宋体"/>
          <w:color w:val="auto"/>
          <w:sz w:val="24"/>
          <w:highlight w:val="none"/>
          <w:lang w:val="en-US" w:eastAsia="zh-CN"/>
        </w:rPr>
        <w:t xml:space="preserve">内退还给乙方。甲方不承担乙方与预付款担保有关的任何利息或其他类似的费用或收益。 </w:t>
      </w:r>
      <w:r>
        <w:rPr>
          <w:rFonts w:hint="eastAsia" w:ascii="宋体" w:hAnsi="宋体" w:eastAsia="宋体" w:cs="宋体"/>
          <w:color w:val="auto"/>
          <w:sz w:val="24"/>
          <w:highlight w:val="none"/>
        </w:rPr>
        <w:t xml:space="preserve">   </w:t>
      </w:r>
    </w:p>
    <w:p>
      <w:pPr>
        <w:pStyle w:val="14"/>
        <w:spacing w:line="384"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8.2项目完成开工报告及安全备案审批表的审批且设备材料进场后，由乙方提交申请支付资料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w:t>
      </w:r>
      <w:r>
        <w:rPr>
          <w:rFonts w:hint="eastAsia" w:ascii="宋体" w:hAnsi="宋体" w:eastAsia="宋体" w:cs="宋体"/>
          <w:color w:val="auto"/>
          <w:sz w:val="24"/>
          <w:highlight w:val="none"/>
          <w:lang w:val="en-US" w:eastAsia="zh-CN"/>
        </w:rPr>
        <w:t>下属京溪</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rPr>
        <w:t>支付至项目合同暂定总价的50％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含预付款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给乙方</w:t>
      </w:r>
      <w:r>
        <w:rPr>
          <w:rFonts w:hint="eastAsia" w:ascii="宋体" w:hAnsi="宋体" w:eastAsia="宋体" w:cs="宋体"/>
          <w:color w:val="auto"/>
          <w:sz w:val="24"/>
          <w:szCs w:val="24"/>
          <w:highlight w:val="none"/>
          <w:lang w:eastAsia="zh-CN"/>
        </w:rPr>
        <w:t>。</w:t>
      </w:r>
    </w:p>
    <w:p>
      <w:pPr>
        <w:pStyle w:val="14"/>
        <w:spacing w:line="384" w:lineRule="auto"/>
        <w:ind w:firstLine="480" w:firstLineChars="200"/>
        <w:outlineLvl w:val="1"/>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2.1项目验收合格后</w:t>
      </w:r>
      <w:r>
        <w:rPr>
          <w:rFonts w:hint="eastAsia" w:ascii="宋体" w:hAnsi="宋体" w:eastAsia="宋体" w:cs="宋体"/>
          <w:color w:val="auto"/>
          <w:sz w:val="24"/>
          <w:szCs w:val="24"/>
          <w:highlight w:val="none"/>
          <w:u w:val="none"/>
        </w:rPr>
        <w:t>，由乙方提交申请支付资料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个工作日内，甲方</w:t>
      </w:r>
      <w:r>
        <w:rPr>
          <w:rFonts w:hint="eastAsia" w:ascii="宋体" w:hAnsi="宋体" w:eastAsia="宋体" w:cs="宋体"/>
          <w:color w:val="auto"/>
          <w:sz w:val="24"/>
          <w:szCs w:val="24"/>
          <w:highlight w:val="none"/>
          <w:u w:val="none"/>
          <w:lang w:val="en-US" w:eastAsia="zh-CN"/>
        </w:rPr>
        <w:t>下属京溪分公司</w:t>
      </w:r>
      <w:r>
        <w:rPr>
          <w:rFonts w:hint="eastAsia" w:ascii="宋体" w:hAnsi="宋体" w:eastAsia="宋体" w:cs="宋体"/>
          <w:color w:val="auto"/>
          <w:sz w:val="24"/>
          <w:szCs w:val="24"/>
          <w:highlight w:val="none"/>
          <w:u w:val="none"/>
        </w:rPr>
        <w:t>支付</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合同暂定总价的</w:t>
      </w:r>
      <w:r>
        <w:rPr>
          <w:rFonts w:hint="eastAsia" w:ascii="宋体" w:hAnsi="宋体" w:eastAsia="宋体" w:cs="宋体"/>
          <w:color w:val="auto"/>
          <w:sz w:val="24"/>
          <w:szCs w:val="24"/>
          <w:highlight w:val="none"/>
          <w:u w:val="none"/>
          <w:lang w:val="en-US" w:eastAsia="zh-CN"/>
        </w:rPr>
        <w:t>80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含预付款</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给乙方。</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2.2项目验收合格</w:t>
      </w:r>
      <w:r>
        <w:rPr>
          <w:rFonts w:hint="eastAsia" w:ascii="宋体" w:hAnsi="宋体" w:eastAsia="宋体" w:cs="宋体"/>
          <w:color w:val="auto"/>
          <w:sz w:val="24"/>
          <w:highlight w:val="none"/>
          <w:u w:val="none"/>
          <w:lang w:val="en-US" w:eastAsia="zh-CN"/>
        </w:rPr>
        <w:t>后，且经</w:t>
      </w:r>
      <w:r>
        <w:rPr>
          <w:rFonts w:hint="eastAsia" w:ascii="宋体" w:hAnsi="宋体" w:eastAsia="宋体" w:cs="宋体"/>
          <w:color w:val="auto"/>
          <w:sz w:val="24"/>
          <w:highlight w:val="none"/>
          <w:lang w:val="en-US" w:eastAsia="zh-CN"/>
        </w:rPr>
        <w:t>甲方或</w:t>
      </w:r>
      <w:r>
        <w:rPr>
          <w:rFonts w:hint="eastAsia" w:ascii="宋体" w:hAnsi="宋体" w:eastAsia="宋体" w:cs="宋体"/>
          <w:color w:val="auto"/>
          <w:sz w:val="24"/>
          <w:highlight w:val="none"/>
        </w:rPr>
        <w:t>甲方委托有资质第三方机构审核后，由乙方提交申请支付资料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w:t>
      </w:r>
      <w:r>
        <w:rPr>
          <w:rFonts w:hint="eastAsia" w:ascii="宋体" w:hAnsi="宋体" w:eastAsia="宋体" w:cs="宋体"/>
          <w:color w:val="auto"/>
          <w:sz w:val="24"/>
          <w:highlight w:val="none"/>
          <w:u w:val="none"/>
        </w:rPr>
        <w:t>方</w:t>
      </w:r>
      <w:r>
        <w:rPr>
          <w:rFonts w:hint="eastAsia" w:ascii="宋体" w:hAnsi="宋体" w:eastAsia="宋体" w:cs="宋体"/>
          <w:color w:val="auto"/>
          <w:sz w:val="24"/>
          <w:highlight w:val="none"/>
          <w:lang w:val="en-US" w:eastAsia="zh-CN"/>
        </w:rPr>
        <w:t>下属京溪</w:t>
      </w:r>
      <w:r>
        <w:rPr>
          <w:rFonts w:hint="eastAsia" w:ascii="宋体" w:hAnsi="宋体" w:eastAsia="宋体" w:cs="宋体"/>
          <w:color w:val="auto"/>
          <w:sz w:val="24"/>
          <w:szCs w:val="24"/>
          <w:highlight w:val="none"/>
          <w:u w:val="none"/>
          <w:lang w:val="en-US" w:eastAsia="zh-CN"/>
        </w:rPr>
        <w:t>分公司</w:t>
      </w:r>
      <w:r>
        <w:rPr>
          <w:rFonts w:hint="eastAsia" w:ascii="宋体" w:hAnsi="宋体" w:eastAsia="宋体" w:cs="宋体"/>
          <w:color w:val="auto"/>
          <w:sz w:val="24"/>
          <w:highlight w:val="none"/>
          <w:u w:val="none"/>
        </w:rPr>
        <w:t>支付至</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合同结算价的</w:t>
      </w:r>
      <w:r>
        <w:rPr>
          <w:rFonts w:hint="eastAsia" w:ascii="宋体" w:hAnsi="宋体" w:eastAsia="宋体" w:cs="宋体"/>
          <w:color w:val="auto"/>
          <w:sz w:val="24"/>
          <w:highlight w:val="none"/>
        </w:rPr>
        <w:t>95%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含预付款</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spacing w:line="384"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质保期按合同第十条规定执行，质保期满后且乙方不存在违约情形，由乙方提交申请质保金退还资料</w:t>
      </w:r>
      <w:r>
        <w:rPr>
          <w:rFonts w:hint="eastAsia"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个工作日内，甲方</w:t>
      </w:r>
      <w:r>
        <w:rPr>
          <w:rFonts w:hint="eastAsia" w:ascii="宋体" w:hAnsi="宋体" w:eastAsia="宋体" w:cs="宋体"/>
          <w:color w:val="auto"/>
          <w:sz w:val="24"/>
          <w:highlight w:val="none"/>
          <w:lang w:val="en-US" w:eastAsia="zh-CN"/>
        </w:rPr>
        <w:t>下属京溪</w:t>
      </w:r>
      <w:r>
        <w:rPr>
          <w:rFonts w:hint="eastAsia" w:ascii="宋体" w:hAnsi="宋体" w:eastAsia="宋体" w:cs="宋体"/>
          <w:color w:val="auto"/>
          <w:sz w:val="24"/>
          <w:szCs w:val="24"/>
          <w:highlight w:val="none"/>
          <w:u w:val="single"/>
          <w:lang w:val="en-US" w:eastAsia="zh-CN"/>
        </w:rPr>
        <w:t>分公司</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合同结算价的</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％（质保金）给乙方（无息）。</w:t>
      </w:r>
    </w:p>
    <w:p>
      <w:pPr>
        <w:pStyle w:val="14"/>
        <w:spacing w:line="384"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8.2.4</w:t>
      </w:r>
      <w:r>
        <w:rPr>
          <w:rFonts w:hint="eastAsia" w:ascii="宋体" w:hAnsi="宋体" w:eastAsia="宋体" w:cs="宋体"/>
          <w:color w:val="auto"/>
          <w:sz w:val="24"/>
          <w:szCs w:val="24"/>
          <w:highlight w:val="none"/>
        </w:rPr>
        <w:t>本项目工程款的支付单位为：</w:t>
      </w:r>
      <w:r>
        <w:rPr>
          <w:rFonts w:hint="eastAsia" w:ascii="宋体" w:hAnsi="宋体" w:eastAsia="宋体" w:cs="宋体"/>
          <w:color w:val="auto"/>
          <w:sz w:val="24"/>
          <w:szCs w:val="24"/>
          <w:highlight w:val="none"/>
          <w:u w:val="single"/>
          <w:lang w:val="en-US" w:eastAsia="zh-CN"/>
        </w:rPr>
        <w:t xml:space="preserve"> 甲方</w:t>
      </w:r>
      <w:r>
        <w:rPr>
          <w:rFonts w:hint="eastAsia" w:ascii="宋体" w:hAnsi="宋体" w:eastAsia="宋体" w:cs="宋体"/>
          <w:color w:val="auto"/>
          <w:sz w:val="24"/>
          <w:highlight w:val="none"/>
          <w:lang w:val="en-US" w:eastAsia="zh-CN"/>
        </w:rPr>
        <w:t>下属京溪</w:t>
      </w:r>
      <w:r>
        <w:rPr>
          <w:rFonts w:hint="eastAsia" w:ascii="宋体" w:hAnsi="宋体" w:eastAsia="宋体" w:cs="宋体"/>
          <w:color w:val="auto"/>
          <w:sz w:val="24"/>
          <w:szCs w:val="24"/>
          <w:highlight w:val="none"/>
          <w:u w:val="single"/>
          <w:lang w:val="en-US" w:eastAsia="zh-CN"/>
        </w:rPr>
        <w:t xml:space="preserve">分公司 </w:t>
      </w:r>
    </w:p>
    <w:p>
      <w:pPr>
        <w:spacing w:line="38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乙方收款账户：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w:t>
      </w:r>
    </w:p>
    <w:p>
      <w:pPr>
        <w:spacing w:line="38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收款账号：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w:t>
      </w:r>
    </w:p>
    <w:p>
      <w:pPr>
        <w:spacing w:line="38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税号：91440101755584729Q</w:t>
      </w:r>
    </w:p>
    <w:p>
      <w:pPr>
        <w:spacing w:line="384" w:lineRule="auto"/>
        <w:ind w:firstLine="480" w:firstLineChars="200"/>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地址：广州市天河区临江大道 501号</w:t>
      </w:r>
    </w:p>
    <w:p>
      <w:pPr>
        <w:spacing w:line="384" w:lineRule="auto"/>
        <w:ind w:firstLine="480" w:firstLineChars="200"/>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账号名：广州市净水有限公司</w:t>
      </w:r>
    </w:p>
    <w:p>
      <w:pPr>
        <w:spacing w:line="384" w:lineRule="auto"/>
        <w:ind w:firstLine="480" w:firstLineChars="200"/>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开户行：民生银行广州分行</w:t>
      </w:r>
    </w:p>
    <w:p>
      <w:pPr>
        <w:spacing w:line="384"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银行账号：0301014140006932</w:t>
      </w:r>
      <w:r>
        <w:rPr>
          <w:rFonts w:hint="eastAsia" w:ascii="宋体" w:hAnsi="宋体" w:eastAsia="宋体" w:cs="宋体"/>
          <w:color w:val="auto"/>
          <w:sz w:val="24"/>
          <w:highlight w:val="none"/>
          <w:u w:val="single"/>
        </w:rPr>
        <w:t xml:space="preserve"> </w:t>
      </w:r>
    </w:p>
    <w:p>
      <w:pPr>
        <w:spacing w:line="384"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履约担保：</w:t>
      </w:r>
      <w:r>
        <w:rPr>
          <w:rFonts w:hint="eastAsia" w:ascii="宋体" w:hAnsi="宋体" w:eastAsia="宋体" w:cs="宋体"/>
          <w:color w:val="auto"/>
          <w:szCs w:val="21"/>
          <w:highlight w:val="none"/>
          <w:lang w:eastAsia="zh-CN"/>
        </w:rPr>
        <w:t>□</w:t>
      </w:r>
      <w:r>
        <w:rPr>
          <w:rFonts w:hint="eastAsia" w:ascii="宋体" w:hAnsi="宋体" w:eastAsia="宋体" w:cs="宋体"/>
          <w:bCs/>
          <w:color w:val="auto"/>
          <w:sz w:val="24"/>
          <w:highlight w:val="none"/>
        </w:rPr>
        <w:t>无；</w:t>
      </w:r>
      <w:r>
        <w:rPr>
          <w:rFonts w:hint="eastAsia" w:ascii="宋体" w:hAnsi="宋体" w:eastAsia="宋体" w:cs="宋体"/>
          <w:color w:val="auto"/>
          <w:szCs w:val="21"/>
          <w:highlight w:val="none"/>
          <w:lang w:eastAsia="zh-CN"/>
        </w:rPr>
        <w:t>☑</w:t>
      </w:r>
      <w:r>
        <w:rPr>
          <w:rFonts w:hint="eastAsia" w:ascii="宋体" w:hAnsi="宋体" w:eastAsia="宋体" w:cs="宋体"/>
          <w:bCs/>
          <w:color w:val="auto"/>
          <w:sz w:val="24"/>
          <w:szCs w:val="24"/>
          <w:highlight w:val="none"/>
        </w:rPr>
        <w:t>有</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本合同签订后</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u w:val="single"/>
        </w:rPr>
        <w:t>以合同暂定总价的</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u w:val="single"/>
        </w:rPr>
        <w:t>作为履约保证金，</w:t>
      </w:r>
      <w:r>
        <w:rPr>
          <w:rFonts w:hint="eastAsia" w:ascii="宋体" w:hAnsi="宋体" w:eastAsia="宋体" w:cs="宋体"/>
          <w:color w:val="auto"/>
          <w:sz w:val="24"/>
          <w:highlight w:val="none"/>
        </w:rPr>
        <w:t>金额为：</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（大写人民币：</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未按时提供的，甲方有权解除合同并要求乙方支付</w:t>
      </w:r>
      <w:r>
        <w:rPr>
          <w:rFonts w:hint="eastAsia" w:ascii="宋体" w:hAnsi="宋体" w:eastAsia="宋体" w:cs="宋体"/>
          <w:color w:val="auto"/>
          <w:sz w:val="24"/>
          <w:highlight w:val="none"/>
          <w:u w:val="single"/>
        </w:rPr>
        <w:t>合同暂定总价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作为违约金。</w:t>
      </w:r>
    </w:p>
    <w:p>
      <w:pPr>
        <w:pStyle w:val="24"/>
        <w:spacing w:before="0" w:beforeAutospacing="0" w:after="0" w:afterAutospacing="0" w:line="384"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w:t>
      </w:r>
      <w:r>
        <w:rPr>
          <w:rFonts w:hint="eastAsia" w:ascii="宋体" w:hAnsi="宋体" w:eastAsia="宋体" w:cs="宋体"/>
          <w:color w:val="auto"/>
          <w:highlight w:val="none"/>
        </w:rPr>
        <w:t>履约担保</w:t>
      </w:r>
      <w:r>
        <w:rPr>
          <w:rFonts w:hint="eastAsia" w:ascii="宋体" w:hAnsi="宋体" w:eastAsia="宋体" w:cs="宋体"/>
          <w:color w:val="auto"/>
          <w:highlight w:val="none"/>
        </w:rPr>
        <w:t>按以下任一种形式提供</w:t>
      </w:r>
      <w:r>
        <w:rPr>
          <w:rFonts w:hint="eastAsia" w:ascii="宋体" w:hAnsi="宋体" w:eastAsia="宋体" w:cs="宋体"/>
          <w:color w:val="auto"/>
          <w:highlight w:val="none"/>
        </w:rPr>
        <w:t>：</w:t>
      </w:r>
    </w:p>
    <w:p>
      <w:pPr>
        <w:pStyle w:val="24"/>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（1）符合甲方要求（详见附件保函格式）的银行独立保函，</w:t>
      </w:r>
    </w:p>
    <w:p>
      <w:pPr>
        <w:pStyle w:val="24"/>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（2）现金转账至甲方以下指定账户：</w:t>
      </w:r>
    </w:p>
    <w:p>
      <w:pPr>
        <w:tabs>
          <w:tab w:val="left" w:pos="1995"/>
        </w:tabs>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户名：广州市净水有限公司</w:t>
      </w:r>
    </w:p>
    <w:p>
      <w:pPr>
        <w:tabs>
          <w:tab w:val="left" w:pos="1995"/>
        </w:tabs>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账号：</w:t>
      </w:r>
      <w:r>
        <w:rPr>
          <w:rFonts w:hint="eastAsia" w:ascii="宋体" w:hAnsi="宋体" w:eastAsia="宋体" w:cs="宋体"/>
          <w:bCs/>
          <w:color w:val="auto"/>
          <w:sz w:val="24"/>
          <w:highlight w:val="none"/>
        </w:rPr>
        <w:t>82010154900000342</w:t>
      </w:r>
    </w:p>
    <w:p>
      <w:pPr>
        <w:tabs>
          <w:tab w:val="left" w:pos="1995"/>
        </w:tabs>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开户行：浦发银行广州分行</w:t>
      </w:r>
    </w:p>
    <w:p>
      <w:pPr>
        <w:spacing w:line="384"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履约担保的担保期限和返还</w:t>
      </w:r>
    </w:p>
    <w:p>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履约银行保函在合同履行完成后，由乙方提出申请，甲方在28日内返还，不支付利息</w:t>
      </w:r>
      <w:r>
        <w:rPr>
          <w:rFonts w:hint="eastAsia" w:ascii="宋体" w:hAnsi="宋体" w:eastAsia="宋体" w:cs="宋体"/>
          <w:color w:val="auto"/>
          <w:kern w:val="0"/>
          <w:sz w:val="24"/>
          <w:highlight w:val="none"/>
          <w:lang w:eastAsia="zh-CN"/>
        </w:rPr>
        <w:t>。</w:t>
      </w:r>
    </w:p>
    <w:p>
      <w:pPr>
        <w:numPr>
          <w:ilvl w:val="0"/>
          <w:numId w:val="2"/>
        </w:numPr>
        <w:spacing w:line="360" w:lineRule="auto"/>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延长担保期限</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乙方以履约银行保函形式提交履约保证金的，在银行保函到期前，乙方应提前</w:t>
      </w:r>
      <w:r>
        <w:rPr>
          <w:rFonts w:hint="eastAsia" w:ascii="宋体" w:hAnsi="宋体" w:eastAsia="宋体" w:cs="宋体"/>
          <w:color w:val="auto"/>
          <w:kern w:val="0"/>
          <w:sz w:val="24"/>
          <w:highlight w:val="none"/>
          <w:u w:val="single"/>
        </w:rPr>
        <w:t xml:space="preserve"> 7 </w:t>
      </w:r>
      <w:r>
        <w:rPr>
          <w:rFonts w:hint="eastAsia" w:ascii="宋体" w:hAnsi="宋体" w:eastAsia="宋体" w:cs="宋体"/>
          <w:color w:val="auto"/>
          <w:kern w:val="0"/>
          <w:sz w:val="24"/>
          <w:highlight w:val="none"/>
        </w:rPr>
        <w:t>日向甲方提交新的保函以替换即将到期的保函。如乙方未及时提交的，甲方有权直接要求担保银行支付其担保的全部金额并解除合同。</w:t>
      </w:r>
    </w:p>
    <w:p>
      <w:pPr>
        <w:spacing w:before="0" w:beforeAutospacing="0" w:after="0" w:afterAutospacing="0" w:line="360" w:lineRule="auto"/>
        <w:ind w:left="0" w:leftChars="0" w:firstLine="480" w:firstLineChars="200"/>
        <w:outlineLvl w:val="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（4）现金履约保证金的退还：合同履行完成后，由乙方提出申请，甲方在</w:t>
      </w:r>
      <w:r>
        <w:rPr>
          <w:rFonts w:hint="eastAsia" w:ascii="宋体" w:hAnsi="宋体" w:eastAsia="宋体" w:cs="宋体"/>
          <w:color w:val="auto"/>
          <w:kern w:val="0"/>
          <w:sz w:val="24"/>
          <w:highlight w:val="none"/>
          <w:u w:val="none"/>
        </w:rPr>
        <w:t>28日</w:t>
      </w:r>
      <w:r>
        <w:rPr>
          <w:rFonts w:hint="eastAsia" w:ascii="宋体" w:hAnsi="宋体" w:eastAsia="宋体" w:cs="宋体"/>
          <w:color w:val="auto"/>
          <w:kern w:val="0"/>
          <w:sz w:val="24"/>
          <w:highlight w:val="none"/>
        </w:rPr>
        <w:t>内将剩余保证金（无息）返还。</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甲方按本合同规定提取履约担保金额后，乙方应在收到甲方通知后</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color w:val="auto"/>
          <w:sz w:val="24"/>
          <w:highlight w:val="none"/>
          <w:bdr w:val="single" w:color="auto" w:sz="4" w:space="0"/>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付款方式：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p>
    <w:p>
      <w:pPr>
        <w:spacing w:line="384"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第九条竣工验收</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rPr>
        <w:t>乙方应在工程完工后</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内将经甲方审核的完整竣工资料（含竣工图）和竣工验收报告各</w:t>
      </w:r>
      <w:r>
        <w:rPr>
          <w:rFonts w:hint="eastAsia" w:ascii="宋体" w:hAnsi="宋体" w:eastAsia="宋体" w:cs="宋体"/>
          <w:color w:val="auto"/>
          <w:sz w:val="24"/>
          <w:highlight w:val="none"/>
          <w:u w:val="single"/>
        </w:rPr>
        <w:t>一式四份</w:t>
      </w:r>
      <w:r>
        <w:rPr>
          <w:rFonts w:hint="eastAsia" w:ascii="宋体" w:hAnsi="宋体" w:eastAsia="宋体" w:cs="宋体"/>
          <w:color w:val="auto"/>
          <w:sz w:val="24"/>
          <w:highlight w:val="none"/>
        </w:rPr>
        <w:t>交甲方，不按时报送工程竣工资料的，每逾期一</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，甲方要求乙方支付</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u w:val="single"/>
        </w:rPr>
        <w:t>合同暂定总价</w:t>
      </w:r>
      <w:r>
        <w:rPr>
          <w:rFonts w:hint="eastAsia" w:ascii="宋体" w:hAnsi="宋体" w:eastAsia="宋体" w:cs="宋体"/>
          <w:bCs/>
          <w:color w:val="auto"/>
          <w:sz w:val="24"/>
          <w:highlight w:val="none"/>
          <w:u w:val="single"/>
        </w:rPr>
        <w:t>万分之五</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日</w:t>
      </w:r>
      <w:r>
        <w:rPr>
          <w:rFonts w:hint="eastAsia" w:ascii="宋体" w:hAnsi="宋体" w:eastAsia="宋体" w:cs="宋体"/>
          <w:color w:val="auto"/>
          <w:sz w:val="24"/>
          <w:highlight w:val="none"/>
        </w:rPr>
        <w:t>，并在支付合同款时抵扣。</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eastAsia="宋体" w:cs="宋体"/>
          <w:color w:val="auto"/>
          <w:sz w:val="24"/>
          <w:highlight w:val="none"/>
        </w:rPr>
        <w:t>甲方收到完整的竣工验收资料（完整的竣工验收资料：施工方案、开工</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竣工报告、安全备案整套资料、本合同书、询价文件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响应文件、中标通知书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发包通知书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委托书、工程预算送审报告、工程结算书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签证记录、备件开箱记录表或送货单、竣工图等，如有必须提供）和竣工验收报告后</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内组织有关单位进行验收，工程竣工验收严格按国家、省、市、部门有关文件执行，并在验收后</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内给予认可或提出修改意见。乙方按要求修改，并承担修改的费用。</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w:t>
      </w:r>
      <w:r>
        <w:rPr>
          <w:rFonts w:hint="eastAsia" w:ascii="宋体" w:hAnsi="宋体" w:eastAsia="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竣工档案的整理和移交</w:t>
      </w:r>
    </w:p>
    <w:p>
      <w:pPr>
        <w:spacing w:line="384"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a</w:t>
      </w:r>
      <w:r>
        <w:rPr>
          <w:rFonts w:hint="eastAsia" w:ascii="宋体" w:hAnsi="宋体" w:eastAsia="宋体" w:cs="宋体"/>
          <w:color w:val="auto"/>
          <w:sz w:val="24"/>
          <w:highlight w:val="none"/>
        </w:rPr>
        <w:t>）竣工文件资料、竣工图档案（原件）各一式四份；</w:t>
      </w:r>
    </w:p>
    <w:p>
      <w:pPr>
        <w:spacing w:line="384"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b</w:t>
      </w:r>
      <w:r>
        <w:rPr>
          <w:rFonts w:hint="eastAsia" w:ascii="宋体" w:hAnsi="宋体" w:eastAsia="宋体" w:cs="宋体"/>
          <w:color w:val="auto"/>
          <w:sz w:val="24"/>
          <w:highlight w:val="none"/>
        </w:rPr>
        <w:t>）与本款（</w:t>
      </w:r>
      <w:r>
        <w:rPr>
          <w:rFonts w:hint="eastAsia" w:ascii="宋体" w:hAnsi="宋体" w:eastAsia="宋体" w:cs="宋体"/>
          <w:color w:val="auto"/>
          <w:sz w:val="24"/>
          <w:highlight w:val="none"/>
        </w:rPr>
        <w:t>a</w:t>
      </w:r>
      <w:r>
        <w:rPr>
          <w:rFonts w:hint="eastAsia" w:ascii="宋体" w:hAnsi="宋体" w:eastAsia="宋体" w:cs="宋体"/>
          <w:color w:val="auto"/>
          <w:sz w:val="24"/>
          <w:highlight w:val="none"/>
        </w:rPr>
        <w:t>）项内容相同的电子版档案一式二份；</w:t>
      </w:r>
    </w:p>
    <w:p>
      <w:pPr>
        <w:spacing w:line="384"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）乙方移交竣工档案的时限：乙方应于工程竣工验收后</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内将竣工档案提交甲方签认。乙方应于甲方签认后</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内将竣工档案移交给甲方归档并同时移交有关归档的证明文件。甲方经审查合格的，应在收到竣工档案后</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内签署档案验收意见；不合格的，乙方应按甲方要求限期补正，直至合格为止。乙方超过本条规定的时限，每逾期一</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u w:val="single"/>
        </w:rPr>
        <w:t>合同暂定总价</w:t>
      </w:r>
      <w:r>
        <w:rPr>
          <w:rFonts w:hint="eastAsia" w:ascii="宋体" w:hAnsi="宋体" w:eastAsia="宋体" w:cs="宋体"/>
          <w:bCs/>
          <w:color w:val="auto"/>
          <w:sz w:val="24"/>
          <w:highlight w:val="none"/>
          <w:u w:val="single"/>
        </w:rPr>
        <w:t>万分之五</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日</w:t>
      </w:r>
      <w:r>
        <w:rPr>
          <w:rFonts w:hint="eastAsia" w:ascii="宋体" w:hAnsi="宋体" w:eastAsia="宋体" w:cs="宋体"/>
          <w:color w:val="auto"/>
          <w:sz w:val="24"/>
          <w:highlight w:val="none"/>
        </w:rPr>
        <w:t>违约金。</w:t>
      </w:r>
    </w:p>
    <w:p>
      <w:pPr>
        <w:spacing w:line="384"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9.5</w:t>
      </w:r>
      <w:r>
        <w:rPr>
          <w:rFonts w:hint="eastAsia" w:ascii="宋体" w:hAnsi="宋体" w:eastAsia="宋体" w:cs="宋体"/>
          <w:color w:val="auto"/>
          <w:highlight w:val="none"/>
        </w:rPr>
        <w:t>本合同竣工验收结算单位为</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 xml:space="preserve">广州市净水有限公司京溪分公司  </w:t>
      </w:r>
    </w:p>
    <w:p>
      <w:pPr>
        <w:spacing w:line="384"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9.6工程竣工验收通过后7日内，乙方应按以下要求对施工场地进行清理，直至甲方检验合格为止。竣工清场费用由乙方承担。</w:t>
      </w:r>
    </w:p>
    <w:p>
      <w:pPr>
        <w:spacing w:line="384"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（1）清除施工场地内残留的垃圾（包括但不限于：施工的淤泥渣土、废弃的施工设备和材料等)。</w:t>
      </w:r>
    </w:p>
    <w:p>
      <w:pPr>
        <w:spacing w:line="384"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（2）如涉及临时工程，乙方负责拆除并对场地进行清理、平整或复原。</w:t>
      </w:r>
    </w:p>
    <w:p>
      <w:pPr>
        <w:spacing w:line="384"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（3）对乙方设备和剩余的材料进行撤场。</w:t>
      </w:r>
    </w:p>
    <w:p>
      <w:pPr>
        <w:spacing w:line="384"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如乙方逾期未能对施工场地进行清理，甲方有权委托第三方清理，清理费用由乙方承担，并在应付款项中抵扣。</w:t>
      </w:r>
    </w:p>
    <w:p>
      <w:pPr>
        <w:pStyle w:val="2"/>
        <w:ind w:firstLine="480" w:firstLineChars="200"/>
        <w:rPr>
          <w:rFonts w:hint="eastAsia" w:ascii="宋体" w:hAnsi="宋体" w:eastAsia="宋体" w:cs="宋体"/>
          <w:color w:val="auto"/>
          <w:highlight w:val="none"/>
          <w:u w:val="single"/>
          <w:lang w:val="en-US" w:eastAsia="zh-CN"/>
        </w:rPr>
      </w:pPr>
    </w:p>
    <w:p>
      <w:pPr>
        <w:numPr>
          <w:ilvl w:val="0"/>
          <w:numId w:val="3"/>
        </w:numPr>
        <w:spacing w:before="120" w:afterLines="50" w:line="384" w:lineRule="auto"/>
        <w:ind w:firstLine="482" w:firstLineChars="200"/>
        <w:jc w:val="left"/>
        <w:rPr>
          <w:rFonts w:hint="eastAsia" w:ascii="宋体" w:hAnsi="宋体" w:eastAsia="宋体" w:cs="宋体"/>
          <w:b/>
          <w:bCs/>
          <w:color w:val="auto"/>
          <w:sz w:val="24"/>
          <w:highlight w:val="none"/>
        </w:rPr>
      </w:pPr>
      <w:bookmarkStart w:id="0" w:name="_Toc474245220"/>
      <w:bookmarkStart w:id="1" w:name="_Toc518992994"/>
      <w:bookmarkStart w:id="2" w:name="_Toc520190034"/>
      <w:r>
        <w:rPr>
          <w:rFonts w:hint="eastAsia" w:ascii="宋体" w:hAnsi="宋体" w:eastAsia="宋体" w:cs="宋体"/>
          <w:b/>
          <w:bCs/>
          <w:color w:val="auto"/>
          <w:sz w:val="24"/>
          <w:highlight w:val="none"/>
        </w:rPr>
        <w:t>质量保证</w:t>
      </w:r>
      <w:bookmarkEnd w:id="0"/>
      <w:bookmarkEnd w:id="1"/>
      <w:bookmarkEnd w:id="2"/>
    </w:p>
    <w:p>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hint="eastAsia" w:ascii="宋体" w:hAnsi="宋体" w:eastAsia="宋体" w:cs="宋体"/>
          <w:color w:val="auto"/>
          <w:kern w:val="0"/>
          <w:sz w:val="24"/>
          <w:highlight w:val="none"/>
          <w:lang w:val="zh-CN"/>
        </w:rPr>
      </w:pPr>
      <w:r>
        <w:rPr>
          <w:rFonts w:hint="eastAsia" w:ascii="宋体" w:hAnsi="宋体" w:eastAsia="宋体" w:cs="宋体"/>
          <w:bCs/>
          <w:color w:val="auto"/>
          <w:sz w:val="24"/>
          <w:highlight w:val="none"/>
        </w:rPr>
        <w:t xml:space="preserve">10.2 </w:t>
      </w:r>
      <w:r>
        <w:rPr>
          <w:rFonts w:hint="eastAsia" w:ascii="宋体" w:hAnsi="宋体" w:eastAsia="宋体" w:cs="宋体"/>
          <w:bCs/>
          <w:color w:val="auto"/>
          <w:sz w:val="24"/>
          <w:highlight w:val="none"/>
        </w:rPr>
        <w:t>本项目质量保修期为</w:t>
      </w:r>
      <w:r>
        <w:rPr>
          <w:rFonts w:hint="eastAsia" w:ascii="宋体" w:hAnsi="宋体" w:eastAsia="宋体" w:cs="宋体"/>
          <w:color w:val="auto"/>
          <w:kern w:val="0"/>
          <w:sz w:val="24"/>
          <w:highlight w:val="none"/>
          <w:lang w:val="zh-CN"/>
        </w:rPr>
        <w:t>自验收合格之日起</w:t>
      </w:r>
      <w:r>
        <w:rPr>
          <w:rFonts w:hint="eastAsia" w:ascii="宋体" w:hAnsi="宋体" w:eastAsia="宋体" w:cs="宋体"/>
          <w:color w:val="auto"/>
          <w:kern w:val="0"/>
          <w:sz w:val="24"/>
          <w:highlight w:val="none"/>
          <w:u w:val="single"/>
          <w:lang w:val="en-US" w:eastAsia="zh-CN"/>
        </w:rPr>
        <w:t>壹</w:t>
      </w:r>
      <w:r>
        <w:rPr>
          <w:rFonts w:hint="eastAsia" w:ascii="宋体" w:hAnsi="宋体" w:eastAsia="宋体" w:cs="宋体"/>
          <w:color w:val="auto"/>
          <w:kern w:val="0"/>
          <w:sz w:val="24"/>
          <w:highlight w:val="none"/>
          <w:lang w:val="zh-CN"/>
        </w:rPr>
        <w:t>年，</w:t>
      </w:r>
      <w:r>
        <w:rPr>
          <w:rFonts w:hint="eastAsia" w:ascii="宋体" w:hAnsi="宋体" w:eastAsia="宋体" w:cs="宋体"/>
          <w:color w:val="auto"/>
          <w:sz w:val="24"/>
          <w:szCs w:val="24"/>
          <w:highlight w:val="none"/>
        </w:rPr>
        <w:t>具体工程项目质量保修期不得低于最新《建设工程质量管理条例》的法定期限</w:t>
      </w:r>
      <w:r>
        <w:rPr>
          <w:rFonts w:hint="eastAsia" w:ascii="宋体" w:hAnsi="宋体" w:eastAsia="宋体" w:cs="宋体"/>
          <w:color w:val="auto"/>
          <w:kern w:val="0"/>
          <w:sz w:val="24"/>
          <w:highlight w:val="none"/>
          <w:lang w:val="en-US"/>
        </w:rPr>
        <w:t>。</w:t>
      </w:r>
    </w:p>
    <w:p>
      <w:pPr>
        <w:spacing w:line="384" w:lineRule="auto"/>
        <w:ind w:firstLine="420" w:firstLineChars="17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10.3</w:t>
      </w:r>
      <w:r>
        <w:rPr>
          <w:rFonts w:hint="eastAsia" w:ascii="宋体" w:hAnsi="宋体" w:eastAsia="宋体" w:cs="宋体"/>
          <w:bCs/>
          <w:color w:val="auto"/>
          <w:sz w:val="24"/>
          <w:highlight w:val="none"/>
        </w:rPr>
        <w:t>质量保修期期间，本项目的质量问题由乙方免费提供保修服务</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rPr>
        <w:t>乙方</w:t>
      </w:r>
      <w:r>
        <w:rPr>
          <w:rFonts w:hint="eastAsia" w:ascii="宋体" w:hAnsi="宋体" w:eastAsia="宋体" w:cs="宋体"/>
          <w:bCs/>
          <w:color w:val="auto"/>
          <w:sz w:val="24"/>
          <w:highlight w:val="none"/>
        </w:rPr>
        <w:t>应在收到甲方通知后</w:t>
      </w:r>
      <w:r>
        <w:rPr>
          <w:rFonts w:hint="eastAsia" w:ascii="宋体" w:hAnsi="宋体" w:eastAsia="宋体" w:cs="宋体"/>
          <w:bCs/>
          <w:strike w:val="0"/>
          <w:dstrike w:val="0"/>
          <w:color w:val="auto"/>
          <w:sz w:val="24"/>
          <w:highlight w:val="none"/>
          <w:u w:val="single"/>
          <w:lang w:val="en-US" w:eastAsia="zh-CN"/>
        </w:rPr>
        <w:t xml:space="preserve"> 7 </w:t>
      </w:r>
      <w:r>
        <w:rPr>
          <w:rFonts w:hint="eastAsia" w:ascii="宋体" w:hAnsi="宋体" w:eastAsia="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u w:val="single"/>
        </w:rPr>
        <w:t>合同暂定总价的</w:t>
      </w:r>
      <w:r>
        <w:rPr>
          <w:rFonts w:hint="eastAsia" w:ascii="宋体" w:hAnsi="宋体" w:eastAsia="宋体" w:cs="宋体"/>
          <w:bCs/>
          <w:color w:val="auto"/>
          <w:sz w:val="24"/>
          <w:highlight w:val="none"/>
          <w:u w:val="single"/>
        </w:rPr>
        <w:t>10%/</w:t>
      </w:r>
      <w:r>
        <w:rPr>
          <w:rFonts w:hint="eastAsia" w:ascii="宋体" w:hAnsi="宋体" w:eastAsia="宋体" w:cs="宋体"/>
          <w:bCs/>
          <w:color w:val="auto"/>
          <w:sz w:val="24"/>
          <w:highlight w:val="none"/>
          <w:u w:val="single"/>
        </w:rPr>
        <w:t>次</w:t>
      </w:r>
      <w:r>
        <w:rPr>
          <w:rFonts w:hint="eastAsia" w:ascii="宋体" w:hAnsi="宋体" w:eastAsia="宋体" w:cs="宋体"/>
          <w:bCs/>
          <w:color w:val="auto"/>
          <w:sz w:val="24"/>
          <w:highlight w:val="none"/>
        </w:rPr>
        <w:t>作为违约金。</w:t>
      </w:r>
    </w:p>
    <w:p>
      <w:pPr>
        <w:spacing w:beforeLines="50" w:afterLines="50" w:line="384" w:lineRule="auto"/>
        <w:ind w:firstLine="422" w:firstLineChars="175"/>
        <w:jc w:val="left"/>
        <w:rPr>
          <w:rFonts w:hint="eastAsia" w:ascii="宋体" w:hAnsi="宋体" w:eastAsia="宋体" w:cs="宋体"/>
          <w:color w:val="auto"/>
          <w:sz w:val="24"/>
          <w:highlight w:val="none"/>
        </w:rPr>
      </w:pPr>
      <w:bookmarkStart w:id="3" w:name="_Toc19692"/>
      <w:bookmarkStart w:id="4" w:name="_Toc474245226"/>
      <w:bookmarkStart w:id="5" w:name="_Toc183666531"/>
      <w:bookmarkStart w:id="6" w:name="_Toc520190040"/>
      <w:bookmarkStart w:id="7" w:name="_Toc107447255"/>
      <w:bookmarkStart w:id="8" w:name="_Toc107446862"/>
      <w:bookmarkStart w:id="9" w:name="_Toc518993000"/>
      <w:bookmarkStart w:id="10" w:name="_Toc306350467"/>
      <w:r>
        <w:rPr>
          <w:rFonts w:hint="eastAsia" w:ascii="宋体" w:hAnsi="宋体" w:eastAsia="宋体" w:cs="宋体"/>
          <w:b/>
          <w:bCs/>
          <w:color w:val="auto"/>
          <w:sz w:val="24"/>
          <w:highlight w:val="none"/>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hint="eastAsia" w:ascii="宋体" w:hAnsi="宋体" w:eastAsia="宋体" w:cs="宋体"/>
          <w:bCs/>
          <w:color w:val="auto"/>
          <w:sz w:val="24"/>
          <w:highlight w:val="none"/>
        </w:rPr>
      </w:pPr>
      <w:bookmarkStart w:id="11" w:name="_Toc183666532"/>
      <w:bookmarkStart w:id="12" w:name="_Toc306350468"/>
      <w:bookmarkStart w:id="13" w:name="_Toc12010"/>
      <w:r>
        <w:rPr>
          <w:rFonts w:hint="eastAsia" w:ascii="宋体" w:hAnsi="宋体" w:eastAsia="宋体" w:cs="宋体"/>
          <w:bCs/>
          <w:color w:val="auto"/>
          <w:sz w:val="24"/>
          <w:highlight w:val="none"/>
        </w:rPr>
        <w:t xml:space="preserve">11.1 </w:t>
      </w:r>
      <w:r>
        <w:rPr>
          <w:rFonts w:hint="eastAsia" w:ascii="宋体" w:hAnsi="宋体" w:eastAsia="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⑴地震、火山爆发、滑坡、暴雨（橙色预警及以上）、台风（黄色预警及以上）、海啸、龙卷风、大面积流行病</w:t>
      </w:r>
      <w:r>
        <w:rPr>
          <w:rFonts w:hint="eastAsia" w:ascii="宋体" w:hAnsi="宋体" w:eastAsia="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11.2 </w:t>
      </w:r>
      <w:r>
        <w:rPr>
          <w:rFonts w:hint="eastAsia" w:ascii="宋体" w:hAnsi="宋体" w:eastAsia="宋体" w:cs="宋体"/>
          <w:bCs/>
          <w:color w:val="auto"/>
          <w:sz w:val="24"/>
          <w:highlight w:val="none"/>
        </w:rPr>
        <w:t>声称受到不可抗力影响的一方，应在发生不可抗力或知道发生不可抗力之后</w:t>
      </w:r>
      <w:r>
        <w:rPr>
          <w:rFonts w:hint="eastAsia" w:ascii="宋体" w:hAnsi="宋体" w:eastAsia="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11.3 </w:t>
      </w:r>
      <w:r>
        <w:rPr>
          <w:rFonts w:hint="eastAsia" w:ascii="宋体" w:hAnsi="宋体" w:eastAsia="宋体" w:cs="宋体"/>
          <w:bCs/>
          <w:color w:val="auto"/>
          <w:sz w:val="24"/>
          <w:highlight w:val="none"/>
        </w:rPr>
        <w:t>因不可抗力导致合同无法履行的时间自该不可抗力发生日起连续超过玖拾</w:t>
      </w:r>
      <w:r>
        <w:rPr>
          <w:rFonts w:hint="eastAsia" w:ascii="宋体" w:hAnsi="宋体" w:eastAsia="宋体" w:cs="宋体"/>
          <w:bCs/>
          <w:color w:val="auto"/>
          <w:sz w:val="24"/>
          <w:highlight w:val="none"/>
        </w:rPr>
        <w:t>(90)</w:t>
      </w:r>
      <w:r>
        <w:rPr>
          <w:rFonts w:hint="eastAsia" w:ascii="宋体" w:hAnsi="宋体" w:eastAsia="宋体" w:cs="宋体"/>
          <w:bCs/>
          <w:color w:val="auto"/>
          <w:sz w:val="24"/>
          <w:highlight w:val="none"/>
          <w:lang w:val="en-US" w:eastAsia="zh-CN"/>
        </w:rPr>
        <w:t>日</w:t>
      </w:r>
      <w:r>
        <w:rPr>
          <w:rFonts w:hint="eastAsia" w:ascii="宋体" w:hAnsi="宋体" w:eastAsia="宋体" w:cs="宋体"/>
          <w:bCs/>
          <w:color w:val="auto"/>
          <w:sz w:val="24"/>
          <w:highlight w:val="none"/>
        </w:rPr>
        <w:t>，双方应协商决定继续履行本合同的条件或者变更本合同。如果自不可抗力发生后壹佰捌拾(180)</w:t>
      </w:r>
      <w:r>
        <w:rPr>
          <w:rFonts w:hint="eastAsia" w:ascii="宋体" w:hAnsi="宋体" w:eastAsia="宋体" w:cs="宋体"/>
          <w:bCs/>
          <w:color w:val="auto"/>
          <w:sz w:val="24"/>
          <w:highlight w:val="none"/>
          <w:lang w:val="en-US" w:eastAsia="zh-CN"/>
        </w:rPr>
        <w:t>日</w:t>
      </w:r>
      <w:r>
        <w:rPr>
          <w:rFonts w:hint="eastAsia" w:ascii="宋体" w:hAnsi="宋体" w:eastAsia="宋体" w:cs="宋体"/>
          <w:bCs/>
          <w:color w:val="auto"/>
          <w:sz w:val="24"/>
          <w:highlight w:val="none"/>
        </w:rPr>
        <w:t>之内双方不能达成一致意见，任何一方有权解除本合同。</w:t>
      </w:r>
    </w:p>
    <w:p>
      <w:pPr>
        <w:spacing w:beforeLines="50" w:afterLines="50" w:line="384" w:lineRule="auto"/>
        <w:ind w:firstLine="482"/>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11.4 </w:t>
      </w:r>
      <w:r>
        <w:rPr>
          <w:rFonts w:hint="eastAsia" w:ascii="宋体" w:hAnsi="宋体" w:eastAsia="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520190041"/>
      <w:bookmarkStart w:id="15" w:name="_Toc107446864"/>
      <w:bookmarkStart w:id="16" w:name="_Toc118172294"/>
      <w:bookmarkStart w:id="17" w:name="_Toc518993001"/>
      <w:bookmarkStart w:id="18" w:name="_Toc107447257"/>
      <w:bookmarkStart w:id="19" w:name="_Toc474245227"/>
    </w:p>
    <w:p>
      <w:pPr>
        <w:spacing w:beforeLines="50" w:afterLines="50" w:line="384" w:lineRule="auto"/>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第</w:t>
      </w:r>
      <w:r>
        <w:rPr>
          <w:rFonts w:hint="eastAsia" w:ascii="宋体" w:hAnsi="宋体" w:eastAsia="宋体" w:cs="宋体"/>
          <w:b/>
          <w:bCs/>
          <w:color w:val="auto"/>
          <w:sz w:val="24"/>
          <w:highlight w:val="none"/>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hint="eastAsia" w:ascii="宋体" w:hAnsi="宋体" w:eastAsia="宋体" w:cs="宋体"/>
          <w:bCs/>
          <w:color w:val="auto"/>
          <w:sz w:val="24"/>
          <w:highlight w:val="none"/>
        </w:rPr>
      </w:pPr>
      <w:bookmarkStart w:id="20" w:name="_Toc306350469"/>
      <w:bookmarkStart w:id="21" w:name="_Toc183666533"/>
      <w:r>
        <w:rPr>
          <w:rFonts w:hint="eastAsia" w:ascii="宋体" w:hAnsi="宋体" w:eastAsia="宋体" w:cs="宋体"/>
          <w:bCs/>
          <w:color w:val="auto"/>
          <w:sz w:val="24"/>
          <w:highlight w:val="none"/>
        </w:rPr>
        <w:t xml:space="preserve">12.1 </w:t>
      </w:r>
      <w:r>
        <w:rPr>
          <w:rFonts w:hint="eastAsia" w:ascii="宋体" w:hAnsi="宋体" w:eastAsia="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12.2 </w:t>
      </w:r>
      <w:r>
        <w:rPr>
          <w:rFonts w:hint="eastAsia" w:ascii="宋体" w:hAnsi="宋体" w:eastAsia="宋体" w:cs="宋体"/>
          <w:color w:val="auto"/>
          <w:sz w:val="24"/>
          <w:highlight w:val="none"/>
        </w:rPr>
        <w:t>在甲方同意的情况下，除有争端之外的合同其它部分在争端解决前应继续执行。</w:t>
      </w:r>
      <w:bookmarkEnd w:id="20"/>
      <w:bookmarkEnd w:id="21"/>
      <w:bookmarkStart w:id="22" w:name="_Toc518993003"/>
      <w:bookmarkStart w:id="23" w:name="_Toc474245229"/>
      <w:bookmarkStart w:id="24" w:name="_Toc520190043"/>
    </w:p>
    <w:p>
      <w:pPr>
        <w:spacing w:line="384" w:lineRule="auto"/>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第十三条</w:t>
      </w:r>
      <w:bookmarkStart w:id="25" w:name="_Toc107446871"/>
      <w:bookmarkStart w:id="26" w:name="_Toc107447264"/>
      <w:r>
        <w:rPr>
          <w:rFonts w:hint="eastAsia" w:ascii="宋体" w:hAnsi="宋体" w:eastAsia="宋体" w:cs="宋体"/>
          <w:b/>
          <w:bCs/>
          <w:color w:val="auto"/>
          <w:sz w:val="24"/>
          <w:highlight w:val="none"/>
        </w:rPr>
        <w:t>合同生效及其他</w:t>
      </w:r>
      <w:bookmarkEnd w:id="22"/>
      <w:bookmarkEnd w:id="23"/>
      <w:bookmarkEnd w:id="24"/>
      <w:bookmarkEnd w:id="25"/>
      <w:bookmarkEnd w:id="26"/>
    </w:p>
    <w:p>
      <w:pPr>
        <w:spacing w:line="384"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本合同经双方法定代表人或授权代表签字并加盖双方公章后生效</w:t>
      </w:r>
      <w:r>
        <w:rPr>
          <w:rFonts w:hint="eastAsia" w:ascii="宋体" w:hAnsi="宋体" w:eastAsia="宋体" w:cs="宋体"/>
          <w:color w:val="auto"/>
          <w:sz w:val="24"/>
          <w:highlight w:val="none"/>
          <w:lang w:eastAsia="zh-CN"/>
        </w:rPr>
        <w:t>。</w:t>
      </w:r>
    </w:p>
    <w:p>
      <w:pPr>
        <w:spacing w:line="384"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本合同正文一式</w:t>
      </w:r>
      <w:r>
        <w:rPr>
          <w:rFonts w:hint="eastAsia" w:ascii="宋体" w:hAnsi="宋体" w:eastAsia="宋体" w:cs="宋体"/>
          <w:strike w:val="0"/>
          <w:dstrike w:val="0"/>
          <w:color w:val="auto"/>
          <w:sz w:val="24"/>
          <w:highlight w:val="none"/>
          <w:u w:val="single"/>
          <w:lang w:val="en-US" w:eastAsia="zh-CN"/>
        </w:rPr>
        <w:t xml:space="preserve">     </w:t>
      </w:r>
      <w:r>
        <w:rPr>
          <w:rFonts w:hint="eastAsia" w:ascii="宋体" w:hAnsi="宋体" w:eastAsia="宋体" w:cs="宋体"/>
          <w:color w:val="auto"/>
          <w:sz w:val="24"/>
          <w:highlight w:val="none"/>
        </w:rPr>
        <w:t>份，其中：甲方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p>
    <w:p>
      <w:pPr>
        <w:spacing w:line="384" w:lineRule="auto"/>
        <w:ind w:firstLine="48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t>3补充条款</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w:t>
      </w:r>
    </w:p>
    <w:p>
      <w:pPr>
        <w:spacing w:line="384" w:lineRule="auto"/>
        <w:rPr>
          <w:rFonts w:hint="eastAsia" w:ascii="宋体" w:hAnsi="宋体" w:eastAsia="宋体" w:cs="宋体"/>
          <w:color w:val="auto"/>
          <w:sz w:val="24"/>
          <w:highlight w:val="none"/>
        </w:rPr>
      </w:pP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中标通知书</w:t>
      </w:r>
    </w:p>
    <w:p>
      <w:pPr>
        <w:numPr>
          <w:ilvl w:val="0"/>
          <w:numId w:val="0"/>
        </w:num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廉洁协议</w:t>
      </w:r>
    </w:p>
    <w:p>
      <w:pPr>
        <w:spacing w:line="384"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营运场所施工安全协议书（具体以安全办通知为准）</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4</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工程量清单</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报价</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5</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项目投入人员架构表</w:t>
      </w:r>
    </w:p>
    <w:p>
      <w:pPr>
        <w:spacing w:line="384"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6.应急救援物资清单</w:t>
      </w:r>
      <w:r>
        <w:rPr>
          <w:rFonts w:hint="eastAsia" w:ascii="宋体" w:hAnsi="宋体" w:eastAsia="宋体" w:cs="宋体"/>
          <w:color w:val="auto"/>
          <w:sz w:val="24"/>
          <w:highlight w:val="none"/>
        </w:rPr>
        <w:t xml:space="preserve"> </w:t>
      </w:r>
    </w:p>
    <w:p>
      <w:pPr>
        <w:pStyle w:val="27"/>
        <w:ind w:firstLine="720" w:firstLineChars="3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7.营运项目承包单位日常履约考评参照表（安全）、营运项目承包单位综合履约考评表（安全）</w:t>
      </w:r>
    </w:p>
    <w:p>
      <w:pPr>
        <w:pStyle w:val="27"/>
        <w:ind w:firstLine="720" w:firstLineChars="3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w:t>
      </w:r>
      <w:r>
        <w:rPr>
          <w:rFonts w:hint="eastAsia" w:ascii="宋体" w:hAnsi="宋体" w:eastAsia="宋体" w:cs="宋体"/>
          <w:color w:val="auto"/>
          <w:kern w:val="2"/>
          <w:sz w:val="24"/>
          <w:szCs w:val="22"/>
          <w:highlight w:val="none"/>
          <w:lang w:val="en-US" w:eastAsia="zh-CN" w:bidi="ar-SA"/>
        </w:rPr>
        <w:t>履约保函</w:t>
      </w:r>
      <w:r>
        <w:rPr>
          <w:rFonts w:hint="eastAsia" w:ascii="宋体" w:hAnsi="宋体" w:eastAsia="宋体" w:cs="宋体"/>
          <w:color w:val="auto"/>
          <w:kern w:val="2"/>
          <w:sz w:val="24"/>
          <w:szCs w:val="22"/>
          <w:highlight w:val="none"/>
          <w:lang w:val="en-US" w:eastAsia="zh-CN" w:bidi="ar-SA"/>
        </w:rPr>
        <w:t>（模板）</w:t>
      </w:r>
    </w:p>
    <w:p>
      <w:pPr>
        <w:pStyle w:val="27"/>
        <w:ind w:firstLine="720" w:firstLineChars="3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9.预付款保函（模板）</w:t>
      </w:r>
    </w:p>
    <w:p>
      <w:pPr>
        <w:pStyle w:val="27"/>
        <w:ind w:firstLine="720" w:firstLineChars="300"/>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sz w:val="24"/>
          <w:szCs w:val="24"/>
          <w:highlight w:val="none"/>
          <w:lang w:val="en-US" w:eastAsia="zh-CN"/>
        </w:rPr>
        <w:t>开工通知书</w:t>
      </w:r>
      <w:r>
        <w:rPr>
          <w:rFonts w:hint="eastAsia" w:ascii="宋体" w:hAnsi="宋体" w:eastAsia="宋体" w:cs="宋体"/>
          <w:b w:val="0"/>
          <w:bCs w:val="0"/>
          <w:color w:val="auto"/>
          <w:kern w:val="2"/>
          <w:sz w:val="24"/>
          <w:szCs w:val="24"/>
          <w:highlight w:val="none"/>
          <w:lang w:val="en-US" w:eastAsia="zh-CN" w:bidi="ar-SA"/>
        </w:rPr>
        <w:t>（模板）</w:t>
      </w:r>
    </w:p>
    <w:p>
      <w:pPr>
        <w:pStyle w:val="2"/>
        <w:rPr>
          <w:rFonts w:hint="eastAsia" w:ascii="宋体" w:hAnsi="宋体" w:eastAsia="宋体" w:cs="宋体"/>
          <w:color w:val="auto"/>
          <w:highlight w:val="none"/>
          <w:lang w:val="en-US" w:eastAsia="zh-CN"/>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乙方：（盖章）</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授权代理人：</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经办人：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经办人：</w:t>
      </w:r>
    </w:p>
    <w:p>
      <w:pPr>
        <w:spacing w:line="38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pPr>
        <w:spacing w:line="384" w:lineRule="auto"/>
        <w:ind w:left="6360" w:hanging="6360" w:hanging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传真：</w:t>
      </w:r>
    </w:p>
    <w:p>
      <w:pPr>
        <w:spacing w:line="384" w:lineRule="auto"/>
        <w:ind w:left="6360" w:hanging="6360" w:hanging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签署日期：</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签署日期：</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以下空白</w:t>
      </w:r>
    </w:p>
    <w:p>
      <w:pPr>
        <w:spacing w:line="360" w:lineRule="auto"/>
        <w:rPr>
          <w:rFonts w:hint="eastAsia" w:ascii="宋体" w:hAnsi="宋体" w:eastAsia="宋体" w:cs="宋体"/>
          <w:b/>
          <w:bCs/>
          <w:color w:val="auto"/>
          <w:szCs w:val="21"/>
          <w:highlight w:val="none"/>
        </w:rPr>
        <w:sectPr>
          <w:footerReference r:id="rId3" w:type="default"/>
          <w:pgSz w:w="11906" w:h="16838"/>
          <w:pgMar w:top="1417" w:right="1701" w:bottom="1417" w:left="1701" w:header="851" w:footer="992" w:gutter="0"/>
          <w:cols w:space="0" w:num="1"/>
          <w:docGrid w:type="lines" w:linePitch="312" w:charSpace="0"/>
        </w:sect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jc w:val="both"/>
        <w:rPr>
          <w:rFonts w:hint="eastAsia" w:ascii="宋体" w:hAnsi="宋体" w:eastAsia="宋体" w:cs="宋体"/>
          <w:b/>
          <w:bCs/>
          <w:color w:val="auto"/>
          <w:szCs w:val="21"/>
          <w:highlight w:val="none"/>
        </w:rPr>
      </w:pPr>
      <w:bookmarkStart w:id="27" w:name="_Toc389815339"/>
      <w:bookmarkStart w:id="28" w:name="_Toc387080836"/>
      <w:bookmarkStart w:id="29" w:name="_Toc389815031"/>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廉洁协议</w:t>
      </w:r>
    </w:p>
    <w:p>
      <w:pPr>
        <w:keepNext w:val="0"/>
        <w:keepLines w:val="0"/>
        <w:pageBreakBefore w:val="0"/>
        <w:kinsoku/>
        <w:wordWrap/>
        <w:overflowPunct/>
        <w:topLinePunct w:val="0"/>
        <w:autoSpaceDE/>
        <w:autoSpaceDN/>
        <w:bidi w:val="0"/>
        <w:adjustRightInd/>
        <w:snapToGrid/>
        <w:spacing w:line="520" w:lineRule="exact"/>
        <w:ind w:firstLine="540" w:firstLineChars="225"/>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rPr>
        <w:t>广州市净水有限公司</w:t>
      </w:r>
      <w:r>
        <w:rPr>
          <w:rFonts w:hint="eastAsia" w:ascii="宋体" w:hAnsi="宋体" w:eastAsia="宋体" w:cs="宋体"/>
          <w:b w:val="0"/>
          <w:bCs/>
          <w:color w:val="auto"/>
          <w:sz w:val="24"/>
          <w:szCs w:val="24"/>
          <w:highlight w:val="none"/>
        </w:rPr>
        <w:t>(以下称甲方)与</w:t>
      </w:r>
      <w:r>
        <w:rPr>
          <w:rFonts w:hint="eastAsia" w:ascii="宋体" w:hAnsi="宋体" w:eastAsia="宋体" w:cs="宋体"/>
          <w:b w:val="0"/>
          <w:bCs/>
          <w:strike w:val="0"/>
          <w:dstrike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20" w:lineRule="exact"/>
        <w:ind w:left="25" w:leftChars="12"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after="0"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20" w:lineRule="exact"/>
        <w:ind w:left="15" w:leftChars="7"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甲方举报投诉联系部门：广州市净水有限公司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第七条本协议一式</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份，甲方</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份，乙方</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份。</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56"/>
        <w:keepNext w:val="0"/>
        <w:keepLines w:val="0"/>
        <w:pageBreakBefore w:val="0"/>
        <w:tabs>
          <w:tab w:val="left" w:pos="5100"/>
        </w:tabs>
        <w:kinsoku/>
        <w:wordWrap/>
        <w:overflowPunct/>
        <w:topLinePunct w:val="0"/>
        <w:autoSpaceDE/>
        <w:autoSpaceDN/>
        <w:bidi w:val="0"/>
        <w:adjustRightInd/>
        <w:snapToGrid/>
        <w:spacing w:line="520" w:lineRule="exact"/>
        <w:ind w:left="7200" w:firstLine="0" w:firstLineChars="0"/>
        <w:jc w:val="left"/>
        <w:textAlignment w:val="auto"/>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line="520" w:lineRule="exact"/>
        <w:ind w:left="7200" w:hanging="7200" w:hangingChars="30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spacing w:line="360" w:lineRule="auto"/>
        <w:rPr>
          <w:rFonts w:hint="eastAsia" w:ascii="宋体" w:hAnsi="宋体" w:eastAsia="宋体" w:cs="宋体"/>
          <w:b/>
          <w:color w:val="auto"/>
          <w:szCs w:val="21"/>
          <w:highlight w:val="none"/>
        </w:rPr>
      </w:pPr>
    </w:p>
    <w:p>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附件</w:t>
      </w:r>
      <w:bookmarkEnd w:id="27"/>
      <w:bookmarkEnd w:id="28"/>
      <w:bookmarkEnd w:id="29"/>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营运场所施工安全协议书</w:t>
      </w:r>
    </w:p>
    <w:p>
      <w:pPr>
        <w:spacing w:line="360" w:lineRule="auto"/>
        <w:jc w:val="center"/>
        <w:rPr>
          <w:rFonts w:hint="eastAsia" w:ascii="宋体" w:hAnsi="宋体" w:eastAsia="宋体" w:cs="宋体"/>
          <w:b/>
          <w:bCs/>
          <w:color w:val="auto"/>
          <w:sz w:val="24"/>
          <w:highlight w:val="none"/>
        </w:rPr>
      </w:pPr>
    </w:p>
    <w:p>
      <w:pPr>
        <w:spacing w:line="560" w:lineRule="exact"/>
        <w:jc w:val="center"/>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营运场所施工安全协议书</w:t>
      </w:r>
    </w:p>
    <w:p>
      <w:pPr>
        <w:spacing w:line="560" w:lineRule="exact"/>
        <w:rPr>
          <w:rFonts w:hint="eastAsia" w:ascii="宋体" w:hAnsi="宋体" w:eastAsia="宋体" w:cs="宋体"/>
          <w:color w:val="auto"/>
          <w:sz w:val="24"/>
          <w:highlight w:val="none"/>
        </w:rPr>
      </w:pPr>
    </w:p>
    <w:p>
      <w:pPr>
        <w:spacing w:line="560" w:lineRule="exact"/>
        <w:rPr>
          <w:rFonts w:hint="eastAsia" w:ascii="宋体" w:hAnsi="宋体" w:eastAsia="宋体" w:cs="宋体"/>
          <w:color w:val="auto"/>
          <w:kern w:val="0"/>
          <w:sz w:val="24"/>
          <w:highlight w:val="none"/>
        </w:rPr>
      </w:pPr>
      <w:bookmarkStart w:id="30" w:name="_Toc21391"/>
      <w:r>
        <w:rPr>
          <w:rFonts w:hint="eastAsia" w:ascii="宋体" w:hAnsi="宋体" w:eastAsia="宋体" w:cs="宋体"/>
          <w:color w:val="auto"/>
          <w:kern w:val="0"/>
          <w:sz w:val="24"/>
          <w:highlight w:val="none"/>
        </w:rPr>
        <w:t>甲方：</w:t>
      </w:r>
      <w:r>
        <w:rPr>
          <w:rFonts w:hint="eastAsia" w:ascii="宋体" w:hAnsi="宋体" w:eastAsia="宋体" w:cs="宋体"/>
          <w:color w:val="auto"/>
          <w:sz w:val="24"/>
          <w:highlight w:val="none"/>
        </w:rPr>
        <w:t>广州市净水有限公司</w:t>
      </w:r>
    </w:p>
    <w:p>
      <w:pPr>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adjustRightInd w:val="0"/>
        <w:snapToGrid w:val="0"/>
        <w:spacing w:line="560" w:lineRule="exact"/>
        <w:jc w:val="left"/>
        <w:rPr>
          <w:rStyle w:val="31"/>
          <w:rFonts w:hint="eastAsia" w:ascii="宋体" w:hAnsi="宋体" w:eastAsia="宋体" w:cs="宋体"/>
          <w:b w:val="0"/>
          <w:color w:val="auto"/>
          <w:highlight w:val="none"/>
          <w:u w:val="single"/>
        </w:rPr>
      </w:pPr>
    </w:p>
    <w:bookmarkEnd w:id="30"/>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的组成部分，与主合同具有同等法律效力。</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w:t>
      </w:r>
      <w:r>
        <w:rPr>
          <w:rFonts w:hint="eastAsia" w:ascii="宋体" w:hAnsi="宋体" w:eastAsia="宋体" w:cs="宋体"/>
          <w:b/>
          <w:color w:val="auto"/>
          <w:sz w:val="24"/>
          <w:highlight w:val="none"/>
        </w:rPr>
        <w:t>甲方权责</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（三）要求乙方遵守的甲方安全管理要求。</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按主合同相关条款进行经济扣罚；</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根据《广州市水务局关于印发广州市水务工程施工和监理企业诚信评价管理办法的通知》（穗水建设〔2</w:t>
      </w:r>
      <w:r>
        <w:rPr>
          <w:rFonts w:hint="eastAsia" w:ascii="宋体" w:hAnsi="宋体" w:eastAsia="宋体" w:cs="宋体"/>
          <w:color w:val="auto"/>
          <w:sz w:val="24"/>
          <w:highlight w:val="none"/>
        </w:rPr>
        <w:t>014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0</w:t>
      </w:r>
      <w:r>
        <w:rPr>
          <w:rFonts w:hint="eastAsia" w:ascii="宋体" w:hAnsi="宋体" w:eastAsia="宋体" w:cs="宋体"/>
          <w:color w:val="auto"/>
          <w:sz w:val="24"/>
          <w:highlight w:val="none"/>
        </w:rPr>
        <w:t>号）、《市净水公司关于印发施工和监理企业诚信评价工作实施办法的通知》（穗净水〔201</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40</w:t>
      </w:r>
      <w:r>
        <w:rPr>
          <w:rFonts w:hint="eastAsia" w:ascii="宋体" w:hAnsi="宋体" w:eastAsia="宋体" w:cs="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向上级进行反映，包括但不限于广东省市政行业协会、广州市市政公路协会等。</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三、乙方权责</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（三）乙方应在合同签订后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四、事故责任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2"/>
        <w:spacing w:line="5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五、补充条款：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宋体" w:hAnsi="宋体" w:eastAsia="宋体" w:cs="宋体"/>
          <w:color w:val="auto"/>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tc>
        <w:tc>
          <w:tcPr>
            <w:tcW w:w="4474" w:type="dxa"/>
          </w:tcPr>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tc>
      </w:tr>
    </w:tbl>
    <w:p>
      <w:pPr>
        <w:widowControl/>
        <w:spacing w:line="560" w:lineRule="exact"/>
        <w:ind w:firstLine="1560" w:firstLineChars="650"/>
        <w:jc w:val="left"/>
        <w:rPr>
          <w:rFonts w:hint="eastAsia" w:ascii="宋体" w:hAnsi="宋体" w:eastAsia="宋体" w:cs="宋体"/>
          <w:color w:val="auto"/>
          <w:kern w:val="0"/>
          <w:sz w:val="24"/>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工程量清单/报价</w:t>
      </w:r>
    </w:p>
    <w:p>
      <w:pPr>
        <w:spacing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pStyle w:val="27"/>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7"/>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：项目投入人员架构表</w:t>
      </w:r>
    </w:p>
    <w:tbl>
      <w:tblPr>
        <w:tblStyle w:val="2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050"/>
        <w:gridCol w:w="725"/>
        <w:gridCol w:w="2563"/>
        <w:gridCol w:w="1987"/>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1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执业或职业资格证明</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资格证书有效期</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shd w:val="clear" w:color="auto" w:fill="FFFFFF"/>
              </w:rPr>
              <w:t>项目负责人</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pStyle w:val="24"/>
              <w:spacing w:before="0" w:beforeAutospacing="0" w:after="0" w:afterAutospacing="0"/>
              <w:ind w:firstLine="29" w:firstLineChars="14"/>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rPr>
              <w:t>技术负责人</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安全员</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安全员</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电工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电工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电工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焊工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焊工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焊工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焊工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普工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普工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普工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普工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普工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普工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架子工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架子工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架子工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架子工</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eastAsia="zh-CN"/>
              </w:rPr>
              <w:t>……</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bl>
    <w:p>
      <w:pPr>
        <w:pStyle w:val="2"/>
        <w:rPr>
          <w:rFonts w:hint="eastAsia" w:ascii="宋体" w:hAnsi="宋体" w:eastAsia="宋体" w:cs="宋体"/>
          <w:b/>
          <w:bCs/>
          <w:color w:val="auto"/>
          <w:szCs w:val="21"/>
          <w:highlight w:val="none"/>
          <w:lang w:val="en-US" w:eastAsia="zh-CN"/>
        </w:rPr>
      </w:pPr>
    </w:p>
    <w:p>
      <w:pPr>
        <w:pStyle w:val="2"/>
        <w:rPr>
          <w:rFonts w:hint="eastAsia" w:ascii="宋体" w:hAnsi="宋体" w:eastAsia="宋体" w:cs="宋体"/>
          <w:b/>
          <w:bCs/>
          <w:color w:val="auto"/>
          <w:szCs w:val="21"/>
          <w:highlight w:val="none"/>
          <w:lang w:val="en-US" w:eastAsia="zh-CN"/>
        </w:rPr>
      </w:pPr>
    </w:p>
    <w:p>
      <w:pPr>
        <w:pStyle w:val="2"/>
        <w:rPr>
          <w:rFonts w:hint="eastAsia" w:ascii="宋体" w:hAnsi="宋体" w:eastAsia="宋体" w:cs="宋体"/>
          <w:b/>
          <w:bCs/>
          <w:color w:val="auto"/>
          <w:szCs w:val="21"/>
          <w:highlight w:val="none"/>
          <w:lang w:val="en-US" w:eastAsia="zh-CN"/>
        </w:rPr>
      </w:pPr>
    </w:p>
    <w:p>
      <w:pPr>
        <w:pStyle w:val="2"/>
        <w:rPr>
          <w:rFonts w:hint="eastAsia" w:ascii="宋体" w:hAnsi="宋体" w:eastAsia="宋体" w:cs="宋体"/>
          <w:b/>
          <w:bCs/>
          <w:color w:val="auto"/>
          <w:szCs w:val="21"/>
          <w:highlight w:val="none"/>
          <w:lang w:val="en-US" w:eastAsia="zh-CN"/>
        </w:rPr>
      </w:pPr>
    </w:p>
    <w:p>
      <w:pPr>
        <w:pStyle w:val="2"/>
        <w:rPr>
          <w:rFonts w:hint="eastAsia" w:ascii="宋体" w:hAnsi="宋体" w:eastAsia="宋体" w:cs="宋体"/>
          <w:b/>
          <w:bCs/>
          <w:color w:val="auto"/>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sectPr>
          <w:footerReference r:id="rId4" w:type="default"/>
          <w:pgSz w:w="11906" w:h="16838"/>
          <w:pgMar w:top="1417" w:right="1701" w:bottom="1417" w:left="1701" w:header="851" w:footer="992" w:gutter="0"/>
          <w:cols w:space="0" w:num="1"/>
          <w:docGrid w:type="lines" w:linePitch="312" w:charSpace="0"/>
        </w:sectPr>
      </w:pPr>
      <w:r>
        <w:rPr>
          <w:rFonts w:hint="eastAsia" w:ascii="宋体" w:hAnsi="宋体" w:eastAsia="宋体" w:cs="宋体"/>
          <w:b/>
          <w:bCs/>
          <w:color w:val="auto"/>
          <w:sz w:val="21"/>
          <w:szCs w:val="21"/>
          <w:highlight w:val="none"/>
          <w:lang w:val="en-US" w:eastAsia="zh-CN"/>
        </w:rPr>
        <w:t>附件6：应急救援物资清单</w:t>
      </w:r>
    </w:p>
    <w:p>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附件</w:t>
      </w:r>
      <w:r>
        <w:rPr>
          <w:rFonts w:hint="eastAsia" w:ascii="宋体" w:hAnsi="宋体" w:eastAsia="宋体" w:cs="宋体"/>
          <w:b/>
          <w:bCs/>
          <w:color w:val="auto"/>
          <w:kern w:val="0"/>
          <w:sz w:val="21"/>
          <w:szCs w:val="21"/>
          <w:highlight w:val="none"/>
          <w:lang w:val="en-US" w:eastAsia="zh-CN"/>
        </w:rPr>
        <w:t xml:space="preserve">7 </w:t>
      </w:r>
      <w:r>
        <w:rPr>
          <w:rFonts w:hint="eastAsia" w:ascii="宋体" w:hAnsi="宋体" w:eastAsia="宋体" w:cs="宋体"/>
          <w:b/>
          <w:bCs/>
          <w:color w:val="auto"/>
          <w:kern w:val="0"/>
          <w:sz w:val="21"/>
          <w:szCs w:val="21"/>
          <w:highlight w:val="none"/>
        </w:rPr>
        <w:t>营运项目承包单位日常履约考评参照表（安全）、营运项目承包单位综合履约考评表（安全）</w:t>
      </w:r>
    </w:p>
    <w:p>
      <w:pPr>
        <w:pStyle w:val="2"/>
        <w:rPr>
          <w:rFonts w:hint="eastAsia" w:ascii="宋体" w:hAnsi="宋体" w:eastAsia="宋体" w:cs="宋体"/>
          <w:color w:val="auto"/>
          <w:sz w:val="24"/>
          <w:szCs w:val="24"/>
          <w:highlight w:val="none"/>
        </w:rPr>
      </w:pPr>
    </w:p>
    <w:tbl>
      <w:tblPr>
        <w:tblStyle w:val="28"/>
        <w:tblW w:w="0" w:type="auto"/>
        <w:tblInd w:w="0" w:type="dxa"/>
        <w:tblLayout w:type="autofit"/>
        <w:tblCellMar>
          <w:top w:w="0" w:type="dxa"/>
          <w:left w:w="0" w:type="dxa"/>
          <w:bottom w:w="0" w:type="dxa"/>
          <w:right w:w="0" w:type="dxa"/>
        </w:tblCellMar>
      </w:tblPr>
      <w:tblGrid>
        <w:gridCol w:w="344"/>
        <w:gridCol w:w="861"/>
        <w:gridCol w:w="703"/>
        <w:gridCol w:w="2197"/>
        <w:gridCol w:w="1094"/>
        <w:gridCol w:w="1103"/>
        <w:gridCol w:w="1103"/>
        <w:gridCol w:w="1123"/>
      </w:tblGrid>
      <w:tr>
        <w:tblPrEx>
          <w:tblCellMar>
            <w:top w:w="0" w:type="dxa"/>
            <w:left w:w="0" w:type="dxa"/>
            <w:bottom w:w="0" w:type="dxa"/>
            <w:right w:w="0" w:type="dxa"/>
          </w:tblCellMar>
        </w:tblPrEx>
        <w:trPr>
          <w:trHeight w:val="300" w:hRule="atLeast"/>
        </w:trPr>
        <w:tc>
          <w:tcPr>
            <w:tcW w:w="0" w:type="auto"/>
            <w:gridSpan w:val="2"/>
            <w:noWrap/>
            <w:tcMar>
              <w:top w:w="12" w:type="dxa"/>
              <w:left w:w="12" w:type="dxa"/>
              <w:bottom w:w="0" w:type="dxa"/>
              <w:right w:w="12" w:type="dxa"/>
            </w:tcMar>
            <w:vAlign w:val="center"/>
          </w:tcPr>
          <w:p>
            <w:pPr>
              <w:widowControl/>
              <w:jc w:val="left"/>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附件</w:t>
            </w:r>
            <w:r>
              <w:rPr>
                <w:rFonts w:hint="eastAsia" w:ascii="宋体" w:hAnsi="宋体" w:eastAsia="宋体" w:cs="宋体"/>
                <w:color w:val="auto"/>
                <w:kern w:val="0"/>
                <w:sz w:val="16"/>
                <w:szCs w:val="16"/>
                <w:highlight w:val="none"/>
                <w:lang w:val="en-US" w:eastAsia="zh-CN" w:bidi="ar"/>
              </w:rPr>
              <w:t>7</w:t>
            </w:r>
            <w:r>
              <w:rPr>
                <w:rFonts w:hint="eastAsia" w:ascii="宋体" w:hAnsi="宋体" w:eastAsia="宋体" w:cs="宋体"/>
                <w:color w:val="auto"/>
                <w:kern w:val="0"/>
                <w:sz w:val="16"/>
                <w:szCs w:val="16"/>
                <w:highlight w:val="none"/>
                <w:lang w:bidi="ar"/>
              </w:rPr>
              <w:t>-1</w:t>
            </w:r>
          </w:p>
        </w:tc>
        <w:tc>
          <w:tcPr>
            <w:tcW w:w="0" w:type="auto"/>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p>
        </w:tc>
        <w:tc>
          <w:tcPr>
            <w:tcW w:w="0" w:type="auto"/>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p>
        </w:tc>
        <w:tc>
          <w:tcPr>
            <w:tcW w:w="0" w:type="auto"/>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p>
        </w:tc>
        <w:tc>
          <w:tcPr>
            <w:tcW w:w="0" w:type="auto"/>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p>
        </w:tc>
        <w:tc>
          <w:tcPr>
            <w:tcW w:w="0" w:type="auto"/>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p>
        </w:tc>
        <w:tc>
          <w:tcPr>
            <w:tcW w:w="0" w:type="auto"/>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8"/>
            <w:noWrap/>
            <w:tcMar>
              <w:top w:w="12" w:type="dxa"/>
              <w:left w:w="12" w:type="dxa"/>
              <w:bottom w:w="0" w:type="dxa"/>
              <w:right w:w="12" w:type="dxa"/>
            </w:tcMar>
            <w:vAlign w:val="center"/>
          </w:tcPr>
          <w:p>
            <w:pPr>
              <w:widowControl/>
              <w:jc w:val="center"/>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扣合同金额的30%～50%；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扣合同金额的1%～2%；</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1.发生事故或事件隐瞒不报的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2.未在1小时内向业主单位上报事故的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4.未按规定和程序组织事故调查和事故处理的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5.未及时处理导致事故扩大的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扣合同金额的30%～50%；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2.施工单位对施工人员的三级安全教育材料</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缺资料扣合同金额的5%或500；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缺资料扣合同金额的2%或2000；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缺资料扣合同金额的1%或4500；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缺资料扣合同金额的0.4%或8000；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4.施工方案，应满足合同要求，内容至少包括：</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施工点介绍</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缺施工方案扣合同金额的6%或700；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缺施工方案扣合同金额的3%或3500；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缺施工方案扣合同金额的1.5%或5000；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缺施工方案扣合同金额的0.5%或1万；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5.应急预案，内容至少包括：</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现场情况介绍</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风险评估</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应急流程</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应急物资清单</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缺应急预案扣合同金额的6%或700；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缺应急预案扣合同金额的3%或3500；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缺应急预案扣合同金额的1.5%或5000；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缺应急预案扣合同金额的0.5%或1万；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安全责任人</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安全员</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设备、物资管理人员</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缺安全架构扣合同金额的10%或2000；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缺安全架构扣合同金额的5%或5000；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缺安全架构扣合同金额的2%或1万；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缺安全架构扣合同金额的1%或2万；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7.施工人员花名册，人员应包含：</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一般施工人员</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缺花名册扣合同金额的5%或500；</w:t>
            </w:r>
          </w:p>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缺特种作业人员或特种作业人员不满足合同要求，扣合同金额的5%或500；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缺花名册扣合同金额的2%或2000；</w:t>
            </w:r>
          </w:p>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缺特种作业人员或特种作业人员不满足合同要求，扣合同金额的2%或2000；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缺花名册扣合同金额的1%或4500；</w:t>
            </w:r>
          </w:p>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缺特种作业人员或特种作业人员不满足合同要求，扣合同金额的1%或4500；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缺花名册扣合同金额的0.4%或8000；</w:t>
            </w:r>
          </w:p>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缺特种作业人员或特种作业人员不满足合同要求，扣合同金额的0.4%或8000；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1.施工现场未开展有效围蔽</w:t>
            </w:r>
          </w:p>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3.现场无危险源公示、告知及相应警示</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1.现场未按施工方案落实安全防范措施的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2.危险作业未经业主人员审批先行施工的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1.违反9大危险作业相关作业规范的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1.未设置应急物资点，未统一存放应急物资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扣合同金额的1%～2%；</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扣合同金额的0.5%～1%；</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扣合同金额的0.3%～0.4%；</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r>
    </w:tbl>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注：</w:t>
      </w:r>
      <w:r>
        <w:rPr>
          <w:rFonts w:hint="eastAsia" w:ascii="宋体" w:hAnsi="宋体" w:eastAsia="宋体" w:cs="宋体"/>
          <w:color w:val="auto"/>
          <w:sz w:val="13"/>
          <w:szCs w:val="13"/>
          <w:highlight w:val="none"/>
        </w:rPr>
        <w:t>1</w:t>
      </w:r>
      <w:r>
        <w:rPr>
          <w:rFonts w:hint="eastAsia" w:ascii="宋体" w:hAnsi="宋体" w:eastAsia="宋体" w:cs="宋体"/>
          <w:color w:val="auto"/>
          <w:sz w:val="13"/>
          <w:szCs w:val="13"/>
          <w:highlight w:val="none"/>
        </w:rPr>
        <w:t>、与安全管理相关的考评内容具体考评标准内容参照广州市净水有限公司标准《工程项目安全管理规范》（</w:t>
      </w:r>
      <w:r>
        <w:rPr>
          <w:rFonts w:hint="eastAsia" w:ascii="宋体" w:hAnsi="宋体" w:eastAsia="宋体" w:cs="宋体"/>
          <w:color w:val="auto"/>
          <w:sz w:val="13"/>
          <w:szCs w:val="13"/>
          <w:highlight w:val="none"/>
        </w:rPr>
        <w:t>Q/GZJSA 1-2021</w:t>
      </w:r>
      <w:r>
        <w:rPr>
          <w:rFonts w:hint="eastAsia" w:ascii="宋体" w:hAnsi="宋体" w:eastAsia="宋体" w:cs="宋体"/>
          <w:color w:val="auto"/>
          <w:sz w:val="13"/>
          <w:szCs w:val="13"/>
          <w:highlight w:val="none"/>
        </w:rPr>
        <w:t>）执行。</w:t>
      </w:r>
    </w:p>
    <w:p>
      <w:pPr>
        <w:jc w:val="left"/>
        <w:rPr>
          <w:rFonts w:hint="eastAsia" w:ascii="宋体" w:hAnsi="宋体" w:eastAsia="宋体" w:cs="宋体"/>
          <w:b/>
          <w:bCs/>
          <w:color w:val="auto"/>
          <w:kern w:val="0"/>
          <w:szCs w:val="21"/>
          <w:highlight w:val="none"/>
        </w:rPr>
      </w:pPr>
      <w:r>
        <w:rPr>
          <w:rFonts w:hint="eastAsia" w:ascii="宋体" w:hAnsi="宋体" w:eastAsia="宋体" w:cs="宋体"/>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宋体" w:hAnsi="宋体" w:eastAsia="宋体" w:cs="宋体"/>
          <w:color w:val="auto"/>
          <w:sz w:val="13"/>
          <w:szCs w:val="13"/>
          <w:highlight w:val="none"/>
        </w:rPr>
        <w:t>》。</w:t>
      </w:r>
    </w:p>
    <w:p>
      <w:pPr>
        <w:jc w:val="left"/>
        <w:rPr>
          <w:rFonts w:hint="eastAsia" w:ascii="宋体" w:hAnsi="宋体" w:eastAsia="宋体" w:cs="宋体"/>
          <w:b/>
          <w:bCs/>
          <w:color w:val="auto"/>
          <w:kern w:val="0"/>
          <w:szCs w:val="21"/>
          <w:highlight w:val="none"/>
        </w:rPr>
      </w:pPr>
    </w:p>
    <w:p>
      <w:pPr>
        <w:jc w:val="left"/>
        <w:rPr>
          <w:rFonts w:hint="eastAsia" w:ascii="宋体" w:hAnsi="宋体" w:eastAsia="宋体" w:cs="宋体"/>
          <w:b/>
          <w:bCs/>
          <w:color w:val="auto"/>
          <w:kern w:val="0"/>
          <w:szCs w:val="21"/>
          <w:highlight w:val="none"/>
        </w:rPr>
      </w:pPr>
    </w:p>
    <w:tbl>
      <w:tblPr>
        <w:tblStyle w:val="28"/>
        <w:tblW w:w="8336" w:type="dxa"/>
        <w:jc w:val="center"/>
        <w:tblLayout w:type="autofit"/>
        <w:tblCellMar>
          <w:top w:w="0" w:type="dxa"/>
          <w:left w:w="0" w:type="dxa"/>
          <w:bottom w:w="0" w:type="dxa"/>
          <w:right w:w="0" w:type="dxa"/>
        </w:tblCellMar>
      </w:tblPr>
      <w:tblGrid>
        <w:gridCol w:w="344"/>
        <w:gridCol w:w="263"/>
        <w:gridCol w:w="367"/>
        <w:gridCol w:w="2940"/>
        <w:gridCol w:w="808"/>
        <w:gridCol w:w="759"/>
        <w:gridCol w:w="759"/>
        <w:gridCol w:w="759"/>
        <w:gridCol w:w="759"/>
        <w:gridCol w:w="758"/>
      </w:tblGrid>
      <w:tr>
        <w:tblPrEx>
          <w:tblCellMar>
            <w:top w:w="0" w:type="dxa"/>
            <w:left w:w="0" w:type="dxa"/>
            <w:bottom w:w="0" w:type="dxa"/>
            <w:right w:w="0" w:type="dxa"/>
          </w:tblCellMar>
        </w:tblPrEx>
        <w:trPr>
          <w:trHeight w:val="413" w:hRule="atLeast"/>
          <w:jc w:val="center"/>
        </w:trPr>
        <w:tc>
          <w:tcPr>
            <w:tcW w:w="8336" w:type="dxa"/>
            <w:gridSpan w:val="10"/>
            <w:noWrap/>
            <w:tcMar>
              <w:top w:w="12" w:type="dxa"/>
              <w:left w:w="12" w:type="dxa"/>
              <w:bottom w:w="0" w:type="dxa"/>
              <w:right w:w="12" w:type="dxa"/>
            </w:tcMar>
            <w:vAlign w:val="center"/>
          </w:tcPr>
          <w:p>
            <w:pPr>
              <w:jc w:val="left"/>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附件</w:t>
            </w:r>
            <w:r>
              <w:rPr>
                <w:rFonts w:hint="eastAsia" w:ascii="宋体" w:hAnsi="宋体" w:eastAsia="宋体" w:cs="宋体"/>
                <w:color w:val="auto"/>
                <w:kern w:val="0"/>
                <w:sz w:val="16"/>
                <w:szCs w:val="16"/>
                <w:highlight w:val="none"/>
                <w:lang w:val="en-US" w:eastAsia="zh-CN" w:bidi="ar"/>
              </w:rPr>
              <w:t>7</w:t>
            </w:r>
            <w:r>
              <w:rPr>
                <w:rFonts w:hint="eastAsia" w:ascii="宋体" w:hAnsi="宋体" w:eastAsia="宋体" w:cs="宋体"/>
                <w:color w:val="auto"/>
                <w:kern w:val="0"/>
                <w:sz w:val="16"/>
                <w:szCs w:val="16"/>
                <w:highlight w:val="none"/>
                <w:lang w:bidi="ar"/>
              </w:rPr>
              <w:t>-2</w:t>
            </w:r>
          </w:p>
        </w:tc>
      </w:tr>
      <w:tr>
        <w:tblPrEx>
          <w:tblCellMar>
            <w:top w:w="0" w:type="dxa"/>
            <w:left w:w="0" w:type="dxa"/>
            <w:bottom w:w="0" w:type="dxa"/>
            <w:right w:w="0" w:type="dxa"/>
          </w:tblCellMar>
        </w:tblPrEx>
        <w:trPr>
          <w:trHeight w:val="436" w:hRule="atLeast"/>
          <w:jc w:val="center"/>
        </w:trPr>
        <w:tc>
          <w:tcPr>
            <w:tcW w:w="0" w:type="auto"/>
            <w:gridSpan w:val="10"/>
            <w:noWrap/>
            <w:tcMar>
              <w:top w:w="12" w:type="dxa"/>
              <w:left w:w="12" w:type="dxa"/>
              <w:bottom w:w="0" w:type="dxa"/>
              <w:right w:w="12" w:type="dxa"/>
            </w:tcMar>
            <w:vAlign w:val="center"/>
          </w:tcPr>
          <w:p>
            <w:pPr>
              <w:widowControl/>
              <w:jc w:val="center"/>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07" w:hRule="atLeast"/>
          <w:jc w:val="center"/>
        </w:trPr>
        <w:tc>
          <w:tcPr>
            <w:tcW w:w="0" w:type="auto"/>
            <w:gridSpan w:val="4"/>
            <w:noWrap/>
            <w:tcMar>
              <w:top w:w="12" w:type="dxa"/>
              <w:left w:w="12" w:type="dxa"/>
              <w:bottom w:w="0" w:type="dxa"/>
              <w:right w:w="12" w:type="dxa"/>
            </w:tcMar>
            <w:vAlign w:val="center"/>
          </w:tcPr>
          <w:p>
            <w:pPr>
              <w:widowControl/>
              <w:jc w:val="left"/>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项目名称：</w:t>
            </w:r>
          </w:p>
        </w:tc>
        <w:tc>
          <w:tcPr>
            <w:tcW w:w="0" w:type="auto"/>
            <w:noWrap/>
            <w:tcMar>
              <w:top w:w="12" w:type="dxa"/>
              <w:left w:w="12" w:type="dxa"/>
              <w:bottom w:w="0" w:type="dxa"/>
              <w:right w:w="12" w:type="dxa"/>
            </w:tcMar>
            <w:vAlign w:val="center"/>
          </w:tcPr>
          <w:p>
            <w:pPr>
              <w:jc w:val="center"/>
              <w:rPr>
                <w:rFonts w:hint="eastAsia" w:ascii="宋体" w:hAnsi="宋体" w:eastAsia="宋体" w:cs="宋体"/>
                <w:b/>
                <w:color w:val="auto"/>
                <w:sz w:val="16"/>
                <w:szCs w:val="16"/>
                <w:highlight w:val="none"/>
              </w:rPr>
            </w:pPr>
          </w:p>
        </w:tc>
        <w:tc>
          <w:tcPr>
            <w:tcW w:w="0" w:type="auto"/>
            <w:gridSpan w:val="5"/>
            <w:noWrap/>
            <w:tcMar>
              <w:top w:w="12" w:type="dxa"/>
              <w:left w:w="12" w:type="dxa"/>
              <w:bottom w:w="0" w:type="dxa"/>
              <w:right w:w="12" w:type="dxa"/>
            </w:tcMar>
            <w:vAlign w:val="center"/>
          </w:tcPr>
          <w:p>
            <w:pPr>
              <w:widowControl/>
              <w:jc w:val="left"/>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263"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考评项目</w:t>
            </w:r>
          </w:p>
        </w:tc>
        <w:tc>
          <w:tcPr>
            <w:tcW w:w="367"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考评内容</w:t>
            </w:r>
          </w:p>
        </w:tc>
        <w:tc>
          <w:tcPr>
            <w:tcW w:w="808"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考评标准</w:t>
            </w:r>
          </w:p>
        </w:tc>
        <w:tc>
          <w:tcPr>
            <w:tcW w:w="723"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监理单位考评</w:t>
            </w:r>
          </w:p>
        </w:tc>
        <w:tc>
          <w:tcPr>
            <w:tcW w:w="723"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分公司考评</w:t>
            </w:r>
          </w:p>
        </w:tc>
        <w:tc>
          <w:tcPr>
            <w:tcW w:w="1446"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公司考评</w:t>
            </w:r>
          </w:p>
        </w:tc>
        <w:tc>
          <w:tcPr>
            <w:tcW w:w="722"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综合考评</w:t>
            </w:r>
          </w:p>
        </w:tc>
      </w:tr>
      <w:tr>
        <w:tblPrEx>
          <w:tblCellMar>
            <w:top w:w="0" w:type="dxa"/>
            <w:left w:w="0" w:type="dxa"/>
            <w:bottom w:w="0" w:type="dxa"/>
            <w:right w:w="0" w:type="dxa"/>
          </w:tblCellMar>
        </w:tblPrEx>
        <w:trPr>
          <w:trHeight w:val="62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业务主管部门</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安全管理部门</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17"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一、加分部分</w:t>
            </w:r>
          </w:p>
        </w:tc>
      </w:tr>
      <w:tr>
        <w:tblPrEx>
          <w:tblCellMar>
            <w:top w:w="0" w:type="dxa"/>
            <w:left w:w="0" w:type="dxa"/>
            <w:bottom w:w="0" w:type="dxa"/>
            <w:right w:w="0" w:type="dxa"/>
          </w:tblCellMar>
        </w:tblPrEx>
        <w:trPr>
          <w:trHeight w:val="669"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630"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综合管理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受到业主单位或上级管理部门通报表扬的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加5～10分/项，可叠加</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71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630"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积极配合业主单位做好安全工作及相关宣传教育，积极主动排查隐患的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加5分/项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62"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二、扣分部分</w:t>
            </w:r>
          </w:p>
        </w:tc>
      </w:tr>
      <w:tr>
        <w:tblPrEx>
          <w:tblCellMar>
            <w:top w:w="0" w:type="dxa"/>
            <w:left w:w="0" w:type="dxa"/>
            <w:bottom w:w="0" w:type="dxa"/>
            <w:right w:w="0" w:type="dxa"/>
          </w:tblCellMar>
        </w:tblPrEx>
        <w:trPr>
          <w:trHeight w:val="142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263"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安全事故</w:t>
            </w:r>
          </w:p>
        </w:tc>
        <w:tc>
          <w:tcPr>
            <w:tcW w:w="367"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事故类型</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发生重伤1人及以上安全事故，或直接经济损失达200万元以上的安全生产事故</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44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扣40分/项，可叠加，到达100分，3年内禁止来我公司投标</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事故处理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1.发生事故或事件隐瞒不报的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2.未在1小时内向业主单位上报事故的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4.未按规定和程序组织事故调查和事故处理的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5.未及时处理导致事故扩大的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67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263"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一般资料</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2.施工单位对施工人员的三级安全教育材料</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缺资料扣3～5分/项；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87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施工方案</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4.施工方案，应满足合同要求，内容至少包括：</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施工点介绍</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缺施工方案扣4～8分/项；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25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应急预案</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5.应急预案，内容至少包括：</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现场情况介绍</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风险评估</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应急流程</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应急物资清单</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缺应急预案扣4～8分/项；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44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安全架构</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安全责任人</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安全员</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设备、物资管理人员</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w:t>
            </w:r>
            <w:bookmarkStart w:id="31" w:name="_GoBack"/>
            <w:bookmarkEnd w:id="31"/>
            <w:r>
              <w:rPr>
                <w:rFonts w:hint="eastAsia" w:ascii="宋体" w:hAnsi="宋体" w:eastAsia="宋体" w:cs="宋体"/>
                <w:color w:val="auto"/>
                <w:kern w:val="0"/>
                <w:sz w:val="16"/>
                <w:szCs w:val="16"/>
                <w:highlight w:val="none"/>
                <w:lang w:bidi="ar"/>
              </w:rPr>
              <w:t>员</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缺安全架构扣5～10分/项；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缺任何一类人员及其职责有问题扣2～4分/项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13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人员资质</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7.施工人员花名册，人员应包含：</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一般施工人员</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缺花名册扣3～5分/项；</w:t>
            </w:r>
          </w:p>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缺特种作业人员或特种作业人员不满足合同要求扣3～5分/项；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其他人员或资料有缺漏扣1～3分/项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14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13</w:t>
            </w:r>
          </w:p>
        </w:tc>
        <w:tc>
          <w:tcPr>
            <w:tcW w:w="263" w:type="dxa"/>
            <w:vMerge w:val="restar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施工现场管理</w:t>
            </w: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现场面貌</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1.施工现场未开展有效围蔽</w:t>
            </w:r>
          </w:p>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3.现场无危险源公示、告知及相应警示</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02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1.现场未按施工方案落实安全防范措施的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2.危险作业未经业主人员审批先行施工的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19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每日安全交底</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813"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作业行为管理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1.违反9大危险作业相关作业规范的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9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安全记录</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1.未设置应急物资点，未统一存放应急物资</w:t>
            </w:r>
          </w:p>
          <w:p>
            <w:pPr>
              <w:widowControl/>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5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隐患管理</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扣4～8分/项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1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16"/>
                <w:szCs w:val="16"/>
                <w:highlight w:val="none"/>
              </w:rPr>
            </w:pPr>
          </w:p>
        </w:tc>
        <w:tc>
          <w:tcPr>
            <w:tcW w:w="36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w:t>
            </w: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扣2～5分/项</w:t>
            </w: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60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jc w:val="center"/>
              <w:rPr>
                <w:rFonts w:hint="eastAsia" w:ascii="宋体" w:hAnsi="宋体" w:eastAsia="宋体" w:cs="宋体"/>
                <w:color w:val="auto"/>
                <w:sz w:val="16"/>
                <w:szCs w:val="16"/>
                <w:highlight w:val="none"/>
              </w:rPr>
            </w:pPr>
          </w:p>
        </w:tc>
        <w:tc>
          <w:tcPr>
            <w:tcW w:w="295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80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3"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c>
          <w:tcPr>
            <w:tcW w:w="72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644" w:hRule="atLeast"/>
          <w:jc w:val="center"/>
        </w:trPr>
        <w:tc>
          <w:tcPr>
            <w:tcW w:w="8336" w:type="dxa"/>
            <w:gridSpan w:val="10"/>
            <w:tcMar>
              <w:top w:w="12" w:type="dxa"/>
              <w:left w:w="12" w:type="dxa"/>
              <w:bottom w:w="0" w:type="dxa"/>
              <w:right w:w="12" w:type="dxa"/>
            </w:tcMar>
            <w:vAlign w:val="center"/>
          </w:tcPr>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注：</w:t>
            </w:r>
            <w:r>
              <w:rPr>
                <w:rFonts w:hint="eastAsia" w:ascii="宋体" w:hAnsi="宋体" w:eastAsia="宋体" w:cs="宋体"/>
                <w:color w:val="auto"/>
                <w:sz w:val="13"/>
                <w:szCs w:val="13"/>
                <w:highlight w:val="none"/>
              </w:rPr>
              <w:t>1</w:t>
            </w:r>
            <w:r>
              <w:rPr>
                <w:rFonts w:hint="eastAsia" w:ascii="宋体" w:hAnsi="宋体" w:eastAsia="宋体" w:cs="宋体"/>
                <w:color w:val="auto"/>
                <w:sz w:val="13"/>
                <w:szCs w:val="13"/>
                <w:highlight w:val="none"/>
              </w:rPr>
              <w:t>、综合考评满分</w:t>
            </w:r>
            <w:r>
              <w:rPr>
                <w:rFonts w:hint="eastAsia" w:ascii="宋体" w:hAnsi="宋体" w:eastAsia="宋体" w:cs="宋体"/>
                <w:color w:val="auto"/>
                <w:sz w:val="13"/>
                <w:szCs w:val="13"/>
                <w:highlight w:val="none"/>
              </w:rPr>
              <w:t>100</w:t>
            </w:r>
            <w:r>
              <w:rPr>
                <w:rFonts w:hint="eastAsia" w:ascii="宋体" w:hAnsi="宋体" w:eastAsia="宋体" w:cs="宋体"/>
                <w:color w:val="auto"/>
                <w:sz w:val="13"/>
                <w:szCs w:val="13"/>
                <w:highlight w:val="none"/>
              </w:rPr>
              <w:t>分，各考评项目扣分不设上限；</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2</w:t>
            </w:r>
            <w:r>
              <w:rPr>
                <w:rFonts w:hint="eastAsia" w:ascii="宋体" w:hAnsi="宋体" w:eastAsia="宋体" w:cs="宋体"/>
                <w:color w:val="auto"/>
                <w:sz w:val="13"/>
                <w:szCs w:val="13"/>
                <w:highlight w:val="none"/>
              </w:rPr>
              <w:t>、监理单位考评只作为参考及履职依据，不计入考评，无监理单位不需填写；</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3</w:t>
            </w:r>
            <w:r>
              <w:rPr>
                <w:rFonts w:hint="eastAsia" w:ascii="宋体" w:hAnsi="宋体" w:eastAsia="宋体" w:cs="宋体"/>
                <w:color w:val="auto"/>
                <w:sz w:val="13"/>
                <w:szCs w:val="13"/>
                <w:highlight w:val="none"/>
              </w:rPr>
              <w:t>、“公司考评”业务主管部门和安全办针对本部门检查发现的内容进行扣（奖）分，项目部已经进行扣（奖）分的不重复执行；</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4</w:t>
            </w:r>
            <w:r>
              <w:rPr>
                <w:rFonts w:hint="eastAsia" w:ascii="宋体" w:hAnsi="宋体" w:eastAsia="宋体" w:cs="宋体"/>
                <w:color w:val="auto"/>
                <w:sz w:val="13"/>
                <w:szCs w:val="13"/>
                <w:highlight w:val="none"/>
              </w:rPr>
              <w:t>、各分公司考评填写相应的得（扣）分数值，如奖</w:t>
            </w:r>
            <w:r>
              <w:rPr>
                <w:rFonts w:hint="eastAsia" w:ascii="宋体" w:hAnsi="宋体" w:eastAsia="宋体" w:cs="宋体"/>
                <w:color w:val="auto"/>
                <w:sz w:val="13"/>
                <w:szCs w:val="13"/>
                <w:highlight w:val="none"/>
              </w:rPr>
              <w:t>2</w:t>
            </w:r>
            <w:r>
              <w:rPr>
                <w:rFonts w:hint="eastAsia" w:ascii="宋体" w:hAnsi="宋体" w:eastAsia="宋体" w:cs="宋体"/>
                <w:color w:val="auto"/>
                <w:sz w:val="13"/>
                <w:szCs w:val="13"/>
                <w:highlight w:val="none"/>
              </w:rPr>
              <w:t>分则填写“</w:t>
            </w:r>
            <w:r>
              <w:rPr>
                <w:rFonts w:hint="eastAsia" w:ascii="宋体" w:hAnsi="宋体" w:eastAsia="宋体" w:cs="宋体"/>
                <w:color w:val="auto"/>
                <w:sz w:val="13"/>
                <w:szCs w:val="13"/>
                <w:highlight w:val="none"/>
              </w:rPr>
              <w:t>2</w:t>
            </w:r>
            <w:r>
              <w:rPr>
                <w:rFonts w:hint="eastAsia" w:ascii="宋体" w:hAnsi="宋体" w:eastAsia="宋体" w:cs="宋体"/>
                <w:color w:val="auto"/>
                <w:sz w:val="13"/>
                <w:szCs w:val="13"/>
                <w:highlight w:val="none"/>
              </w:rPr>
              <w:t>”，扣</w:t>
            </w:r>
            <w:r>
              <w:rPr>
                <w:rFonts w:hint="eastAsia" w:ascii="宋体" w:hAnsi="宋体" w:eastAsia="宋体" w:cs="宋体"/>
                <w:color w:val="auto"/>
                <w:sz w:val="13"/>
                <w:szCs w:val="13"/>
                <w:highlight w:val="none"/>
              </w:rPr>
              <w:t>2</w:t>
            </w:r>
            <w:r>
              <w:rPr>
                <w:rFonts w:hint="eastAsia" w:ascii="宋体" w:hAnsi="宋体" w:eastAsia="宋体" w:cs="宋体"/>
                <w:color w:val="auto"/>
                <w:sz w:val="13"/>
                <w:szCs w:val="13"/>
                <w:highlight w:val="none"/>
              </w:rPr>
              <w:t>分则填写“</w:t>
            </w:r>
            <w:r>
              <w:rPr>
                <w:rFonts w:hint="eastAsia" w:ascii="宋体" w:hAnsi="宋体" w:eastAsia="宋体" w:cs="宋体"/>
                <w:color w:val="auto"/>
                <w:sz w:val="13"/>
                <w:szCs w:val="13"/>
                <w:highlight w:val="none"/>
              </w:rPr>
              <w:t>-2</w:t>
            </w:r>
            <w:r>
              <w:rPr>
                <w:rFonts w:hint="eastAsia" w:ascii="宋体" w:hAnsi="宋体" w:eastAsia="宋体" w:cs="宋体"/>
                <w:color w:val="auto"/>
                <w:sz w:val="13"/>
                <w:szCs w:val="13"/>
                <w:highlight w:val="none"/>
              </w:rPr>
              <w:t>”；</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5</w:t>
            </w:r>
            <w:r>
              <w:rPr>
                <w:rFonts w:hint="eastAsia" w:ascii="宋体" w:hAnsi="宋体" w:eastAsia="宋体" w:cs="宋体"/>
                <w:color w:val="auto"/>
                <w:sz w:val="13"/>
                <w:szCs w:val="13"/>
                <w:highlight w:val="none"/>
              </w:rPr>
              <w:t>、单项“综合考评”</w:t>
            </w:r>
            <w:r>
              <w:rPr>
                <w:rFonts w:hint="eastAsia" w:ascii="宋体" w:hAnsi="宋体" w:eastAsia="宋体" w:cs="宋体"/>
                <w:color w:val="auto"/>
                <w:sz w:val="13"/>
                <w:szCs w:val="13"/>
                <w:highlight w:val="none"/>
              </w:rPr>
              <w:t>=</w:t>
            </w:r>
            <w:r>
              <w:rPr>
                <w:rFonts w:hint="eastAsia" w:ascii="宋体" w:hAnsi="宋体" w:eastAsia="宋体" w:cs="宋体"/>
                <w:color w:val="auto"/>
                <w:sz w:val="13"/>
                <w:szCs w:val="13"/>
                <w:highlight w:val="none"/>
              </w:rPr>
              <w:t>项目部考评</w:t>
            </w:r>
            <w:r>
              <w:rPr>
                <w:rFonts w:hint="eastAsia" w:ascii="宋体" w:hAnsi="宋体" w:eastAsia="宋体" w:cs="宋体"/>
                <w:color w:val="auto"/>
                <w:sz w:val="13"/>
                <w:szCs w:val="13"/>
                <w:highlight w:val="none"/>
              </w:rPr>
              <w:t>+</w:t>
            </w:r>
            <w:r>
              <w:rPr>
                <w:rFonts w:hint="eastAsia" w:ascii="宋体" w:hAnsi="宋体" w:eastAsia="宋体" w:cs="宋体"/>
                <w:color w:val="auto"/>
                <w:sz w:val="13"/>
                <w:szCs w:val="13"/>
                <w:highlight w:val="none"/>
              </w:rPr>
              <w:t>公司考评；综合考评总分</w:t>
            </w:r>
            <w:r>
              <w:rPr>
                <w:rFonts w:hint="eastAsia" w:ascii="宋体" w:hAnsi="宋体" w:eastAsia="宋体" w:cs="宋体"/>
                <w:color w:val="auto"/>
                <w:sz w:val="13"/>
                <w:szCs w:val="13"/>
                <w:highlight w:val="none"/>
              </w:rPr>
              <w:t>=</w:t>
            </w:r>
            <w:r>
              <w:rPr>
                <w:rFonts w:hint="eastAsia" w:ascii="宋体" w:hAnsi="宋体" w:eastAsia="宋体" w:cs="宋体"/>
                <w:color w:val="auto"/>
                <w:sz w:val="13"/>
                <w:szCs w:val="13"/>
                <w:highlight w:val="none"/>
              </w:rPr>
              <w:t>各单项“综合考评”</w:t>
            </w:r>
            <w:r>
              <w:rPr>
                <w:rFonts w:hint="eastAsia" w:ascii="宋体" w:hAnsi="宋体" w:eastAsia="宋体" w:cs="宋体"/>
                <w:color w:val="auto"/>
                <w:sz w:val="13"/>
                <w:szCs w:val="13"/>
                <w:highlight w:val="none"/>
              </w:rPr>
              <w:t>+100</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6</w:t>
            </w:r>
            <w:r>
              <w:rPr>
                <w:rFonts w:hint="eastAsia" w:ascii="宋体" w:hAnsi="宋体" w:eastAsia="宋体" w:cs="宋体"/>
                <w:color w:val="auto"/>
                <w:sz w:val="13"/>
                <w:szCs w:val="13"/>
                <w:highlight w:val="none"/>
              </w:rPr>
              <w:t>、最后得分</w:t>
            </w:r>
            <w:r>
              <w:rPr>
                <w:rFonts w:hint="eastAsia" w:ascii="宋体" w:hAnsi="宋体" w:eastAsia="宋体" w:cs="宋体"/>
                <w:color w:val="auto"/>
                <w:sz w:val="13"/>
                <w:szCs w:val="13"/>
                <w:highlight w:val="none"/>
              </w:rPr>
              <w:t>=</w:t>
            </w:r>
            <w:r>
              <w:rPr>
                <w:rFonts w:hint="eastAsia" w:ascii="宋体" w:hAnsi="宋体" w:eastAsia="宋体" w:cs="宋体"/>
                <w:color w:val="auto"/>
                <w:sz w:val="13"/>
                <w:szCs w:val="13"/>
                <w:highlight w:val="none"/>
              </w:rPr>
              <w:t>综合考评总分</w:t>
            </w:r>
            <w:r>
              <w:rPr>
                <w:rFonts w:hint="eastAsia" w:ascii="宋体" w:hAnsi="宋体" w:eastAsia="宋体" w:cs="宋体"/>
                <w:color w:val="auto"/>
                <w:sz w:val="13"/>
                <w:szCs w:val="13"/>
                <w:highlight w:val="none"/>
              </w:rPr>
              <w:t>X</w:t>
            </w:r>
            <w:r>
              <w:rPr>
                <w:rFonts w:hint="eastAsia" w:ascii="宋体" w:hAnsi="宋体" w:eastAsia="宋体" w:cs="宋体"/>
                <w:color w:val="auto"/>
                <w:sz w:val="13"/>
                <w:szCs w:val="13"/>
                <w:highlight w:val="none"/>
              </w:rPr>
              <w:t>类别系数；</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7</w:t>
            </w:r>
            <w:r>
              <w:rPr>
                <w:rFonts w:hint="eastAsia" w:ascii="宋体" w:hAnsi="宋体" w:eastAsia="宋体" w:cs="宋体"/>
                <w:color w:val="auto"/>
                <w:sz w:val="13"/>
                <w:szCs w:val="13"/>
                <w:highlight w:val="none"/>
              </w:rPr>
              <w:t>、各考评项目具体考评标准内容参照广州市净水有限公司标准《工程项目安全管理规范》（</w:t>
            </w:r>
            <w:r>
              <w:rPr>
                <w:rFonts w:hint="eastAsia" w:ascii="宋体" w:hAnsi="宋体" w:eastAsia="宋体" w:cs="宋体"/>
                <w:color w:val="auto"/>
                <w:sz w:val="13"/>
                <w:szCs w:val="13"/>
                <w:highlight w:val="none"/>
              </w:rPr>
              <w:t>Q/GZJSA 1-2021</w:t>
            </w:r>
            <w:r>
              <w:rPr>
                <w:rFonts w:hint="eastAsia" w:ascii="宋体" w:hAnsi="宋体" w:eastAsia="宋体" w:cs="宋体"/>
                <w:color w:val="auto"/>
                <w:sz w:val="13"/>
                <w:szCs w:val="13"/>
                <w:highlight w:val="none"/>
              </w:rPr>
              <w:t>）执行。</w:t>
            </w:r>
            <w:r>
              <w:rPr>
                <w:rFonts w:hint="eastAsia" w:ascii="宋体" w:hAnsi="宋体" w:eastAsia="宋体" w:cs="宋体"/>
                <w:color w:val="auto"/>
                <w:sz w:val="13"/>
                <w:szCs w:val="13"/>
                <w:highlight w:val="none"/>
              </w:rPr>
              <w:t xml:space="preserve"> </w:t>
            </w:r>
          </w:p>
          <w:p>
            <w:pPr>
              <w:ind w:firstLine="260" w:firstLineChars="200"/>
              <w:jc w:val="left"/>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宋体" w:hAnsi="宋体" w:eastAsia="宋体" w:cs="宋体"/>
                <w:color w:val="auto"/>
                <w:sz w:val="13"/>
                <w:szCs w:val="13"/>
                <w:highlight w:val="none"/>
              </w:rPr>
              <w:t>》。</w:t>
            </w:r>
          </w:p>
          <w:p>
            <w:pPr>
              <w:pStyle w:val="27"/>
              <w:rPr>
                <w:rFonts w:hint="eastAsia" w:ascii="宋体" w:hAnsi="宋体" w:eastAsia="宋体" w:cs="宋体"/>
                <w:color w:val="auto"/>
                <w:highlight w:val="none"/>
              </w:rPr>
            </w:pPr>
          </w:p>
        </w:tc>
      </w:tr>
    </w:tbl>
    <w:p>
      <w:pPr>
        <w:adjustRightInd w:val="0"/>
        <w:snapToGrid w:val="0"/>
        <w:spacing w:before="156" w:beforeLines="50" w:after="156" w:afterLines="50" w:line="600" w:lineRule="exact"/>
        <w:rPr>
          <w:rFonts w:hint="eastAsia" w:ascii="宋体" w:hAnsi="宋体" w:eastAsia="宋体" w:cs="宋体"/>
          <w:color w:val="auto"/>
          <w:sz w:val="28"/>
          <w:szCs w:val="28"/>
          <w:highlight w:val="none"/>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：履约保函（模板）</w:t>
      </w: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履约保函模板</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（受益人）</w:t>
      </w:r>
    </w:p>
    <w:p>
      <w:pPr>
        <w:pStyle w:val="22"/>
        <w:rPr>
          <w:rFonts w:hint="eastAsia" w:ascii="宋体" w:hAnsi="宋体" w:eastAsia="宋体" w:cs="宋体"/>
          <w:color w:val="auto"/>
          <w:highlight w:val="none"/>
          <w:lang w:eastAsia="zh-CN"/>
        </w:rPr>
      </w:pPr>
    </w:p>
    <w:p>
      <w:pPr>
        <w:pStyle w:val="22"/>
        <w:rPr>
          <w:rFonts w:hint="eastAsia" w:ascii="宋体" w:hAnsi="宋体" w:eastAsia="宋体" w:cs="宋体"/>
          <w:color w:val="auto"/>
          <w:highlight w:val="none"/>
          <w:lang w:eastAsia="zh-CN"/>
        </w:rPr>
      </w:pPr>
    </w:p>
    <w:p>
      <w:pPr>
        <w:pStyle w:val="2"/>
        <w:rPr>
          <w:rFonts w:hint="eastAsia" w:ascii="宋体" w:hAnsi="宋体" w:eastAsia="宋体" w:cs="宋体"/>
          <w:color w:val="auto"/>
          <w:highlight w:val="none"/>
          <w:lang w:eastAsia="zh-CN"/>
        </w:rPr>
      </w:pP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（以下简称“委托人”）与贵方于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签订了</w:t>
      </w:r>
      <w:r>
        <w:rPr>
          <w:rFonts w:hint="eastAsia" w:ascii="宋体" w:hAnsi="宋体" w:eastAsia="宋体" w:cs="宋体"/>
          <w:color w:val="auto"/>
          <w:sz w:val="24"/>
          <w:highlight w:val="none"/>
          <w:u w:val="single"/>
          <w:lang w:val="en-US" w:eastAsia="zh-CN"/>
        </w:rPr>
        <w:t xml:space="preserve">  合同名称+合同编号   </w:t>
      </w:r>
      <w:r>
        <w:rPr>
          <w:rFonts w:hint="eastAsia" w:ascii="宋体" w:hAnsi="宋体" w:eastAsia="宋体" w:cs="宋体"/>
          <w:color w:val="auto"/>
          <w:sz w:val="24"/>
          <w:highlight w:val="none"/>
          <w:u w:val="none"/>
          <w:lang w:val="en-US" w:eastAsia="zh-CN"/>
        </w:rPr>
        <w:t>合同</w:t>
      </w:r>
      <w:r>
        <w:rPr>
          <w:rFonts w:hint="eastAsia" w:ascii="宋体" w:hAnsi="宋体" w:eastAsia="宋体" w:cs="宋体"/>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一、我行保证在收到贵单位于保函有效期内送达的依本保函约定的索赔申请后，在</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个工作日内无条件和不可改变地向贵单位支付最高金额不超过人民币</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）的履约保证金，并放弃向你方提出任何异议和追索的权利。</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二、贵单位的索赔申请应符合下述条件：</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（一）贵单位法定代表人或其授权代表签字并加盖单位公章；</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（二）在保函有效期内送达我行；</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（三）明确的索赔金额（不得超过本保函第一条所列之限额）。</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三、本保函自签发之日起生效，有效期至</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。本保函于下述任一事项发生之时立即失效，我行在本保函项下的保证义务即刻解除：</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（一）本保函有效期限届满；</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（二）我行保证的义务履行完毕。</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五、我行向你方支付索赔金额后，本保函担保金额即按贵方通知的索赔金额予以递减。</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六、保函失效后请将保函退回我行注销，无论正本最终退回与否，不影响本保函依上述约定自动失效。</w:t>
      </w:r>
    </w:p>
    <w:p>
      <w:pPr>
        <w:ind w:firstLine="420"/>
        <w:rPr>
          <w:rFonts w:hint="eastAsia" w:ascii="宋体" w:hAnsi="宋体" w:eastAsia="宋体" w:cs="宋体"/>
          <w:color w:val="auto"/>
          <w:sz w:val="24"/>
          <w:highlight w:val="none"/>
        </w:rPr>
      </w:pPr>
    </w:p>
    <w:p>
      <w:pPr>
        <w:ind w:firstLine="420"/>
        <w:rPr>
          <w:rFonts w:hint="eastAsia" w:ascii="宋体" w:hAnsi="宋体" w:eastAsia="宋体" w:cs="宋体"/>
          <w:color w:val="auto"/>
          <w:sz w:val="24"/>
          <w:highlight w:val="none"/>
        </w:rPr>
      </w:pP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落款</w:t>
      </w:r>
    </w:p>
    <w:p>
      <w:pPr>
        <w:ind w:firstLine="420"/>
        <w:rPr>
          <w:rFonts w:hint="eastAsia" w:ascii="宋体" w:hAnsi="宋体" w:eastAsia="宋体" w:cs="宋体"/>
          <w:color w:val="auto"/>
          <w:sz w:val="24"/>
          <w:highlight w:val="none"/>
        </w:rPr>
      </w:pP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保函说明：</w:t>
      </w: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保函不得有下列或类似含义的表述：</w:t>
      </w: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1.银行承担的为连带责任保证、一般保证。</w:t>
      </w: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2.未经银行书面同意，受益人与申请人修改合同或其项下附件时，银行的保证义务解除。</w:t>
      </w: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3.合同撤销或无效的，保函失效。</w:t>
      </w: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4.申请人对受益人的抗辩，银行有权向受益人主张。</w:t>
      </w:r>
    </w:p>
    <w:p>
      <w:pPr>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5.受益人请求付款的请款单据包含法院裁判文书、仲裁裁决、第三方单位出具的鉴定书等申请人违约的证明材料。</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附件</w:t>
      </w:r>
      <w:r>
        <w:rPr>
          <w:rFonts w:hint="eastAsia" w:ascii="宋体" w:hAnsi="宋体" w:eastAsia="宋体" w:cs="宋体"/>
          <w:b/>
          <w:bCs/>
          <w:color w:val="auto"/>
          <w:szCs w:val="21"/>
          <w:highlight w:val="none"/>
          <w:lang w:val="en-US" w:eastAsia="zh-CN"/>
        </w:rPr>
        <w:t>9：预付款保函</w:t>
      </w:r>
      <w:r>
        <w:rPr>
          <w:rFonts w:hint="eastAsia" w:ascii="宋体" w:hAnsi="宋体" w:eastAsia="宋体" w:cs="宋体"/>
          <w:b/>
          <w:bCs/>
          <w:color w:val="auto"/>
          <w:szCs w:val="21"/>
          <w:highlight w:val="none"/>
        </w:rPr>
        <w:t>（模板）</w:t>
      </w:r>
    </w:p>
    <w:p>
      <w:pPr>
        <w:jc w:val="left"/>
        <w:rPr>
          <w:rFonts w:hint="eastAsia" w:ascii="宋体" w:hAnsi="宋体" w:eastAsia="宋体" w:cs="宋体"/>
          <w:color w:val="auto"/>
          <w:sz w:val="36"/>
          <w:szCs w:val="36"/>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预付款保函模板</w:t>
      </w:r>
    </w:p>
    <w:p>
      <w:pPr>
        <w:rPr>
          <w:rFonts w:hint="eastAsia" w:ascii="宋体" w:hAnsi="宋体" w:eastAsia="宋体" w:cs="宋体"/>
          <w:color w:val="auto"/>
          <w:highlight w:val="none"/>
        </w:rPr>
      </w:pP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（受益人）</w:t>
      </w:r>
    </w:p>
    <w:p>
      <w:pPr>
        <w:ind w:firstLine="420"/>
        <w:rPr>
          <w:rFonts w:hint="eastAsia" w:ascii="宋体" w:hAnsi="宋体" w:eastAsia="宋体" w:cs="宋体"/>
          <w:color w:val="auto"/>
          <w:sz w:val="24"/>
          <w:szCs w:val="24"/>
          <w:highlight w:val="none"/>
        </w:rPr>
      </w:pP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（以下简称“委托人”）与你方于</w:t>
      </w:r>
      <w:r>
        <w:rPr>
          <w:rFonts w:hint="eastAsia" w:ascii="宋体" w:hAnsi="宋体" w:eastAsia="宋体" w:cs="宋体"/>
          <w:color w:val="auto"/>
          <w:sz w:val="24"/>
          <w:szCs w:val="24"/>
          <w:highlight w:val="none"/>
          <w:u w:val="non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合同名称+合同编号</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（以下简称“合同”），你方将按上述基础交易合同约定向委托人支付预付款人民币</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）。我行接受委托人的申请，特此开立以你方为受益人的最高金额为人民币</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）（以下称“保函金额”）的保函。</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一、本保函为不可撤销、见索即付的独立保函。</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日内，以上述保函金额为限向你方支付相应款项。</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（一）索赔通知书须写明请求付款的金额，并声明该款项并未由委托人或其代理人直接或间接地支付给你方；</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（二）索赔通知书应由你方法定代表人签字并加盖公章；</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（三）索赔通知书必须于本保函有效期截止日前送达我行。</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三、合同的任何修改、变更、解释或不可执行都不能削弱或免除我行按本保函应承担的义务。</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本保函金额将随我行已向你方支付的金额而自动作相应递减。</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四、本保函未经我行书面同意不得转让。</w:t>
      </w:r>
    </w:p>
    <w:p>
      <w:pPr>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五、本保函自签发之日起生效，有效期至</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止。在上述期限内若累计赔偿额达到前述保函金额，本保函提前失效。本保函到期后，无论保函原件是否退回我行，皆告失效。</w:t>
      </w:r>
    </w:p>
    <w:p>
      <w:pPr>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附件</w:t>
      </w:r>
      <w:r>
        <w:rPr>
          <w:rFonts w:hint="eastAsia" w:ascii="宋体" w:hAnsi="宋体" w:eastAsia="宋体" w:cs="宋体"/>
          <w:b/>
          <w:bCs/>
          <w:color w:val="auto"/>
          <w:szCs w:val="21"/>
          <w:highlight w:val="none"/>
          <w:lang w:val="en-US" w:eastAsia="zh-CN"/>
        </w:rPr>
        <w:t>10：开工通知书</w:t>
      </w:r>
      <w:r>
        <w:rPr>
          <w:rFonts w:hint="eastAsia" w:ascii="宋体" w:hAnsi="宋体" w:eastAsia="宋体" w:cs="宋体"/>
          <w:b/>
          <w:bCs/>
          <w:color w:val="auto"/>
          <w:szCs w:val="21"/>
          <w:highlight w:val="none"/>
        </w:rPr>
        <w:t>（模板）</w:t>
      </w:r>
    </w:p>
    <w:p>
      <w:pPr>
        <w:pStyle w:val="2"/>
        <w:rPr>
          <w:rFonts w:hint="eastAsia" w:ascii="宋体" w:hAnsi="宋体" w:eastAsia="宋体" w:cs="宋体"/>
          <w:color w:val="auto"/>
          <w:sz w:val="24"/>
          <w:highlight w:val="none"/>
        </w:rPr>
      </w:pPr>
    </w:p>
    <w:p>
      <w:pPr>
        <w:keepNext w:val="0"/>
        <w:keepLines w:val="0"/>
        <w:widowControl w:val="0"/>
        <w:suppressLineNumbers w:val="0"/>
        <w:snapToGrid w:val="0"/>
        <w:spacing w:before="0" w:beforeAutospacing="0" w:after="0" w:afterAutospacing="0" w:line="360" w:lineRule="auto"/>
        <w:ind w:left="0" w:right="-58"/>
        <w:jc w:val="center"/>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开工通知书</w:t>
      </w:r>
    </w:p>
    <w:p>
      <w:pPr>
        <w:keepNext w:val="0"/>
        <w:keepLines w:val="0"/>
        <w:widowControl w:val="0"/>
        <w:suppressLineNumbers w:val="0"/>
        <w:snapToGrid w:val="0"/>
        <w:spacing w:before="0" w:beforeAutospacing="0" w:after="0" w:afterAutospacing="0" w:line="360" w:lineRule="auto"/>
        <w:ind w:left="0" w:right="-58"/>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58"/>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（中标人名称）                    ：</w:t>
      </w:r>
    </w:p>
    <w:p>
      <w:pPr>
        <w:pStyle w:val="5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我方      ***分公司现通知你方于  *年  *月  *日前进场开展 </w:t>
      </w:r>
      <w:r>
        <w:rPr>
          <w:rFonts w:hint="eastAsia" w:ascii="宋体" w:hAnsi="宋体" w:eastAsia="宋体" w:cs="宋体"/>
          <w:b w:val="0"/>
          <w:bCs w:val="0"/>
          <w:color w:val="auto"/>
          <w:kern w:val="2"/>
          <w:sz w:val="24"/>
          <w:szCs w:val="24"/>
          <w:highlight w:val="none"/>
          <w:lang w:val="en-US" w:eastAsia="zh-CN" w:bidi="ar"/>
        </w:rPr>
        <w:t>广州净水公司</w:t>
      </w:r>
      <w:r>
        <w:rPr>
          <w:rFonts w:hint="eastAsia" w:ascii="宋体" w:hAnsi="宋体" w:eastAsia="宋体" w:cs="宋体"/>
          <w:b w:val="0"/>
          <w:color w:val="auto"/>
          <w:kern w:val="2"/>
          <w:sz w:val="24"/>
          <w:szCs w:val="24"/>
          <w:highlight w:val="none"/>
          <w:lang w:bidi="ar"/>
        </w:rPr>
        <w:t>京溪分公司2023年通风系统改造项目</w:t>
      </w:r>
      <w:r>
        <w:rPr>
          <w:rFonts w:hint="eastAsia" w:ascii="宋体" w:hAnsi="宋体" w:eastAsia="宋体" w:cs="宋体"/>
          <w:color w:val="auto"/>
          <w:kern w:val="2"/>
          <w:sz w:val="24"/>
          <w:szCs w:val="24"/>
          <w:highlight w:val="none"/>
          <w:lang w:val="en-US" w:eastAsia="zh-CN" w:bidi="ar"/>
        </w:rPr>
        <w:t>的施工  ，请你方按照招标文件、合同的规定，自本通知书签收之日</w:t>
      </w:r>
      <w:r>
        <w:rPr>
          <w:rFonts w:hint="eastAsia" w:ascii="宋体" w:hAnsi="宋体" w:eastAsia="宋体" w:cs="宋体"/>
          <w:color w:val="auto"/>
          <w:kern w:val="2"/>
          <w:sz w:val="24"/>
          <w:szCs w:val="24"/>
          <w:highlight w:val="none"/>
          <w:lang w:val="en-US" w:eastAsia="zh-CN" w:bidi="ar"/>
        </w:rPr>
        <w:t>次日</w:t>
      </w:r>
      <w:r>
        <w:rPr>
          <w:rFonts w:hint="eastAsia" w:ascii="宋体" w:hAnsi="宋体" w:eastAsia="宋体" w:cs="宋体"/>
          <w:color w:val="auto"/>
          <w:kern w:val="2"/>
          <w:sz w:val="24"/>
          <w:szCs w:val="24"/>
          <w:highlight w:val="none"/>
          <w:lang w:val="en-US" w:eastAsia="zh-CN" w:bidi="ar"/>
        </w:rPr>
        <w:t>开始起算，在</w:t>
      </w:r>
      <w:r>
        <w:rPr>
          <w:rFonts w:hint="eastAsia" w:ascii="宋体" w:hAnsi="宋体" w:eastAsia="宋体" w:cs="宋体"/>
          <w:color w:val="auto"/>
          <w:kern w:val="2"/>
          <w:sz w:val="24"/>
          <w:szCs w:val="24"/>
          <w:highlight w:val="none"/>
          <w:lang w:val="en-US" w:eastAsia="zh-CN" w:bidi="ar"/>
        </w:rPr>
        <w:t>180</w:t>
      </w:r>
      <w:r>
        <w:rPr>
          <w:rFonts w:hint="eastAsia" w:ascii="宋体" w:hAnsi="宋体" w:eastAsia="宋体" w:cs="宋体"/>
          <w:color w:val="auto"/>
          <w:kern w:val="2"/>
          <w:sz w:val="24"/>
          <w:szCs w:val="24"/>
          <w:highlight w:val="none"/>
          <w:lang w:val="en-US" w:eastAsia="zh-CN" w:bidi="ar"/>
        </w:rPr>
        <w:t>日内完成该</w:t>
      </w:r>
      <w:r>
        <w:rPr>
          <w:rFonts w:hint="eastAsia" w:ascii="宋体" w:hAnsi="宋体" w:eastAsia="宋体" w:cs="宋体"/>
          <w:color w:val="auto"/>
          <w:kern w:val="2"/>
          <w:sz w:val="24"/>
          <w:szCs w:val="24"/>
          <w:highlight w:val="none"/>
          <w:lang w:val="en-US" w:eastAsia="zh-CN" w:bidi="ar"/>
        </w:rPr>
        <w:t>项目</w:t>
      </w:r>
      <w:r>
        <w:rPr>
          <w:rFonts w:hint="eastAsia" w:ascii="宋体" w:hAnsi="宋体" w:eastAsia="宋体" w:cs="宋体"/>
          <w:color w:val="auto"/>
          <w:kern w:val="2"/>
          <w:sz w:val="24"/>
          <w:szCs w:val="24"/>
          <w:highlight w:val="none"/>
          <w:lang w:val="en-US" w:eastAsia="zh-CN" w:bidi="ar"/>
        </w:rPr>
        <w:t>全部施工内容。</w:t>
      </w:r>
    </w:p>
    <w:p>
      <w:pPr>
        <w:keepNext w:val="0"/>
        <w:keepLines w:val="0"/>
        <w:widowControl w:val="0"/>
        <w:suppressLineNumbers w:val="0"/>
        <w:snapToGrid w:val="0"/>
        <w:spacing w:before="0" w:beforeAutospacing="0" w:after="0" w:afterAutospacing="0" w:line="360" w:lineRule="auto"/>
        <w:ind w:left="0" w:right="-58"/>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58"/>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本通知书一式二份，甲方、乙方各执一份。</w:t>
      </w:r>
    </w:p>
    <w:p>
      <w:pPr>
        <w:pStyle w:val="24"/>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pPr>
        <w:pStyle w:val="24"/>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pPr>
        <w:pStyle w:val="24"/>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甲方（分公司）：                       乙方：</w:t>
      </w:r>
    </w:p>
    <w:p>
      <w:pPr>
        <w:keepNext w:val="0"/>
        <w:keepLines w:val="0"/>
        <w:widowControl w:val="0"/>
        <w:suppressLineNumbers w:val="0"/>
        <w:snapToGrid w:val="0"/>
        <w:spacing w:before="0" w:beforeAutospacing="0" w:after="0" w:afterAutospacing="0" w:line="360" w:lineRule="auto"/>
        <w:ind w:left="0" w:right="-58"/>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通知书发出日期：  年  月  日。         通知书签收日期：  年   月   日</w:t>
      </w:r>
    </w:p>
    <w:p>
      <w:pPr>
        <w:tabs>
          <w:tab w:val="left" w:pos="8364"/>
        </w:tabs>
        <w:snapToGrid w:val="0"/>
        <w:spacing w:line="360" w:lineRule="exact"/>
        <w:ind w:right="-58"/>
        <w:rPr>
          <w:rFonts w:hint="eastAsia" w:ascii="宋体" w:hAnsi="宋体" w:eastAsia="宋体" w:cs="宋体"/>
          <w:color w:val="auto"/>
          <w:highlight w:val="none"/>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jc w:val="left"/>
        <w:rPr>
          <w:rFonts w:hint="eastAsia" w:ascii="宋体" w:hAnsi="宋体" w:eastAsia="宋体" w:cs="宋体"/>
          <w:color w:val="auto"/>
          <w:highlight w:val="none"/>
          <w:lang w:val="en-US" w:eastAsia="zh-CN"/>
        </w:rPr>
      </w:pPr>
    </w:p>
    <w:p>
      <w:pPr>
        <w:pStyle w:val="22"/>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Cs w:val="21"/>
          <w:highlight w:val="none"/>
          <w:lang w:eastAsia="zh-CN"/>
        </w:rPr>
      </w:pPr>
    </w:p>
    <w:p>
      <w:pPr>
        <w:spacing w:line="360" w:lineRule="auto"/>
        <w:jc w:val="left"/>
        <w:rPr>
          <w:rFonts w:hint="eastAsia" w:ascii="宋体" w:hAnsi="宋体" w:eastAsia="宋体" w:cs="宋体"/>
          <w:color w:val="auto"/>
          <w:szCs w:val="21"/>
          <w:highlight w:val="none"/>
          <w:lang w:eastAsia="zh-CN"/>
        </w:rPr>
      </w:pPr>
    </w:p>
    <w:p>
      <w:pPr>
        <w:spacing w:line="360" w:lineRule="auto"/>
        <w:jc w:val="left"/>
        <w:rPr>
          <w:rFonts w:hint="eastAsia" w:ascii="宋体" w:hAnsi="宋体" w:eastAsia="宋体" w:cs="宋体"/>
          <w:color w:val="auto"/>
          <w:szCs w:val="21"/>
          <w:highlight w:val="none"/>
          <w:lang w:eastAsia="zh-CN"/>
        </w:rPr>
      </w:pPr>
    </w:p>
    <w:p>
      <w:pPr>
        <w:spacing w:line="360" w:lineRule="auto"/>
        <w:jc w:val="left"/>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3A2F45-5DF3-4284-B8F5-2779D5D26D27}"/>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232920"/>
    </w:sdtPr>
    <w:sdtContent>
      <w:p>
        <w:pPr>
          <w:pStyle w:val="17"/>
          <w:jc w:val="center"/>
        </w:pPr>
        <w:r>
          <w:fldChar w:fldCharType="begin"/>
        </w:r>
        <w:r>
          <w:instrText xml:space="preserve">PAGE   \* MERGEFORMAT</w:instrText>
        </w:r>
        <w:r>
          <w:fldChar w:fldCharType="separate"/>
        </w:r>
        <w:r>
          <w:rPr>
            <w:lang w:val="zh-CN"/>
          </w:rPr>
          <w:t>7</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232920"/>
    </w:sdtPr>
    <w:sdtContent>
      <w:p>
        <w:pPr>
          <w:pStyle w:val="17"/>
          <w:jc w:val="center"/>
        </w:pPr>
        <w:r>
          <w:fldChar w:fldCharType="begin"/>
        </w:r>
        <w:r>
          <w:instrText xml:space="preserve">PAGE   \* MERGEFORMAT</w:instrText>
        </w:r>
        <w:r>
          <w:fldChar w:fldCharType="separate"/>
        </w:r>
        <w:r>
          <w:rPr>
            <w:lang w:val="zh-CN"/>
          </w:rPr>
          <w:t>7</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15135"/>
    <w:multiLevelType w:val="singleLevel"/>
    <w:tmpl w:val="EF415135"/>
    <w:lvl w:ilvl="0" w:tentative="0">
      <w:start w:val="3"/>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250CEF54"/>
    <w:multiLevelType w:val="singleLevel"/>
    <w:tmpl w:val="250CEF54"/>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NjM1MTEyNWY5MjA4ZTdmZjBhYmQyNjYyMzA4YzIifQ=="/>
  </w:docVars>
  <w:rsids>
    <w:rsidRoot w:val="00172A27"/>
    <w:rsid w:val="000116F4"/>
    <w:rsid w:val="000160F0"/>
    <w:rsid w:val="00022E8F"/>
    <w:rsid w:val="00027CF8"/>
    <w:rsid w:val="0003063C"/>
    <w:rsid w:val="00033E52"/>
    <w:rsid w:val="000345AE"/>
    <w:rsid w:val="00037C52"/>
    <w:rsid w:val="00057FF6"/>
    <w:rsid w:val="00066159"/>
    <w:rsid w:val="00071CC7"/>
    <w:rsid w:val="00071E3E"/>
    <w:rsid w:val="00073A98"/>
    <w:rsid w:val="00075ED5"/>
    <w:rsid w:val="0008389C"/>
    <w:rsid w:val="00094002"/>
    <w:rsid w:val="00094F8A"/>
    <w:rsid w:val="00097681"/>
    <w:rsid w:val="000A5FA6"/>
    <w:rsid w:val="000B6A52"/>
    <w:rsid w:val="000C3B28"/>
    <w:rsid w:val="000D5859"/>
    <w:rsid w:val="000E5327"/>
    <w:rsid w:val="0012727D"/>
    <w:rsid w:val="00127F4F"/>
    <w:rsid w:val="00130D5B"/>
    <w:rsid w:val="001348FB"/>
    <w:rsid w:val="0013692F"/>
    <w:rsid w:val="0014004D"/>
    <w:rsid w:val="00140243"/>
    <w:rsid w:val="0015465F"/>
    <w:rsid w:val="00171748"/>
    <w:rsid w:val="00172A27"/>
    <w:rsid w:val="0017371F"/>
    <w:rsid w:val="00194A0A"/>
    <w:rsid w:val="001A4672"/>
    <w:rsid w:val="001B2DEE"/>
    <w:rsid w:val="001B5AE4"/>
    <w:rsid w:val="001B6E9F"/>
    <w:rsid w:val="001C1760"/>
    <w:rsid w:val="001D0148"/>
    <w:rsid w:val="001D4DB1"/>
    <w:rsid w:val="001D5631"/>
    <w:rsid w:val="001F5EF9"/>
    <w:rsid w:val="001F7034"/>
    <w:rsid w:val="0020272A"/>
    <w:rsid w:val="002065E9"/>
    <w:rsid w:val="00207810"/>
    <w:rsid w:val="002253C3"/>
    <w:rsid w:val="00225637"/>
    <w:rsid w:val="00225F8E"/>
    <w:rsid w:val="00231B49"/>
    <w:rsid w:val="00231C52"/>
    <w:rsid w:val="002357E1"/>
    <w:rsid w:val="00237FA0"/>
    <w:rsid w:val="00240583"/>
    <w:rsid w:val="00241057"/>
    <w:rsid w:val="002524ED"/>
    <w:rsid w:val="002536AD"/>
    <w:rsid w:val="0026733C"/>
    <w:rsid w:val="00270D52"/>
    <w:rsid w:val="002932B9"/>
    <w:rsid w:val="002A3E44"/>
    <w:rsid w:val="002A4B6F"/>
    <w:rsid w:val="002A73D0"/>
    <w:rsid w:val="002B4096"/>
    <w:rsid w:val="002B64E4"/>
    <w:rsid w:val="002C1443"/>
    <w:rsid w:val="002C2854"/>
    <w:rsid w:val="002E7E89"/>
    <w:rsid w:val="002F1E24"/>
    <w:rsid w:val="002F66BB"/>
    <w:rsid w:val="0030318C"/>
    <w:rsid w:val="00303F37"/>
    <w:rsid w:val="00305B4B"/>
    <w:rsid w:val="0031056F"/>
    <w:rsid w:val="003107A2"/>
    <w:rsid w:val="003255DB"/>
    <w:rsid w:val="00340E06"/>
    <w:rsid w:val="00353AB3"/>
    <w:rsid w:val="00357CB5"/>
    <w:rsid w:val="00360F9F"/>
    <w:rsid w:val="003623C6"/>
    <w:rsid w:val="00370B9B"/>
    <w:rsid w:val="003940BF"/>
    <w:rsid w:val="003C1BF5"/>
    <w:rsid w:val="003D2A80"/>
    <w:rsid w:val="003D683A"/>
    <w:rsid w:val="003E21FA"/>
    <w:rsid w:val="003F3168"/>
    <w:rsid w:val="00402D74"/>
    <w:rsid w:val="00405B90"/>
    <w:rsid w:val="00414260"/>
    <w:rsid w:val="00445044"/>
    <w:rsid w:val="00445800"/>
    <w:rsid w:val="004459CC"/>
    <w:rsid w:val="0044769E"/>
    <w:rsid w:val="004541C7"/>
    <w:rsid w:val="0046571A"/>
    <w:rsid w:val="00484DC9"/>
    <w:rsid w:val="004916BB"/>
    <w:rsid w:val="00492145"/>
    <w:rsid w:val="00493DDA"/>
    <w:rsid w:val="004A5F30"/>
    <w:rsid w:val="004A7A3D"/>
    <w:rsid w:val="004D0E51"/>
    <w:rsid w:val="004D3059"/>
    <w:rsid w:val="004D3279"/>
    <w:rsid w:val="004D4E03"/>
    <w:rsid w:val="004D5C89"/>
    <w:rsid w:val="004E1D21"/>
    <w:rsid w:val="004E3E05"/>
    <w:rsid w:val="004E3ED0"/>
    <w:rsid w:val="004E6CB8"/>
    <w:rsid w:val="0050150F"/>
    <w:rsid w:val="0050424B"/>
    <w:rsid w:val="0050794E"/>
    <w:rsid w:val="00513133"/>
    <w:rsid w:val="005164AC"/>
    <w:rsid w:val="00517E28"/>
    <w:rsid w:val="0052430E"/>
    <w:rsid w:val="00533ACD"/>
    <w:rsid w:val="0054544F"/>
    <w:rsid w:val="0055166C"/>
    <w:rsid w:val="00556CE9"/>
    <w:rsid w:val="00567A17"/>
    <w:rsid w:val="00571F0E"/>
    <w:rsid w:val="00571F67"/>
    <w:rsid w:val="0058148A"/>
    <w:rsid w:val="005943A4"/>
    <w:rsid w:val="00597E4B"/>
    <w:rsid w:val="005A12C3"/>
    <w:rsid w:val="005B05F8"/>
    <w:rsid w:val="005B11C9"/>
    <w:rsid w:val="005C1C3E"/>
    <w:rsid w:val="005C3B8F"/>
    <w:rsid w:val="005D002D"/>
    <w:rsid w:val="005D2F99"/>
    <w:rsid w:val="005D30F2"/>
    <w:rsid w:val="005E2C99"/>
    <w:rsid w:val="005E7898"/>
    <w:rsid w:val="005F1C5F"/>
    <w:rsid w:val="005F4A31"/>
    <w:rsid w:val="00604090"/>
    <w:rsid w:val="00607FF2"/>
    <w:rsid w:val="0061344A"/>
    <w:rsid w:val="00615C4E"/>
    <w:rsid w:val="006234B3"/>
    <w:rsid w:val="00626E24"/>
    <w:rsid w:val="00626EF8"/>
    <w:rsid w:val="00650829"/>
    <w:rsid w:val="006639C1"/>
    <w:rsid w:val="00664CAE"/>
    <w:rsid w:val="0066748E"/>
    <w:rsid w:val="00677B2B"/>
    <w:rsid w:val="0068707F"/>
    <w:rsid w:val="006A0B17"/>
    <w:rsid w:val="006B0FD6"/>
    <w:rsid w:val="006B6083"/>
    <w:rsid w:val="006E3AA2"/>
    <w:rsid w:val="006E6A7F"/>
    <w:rsid w:val="0070221C"/>
    <w:rsid w:val="00724782"/>
    <w:rsid w:val="007317DF"/>
    <w:rsid w:val="00736741"/>
    <w:rsid w:val="00740F88"/>
    <w:rsid w:val="00741428"/>
    <w:rsid w:val="00743945"/>
    <w:rsid w:val="007449DE"/>
    <w:rsid w:val="00746E6F"/>
    <w:rsid w:val="0075140F"/>
    <w:rsid w:val="00753AAF"/>
    <w:rsid w:val="00756B41"/>
    <w:rsid w:val="00762CC5"/>
    <w:rsid w:val="00766890"/>
    <w:rsid w:val="00767D69"/>
    <w:rsid w:val="00780A6D"/>
    <w:rsid w:val="00783376"/>
    <w:rsid w:val="00786DFA"/>
    <w:rsid w:val="007A38C4"/>
    <w:rsid w:val="007A7B5B"/>
    <w:rsid w:val="007B0429"/>
    <w:rsid w:val="007B4BEF"/>
    <w:rsid w:val="007C088B"/>
    <w:rsid w:val="007C1ECA"/>
    <w:rsid w:val="007C44D9"/>
    <w:rsid w:val="007C600B"/>
    <w:rsid w:val="007C7F48"/>
    <w:rsid w:val="007D0D4D"/>
    <w:rsid w:val="007D3EAB"/>
    <w:rsid w:val="00802B8F"/>
    <w:rsid w:val="00810C65"/>
    <w:rsid w:val="0081291C"/>
    <w:rsid w:val="008232A9"/>
    <w:rsid w:val="00824DA0"/>
    <w:rsid w:val="008306B2"/>
    <w:rsid w:val="00830F34"/>
    <w:rsid w:val="00831B55"/>
    <w:rsid w:val="00872E01"/>
    <w:rsid w:val="00875DE4"/>
    <w:rsid w:val="00891595"/>
    <w:rsid w:val="0089338A"/>
    <w:rsid w:val="00895156"/>
    <w:rsid w:val="0089637B"/>
    <w:rsid w:val="008B6C61"/>
    <w:rsid w:val="008C6F50"/>
    <w:rsid w:val="008D0054"/>
    <w:rsid w:val="008D4E34"/>
    <w:rsid w:val="008E643F"/>
    <w:rsid w:val="008F684A"/>
    <w:rsid w:val="009106EF"/>
    <w:rsid w:val="00914A68"/>
    <w:rsid w:val="0092364D"/>
    <w:rsid w:val="0093311F"/>
    <w:rsid w:val="009335B3"/>
    <w:rsid w:val="00934534"/>
    <w:rsid w:val="0094681E"/>
    <w:rsid w:val="00953176"/>
    <w:rsid w:val="00960D5A"/>
    <w:rsid w:val="00962BAC"/>
    <w:rsid w:val="009773AE"/>
    <w:rsid w:val="00986F9E"/>
    <w:rsid w:val="00992C5D"/>
    <w:rsid w:val="00996E45"/>
    <w:rsid w:val="009B2459"/>
    <w:rsid w:val="009B3A24"/>
    <w:rsid w:val="009C388D"/>
    <w:rsid w:val="009C6222"/>
    <w:rsid w:val="009D7484"/>
    <w:rsid w:val="009E285E"/>
    <w:rsid w:val="009E334D"/>
    <w:rsid w:val="009F0BC3"/>
    <w:rsid w:val="009F4C37"/>
    <w:rsid w:val="009F608A"/>
    <w:rsid w:val="00A05E5D"/>
    <w:rsid w:val="00A1158C"/>
    <w:rsid w:val="00A17C69"/>
    <w:rsid w:val="00A208E3"/>
    <w:rsid w:val="00A3494D"/>
    <w:rsid w:val="00A369F1"/>
    <w:rsid w:val="00A42859"/>
    <w:rsid w:val="00A54516"/>
    <w:rsid w:val="00A62CB6"/>
    <w:rsid w:val="00A7023A"/>
    <w:rsid w:val="00A741DE"/>
    <w:rsid w:val="00A82AAC"/>
    <w:rsid w:val="00A8428D"/>
    <w:rsid w:val="00A97B21"/>
    <w:rsid w:val="00AA10E0"/>
    <w:rsid w:val="00AA1C8C"/>
    <w:rsid w:val="00AA4B6D"/>
    <w:rsid w:val="00AB554A"/>
    <w:rsid w:val="00AC2952"/>
    <w:rsid w:val="00AE2785"/>
    <w:rsid w:val="00AF28D0"/>
    <w:rsid w:val="00B0320C"/>
    <w:rsid w:val="00B103DF"/>
    <w:rsid w:val="00B258EF"/>
    <w:rsid w:val="00B26903"/>
    <w:rsid w:val="00B26FC9"/>
    <w:rsid w:val="00B36427"/>
    <w:rsid w:val="00B50B5E"/>
    <w:rsid w:val="00B54873"/>
    <w:rsid w:val="00B672C3"/>
    <w:rsid w:val="00B67771"/>
    <w:rsid w:val="00B72ABE"/>
    <w:rsid w:val="00B73228"/>
    <w:rsid w:val="00B76080"/>
    <w:rsid w:val="00B80C26"/>
    <w:rsid w:val="00B82A56"/>
    <w:rsid w:val="00B87860"/>
    <w:rsid w:val="00BA0656"/>
    <w:rsid w:val="00BA6EBA"/>
    <w:rsid w:val="00BB619C"/>
    <w:rsid w:val="00BB7B28"/>
    <w:rsid w:val="00BC3736"/>
    <w:rsid w:val="00BD1570"/>
    <w:rsid w:val="00BE399E"/>
    <w:rsid w:val="00C006B8"/>
    <w:rsid w:val="00C0361C"/>
    <w:rsid w:val="00C203C9"/>
    <w:rsid w:val="00C259DA"/>
    <w:rsid w:val="00C27268"/>
    <w:rsid w:val="00C27F32"/>
    <w:rsid w:val="00C411E2"/>
    <w:rsid w:val="00C51DF3"/>
    <w:rsid w:val="00C60E44"/>
    <w:rsid w:val="00C64B23"/>
    <w:rsid w:val="00C6562D"/>
    <w:rsid w:val="00C6566A"/>
    <w:rsid w:val="00C8096E"/>
    <w:rsid w:val="00C811E1"/>
    <w:rsid w:val="00C81BA3"/>
    <w:rsid w:val="00CA219A"/>
    <w:rsid w:val="00CA2E67"/>
    <w:rsid w:val="00CB0961"/>
    <w:rsid w:val="00CB5248"/>
    <w:rsid w:val="00CC5CAB"/>
    <w:rsid w:val="00CE6D2A"/>
    <w:rsid w:val="00CF2481"/>
    <w:rsid w:val="00CF2A16"/>
    <w:rsid w:val="00CF4084"/>
    <w:rsid w:val="00D04FCE"/>
    <w:rsid w:val="00D45239"/>
    <w:rsid w:val="00D76466"/>
    <w:rsid w:val="00D8185A"/>
    <w:rsid w:val="00D81F73"/>
    <w:rsid w:val="00D91336"/>
    <w:rsid w:val="00D94195"/>
    <w:rsid w:val="00D97648"/>
    <w:rsid w:val="00DA4009"/>
    <w:rsid w:val="00DA5ECB"/>
    <w:rsid w:val="00DB57F6"/>
    <w:rsid w:val="00DC0871"/>
    <w:rsid w:val="00E0082A"/>
    <w:rsid w:val="00E04057"/>
    <w:rsid w:val="00E04431"/>
    <w:rsid w:val="00E070E5"/>
    <w:rsid w:val="00E14CAD"/>
    <w:rsid w:val="00E16382"/>
    <w:rsid w:val="00E26AA6"/>
    <w:rsid w:val="00E31348"/>
    <w:rsid w:val="00E319A7"/>
    <w:rsid w:val="00E34468"/>
    <w:rsid w:val="00E53FFD"/>
    <w:rsid w:val="00E55449"/>
    <w:rsid w:val="00E606D6"/>
    <w:rsid w:val="00E67C0A"/>
    <w:rsid w:val="00E71BF3"/>
    <w:rsid w:val="00E721FB"/>
    <w:rsid w:val="00E745DE"/>
    <w:rsid w:val="00E77052"/>
    <w:rsid w:val="00E9732D"/>
    <w:rsid w:val="00EA169E"/>
    <w:rsid w:val="00EB09B3"/>
    <w:rsid w:val="00EB1748"/>
    <w:rsid w:val="00EB33AB"/>
    <w:rsid w:val="00EC7078"/>
    <w:rsid w:val="00ED2E70"/>
    <w:rsid w:val="00ED4E3E"/>
    <w:rsid w:val="00EE1C11"/>
    <w:rsid w:val="00EF21BD"/>
    <w:rsid w:val="00EF3DD8"/>
    <w:rsid w:val="00F054F3"/>
    <w:rsid w:val="00F13DC3"/>
    <w:rsid w:val="00F13E25"/>
    <w:rsid w:val="00F178C5"/>
    <w:rsid w:val="00F179BA"/>
    <w:rsid w:val="00F20C56"/>
    <w:rsid w:val="00F23C04"/>
    <w:rsid w:val="00F252C9"/>
    <w:rsid w:val="00F352C7"/>
    <w:rsid w:val="00F404BE"/>
    <w:rsid w:val="00F439C1"/>
    <w:rsid w:val="00F463F5"/>
    <w:rsid w:val="00F46698"/>
    <w:rsid w:val="00F533EA"/>
    <w:rsid w:val="00F539CE"/>
    <w:rsid w:val="00F56DA0"/>
    <w:rsid w:val="00F60173"/>
    <w:rsid w:val="00F60EA4"/>
    <w:rsid w:val="00F64026"/>
    <w:rsid w:val="00F65F17"/>
    <w:rsid w:val="00F66C2A"/>
    <w:rsid w:val="00F710A1"/>
    <w:rsid w:val="00F7120A"/>
    <w:rsid w:val="00F75794"/>
    <w:rsid w:val="00F81522"/>
    <w:rsid w:val="00F82140"/>
    <w:rsid w:val="00F84413"/>
    <w:rsid w:val="00F90BC0"/>
    <w:rsid w:val="00F964E0"/>
    <w:rsid w:val="00FA08A2"/>
    <w:rsid w:val="00FA1C46"/>
    <w:rsid w:val="00FA2E65"/>
    <w:rsid w:val="00FA4C39"/>
    <w:rsid w:val="00FB2E4D"/>
    <w:rsid w:val="00FB73A1"/>
    <w:rsid w:val="00FD2FD9"/>
    <w:rsid w:val="00FE25E8"/>
    <w:rsid w:val="00FF433A"/>
    <w:rsid w:val="00FF5588"/>
    <w:rsid w:val="01124578"/>
    <w:rsid w:val="012B51D6"/>
    <w:rsid w:val="01AD2B9E"/>
    <w:rsid w:val="022A3EEB"/>
    <w:rsid w:val="0319027F"/>
    <w:rsid w:val="031C7AB0"/>
    <w:rsid w:val="03C03826"/>
    <w:rsid w:val="043723FD"/>
    <w:rsid w:val="044419CB"/>
    <w:rsid w:val="0497484D"/>
    <w:rsid w:val="04A12D95"/>
    <w:rsid w:val="05291BEA"/>
    <w:rsid w:val="055348C1"/>
    <w:rsid w:val="05AB4A0C"/>
    <w:rsid w:val="064C3594"/>
    <w:rsid w:val="067B2775"/>
    <w:rsid w:val="06CA3DE1"/>
    <w:rsid w:val="06DB4D9F"/>
    <w:rsid w:val="077633B2"/>
    <w:rsid w:val="088134DA"/>
    <w:rsid w:val="090F5ED2"/>
    <w:rsid w:val="096907BA"/>
    <w:rsid w:val="099A1C33"/>
    <w:rsid w:val="09DE4628"/>
    <w:rsid w:val="0A787FFD"/>
    <w:rsid w:val="0AA214F6"/>
    <w:rsid w:val="0AD54082"/>
    <w:rsid w:val="0B21646A"/>
    <w:rsid w:val="0B2A113D"/>
    <w:rsid w:val="0BE7321E"/>
    <w:rsid w:val="0C015AA0"/>
    <w:rsid w:val="0C915880"/>
    <w:rsid w:val="0CA01788"/>
    <w:rsid w:val="0D1E1DE1"/>
    <w:rsid w:val="0D257136"/>
    <w:rsid w:val="0D292FA3"/>
    <w:rsid w:val="0D2F36FC"/>
    <w:rsid w:val="0D575674"/>
    <w:rsid w:val="0D9415BE"/>
    <w:rsid w:val="0DB37020"/>
    <w:rsid w:val="0DD57B4B"/>
    <w:rsid w:val="0DEF68DC"/>
    <w:rsid w:val="0EC14C5E"/>
    <w:rsid w:val="0F004C60"/>
    <w:rsid w:val="0F11166B"/>
    <w:rsid w:val="0FEF09D5"/>
    <w:rsid w:val="1036079F"/>
    <w:rsid w:val="1041248F"/>
    <w:rsid w:val="11993FCA"/>
    <w:rsid w:val="11AC4F4E"/>
    <w:rsid w:val="12B50787"/>
    <w:rsid w:val="12DE2F37"/>
    <w:rsid w:val="14123C2A"/>
    <w:rsid w:val="145335B9"/>
    <w:rsid w:val="1457734B"/>
    <w:rsid w:val="146D0647"/>
    <w:rsid w:val="14B85476"/>
    <w:rsid w:val="15053BA9"/>
    <w:rsid w:val="153C0F12"/>
    <w:rsid w:val="15A538CD"/>
    <w:rsid w:val="162E419B"/>
    <w:rsid w:val="164221E4"/>
    <w:rsid w:val="1791044A"/>
    <w:rsid w:val="17AB2923"/>
    <w:rsid w:val="17B7473A"/>
    <w:rsid w:val="180A3483"/>
    <w:rsid w:val="182E2859"/>
    <w:rsid w:val="189C7320"/>
    <w:rsid w:val="18D869F9"/>
    <w:rsid w:val="18FD37DA"/>
    <w:rsid w:val="191A5B0C"/>
    <w:rsid w:val="19234CED"/>
    <w:rsid w:val="194859F8"/>
    <w:rsid w:val="19995374"/>
    <w:rsid w:val="199E2161"/>
    <w:rsid w:val="1A332505"/>
    <w:rsid w:val="1A5014B1"/>
    <w:rsid w:val="1AF56A43"/>
    <w:rsid w:val="1AFF314E"/>
    <w:rsid w:val="1B3150D8"/>
    <w:rsid w:val="1BD96AC1"/>
    <w:rsid w:val="1C0C633C"/>
    <w:rsid w:val="1C404949"/>
    <w:rsid w:val="1CD22452"/>
    <w:rsid w:val="1D1046D6"/>
    <w:rsid w:val="1D9B05A0"/>
    <w:rsid w:val="1E070203"/>
    <w:rsid w:val="1E2D4AA6"/>
    <w:rsid w:val="1E944DD6"/>
    <w:rsid w:val="1EF47ADC"/>
    <w:rsid w:val="1F35159E"/>
    <w:rsid w:val="1F4B62D2"/>
    <w:rsid w:val="1F6C75A7"/>
    <w:rsid w:val="1F8964CB"/>
    <w:rsid w:val="202B40B9"/>
    <w:rsid w:val="208C398A"/>
    <w:rsid w:val="214E201A"/>
    <w:rsid w:val="21BE59EF"/>
    <w:rsid w:val="22420D67"/>
    <w:rsid w:val="22983C50"/>
    <w:rsid w:val="234819AE"/>
    <w:rsid w:val="235F22C3"/>
    <w:rsid w:val="23E57C2A"/>
    <w:rsid w:val="24155D08"/>
    <w:rsid w:val="26373E8A"/>
    <w:rsid w:val="26505C65"/>
    <w:rsid w:val="267A2251"/>
    <w:rsid w:val="271B4C40"/>
    <w:rsid w:val="27B122A7"/>
    <w:rsid w:val="2861114D"/>
    <w:rsid w:val="29D20428"/>
    <w:rsid w:val="29E63187"/>
    <w:rsid w:val="29F76BD3"/>
    <w:rsid w:val="2A223AD7"/>
    <w:rsid w:val="2AB81A1A"/>
    <w:rsid w:val="2B202FDA"/>
    <w:rsid w:val="2E442883"/>
    <w:rsid w:val="2E6A7D7C"/>
    <w:rsid w:val="2EDC3137"/>
    <w:rsid w:val="2F05437F"/>
    <w:rsid w:val="2F121E12"/>
    <w:rsid w:val="2F4A4450"/>
    <w:rsid w:val="2F9761C4"/>
    <w:rsid w:val="308E6054"/>
    <w:rsid w:val="30906E39"/>
    <w:rsid w:val="316D1255"/>
    <w:rsid w:val="31BB4542"/>
    <w:rsid w:val="325E6B21"/>
    <w:rsid w:val="328F6CB0"/>
    <w:rsid w:val="32D00CBB"/>
    <w:rsid w:val="32E2418A"/>
    <w:rsid w:val="32F81DEA"/>
    <w:rsid w:val="331E0155"/>
    <w:rsid w:val="335E030B"/>
    <w:rsid w:val="33B12789"/>
    <w:rsid w:val="347E3E22"/>
    <w:rsid w:val="349E1305"/>
    <w:rsid w:val="34AE4101"/>
    <w:rsid w:val="34C63EF6"/>
    <w:rsid w:val="35CF23CB"/>
    <w:rsid w:val="362036A9"/>
    <w:rsid w:val="363354DE"/>
    <w:rsid w:val="36875CA1"/>
    <w:rsid w:val="36D65004"/>
    <w:rsid w:val="3730356C"/>
    <w:rsid w:val="37F91D62"/>
    <w:rsid w:val="38056026"/>
    <w:rsid w:val="380601CC"/>
    <w:rsid w:val="38472FA4"/>
    <w:rsid w:val="388C65D0"/>
    <w:rsid w:val="38B678E3"/>
    <w:rsid w:val="38E941C3"/>
    <w:rsid w:val="39346C58"/>
    <w:rsid w:val="39562A1E"/>
    <w:rsid w:val="39846582"/>
    <w:rsid w:val="3AAA04B9"/>
    <w:rsid w:val="3AD6126E"/>
    <w:rsid w:val="3AD972C9"/>
    <w:rsid w:val="3BAE4B93"/>
    <w:rsid w:val="3BB93A0E"/>
    <w:rsid w:val="3BD119ED"/>
    <w:rsid w:val="3BE03893"/>
    <w:rsid w:val="3BE940D8"/>
    <w:rsid w:val="3CAE28F9"/>
    <w:rsid w:val="3D794198"/>
    <w:rsid w:val="3DD86B6D"/>
    <w:rsid w:val="3F7C7654"/>
    <w:rsid w:val="3FEE4A19"/>
    <w:rsid w:val="40673F2B"/>
    <w:rsid w:val="40823389"/>
    <w:rsid w:val="40CA20FF"/>
    <w:rsid w:val="415F1C22"/>
    <w:rsid w:val="419C5048"/>
    <w:rsid w:val="41F13156"/>
    <w:rsid w:val="427F7FDD"/>
    <w:rsid w:val="43547DE0"/>
    <w:rsid w:val="437D5935"/>
    <w:rsid w:val="43EB0734"/>
    <w:rsid w:val="445228E9"/>
    <w:rsid w:val="45467488"/>
    <w:rsid w:val="45A9244C"/>
    <w:rsid w:val="45C1048E"/>
    <w:rsid w:val="45E4342C"/>
    <w:rsid w:val="461D686B"/>
    <w:rsid w:val="46513B38"/>
    <w:rsid w:val="468B6CD0"/>
    <w:rsid w:val="4699793C"/>
    <w:rsid w:val="46A602D8"/>
    <w:rsid w:val="46E37836"/>
    <w:rsid w:val="473D2DFD"/>
    <w:rsid w:val="475D04CB"/>
    <w:rsid w:val="47CF3101"/>
    <w:rsid w:val="49090088"/>
    <w:rsid w:val="490A7BA4"/>
    <w:rsid w:val="49B20572"/>
    <w:rsid w:val="4A2378F7"/>
    <w:rsid w:val="4AF9706D"/>
    <w:rsid w:val="4C0172A3"/>
    <w:rsid w:val="4CA20C8B"/>
    <w:rsid w:val="4CA3611D"/>
    <w:rsid w:val="4CD62933"/>
    <w:rsid w:val="4CE92A73"/>
    <w:rsid w:val="4D0C504D"/>
    <w:rsid w:val="4E8077AD"/>
    <w:rsid w:val="4EE26444"/>
    <w:rsid w:val="4F1D02B9"/>
    <w:rsid w:val="4FA743FB"/>
    <w:rsid w:val="50684D3E"/>
    <w:rsid w:val="51664527"/>
    <w:rsid w:val="51A53C0A"/>
    <w:rsid w:val="520C25CC"/>
    <w:rsid w:val="530159C6"/>
    <w:rsid w:val="53F231C9"/>
    <w:rsid w:val="544C07CE"/>
    <w:rsid w:val="54B33922"/>
    <w:rsid w:val="551D4CE4"/>
    <w:rsid w:val="559746D8"/>
    <w:rsid w:val="55CD3EDB"/>
    <w:rsid w:val="562D7DAE"/>
    <w:rsid w:val="566B037E"/>
    <w:rsid w:val="56B43C31"/>
    <w:rsid w:val="57341440"/>
    <w:rsid w:val="57520978"/>
    <w:rsid w:val="580110E6"/>
    <w:rsid w:val="58492F15"/>
    <w:rsid w:val="590E4307"/>
    <w:rsid w:val="59557FF2"/>
    <w:rsid w:val="59786730"/>
    <w:rsid w:val="5A1B3838"/>
    <w:rsid w:val="5A1D15FC"/>
    <w:rsid w:val="5B153203"/>
    <w:rsid w:val="5B5D15A0"/>
    <w:rsid w:val="5BD75842"/>
    <w:rsid w:val="5CA34F80"/>
    <w:rsid w:val="5D3D0B34"/>
    <w:rsid w:val="5D620F69"/>
    <w:rsid w:val="5D646378"/>
    <w:rsid w:val="5DBA22A7"/>
    <w:rsid w:val="5DFA3C1D"/>
    <w:rsid w:val="5E063852"/>
    <w:rsid w:val="5E105329"/>
    <w:rsid w:val="5EE917AA"/>
    <w:rsid w:val="5F6B00A5"/>
    <w:rsid w:val="602A7BF4"/>
    <w:rsid w:val="603F046B"/>
    <w:rsid w:val="609B1D0F"/>
    <w:rsid w:val="60D41851"/>
    <w:rsid w:val="61011CDA"/>
    <w:rsid w:val="61AD0F98"/>
    <w:rsid w:val="61F42E1D"/>
    <w:rsid w:val="62297792"/>
    <w:rsid w:val="62485071"/>
    <w:rsid w:val="62762193"/>
    <w:rsid w:val="631948AA"/>
    <w:rsid w:val="63600718"/>
    <w:rsid w:val="639A7D86"/>
    <w:rsid w:val="63CA67FA"/>
    <w:rsid w:val="64280332"/>
    <w:rsid w:val="64371731"/>
    <w:rsid w:val="643806ED"/>
    <w:rsid w:val="646641FC"/>
    <w:rsid w:val="647575B1"/>
    <w:rsid w:val="65FE286C"/>
    <w:rsid w:val="674305FC"/>
    <w:rsid w:val="67952097"/>
    <w:rsid w:val="68032A33"/>
    <w:rsid w:val="68567F7C"/>
    <w:rsid w:val="687471DB"/>
    <w:rsid w:val="68BB304F"/>
    <w:rsid w:val="690701DE"/>
    <w:rsid w:val="69AC5B4D"/>
    <w:rsid w:val="6A7B4737"/>
    <w:rsid w:val="6AF24A77"/>
    <w:rsid w:val="6B863232"/>
    <w:rsid w:val="6B872412"/>
    <w:rsid w:val="6BB927D9"/>
    <w:rsid w:val="6C321E7A"/>
    <w:rsid w:val="6C394AD8"/>
    <w:rsid w:val="6D56372B"/>
    <w:rsid w:val="6D8C26A0"/>
    <w:rsid w:val="6D9B31AF"/>
    <w:rsid w:val="6DB24A6C"/>
    <w:rsid w:val="6FA515EE"/>
    <w:rsid w:val="703E4597"/>
    <w:rsid w:val="704316FC"/>
    <w:rsid w:val="70B654CF"/>
    <w:rsid w:val="70F95249"/>
    <w:rsid w:val="71107344"/>
    <w:rsid w:val="71322A8C"/>
    <w:rsid w:val="71606447"/>
    <w:rsid w:val="71946CCE"/>
    <w:rsid w:val="71987A34"/>
    <w:rsid w:val="71A66054"/>
    <w:rsid w:val="722A0408"/>
    <w:rsid w:val="72E05F1D"/>
    <w:rsid w:val="72FC6805"/>
    <w:rsid w:val="731F18A0"/>
    <w:rsid w:val="734144B7"/>
    <w:rsid w:val="73544939"/>
    <w:rsid w:val="747125DF"/>
    <w:rsid w:val="747C1CE3"/>
    <w:rsid w:val="74870A3B"/>
    <w:rsid w:val="75821D00"/>
    <w:rsid w:val="765D458A"/>
    <w:rsid w:val="76633BF5"/>
    <w:rsid w:val="766B57E0"/>
    <w:rsid w:val="77053475"/>
    <w:rsid w:val="77484938"/>
    <w:rsid w:val="77971912"/>
    <w:rsid w:val="77EC10D8"/>
    <w:rsid w:val="78605C1C"/>
    <w:rsid w:val="78884F71"/>
    <w:rsid w:val="79112C7D"/>
    <w:rsid w:val="791E5AA7"/>
    <w:rsid w:val="792933D0"/>
    <w:rsid w:val="796432FD"/>
    <w:rsid w:val="7983664B"/>
    <w:rsid w:val="79BC7F7D"/>
    <w:rsid w:val="79CD5799"/>
    <w:rsid w:val="7B453F4C"/>
    <w:rsid w:val="7B782D2F"/>
    <w:rsid w:val="7BA25D84"/>
    <w:rsid w:val="7BD04052"/>
    <w:rsid w:val="7C134857"/>
    <w:rsid w:val="7C4C74AF"/>
    <w:rsid w:val="7C894859"/>
    <w:rsid w:val="7CCF4CAD"/>
    <w:rsid w:val="7CF51C38"/>
    <w:rsid w:val="7D871DD2"/>
    <w:rsid w:val="7DCC4932"/>
    <w:rsid w:val="7E161FA0"/>
    <w:rsid w:val="7EA877E8"/>
    <w:rsid w:val="7F951C01"/>
    <w:rsid w:val="7FBB3836"/>
    <w:rsid w:val="7FEC0EEE"/>
    <w:rsid w:val="7FF64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40"/>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link w:val="38"/>
    <w:qFormat/>
    <w:uiPriority w:val="0"/>
    <w:pPr>
      <w:spacing w:after="120"/>
    </w:pPr>
  </w:style>
  <w:style w:type="paragraph" w:styleId="12">
    <w:name w:val="Body Text Indent"/>
    <w:basedOn w:val="1"/>
    <w:next w:val="13"/>
    <w:qFormat/>
    <w:uiPriority w:val="0"/>
    <w:pPr>
      <w:ind w:firstLine="830" w:firstLineChars="352"/>
    </w:pPr>
    <w:rPr>
      <w:rFonts w:ascii="仿宋_GB2312" w:eastAsia="仿宋_GB2312"/>
      <w:sz w:val="32"/>
      <w:szCs w:val="20"/>
    </w:rPr>
  </w:style>
  <w:style w:type="paragraph" w:styleId="13">
    <w:name w:val="envelope return"/>
    <w:basedOn w:val="1"/>
    <w:qFormat/>
    <w:uiPriority w:val="0"/>
    <w:pPr>
      <w:snapToGrid w:val="0"/>
    </w:pPr>
    <w:rPr>
      <w:rFonts w:ascii="Arial" w:hAnsi="Arial"/>
      <w:szCs w:val="24"/>
    </w:rPr>
  </w:style>
  <w:style w:type="paragraph" w:styleId="14">
    <w:name w:val="Plain Text"/>
    <w:basedOn w:val="1"/>
    <w:link w:val="36"/>
    <w:qFormat/>
    <w:uiPriority w:val="0"/>
    <w:rPr>
      <w:rFonts w:ascii="宋体" w:hAnsi="Courier New" w:cs="Courier New"/>
      <w:szCs w:val="21"/>
    </w:rPr>
  </w:style>
  <w:style w:type="paragraph" w:styleId="15">
    <w:name w:val="Body Text Indent 2"/>
    <w:basedOn w:val="1"/>
    <w:link w:val="55"/>
    <w:qFormat/>
    <w:uiPriority w:val="0"/>
    <w:pPr>
      <w:spacing w:after="120" w:line="480" w:lineRule="auto"/>
      <w:ind w:left="420" w:leftChars="200"/>
    </w:pPr>
  </w:style>
  <w:style w:type="paragraph" w:styleId="16">
    <w:name w:val="Balloon Text"/>
    <w:basedOn w:val="1"/>
    <w:link w:val="39"/>
    <w:qFormat/>
    <w:uiPriority w:val="99"/>
    <w:rPr>
      <w:sz w:val="18"/>
      <w:szCs w:val="18"/>
    </w:rPr>
  </w:style>
  <w:style w:type="paragraph" w:styleId="17">
    <w:name w:val="footer"/>
    <w:basedOn w:val="1"/>
    <w:link w:val="53"/>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21">
    <w:name w:val="Body Text Indent 3"/>
    <w:basedOn w:val="1"/>
    <w:link w:val="37"/>
    <w:qFormat/>
    <w:uiPriority w:val="0"/>
    <w:pPr>
      <w:spacing w:after="120"/>
      <w:ind w:left="420" w:leftChars="200"/>
    </w:pPr>
    <w:rPr>
      <w:sz w:val="16"/>
      <w:szCs w:val="16"/>
    </w:rPr>
  </w:style>
  <w:style w:type="paragraph" w:styleId="22">
    <w:name w:val="toc 2"/>
    <w:basedOn w:val="1"/>
    <w:next w:val="1"/>
    <w:semiHidden/>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5">
    <w:name w:val="index 1"/>
    <w:basedOn w:val="1"/>
    <w:next w:val="1"/>
    <w:qFormat/>
    <w:uiPriority w:val="0"/>
    <w:pPr>
      <w:tabs>
        <w:tab w:val="left" w:pos="7740"/>
      </w:tabs>
      <w:jc w:val="center"/>
    </w:pPr>
    <w:rPr>
      <w:rFonts w:ascii="仿宋" w:hAnsi="仿宋" w:eastAsia="仿宋"/>
      <w:b/>
      <w:sz w:val="28"/>
      <w:szCs w:val="28"/>
    </w:rPr>
  </w:style>
  <w:style w:type="paragraph" w:styleId="26">
    <w:name w:val="Title"/>
    <w:basedOn w:val="1"/>
    <w:next w:val="1"/>
    <w:link w:val="34"/>
    <w:qFormat/>
    <w:uiPriority w:val="0"/>
    <w:pPr>
      <w:spacing w:before="240" w:after="60"/>
      <w:jc w:val="center"/>
      <w:outlineLvl w:val="0"/>
    </w:pPr>
    <w:rPr>
      <w:rFonts w:ascii="Cambria" w:hAnsi="Cambria"/>
      <w:b/>
      <w:bCs/>
      <w:sz w:val="32"/>
      <w:szCs w:val="32"/>
    </w:rPr>
  </w:style>
  <w:style w:type="paragraph" w:styleId="27">
    <w:name w:val="Body Text First Indent 2"/>
    <w:basedOn w:val="12"/>
    <w:qFormat/>
    <w:uiPriority w:val="0"/>
    <w:pPr>
      <w:adjustRightInd/>
      <w:snapToGrid/>
      <w:spacing w:line="360" w:lineRule="auto"/>
      <w:ind w:firstLine="471" w:firstLineChars="200"/>
      <w:textAlignment w:val="auto"/>
    </w:pPr>
    <w:rPr>
      <w:rFonts w:hint="eastAsia" w:hAnsi="Times New Roman"/>
      <w:kern w:val="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sz w:val="21"/>
      <w:szCs w:val="21"/>
    </w:rPr>
  </w:style>
  <w:style w:type="character" w:customStyle="1" w:styleId="34">
    <w:name w:val="标题 Char"/>
    <w:basedOn w:val="30"/>
    <w:link w:val="26"/>
    <w:qFormat/>
    <w:uiPriority w:val="0"/>
    <w:rPr>
      <w:rFonts w:ascii="Cambria" w:hAnsi="Cambria" w:cs="Times New Roman"/>
      <w:b/>
      <w:bCs/>
      <w:sz w:val="32"/>
      <w:szCs w:val="32"/>
    </w:rPr>
  </w:style>
  <w:style w:type="character" w:customStyle="1" w:styleId="35">
    <w:name w:val="标题 1 Char"/>
    <w:basedOn w:val="30"/>
    <w:link w:val="3"/>
    <w:qFormat/>
    <w:uiPriority w:val="0"/>
    <w:rPr>
      <w:b/>
      <w:bCs/>
      <w:kern w:val="44"/>
      <w:sz w:val="44"/>
      <w:szCs w:val="44"/>
    </w:rPr>
  </w:style>
  <w:style w:type="character" w:customStyle="1" w:styleId="36">
    <w:name w:val="纯文本 Char"/>
    <w:basedOn w:val="30"/>
    <w:link w:val="14"/>
    <w:qFormat/>
    <w:uiPriority w:val="0"/>
    <w:rPr>
      <w:rFonts w:ascii="宋体" w:hAnsi="Courier New" w:cs="Courier New"/>
      <w:sz w:val="21"/>
      <w:szCs w:val="21"/>
    </w:rPr>
  </w:style>
  <w:style w:type="character" w:customStyle="1" w:styleId="37">
    <w:name w:val="正文文本缩进 3 Char"/>
    <w:basedOn w:val="30"/>
    <w:link w:val="21"/>
    <w:qFormat/>
    <w:uiPriority w:val="0"/>
    <w:rPr>
      <w:sz w:val="16"/>
      <w:szCs w:val="16"/>
    </w:rPr>
  </w:style>
  <w:style w:type="character" w:customStyle="1" w:styleId="38">
    <w:name w:val="正文文本 Char"/>
    <w:basedOn w:val="30"/>
    <w:link w:val="11"/>
    <w:qFormat/>
    <w:uiPriority w:val="0"/>
    <w:rPr>
      <w:sz w:val="21"/>
    </w:rPr>
  </w:style>
  <w:style w:type="character" w:customStyle="1" w:styleId="39">
    <w:name w:val="批注框文本 Char"/>
    <w:basedOn w:val="30"/>
    <w:link w:val="16"/>
    <w:qFormat/>
    <w:uiPriority w:val="99"/>
    <w:rPr>
      <w:sz w:val="18"/>
      <w:szCs w:val="18"/>
    </w:rPr>
  </w:style>
  <w:style w:type="character" w:customStyle="1" w:styleId="40">
    <w:name w:val="批注文字 Char"/>
    <w:basedOn w:val="30"/>
    <w:link w:val="9"/>
    <w:qFormat/>
    <w:uiPriority w:val="0"/>
    <w:rPr>
      <w:sz w:val="21"/>
    </w:rPr>
  </w:style>
  <w:style w:type="paragraph" w:customStyle="1" w:styleId="4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表格文字"/>
    <w:basedOn w:val="1"/>
    <w:qFormat/>
    <w:uiPriority w:val="0"/>
    <w:pPr>
      <w:spacing w:before="25" w:after="25"/>
      <w:jc w:val="left"/>
    </w:pPr>
    <w:rPr>
      <w:bCs/>
      <w:spacing w:val="10"/>
      <w:kern w:val="0"/>
      <w:sz w:val="24"/>
      <w:szCs w:val="20"/>
    </w:rPr>
  </w:style>
  <w:style w:type="paragraph" w:customStyle="1" w:styleId="4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6">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47">
    <w:name w:val="题注4"/>
    <w:basedOn w:val="1"/>
    <w:next w:val="8"/>
    <w:qFormat/>
    <w:uiPriority w:val="0"/>
    <w:pPr>
      <w:ind w:left="-132" w:leftChars="-64" w:right="-105" w:rightChars="-50" w:hanging="2"/>
      <w:jc w:val="center"/>
    </w:pPr>
    <w:rPr>
      <w:b/>
      <w:color w:val="FF0000"/>
      <w:szCs w:val="21"/>
      <w:lang w:val="en-GB"/>
    </w:rPr>
  </w:style>
  <w:style w:type="paragraph" w:customStyle="1" w:styleId="48">
    <w:name w:val="Char Char2 Char"/>
    <w:basedOn w:val="1"/>
    <w:qFormat/>
    <w:uiPriority w:val="0"/>
  </w:style>
  <w:style w:type="paragraph" w:customStyle="1" w:styleId="49">
    <w:name w:val="Char"/>
    <w:basedOn w:val="1"/>
    <w:qFormat/>
    <w:uiPriority w:val="0"/>
    <w:pPr>
      <w:spacing w:line="480" w:lineRule="exact"/>
    </w:pPr>
    <w:rPr>
      <w:sz w:val="24"/>
    </w:rPr>
  </w:style>
  <w:style w:type="paragraph" w:customStyle="1" w:styleId="50">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51">
    <w:name w:val="Char Char Char Char"/>
    <w:basedOn w:val="1"/>
    <w:qFormat/>
    <w:uiPriority w:val="0"/>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页脚 Char"/>
    <w:basedOn w:val="30"/>
    <w:link w:val="17"/>
    <w:qFormat/>
    <w:uiPriority w:val="99"/>
    <w:rPr>
      <w:kern w:val="2"/>
      <w:sz w:val="18"/>
      <w:szCs w:val="24"/>
    </w:rPr>
  </w:style>
  <w:style w:type="paragraph" w:customStyle="1" w:styleId="54">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55">
    <w:name w:val="正文文本缩进 2 Char"/>
    <w:basedOn w:val="30"/>
    <w:link w:val="15"/>
    <w:qFormat/>
    <w:uiPriority w:val="0"/>
    <w:rPr>
      <w:kern w:val="2"/>
      <w:sz w:val="21"/>
      <w:szCs w:val="24"/>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8">
    <w:name w:val="Default"/>
    <w:next w:val="2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5740B-3849-42A4-B890-2FA7019B879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1884</Words>
  <Characters>10743</Characters>
  <Lines>89</Lines>
  <Paragraphs>25</Paragraphs>
  <TotalTime>15</TotalTime>
  <ScaleCrop>false</ScaleCrop>
  <LinksUpToDate>false</LinksUpToDate>
  <CharactersWithSpaces>12602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2020-10-21T03:35:00Z</dcterms:created>
  <dc:creator>李继能</dc:creator>
  <cp:lastModifiedBy>NO.9</cp:lastModifiedBy>
  <cp:lastPrinted>2023-06-02T06:48:00Z</cp:lastPrinted>
  <dcterms:modified xsi:type="dcterms:W3CDTF">2023-10-18T10:33:22Z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C0248893CE6045ED89038B82C5326218</vt:lpwstr>
  </property>
</Properties>
</file>