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bookmarkStart w:id="1647" w:name="_GoBack"/>
    </w:p>
    <w:p>
      <w:pPr>
        <w:spacing w:line="360" w:lineRule="auto"/>
        <w:jc w:val="center"/>
        <w:rPr>
          <w:rFonts w:ascii="宋体" w:hAnsi="宋体" w:cs="宋体"/>
          <w:b/>
          <w:snapToGrid w:val="0"/>
          <w:color w:val="000000" w:themeColor="text1"/>
          <w:spacing w:val="-20"/>
          <w:kern w:val="0"/>
          <w:sz w:val="52"/>
          <w:szCs w:val="52"/>
          <w:highlight w:val="none"/>
          <w14:textFill>
            <w14:solidFill>
              <w14:schemeClr w14:val="tx1"/>
            </w14:solidFill>
          </w14:textFill>
        </w:rPr>
      </w:pPr>
    </w:p>
    <w:p>
      <w:pPr>
        <w:adjustRightInd w:val="0"/>
        <w:snapToGrid w:val="0"/>
        <w:spacing w:line="360" w:lineRule="auto"/>
        <w:jc w:val="center"/>
        <w:rPr>
          <w:rFonts w:ascii="宋体" w:hAnsi="宋体"/>
          <w:b/>
          <w:snapToGrid w:val="0"/>
          <w:color w:val="000000" w:themeColor="text1"/>
          <w:kern w:val="0"/>
          <w:sz w:val="48"/>
          <w:szCs w:val="48"/>
          <w:highlight w:val="none"/>
          <w:u w:val="single"/>
          <w14:textFill>
            <w14:solidFill>
              <w14:schemeClr w14:val="tx1"/>
            </w14:solidFill>
          </w14:textFill>
        </w:rPr>
      </w:pPr>
      <w:r>
        <w:rPr>
          <w:rFonts w:hint="eastAsia" w:ascii="宋体" w:hAnsi="宋体" w:cs="宋体"/>
          <w:b/>
          <w:snapToGrid w:val="0"/>
          <w:color w:val="000000" w:themeColor="text1"/>
          <w:spacing w:val="-20"/>
          <w:kern w:val="0"/>
          <w:sz w:val="48"/>
          <w:szCs w:val="48"/>
          <w:highlight w:val="none"/>
          <w14:textFill>
            <w14:solidFill>
              <w14:schemeClr w14:val="tx1"/>
            </w14:solidFill>
          </w14:textFill>
        </w:rPr>
        <w:t>南沙全民文化体育综合体生态堤建设工程（21涌以北）一期勘察设计施工总承包</w:t>
      </w:r>
    </w:p>
    <w:p>
      <w:pPr>
        <w:rPr>
          <w:rFonts w:cs="宋体"/>
          <w:b/>
          <w:snapToGrid w:val="0"/>
          <w:color w:val="000000" w:themeColor="text1"/>
          <w:spacing w:val="-20"/>
          <w:kern w:val="0"/>
          <w:sz w:val="52"/>
          <w:szCs w:val="52"/>
          <w:highlight w:val="none"/>
          <w14:textFill>
            <w14:solidFill>
              <w14:schemeClr w14:val="tx1"/>
            </w14:solidFill>
          </w14:textFill>
        </w:rPr>
      </w:pPr>
    </w:p>
    <w:p>
      <w:pPr>
        <w:snapToGrid w:val="0"/>
        <w:jc w:val="center"/>
        <w:rPr>
          <w:rFonts w:ascii="宋体" w:hAnsi="宋体"/>
          <w:b/>
          <w:color w:val="000000" w:themeColor="text1"/>
          <w:sz w:val="72"/>
          <w:szCs w:val="72"/>
          <w:highlight w:val="none"/>
          <w14:textFill>
            <w14:solidFill>
              <w14:schemeClr w14:val="tx1"/>
            </w14:solidFill>
          </w14:textFill>
        </w:rPr>
      </w:pPr>
      <w:r>
        <w:rPr>
          <w:rFonts w:hint="eastAsia" w:ascii="宋体" w:hAnsi="宋体"/>
          <w:b/>
          <w:color w:val="000000" w:themeColor="text1"/>
          <w:sz w:val="72"/>
          <w:szCs w:val="72"/>
          <w:highlight w:val="none"/>
          <w14:textFill>
            <w14:solidFill>
              <w14:schemeClr w14:val="tx1"/>
            </w14:solidFill>
          </w14:textFill>
        </w:rPr>
        <w:t>合同文件</w:t>
      </w:r>
    </w:p>
    <w:p>
      <w:pPr>
        <w:pStyle w:val="543"/>
        <w:spacing w:before="240" w:beforeLines="100" w:after="240" w:afterLines="100" w:line="360" w:lineRule="auto"/>
        <w:ind w:firstLine="2548" w:firstLineChars="708"/>
        <w:rPr>
          <w:bCs/>
          <w:color w:val="000000" w:themeColor="text1"/>
          <w:kern w:val="0"/>
          <w:sz w:val="36"/>
          <w:szCs w:val="36"/>
          <w:highlight w:val="none"/>
          <w14:textFill>
            <w14:solidFill>
              <w14:schemeClr w14:val="tx1"/>
            </w14:solidFill>
          </w14:textFill>
        </w:rPr>
      </w:pPr>
      <w:r>
        <w:rPr>
          <w:rFonts w:hint="eastAsia"/>
          <w:bCs/>
          <w:color w:val="000000" w:themeColor="text1"/>
          <w:kern w:val="0"/>
          <w:sz w:val="36"/>
          <w:szCs w:val="36"/>
          <w:highlight w:val="none"/>
          <w14:textFill>
            <w14:solidFill>
              <w14:schemeClr w14:val="tx1"/>
            </w14:solidFill>
          </w14:textFill>
        </w:rPr>
        <w:t xml:space="preserve">合同编号： </w:t>
      </w:r>
    </w:p>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p>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p>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p>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p>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p>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p>
    <w:p>
      <w:pPr>
        <w:adjustRightInd w:val="0"/>
        <w:snapToGrid w:val="0"/>
        <w:spacing w:line="360" w:lineRule="auto"/>
        <w:rPr>
          <w:rFonts w:ascii="仿宋_GB2312" w:hAnsi="宋体" w:eastAsia="仿宋_GB2312"/>
          <w:snapToGrid w:val="0"/>
          <w:color w:val="000000" w:themeColor="text1"/>
          <w:kern w:val="0"/>
          <w:sz w:val="24"/>
          <w:highlight w:val="none"/>
          <w14:textFill>
            <w14:solidFill>
              <w14:schemeClr w14:val="tx1"/>
            </w14:solidFill>
          </w14:textFill>
        </w:rPr>
      </w:pPr>
    </w:p>
    <w:p>
      <w:pPr>
        <w:autoSpaceDE w:val="0"/>
        <w:autoSpaceDN w:val="0"/>
        <w:adjustRightInd w:val="0"/>
        <w:spacing w:line="360" w:lineRule="auto"/>
        <w:ind w:left="1558" w:leftChars="742"/>
        <w:jc w:val="left"/>
        <w:rPr>
          <w:rFonts w:ascii="宋体" w:hAnsi="宋体"/>
          <w:b/>
          <w:color w:val="000000" w:themeColor="text1"/>
          <w:kern w:val="0"/>
          <w:sz w:val="32"/>
          <w:szCs w:val="32"/>
          <w:highlight w:val="none"/>
          <w14:textFill>
            <w14:solidFill>
              <w14:schemeClr w14:val="tx1"/>
            </w14:solidFill>
          </w14:textFill>
        </w:rPr>
      </w:pPr>
      <w:r>
        <w:rPr>
          <w:rFonts w:hint="eastAsia" w:ascii="宋体" w:hAnsi="宋体"/>
          <w:b/>
          <w:color w:val="000000" w:themeColor="text1"/>
          <w:kern w:val="0"/>
          <w:sz w:val="32"/>
          <w:szCs w:val="32"/>
          <w:highlight w:val="none"/>
          <w14:textFill>
            <w14:solidFill>
              <w14:schemeClr w14:val="tx1"/>
            </w14:solidFill>
          </w14:textFill>
        </w:rPr>
        <w:t>发包人：广州南沙交通投资集团有限公司</w:t>
      </w:r>
    </w:p>
    <w:p>
      <w:pPr>
        <w:adjustRightInd w:val="0"/>
        <w:snapToGrid w:val="0"/>
        <w:spacing w:line="360" w:lineRule="auto"/>
        <w:ind w:left="1558" w:leftChars="742"/>
        <w:rPr>
          <w:rFonts w:ascii="仿宋_GB2312" w:hAnsi="宋体"/>
          <w:snapToGrid w:val="0"/>
          <w:color w:val="000000" w:themeColor="text1"/>
          <w:kern w:val="0"/>
          <w:sz w:val="28"/>
          <w:szCs w:val="28"/>
          <w:highlight w:val="none"/>
          <w14:textFill>
            <w14:solidFill>
              <w14:schemeClr w14:val="tx1"/>
            </w14:solidFill>
          </w14:textFill>
        </w:rPr>
      </w:pPr>
      <w:r>
        <w:rPr>
          <w:rFonts w:hint="eastAsia" w:ascii="宋体" w:hAnsi="宋体"/>
          <w:b/>
          <w:color w:val="000000" w:themeColor="text1"/>
          <w:kern w:val="0"/>
          <w:sz w:val="32"/>
          <w:szCs w:val="32"/>
          <w:highlight w:val="none"/>
          <w14:textFill>
            <w14:solidFill>
              <w14:schemeClr w14:val="tx1"/>
            </w14:solidFill>
          </w14:textFill>
        </w:rPr>
        <w:t>承包人：</w:t>
      </w:r>
    </w:p>
    <w:p>
      <w:pPr>
        <w:adjustRightInd w:val="0"/>
        <w:snapToGrid w:val="0"/>
        <w:spacing w:line="360" w:lineRule="auto"/>
        <w:rPr>
          <w:rFonts w:ascii="仿宋_GB2312" w:hAnsi="宋体" w:eastAsia="仿宋_GB2312"/>
          <w:snapToGrid w:val="0"/>
          <w:color w:val="000000" w:themeColor="text1"/>
          <w:kern w:val="0"/>
          <w:sz w:val="28"/>
          <w:szCs w:val="28"/>
          <w:highlight w:val="none"/>
          <w14:textFill>
            <w14:solidFill>
              <w14:schemeClr w14:val="tx1"/>
            </w14:solidFill>
          </w14:textFill>
        </w:rPr>
      </w:pPr>
    </w:p>
    <w:p>
      <w:pPr>
        <w:autoSpaceDE w:val="0"/>
        <w:autoSpaceDN w:val="0"/>
        <w:adjustRightInd w:val="0"/>
        <w:spacing w:line="360" w:lineRule="auto"/>
        <w:jc w:val="center"/>
        <w:rPr>
          <w:rFonts w:ascii="宋体" w:hAnsi="宋体"/>
          <w:b/>
          <w:color w:val="000000" w:themeColor="text1"/>
          <w:kern w:val="0"/>
          <w:sz w:val="32"/>
          <w:szCs w:val="32"/>
          <w:highlight w:val="none"/>
          <w14:textFill>
            <w14:solidFill>
              <w14:schemeClr w14:val="tx1"/>
            </w14:solidFill>
          </w14:textFill>
        </w:rPr>
      </w:pPr>
      <w:r>
        <w:rPr>
          <w:rFonts w:hint="eastAsia" w:ascii="宋体" w:hAnsi="宋体"/>
          <w:b/>
          <w:color w:val="000000" w:themeColor="text1"/>
          <w:kern w:val="0"/>
          <w:sz w:val="32"/>
          <w:szCs w:val="32"/>
          <w:highlight w:val="none"/>
          <w14:textFill>
            <w14:solidFill>
              <w14:schemeClr w14:val="tx1"/>
            </w14:solidFill>
          </w14:textFill>
        </w:rPr>
        <w:t>签订日期：    年   月   日</w:t>
      </w:r>
    </w:p>
    <w:p>
      <w:pPr>
        <w:adjustRightInd w:val="0"/>
        <w:snapToGrid w:val="0"/>
        <w:spacing w:line="360" w:lineRule="auto"/>
        <w:jc w:val="center"/>
        <w:rPr>
          <w:rFonts w:ascii="仿宋_GB2312" w:eastAsia="仿宋_GB2312"/>
          <w:color w:val="000000" w:themeColor="text1"/>
          <w:sz w:val="30"/>
          <w:szCs w:val="30"/>
          <w:highlight w:val="none"/>
          <w14:textFill>
            <w14:solidFill>
              <w14:schemeClr w14:val="tx1"/>
            </w14:solidFill>
          </w14:textFill>
        </w:rPr>
      </w:pPr>
    </w:p>
    <w:p>
      <w:pPr>
        <w:adjustRightInd w:val="0"/>
        <w:snapToGrid w:val="0"/>
        <w:spacing w:line="360" w:lineRule="auto"/>
        <w:jc w:val="center"/>
        <w:rPr>
          <w:rFonts w:ascii="仿宋_GB2312" w:hAnsi="宋体" w:eastAsia="仿宋_GB2312"/>
          <w:b/>
          <w:snapToGrid w:val="0"/>
          <w:color w:val="000000" w:themeColor="text1"/>
          <w:kern w:val="0"/>
          <w:sz w:val="30"/>
          <w:szCs w:val="30"/>
          <w:highlight w:val="none"/>
          <w14:textFill>
            <w14:solidFill>
              <w14:schemeClr w14:val="tx1"/>
            </w14:solidFill>
          </w14:textFill>
        </w:rPr>
      </w:pPr>
    </w:p>
    <w:p>
      <w:pPr>
        <w:adjustRightInd w:val="0"/>
        <w:snapToGrid w:val="0"/>
        <w:spacing w:line="360" w:lineRule="auto"/>
        <w:jc w:val="center"/>
        <w:rPr>
          <w:rFonts w:ascii="宋体" w:hAnsi="宋体"/>
          <w:b/>
          <w:snapToGrid w:val="0"/>
          <w:color w:val="000000" w:themeColor="text1"/>
          <w:kern w:val="0"/>
          <w:sz w:val="24"/>
          <w:szCs w:val="24"/>
          <w:highlight w:val="none"/>
          <w14:textFill>
            <w14:solidFill>
              <w14:schemeClr w14:val="tx1"/>
            </w14:solidFill>
          </w14:textFill>
        </w:rPr>
      </w:pPr>
      <w:r>
        <w:rPr>
          <w:rFonts w:ascii="仿宋_GB2312" w:hAnsi="宋体" w:eastAsia="仿宋_GB2312"/>
          <w:b/>
          <w:snapToGrid w:val="0"/>
          <w:color w:val="000000" w:themeColor="text1"/>
          <w:kern w:val="0"/>
          <w:sz w:val="30"/>
          <w:szCs w:val="30"/>
          <w:highlight w:val="none"/>
          <w14:textFill>
            <w14:solidFill>
              <w14:schemeClr w14:val="tx1"/>
            </w14:solidFill>
          </w14:textFill>
        </w:rPr>
        <w:br w:type="page"/>
      </w:r>
      <w:r>
        <w:rPr>
          <w:rFonts w:hint="eastAsia" w:ascii="宋体" w:hAnsi="宋体"/>
          <w:b/>
          <w:snapToGrid w:val="0"/>
          <w:color w:val="000000" w:themeColor="text1"/>
          <w:kern w:val="0"/>
          <w:sz w:val="30"/>
          <w:szCs w:val="30"/>
          <w:highlight w:val="none"/>
          <w14:textFill>
            <w14:solidFill>
              <w14:schemeClr w14:val="tx1"/>
            </w14:solidFill>
          </w14:textFill>
        </w:rPr>
        <w:t>重要提示</w:t>
      </w:r>
    </w:p>
    <w:p>
      <w:pPr>
        <w:adjustRightInd w:val="0"/>
        <w:snapToGrid w:val="0"/>
        <w:spacing w:line="360" w:lineRule="auto"/>
        <w:ind w:firstLine="560" w:firstLineChars="200"/>
        <w:rPr>
          <w:rFonts w:ascii="Times New Roman" w:hAnsi="Times New Roman" w:cs="宋体"/>
          <w:snapToGrid w:val="0"/>
          <w:color w:val="000000" w:themeColor="text1"/>
          <w:kern w:val="0"/>
          <w:sz w:val="28"/>
          <w:szCs w:val="28"/>
          <w:highlight w:val="none"/>
          <w14:textFill>
            <w14:solidFill>
              <w14:schemeClr w14:val="tx1"/>
            </w14:solidFill>
          </w14:textFill>
        </w:rPr>
      </w:pPr>
      <w:r>
        <w:rPr>
          <w:rFonts w:hint="eastAsia" w:ascii="Times New Roman" w:hAnsi="Times New Roman" w:cs="宋体"/>
          <w:snapToGrid w:val="0"/>
          <w:color w:val="000000" w:themeColor="text1"/>
          <w:kern w:val="0"/>
          <w:sz w:val="28"/>
          <w:szCs w:val="28"/>
          <w:highlight w:val="none"/>
          <w14:textFill>
            <w14:solidFill>
              <w14:schemeClr w14:val="tx1"/>
            </w14:solidFill>
          </w14:textFill>
        </w:rPr>
        <w:t>使用说明：</w:t>
      </w:r>
    </w:p>
    <w:p>
      <w:pPr>
        <w:adjustRightInd w:val="0"/>
        <w:snapToGrid w:val="0"/>
        <w:spacing w:line="360" w:lineRule="auto"/>
        <w:ind w:firstLine="560" w:firstLineChars="200"/>
        <w:rPr>
          <w:rFonts w:ascii="Times New Roman" w:hAnsi="Times New Roman" w:cs="宋体"/>
          <w:snapToGrid w:val="0"/>
          <w:color w:val="000000" w:themeColor="text1"/>
          <w:kern w:val="0"/>
          <w:sz w:val="28"/>
          <w:szCs w:val="28"/>
          <w:highlight w:val="none"/>
          <w14:textFill>
            <w14:solidFill>
              <w14:schemeClr w14:val="tx1"/>
            </w14:solidFill>
          </w14:textFill>
        </w:rPr>
      </w:pPr>
      <w:r>
        <w:rPr>
          <w:rFonts w:ascii="Times New Roman" w:hAnsi="Times New Roman" w:cs="宋体"/>
          <w:snapToGrid w:val="0"/>
          <w:color w:val="000000" w:themeColor="text1"/>
          <w:kern w:val="0"/>
          <w:sz w:val="28"/>
          <w:szCs w:val="28"/>
          <w:highlight w:val="none"/>
          <w14:textFill>
            <w14:solidFill>
              <w14:schemeClr w14:val="tx1"/>
            </w14:solidFill>
          </w14:textFill>
        </w:rPr>
        <w:t>1</w:t>
      </w:r>
      <w:r>
        <w:rPr>
          <w:rFonts w:hint="eastAsia" w:ascii="Times New Roman" w:hAnsi="Times New Roman" w:cs="宋体"/>
          <w:snapToGrid w:val="0"/>
          <w:color w:val="000000" w:themeColor="text1"/>
          <w:kern w:val="0"/>
          <w:sz w:val="28"/>
          <w:szCs w:val="28"/>
          <w:highlight w:val="none"/>
          <w14:textFill>
            <w14:solidFill>
              <w14:schemeClr w14:val="tx1"/>
            </w14:solidFill>
          </w14:textFill>
        </w:rPr>
        <w:t>、下划线“</w:t>
      </w:r>
      <w:r>
        <w:rPr>
          <w:rFonts w:ascii="Times New Roman" w:hAnsi="Times New Roman" w:cs="宋体"/>
          <w:snapToGrid w:val="0"/>
          <w:color w:val="000000" w:themeColor="text1"/>
          <w:kern w:val="0"/>
          <w:sz w:val="28"/>
          <w:szCs w:val="28"/>
          <w:highlight w:val="none"/>
          <w:u w:val="single"/>
          <w14:textFill>
            <w14:solidFill>
              <w14:schemeClr w14:val="tx1"/>
            </w14:solidFill>
          </w14:textFill>
        </w:rPr>
        <w:t xml:space="preserve">    </w:t>
      </w:r>
      <w:r>
        <w:rPr>
          <w:rFonts w:hint="eastAsia" w:ascii="Times New Roman" w:hAnsi="Times New Roman" w:cs="宋体"/>
          <w:snapToGrid w:val="0"/>
          <w:color w:val="000000" w:themeColor="text1"/>
          <w:kern w:val="0"/>
          <w:sz w:val="28"/>
          <w:szCs w:val="28"/>
          <w:highlight w:val="none"/>
          <w14:textFill>
            <w14:solidFill>
              <w14:schemeClr w14:val="tx1"/>
            </w14:solidFill>
          </w14:textFill>
        </w:rPr>
        <w:t>”部分为根据项目的特点和条件填充的内容</w:t>
      </w:r>
      <w:r>
        <w:rPr>
          <w:rFonts w:ascii="Times New Roman" w:hAnsi="Times New Roman" w:cs="宋体"/>
          <w:snapToGrid w:val="0"/>
          <w:color w:val="000000" w:themeColor="text1"/>
          <w:kern w:val="0"/>
          <w:sz w:val="28"/>
          <w:szCs w:val="28"/>
          <w:highlight w:val="none"/>
          <w14:textFill>
            <w14:solidFill>
              <w14:schemeClr w14:val="tx1"/>
            </w14:solidFill>
          </w14:textFill>
        </w:rPr>
        <w:t>,</w:t>
      </w:r>
      <w:r>
        <w:rPr>
          <w:rFonts w:hint="eastAsia" w:ascii="Times New Roman" w:hAnsi="Times New Roman" w:cs="宋体"/>
          <w:snapToGrid w:val="0"/>
          <w:color w:val="000000" w:themeColor="text1"/>
          <w:kern w:val="0"/>
          <w:sz w:val="28"/>
          <w:szCs w:val="28"/>
          <w:highlight w:val="none"/>
          <w14:textFill>
            <w14:solidFill>
              <w14:schemeClr w14:val="tx1"/>
            </w14:solidFill>
          </w14:textFill>
        </w:rPr>
        <w:t>本范本已预填写的内容可根据实际修改，如无内容需填写，请填“</w:t>
      </w:r>
      <w:r>
        <w:rPr>
          <w:rFonts w:ascii="Times New Roman" w:hAnsi="Times New Roman" w:cs="宋体"/>
          <w:snapToGrid w:val="0"/>
          <w:color w:val="000000" w:themeColor="text1"/>
          <w:kern w:val="0"/>
          <w:sz w:val="28"/>
          <w:szCs w:val="28"/>
          <w:highlight w:val="none"/>
          <w14:textFill>
            <w14:solidFill>
              <w14:schemeClr w14:val="tx1"/>
            </w14:solidFill>
          </w14:textFill>
        </w:rPr>
        <w:t>/</w:t>
      </w:r>
      <w:r>
        <w:rPr>
          <w:rFonts w:hint="eastAsia" w:ascii="Times New Roman" w:hAnsi="Times New Roman" w:cs="宋体"/>
          <w:snapToGrid w:val="0"/>
          <w:color w:val="000000" w:themeColor="text1"/>
          <w:kern w:val="0"/>
          <w:sz w:val="28"/>
          <w:szCs w:val="28"/>
          <w:highlight w:val="none"/>
          <w14:textFill>
            <w14:solidFill>
              <w14:schemeClr w14:val="tx1"/>
            </w14:solidFill>
          </w14:textFill>
        </w:rPr>
        <w:t>”；</w:t>
      </w:r>
    </w:p>
    <w:p>
      <w:pPr>
        <w:adjustRightInd w:val="0"/>
        <w:snapToGrid w:val="0"/>
        <w:spacing w:line="360" w:lineRule="auto"/>
        <w:ind w:firstLine="560" w:firstLineChars="200"/>
        <w:rPr>
          <w:rFonts w:ascii="Times New Roman" w:hAnsi="Times New Roman" w:cs="宋体"/>
          <w:snapToGrid w:val="0"/>
          <w:color w:val="000000" w:themeColor="text1"/>
          <w:kern w:val="0"/>
          <w:sz w:val="28"/>
          <w:szCs w:val="28"/>
          <w:highlight w:val="none"/>
          <w14:textFill>
            <w14:solidFill>
              <w14:schemeClr w14:val="tx1"/>
            </w14:solidFill>
          </w14:textFill>
        </w:rPr>
      </w:pPr>
      <w:r>
        <w:rPr>
          <w:rFonts w:ascii="Times New Roman" w:hAnsi="Times New Roman" w:cs="宋体"/>
          <w:snapToGrid w:val="0"/>
          <w:color w:val="000000" w:themeColor="text1"/>
          <w:kern w:val="0"/>
          <w:sz w:val="28"/>
          <w:szCs w:val="28"/>
          <w:highlight w:val="none"/>
          <w14:textFill>
            <w14:solidFill>
              <w14:schemeClr w14:val="tx1"/>
            </w14:solidFill>
          </w14:textFill>
        </w:rPr>
        <w:t>2</w:t>
      </w:r>
      <w:r>
        <w:rPr>
          <w:rFonts w:hint="eastAsia" w:ascii="Times New Roman" w:hAnsi="Times New Roman" w:cs="宋体"/>
          <w:snapToGrid w:val="0"/>
          <w:color w:val="000000" w:themeColor="text1"/>
          <w:kern w:val="0"/>
          <w:sz w:val="28"/>
          <w:szCs w:val="28"/>
          <w:highlight w:val="none"/>
          <w14:textFill>
            <w14:solidFill>
              <w14:schemeClr w14:val="tx1"/>
            </w14:solidFill>
          </w14:textFill>
        </w:rPr>
        <w:t>、有标明“□”的内容为可选择项，签订合同时按照项目实际进行选择，在相应的选项内打“√”，未打“√”项目则代表不在合同工作范围；</w:t>
      </w:r>
    </w:p>
    <w:p>
      <w:pPr>
        <w:adjustRightInd w:val="0"/>
        <w:snapToGrid w:val="0"/>
        <w:spacing w:line="360" w:lineRule="auto"/>
        <w:ind w:firstLine="560" w:firstLineChars="200"/>
        <w:rPr>
          <w:rFonts w:ascii="Times New Roman" w:hAnsi="Times New Roman" w:cs="宋体"/>
          <w:snapToGrid w:val="0"/>
          <w:color w:val="000000" w:themeColor="text1"/>
          <w:kern w:val="0"/>
          <w:sz w:val="28"/>
          <w:szCs w:val="28"/>
          <w:highlight w:val="none"/>
          <w14:textFill>
            <w14:solidFill>
              <w14:schemeClr w14:val="tx1"/>
            </w14:solidFill>
          </w14:textFill>
        </w:rPr>
      </w:pPr>
      <w:r>
        <w:rPr>
          <w:rFonts w:ascii="Times New Roman" w:hAnsi="Times New Roman" w:cs="宋体"/>
          <w:snapToGrid w:val="0"/>
          <w:color w:val="000000" w:themeColor="text1"/>
          <w:kern w:val="0"/>
          <w:sz w:val="28"/>
          <w:szCs w:val="28"/>
          <w:highlight w:val="none"/>
          <w14:textFill>
            <w14:solidFill>
              <w14:schemeClr w14:val="tx1"/>
            </w14:solidFill>
          </w14:textFill>
        </w:rPr>
        <w:t>3</w:t>
      </w:r>
      <w:r>
        <w:rPr>
          <w:rFonts w:hint="eastAsia" w:ascii="Times New Roman" w:hAnsi="Times New Roman" w:cs="宋体"/>
          <w:snapToGrid w:val="0"/>
          <w:color w:val="000000" w:themeColor="text1"/>
          <w:kern w:val="0"/>
          <w:sz w:val="28"/>
          <w:szCs w:val="28"/>
          <w:highlight w:val="none"/>
          <w14:textFill>
            <w14:solidFill>
              <w14:schemeClr w14:val="tx1"/>
            </w14:solidFill>
          </w14:textFill>
        </w:rPr>
        <w:t>、标识为“备注”的，为解释性内容，请在正式合同中删除；</w:t>
      </w:r>
    </w:p>
    <w:p>
      <w:pPr>
        <w:adjustRightInd w:val="0"/>
        <w:snapToGrid w:val="0"/>
        <w:spacing w:line="360" w:lineRule="auto"/>
        <w:ind w:firstLine="560" w:firstLineChars="200"/>
        <w:rPr>
          <w:rFonts w:ascii="Times New Roman" w:hAnsi="Times New Roman" w:cs="宋体"/>
          <w:snapToGrid w:val="0"/>
          <w:color w:val="000000" w:themeColor="text1"/>
          <w:kern w:val="0"/>
          <w:sz w:val="28"/>
          <w:szCs w:val="28"/>
          <w:highlight w:val="none"/>
          <w14:textFill>
            <w14:solidFill>
              <w14:schemeClr w14:val="tx1"/>
            </w14:solidFill>
          </w14:textFill>
        </w:rPr>
      </w:pPr>
      <w:bookmarkStart w:id="0" w:name="_Hlk147835703"/>
      <w:r>
        <w:rPr>
          <w:rFonts w:ascii="Times New Roman" w:hAnsi="Times New Roman" w:cs="宋体"/>
          <w:snapToGrid w:val="0"/>
          <w:color w:val="000000" w:themeColor="text1"/>
          <w:kern w:val="0"/>
          <w:sz w:val="28"/>
          <w:szCs w:val="28"/>
          <w:highlight w:val="none"/>
          <w14:textFill>
            <w14:solidFill>
              <w14:schemeClr w14:val="tx1"/>
            </w14:solidFill>
          </w14:textFill>
        </w:rPr>
        <w:t>4</w:t>
      </w:r>
      <w:r>
        <w:rPr>
          <w:rFonts w:hint="eastAsia" w:ascii="Times New Roman" w:hAnsi="Times New Roman" w:cs="宋体"/>
          <w:b/>
          <w:bCs/>
          <w:snapToGrid w:val="0"/>
          <w:color w:val="000000" w:themeColor="text1"/>
          <w:kern w:val="0"/>
          <w:sz w:val="28"/>
          <w:szCs w:val="28"/>
          <w:highlight w:val="none"/>
          <w14:textFill>
            <w14:solidFill>
              <w14:schemeClr w14:val="tx1"/>
            </w14:solidFill>
          </w14:textFill>
        </w:rPr>
        <w:t>、</w:t>
      </w:r>
      <w:r>
        <w:rPr>
          <w:rFonts w:hint="eastAsia" w:cs="宋体"/>
          <w:b/>
          <w:bCs/>
          <w:snapToGrid w:val="0"/>
          <w:color w:val="000000" w:themeColor="text1"/>
          <w:kern w:val="0"/>
          <w:sz w:val="28"/>
          <w:szCs w:val="28"/>
          <w:highlight w:val="none"/>
          <w:u w:val="single"/>
          <w14:textFill>
            <w14:solidFill>
              <w14:schemeClr w14:val="tx1"/>
            </w14:solidFill>
          </w14:textFill>
        </w:rPr>
        <w:t>除法律规定不得修改的实质性条款外，其他条款内容可根据项目实际情况，经双方协商一致后按程序提出修改意见</w:t>
      </w:r>
      <w:r>
        <w:rPr>
          <w:rFonts w:hint="eastAsia" w:cs="宋体"/>
          <w:b/>
          <w:bCs/>
          <w:snapToGrid w:val="0"/>
          <w:color w:val="000000" w:themeColor="text1"/>
          <w:kern w:val="0"/>
          <w:sz w:val="28"/>
          <w:szCs w:val="28"/>
          <w:highlight w:val="none"/>
          <w14:textFill>
            <w14:solidFill>
              <w14:schemeClr w14:val="tx1"/>
            </w14:solidFill>
          </w14:textFill>
        </w:rPr>
        <w:t>，</w:t>
      </w:r>
      <w:r>
        <w:rPr>
          <w:rFonts w:hint="eastAsia" w:cs="宋体"/>
          <w:snapToGrid w:val="0"/>
          <w:color w:val="000000" w:themeColor="text1"/>
          <w:kern w:val="0"/>
          <w:sz w:val="28"/>
          <w:szCs w:val="28"/>
          <w:highlight w:val="none"/>
          <w14:textFill>
            <w14:solidFill>
              <w14:schemeClr w14:val="tx1"/>
            </w14:solidFill>
          </w14:textFill>
        </w:rPr>
        <w:t>如无修改意见，则一般按本标准版本执行</w:t>
      </w:r>
      <w:r>
        <w:rPr>
          <w:rFonts w:hint="eastAsia" w:ascii="Times New Roman" w:hAnsi="Times New Roman" w:cs="宋体"/>
          <w:snapToGrid w:val="0"/>
          <w:color w:val="000000" w:themeColor="text1"/>
          <w:kern w:val="0"/>
          <w:sz w:val="28"/>
          <w:szCs w:val="28"/>
          <w:highlight w:val="none"/>
          <w14:textFill>
            <w14:solidFill>
              <w14:schemeClr w14:val="tx1"/>
            </w14:solidFill>
          </w14:textFill>
        </w:rPr>
        <w:t>。</w:t>
      </w:r>
    </w:p>
    <w:bookmarkEnd w:id="0"/>
    <w:p>
      <w:pPr>
        <w:pStyle w:val="31"/>
        <w:rPr>
          <w:color w:val="000000" w:themeColor="text1"/>
          <w:sz w:val="21"/>
          <w:highlight w:val="none"/>
          <w14:textFill>
            <w14:solidFill>
              <w14:schemeClr w14:val="tx1"/>
            </w14:solidFill>
          </w14:textFill>
        </w:rPr>
      </w:pPr>
    </w:p>
    <w:p>
      <w:pPr>
        <w:pStyle w:val="31"/>
        <w:rPr>
          <w:color w:val="000000" w:themeColor="text1"/>
          <w:sz w:val="21"/>
          <w:highlight w:val="none"/>
          <w14:textFill>
            <w14:solidFill>
              <w14:schemeClr w14:val="tx1"/>
            </w14:solidFill>
          </w14:textFill>
        </w:rPr>
        <w:sectPr>
          <w:headerReference r:id="rId4" w:type="first"/>
          <w:headerReference r:id="rId3" w:type="default"/>
          <w:footerReference r:id="rId5" w:type="default"/>
          <w:footerReference r:id="rId6" w:type="even"/>
          <w:pgSz w:w="11907" w:h="16840"/>
          <w:pgMar w:top="1440" w:right="1440" w:bottom="1440" w:left="1440" w:header="851" w:footer="992" w:gutter="0"/>
          <w:cols w:space="720" w:num="1"/>
          <w:docGrid w:linePitch="312" w:charSpace="0"/>
        </w:sectPr>
      </w:pPr>
    </w:p>
    <w:p>
      <w:pPr>
        <w:pStyle w:val="39"/>
        <w:tabs>
          <w:tab w:val="right" w:leader="dot" w:pos="9027"/>
        </w:tabs>
        <w:spacing w:line="360" w:lineRule="auto"/>
        <w:jc w:val="center"/>
        <w:rPr>
          <w:b w:val="0"/>
          <w:bCs w:val="0"/>
          <w:color w:val="000000" w:themeColor="text1"/>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目 录</w:t>
      </w:r>
      <w:r>
        <w:rPr>
          <w:rFonts w:hint="eastAsia" w:ascii="宋体" w:hAnsi="宋体" w:cs="宋体"/>
          <w:b w:val="0"/>
          <w:bCs w:val="0"/>
          <w:caps w:val="0"/>
          <w:color w:val="000000" w:themeColor="text1"/>
          <w:highlight w:val="none"/>
          <w14:textFill>
            <w14:solidFill>
              <w14:schemeClr w14:val="tx1"/>
            </w14:solidFill>
          </w14:textFill>
        </w:rPr>
        <w:fldChar w:fldCharType="begin"/>
      </w:r>
      <w:r>
        <w:rPr>
          <w:rFonts w:hint="eastAsia" w:ascii="宋体" w:hAnsi="宋体" w:cs="宋体"/>
          <w:b w:val="0"/>
          <w:bCs w:val="0"/>
          <w:color w:val="000000" w:themeColor="text1"/>
          <w:highlight w:val="none"/>
          <w14:textFill>
            <w14:solidFill>
              <w14:schemeClr w14:val="tx1"/>
            </w14:solidFill>
          </w14:textFill>
        </w:rPr>
        <w:instrText xml:space="preserve"> TOC \o "1-3" \h \z \u </w:instrText>
      </w:r>
      <w:r>
        <w:rPr>
          <w:rFonts w:hint="eastAsia" w:ascii="宋体" w:hAnsi="宋体" w:cs="宋体"/>
          <w:b w:val="0"/>
          <w:bCs w:val="0"/>
          <w:caps w:val="0"/>
          <w:color w:val="000000" w:themeColor="text1"/>
          <w:highlight w:val="none"/>
          <w14:textFill>
            <w14:solidFill>
              <w14:schemeClr w14:val="tx1"/>
            </w14:solidFill>
          </w14:textFill>
        </w:rPr>
        <w:fldChar w:fldCharType="separate"/>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"_Toc147856177" </w:instrText>
      </w:r>
      <w:r>
        <w:rPr>
          <w:color w:val="000000" w:themeColor="text1"/>
          <w:highlight w:val="none"/>
          <w14:textFill>
            <w14:solidFill>
              <w14:schemeClr w14:val="tx1"/>
            </w14:solidFill>
          </w14:textFill>
        </w:rPr>
        <w:fldChar w:fldCharType="separate"/>
      </w:r>
      <w:r>
        <w:rPr>
          <w:rStyle w:val="68"/>
          <w:rFonts w:ascii="宋体" w:hAnsi="宋体"/>
          <w:color w:val="000000" w:themeColor="text1"/>
          <w:highlight w:val="none"/>
          <w14:textFill>
            <w14:solidFill>
              <w14:schemeClr w14:val="tx1"/>
            </w14:solidFill>
          </w14:textFill>
        </w:rPr>
        <w:t>第一部分   合同协议书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_Toc147856177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"_Toc147856178"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一、工程概况（备注：划线部分预填内容具体按招标文件及公告等发包人招标发出文件作相应调整）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_Toc147856178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"_Toc147856179"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二、</w:t>
      </w:r>
      <w:r>
        <w:rPr>
          <w:rStyle w:val="68"/>
          <w:color w:val="000000" w:themeColor="text1"/>
          <w:highlight w:val="none"/>
          <w14:textFill>
            <w14:solidFill>
              <w14:schemeClr w14:val="tx1"/>
            </w14:solidFill>
          </w14:textFill>
        </w:rPr>
        <w:t>工程内容、承包范围和承包方式（备注：划线部分预填内容具体按招标文件及公告等发包人招标发出文件作相应调整）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_Toc147856179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"_Toc147856180"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三、</w:t>
      </w:r>
      <w:r>
        <w:rPr>
          <w:rStyle w:val="68"/>
          <w:color w:val="000000" w:themeColor="text1"/>
          <w:highlight w:val="none"/>
          <w14:textFill>
            <w14:solidFill>
              <w14:schemeClr w14:val="tx1"/>
            </w14:solidFill>
          </w14:textFill>
        </w:rPr>
        <w:t>合同工期（备注：划线部分预填内容具体按招标文件及公告等发包人招标发出文件作相应调整）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"_Toc147856181"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四、</w:t>
      </w:r>
      <w:r>
        <w:rPr>
          <w:rStyle w:val="68"/>
          <w:color w:val="000000" w:themeColor="text1"/>
          <w:highlight w:val="none"/>
          <w14:textFill>
            <w14:solidFill>
              <w14:schemeClr w14:val="tx1"/>
            </w14:solidFill>
          </w14:textFill>
        </w:rPr>
        <w:t>工程</w:t>
      </w:r>
      <w:r>
        <w:rPr>
          <w:rStyle w:val="68"/>
          <w:color w:val="000000" w:themeColor="text1"/>
          <w:highlight w:val="none"/>
          <w:lang w:eastAsia="zh-Hans"/>
          <w14:textFill>
            <w14:solidFill>
              <w14:schemeClr w14:val="tx1"/>
            </w14:solidFill>
          </w14:textFill>
        </w:rPr>
        <w:t>质量标准、创优目标、</w:t>
      </w:r>
      <w:r>
        <w:rPr>
          <w:rStyle w:val="68"/>
          <w:color w:val="000000" w:themeColor="text1"/>
          <w:highlight w:val="none"/>
          <w14:textFill>
            <w14:solidFill>
              <w14:schemeClr w14:val="tx1"/>
            </w14:solidFill>
          </w14:textFill>
        </w:rPr>
        <w:t>职业健康安全管理目标及环境管理目标</w:t>
      </w:r>
      <w:r>
        <w:rPr>
          <w:rStyle w:val="68"/>
          <w:color w:val="000000" w:themeColor="text1"/>
          <w:highlight w:val="none"/>
          <w:lang w:eastAsia="zh-Hans"/>
          <w14:textFill>
            <w14:solidFill>
              <w14:schemeClr w14:val="tx1"/>
            </w14:solidFill>
          </w14:textFill>
        </w:rPr>
        <w:t>（备注：划线部分预填内容具体按招标文件及公告等发包人招标发出文件作相应调整）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"_Toc147856182" </w:instrText>
      </w:r>
      <w:r>
        <w:rPr>
          <w:color w:val="000000" w:themeColor="text1"/>
          <w:highlight w:val="none"/>
          <w14:textFill>
            <w14:solidFill>
              <w14:schemeClr w14:val="tx1"/>
            </w14:solidFill>
          </w14:textFill>
        </w:rPr>
        <w:fldChar w:fldCharType="separate"/>
      </w:r>
      <w:r>
        <w:rPr>
          <w:rStyle w:val="68"/>
          <w:color w:val="000000" w:themeColor="text1"/>
          <w:highlight w:val="none"/>
          <w14:textFill>
            <w14:solidFill>
              <w14:schemeClr w14:val="tx1"/>
            </w14:solidFill>
          </w14:textFill>
        </w:rPr>
        <w:t>五</w:t>
      </w:r>
      <w:r>
        <w:rPr>
          <w:rStyle w:val="68"/>
          <w:color w:val="000000" w:themeColor="text1"/>
          <w:highlight w:val="none"/>
          <w:lang w:eastAsia="zh-Hans"/>
          <w14:textFill>
            <w14:solidFill>
              <w14:schemeClr w14:val="tx1"/>
            </w14:solidFill>
          </w14:textFill>
        </w:rPr>
        <w:t>、签约合同价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"_Toc147856183"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六、工人工资支付分账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"_Toc147856184"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七、组成合同的文件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"_Toc147856185"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八、词语含义</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"_Toc147856186"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九、承诺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"_Toc147856187"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十、合同生效</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"_Toc147856188" </w:instrText>
      </w:r>
      <w:r>
        <w:rPr>
          <w:color w:val="000000" w:themeColor="text1"/>
          <w:highlight w:val="none"/>
          <w14:textFill>
            <w14:solidFill>
              <w14:schemeClr w14:val="tx1"/>
            </w14:solidFill>
          </w14:textFill>
        </w:rPr>
        <w:fldChar w:fldCharType="separate"/>
      </w:r>
      <w:r>
        <w:rPr>
          <w:rStyle w:val="68"/>
          <w:color w:val="000000" w:themeColor="text1"/>
          <w:highlight w:val="none"/>
          <w:lang w:eastAsia="zh-Hans"/>
          <w14:textFill>
            <w14:solidFill>
              <w14:schemeClr w14:val="tx1"/>
            </w14:solidFill>
          </w14:textFill>
        </w:rPr>
        <w:t>十</w:t>
      </w:r>
      <w:r>
        <w:rPr>
          <w:rStyle w:val="68"/>
          <w:color w:val="000000" w:themeColor="text1"/>
          <w:highlight w:val="none"/>
          <w14:textFill>
            <w14:solidFill>
              <w14:schemeClr w14:val="tx1"/>
            </w14:solidFill>
          </w14:textFill>
        </w:rPr>
        <w:t>一</w:t>
      </w:r>
      <w:r>
        <w:rPr>
          <w:rStyle w:val="68"/>
          <w:color w:val="000000" w:themeColor="text1"/>
          <w:highlight w:val="none"/>
          <w:lang w:eastAsia="zh-Hans"/>
          <w14:textFill>
            <w14:solidFill>
              <w14:schemeClr w14:val="tx1"/>
            </w14:solidFill>
          </w14:textFill>
        </w:rPr>
        <w:t>、合同份数</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"_Toc147856189" </w:instrText>
      </w:r>
      <w:r>
        <w:rPr>
          <w:color w:val="000000" w:themeColor="text1"/>
          <w:highlight w:val="none"/>
          <w14:textFill>
            <w14:solidFill>
              <w14:schemeClr w14:val="tx1"/>
            </w14:solidFill>
          </w14:textFill>
        </w:rPr>
        <w:fldChar w:fldCharType="separate"/>
      </w:r>
      <w:r>
        <w:rPr>
          <w:rStyle w:val="68"/>
          <w:rFonts w:ascii="宋体" w:hAnsi="宋体"/>
          <w:color w:val="000000" w:themeColor="text1"/>
          <w:highlight w:val="none"/>
          <w14:textFill>
            <w14:solidFill>
              <w14:schemeClr w14:val="tx1"/>
            </w14:solidFill>
          </w14:textFill>
        </w:rPr>
        <w:t>第二部分   通用合同条款</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_Toc147856189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"_Toc147856190"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 一般约定</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"_Toc147856191"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 发包人义务</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"_Toc147856192"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3. 监理人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"_Toc147856193"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4. 承包人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"_Toc147856194"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5. 设计</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"_Toc147856195"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6. 材料和工程设备</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"_Toc147856196"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7. 施工设备和临时设施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"_Toc147856197"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8. 交通运输</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"_Toc147856198"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9. 测量放线</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"_Toc147856199"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10. 安全、治安保卫和环境保护</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_Toc147856199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"_Toc147856200"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11. 开始工作和合同完工</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"_Toc147856201"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12. 暂停工作</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"_Toc147856202"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13. 工程质量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"_Toc147856203"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14. 试验和检验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"_Toc147856204"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15. 变更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"_Toc147856205"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16. 价格调整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"_Toc147856206"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17. 合同价格与支付</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"_Toc147856207"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18. 竣工试验和竣工验收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"_Toc147856208"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19. 缺陷责任与保修责任</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"_Toc147856209"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20. 保险</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_Toc147856209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"_Toc147856210"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21. 不可抗力</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"_Toc147856211"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22. 违约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"_Toc147856212"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23. 索赔</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"_Toc147856213"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24. 争议的解决</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"_Toc147856214" </w:instrText>
      </w:r>
      <w:r>
        <w:rPr>
          <w:color w:val="000000" w:themeColor="text1"/>
          <w:highlight w:val="none"/>
          <w14:textFill>
            <w14:solidFill>
              <w14:schemeClr w14:val="tx1"/>
            </w14:solidFill>
          </w14:textFill>
        </w:rPr>
        <w:fldChar w:fldCharType="separate"/>
      </w:r>
      <w:r>
        <w:rPr>
          <w:rStyle w:val="68"/>
          <w:rFonts w:ascii="宋体" w:hAnsi="宋体"/>
          <w:color w:val="000000" w:themeColor="text1"/>
          <w:highlight w:val="none"/>
          <w14:textFill>
            <w14:solidFill>
              <w14:schemeClr w14:val="tx1"/>
            </w14:solidFill>
          </w14:textFill>
        </w:rPr>
        <w:t>第三部分   专用合同条款</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"_Toc147856215"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 一般约定</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"_Toc147856216"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 发包人义务</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"_Toc147856217"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3. 监理人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"_Toc147856218"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4. 承包人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"_Toc147856219"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5. 勘察、设计</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_Toc147856219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"_Toc147856220"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6. 材料和工程设备</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"_Toc147856221"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7. 施工设备和临时设施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"_Toc147856222"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8. 交通运输</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"_Toc147856223"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9. 测量放线</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"_Toc147856224"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10. 安全、治安保卫和环境保护</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"_Toc147856225"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11. 开始工作和竣工</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"_Toc147856226"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12. 暂停工作</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"_Toc147856227"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13. 工程质量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"_Toc147856228"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14. 试验和检验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"_Toc147856229"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15. 变更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_Toc147856229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"_Toc147856230"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16. 价格调整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"_Toc147856231"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17. 合同价格与支付</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"_Toc147856232"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18. 竣工试验和竣工验收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"_Toc147856233"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19. 缺陷责任与保修责任</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"_Toc147856234"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20. 保险</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"_Toc147856235"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22. 违约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"_Toc147856236"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24. 争议的解决</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"_Toc147856237"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25. 承包人风险</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0"/>
        <w:tabs>
          <w:tab w:val="right" w:leader="dot" w:pos="9017"/>
        </w:tabs>
        <w:rPr>
          <w:rFonts w:asciiTheme="minorHAnsi" w:hAnsiTheme="minorHAnsi" w:eastAsiaTheme="minorEastAsia" w:cstheme="minorBidi"/>
          <w:iC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"_Toc147856238" </w:instrText>
      </w:r>
      <w:r>
        <w:rPr>
          <w:color w:val="000000" w:themeColor="text1"/>
          <w:highlight w:val="none"/>
          <w14:textFill>
            <w14:solidFill>
              <w14:schemeClr w14:val="tx1"/>
            </w14:solidFill>
          </w14:textFill>
        </w:rPr>
        <w:fldChar w:fldCharType="separate"/>
      </w:r>
      <w:r>
        <w:rPr>
          <w:rStyle w:val="68"/>
          <w:rFonts w:ascii="Arial" w:hAnsi="Arial"/>
          <w:color w:val="000000" w:themeColor="text1"/>
          <w:highlight w:val="none"/>
          <w14:textFill>
            <w14:solidFill>
              <w14:schemeClr w14:val="tx1"/>
            </w14:solidFill>
          </w14:textFill>
        </w:rPr>
        <w:t>26. 完工验收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144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"_Toc147856239" </w:instrText>
      </w:r>
      <w:r>
        <w:rPr>
          <w:color w:val="000000" w:themeColor="text1"/>
          <w:highlight w:val="none"/>
          <w14:textFill>
            <w14:solidFill>
              <w14:schemeClr w14:val="tx1"/>
            </w14:solidFill>
          </w14:textFill>
        </w:rPr>
        <w:fldChar w:fldCharType="separate"/>
      </w:r>
      <w:r>
        <w:rPr>
          <w:rStyle w:val="68"/>
          <w:rFonts w:ascii="宋体" w:hAnsi="宋体"/>
          <w:color w:val="000000" w:themeColor="text1"/>
          <w:highlight w:val="none"/>
          <w14:textFill>
            <w14:solidFill>
              <w14:schemeClr w14:val="tx1"/>
            </w14:solidFill>
          </w14:textFill>
        </w:rPr>
        <w:t>第</w:t>
      </w:r>
      <w:r>
        <w:rPr>
          <w:rStyle w:val="68"/>
          <w:rFonts w:ascii="宋体" w:hAnsi="宋体"/>
          <w:color w:val="000000" w:themeColor="text1"/>
          <w:highlight w:val="none"/>
          <w:lang w:eastAsia="zh-Hans"/>
          <w14:textFill>
            <w14:solidFill>
              <w14:schemeClr w14:val="tx1"/>
            </w14:solidFill>
          </w14:textFill>
        </w:rPr>
        <w:t>四</w:t>
      </w:r>
      <w:r>
        <w:rPr>
          <w:rStyle w:val="68"/>
          <w:rFonts w:ascii="宋体" w:hAnsi="宋体"/>
          <w:color w:val="000000" w:themeColor="text1"/>
          <w:highlight w:val="none"/>
          <w14:textFill>
            <w14:solidFill>
              <w14:schemeClr w14:val="tx1"/>
            </w14:solidFill>
          </w14:textFill>
        </w:rPr>
        <w:t xml:space="preserve">部分   </w:t>
      </w:r>
      <w:r>
        <w:rPr>
          <w:rStyle w:val="68"/>
          <w:rFonts w:ascii="宋体" w:hAnsi="宋体"/>
          <w:color w:val="000000" w:themeColor="text1"/>
          <w:highlight w:val="none"/>
          <w:lang w:eastAsia="zh-Hans"/>
          <w14:textFill>
            <w14:solidFill>
              <w14:schemeClr w14:val="tx1"/>
            </w14:solidFill>
          </w14:textFill>
        </w:rPr>
        <w:t>合同附件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_Toc147856239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149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"_Toc147856240"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highlight w:val="none"/>
          <w14:textFill>
            <w14:solidFill>
              <w14:schemeClr w14:val="tx1"/>
            </w14:solidFill>
          </w14:textFill>
        </w:rPr>
        <w:t>附件1：</w:t>
      </w:r>
      <w:r>
        <w:rPr>
          <w:rStyle w:val="68"/>
          <w:rFonts w:ascii="宋体" w:hAnsi="宋体" w:cs="宋体"/>
          <w:color w:val="000000" w:themeColor="text1"/>
          <w:highlight w:val="none"/>
          <w:lang w:eastAsia="zh-Hans"/>
          <w14:textFill>
            <w14:solidFill>
              <w14:schemeClr w14:val="tx1"/>
            </w14:solidFill>
          </w14:textFill>
        </w:rPr>
        <w:t>工程质量保修书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"_Toc147856241"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highlight w:val="none"/>
          <w14:textFill>
            <w14:solidFill>
              <w14:schemeClr w14:val="tx1"/>
            </w14:solidFill>
          </w14:textFill>
        </w:rPr>
        <w:t>附件2：南沙区建设工程项目廉洁责任合同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"_Toc147856242" </w:instrText>
      </w:r>
      <w:r>
        <w:rPr>
          <w:color w:val="000000" w:themeColor="text1"/>
          <w:highlight w:val="none"/>
          <w14:textFill>
            <w14:solidFill>
              <w14:schemeClr w14:val="tx1"/>
            </w14:solidFill>
          </w14:textFill>
        </w:rPr>
        <w:fldChar w:fldCharType="separate"/>
      </w:r>
      <w:r>
        <w:rPr>
          <w:rStyle w:val="68"/>
          <w:rFonts w:ascii="宋体" w:hAnsi="宋体" w:cs="宋体"/>
          <w:snapToGrid w:val="0"/>
          <w:color w:val="000000" w:themeColor="text1"/>
          <w:kern w:val="0"/>
          <w:highlight w:val="none"/>
          <w14:textFill>
            <w14:solidFill>
              <w14:schemeClr w14:val="tx1"/>
            </w14:solidFill>
          </w14:textFill>
        </w:rPr>
        <w:t>附件3：</w:t>
      </w:r>
      <w:r>
        <w:rPr>
          <w:rStyle w:val="68"/>
          <w:rFonts w:ascii="宋体" w:hAnsi="宋体" w:cs="宋体"/>
          <w:snapToGrid w:val="0"/>
          <w:color w:val="000000" w:themeColor="text1"/>
          <w:kern w:val="0"/>
          <w:highlight w:val="none"/>
          <w:lang w:eastAsia="zh-Hans"/>
          <w14:textFill>
            <w14:solidFill>
              <w14:schemeClr w14:val="tx1"/>
            </w14:solidFill>
          </w14:textFill>
        </w:rPr>
        <w:t>安</w:t>
      </w:r>
      <w:r>
        <w:rPr>
          <w:rStyle w:val="68"/>
          <w:rFonts w:ascii="宋体" w:hAnsi="宋体" w:cs="宋体"/>
          <w:snapToGrid w:val="0"/>
          <w:color w:val="000000" w:themeColor="text1"/>
          <w:kern w:val="0"/>
          <w:highlight w:val="none"/>
          <w14:textFill>
            <w14:solidFill>
              <w14:schemeClr w14:val="tx1"/>
            </w14:solidFill>
          </w14:textFill>
        </w:rPr>
        <w:t>全生产合同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"_Toc147856243"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kern w:val="0"/>
          <w:highlight w:val="none"/>
          <w14:textFill>
            <w14:solidFill>
              <w14:schemeClr w14:val="tx1"/>
            </w14:solidFill>
          </w14:textFill>
        </w:rPr>
        <w:t>附件4：工程质量终身负责承诺书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"_Toc147856244"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kern w:val="0"/>
          <w:highlight w:val="none"/>
          <w14:textFill>
            <w14:solidFill>
              <w14:schemeClr w14:val="tx1"/>
            </w14:solidFill>
          </w14:textFill>
        </w:rPr>
        <w:t>附件5：承包人违约责任明细表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"_Toc147856245"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kern w:val="0"/>
          <w:highlight w:val="none"/>
          <w14:textFill>
            <w14:solidFill>
              <w14:schemeClr w14:val="tx1"/>
            </w14:solidFill>
          </w14:textFill>
        </w:rPr>
        <w:t>附件6：预付款担保格式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173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"_Toc147856246"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kern w:val="0"/>
          <w:highlight w:val="none"/>
          <w14:textFill>
            <w14:solidFill>
              <w14:schemeClr w14:val="tx1"/>
            </w14:solidFill>
          </w14:textFill>
        </w:rPr>
        <w:t>附件7：履约担保格式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174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"_Toc147856247"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kern w:val="0"/>
          <w:highlight w:val="none"/>
          <w14:textFill>
            <w14:solidFill>
              <w14:schemeClr w14:val="tx1"/>
            </w14:solidFill>
          </w14:textFill>
        </w:rPr>
        <w:t>附件8：南沙全民文化体育综合体生态堤建设工程（21涌以北）一期勘察设计施工总承包绩效考核办法（试行）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176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"_Toc147856248"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highlight w:val="none"/>
          <w14:textFill>
            <w14:solidFill>
              <w14:schemeClr w14:val="tx1"/>
            </w14:solidFill>
          </w14:textFill>
        </w:rPr>
        <w:t>附件9：《南沙全民文化体育综合体及配套设施工程数字化应用指引》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186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"_Toc147856249"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highlight w:val="none"/>
          <w14:textFill>
            <w14:solidFill>
              <w14:schemeClr w14:val="tx1"/>
            </w14:solidFill>
          </w14:textFill>
        </w:rPr>
        <w:t>附件10：联合体协议书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_Toc147856249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"_Toc147856250"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highlight w:val="none"/>
          <w14:textFill>
            <w14:solidFill>
              <w14:schemeClr w14:val="tx1"/>
            </w14:solidFill>
          </w14:textFill>
        </w:rPr>
        <w:t>附件11：联合体支付协议书</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_Toc147856250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"_Toc147856251"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highlight w:val="none"/>
          <w:lang w:eastAsia="zh-Hans"/>
          <w14:textFill>
            <w14:solidFill>
              <w14:schemeClr w14:val="tx1"/>
            </w14:solidFill>
          </w14:textFill>
        </w:rPr>
        <w:t>附件12：招投标文件关键页（含招标答疑纪要、任务书、投标函、投标报价、承包人拟投入人员表、拟投入本工程的主要施工设备表等）</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_Toc147856251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0"/>
        <w:tabs>
          <w:tab w:val="right" w:leader="dot" w:pos="9017"/>
        </w:tabs>
        <w:rPr>
          <w:rFonts w:asciiTheme="minorHAnsi" w:hAnsiTheme="minorHAnsi" w:eastAsiaTheme="minorEastAsia" w:cstheme="minorBidi"/>
          <w:smallCaps w:val="0"/>
          <w:color w:val="000000" w:themeColor="text1"/>
          <w:sz w:val="21"/>
          <w:szCs w:val="22"/>
          <w:highlight w:val="none"/>
          <w14:textFill>
            <w14:solidFill>
              <w14:schemeClr w14:val="tx1"/>
            </w14:solidFill>
          </w14:textFill>
          <w14:ligatures w14:val="standardContextua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"_Toc147856252" </w:instrText>
      </w:r>
      <w:r>
        <w:rPr>
          <w:color w:val="000000" w:themeColor="text1"/>
          <w:highlight w:val="none"/>
          <w14:textFill>
            <w14:solidFill>
              <w14:schemeClr w14:val="tx1"/>
            </w14:solidFill>
          </w14:textFill>
        </w:rPr>
        <w:fldChar w:fldCharType="separate"/>
      </w:r>
      <w:r>
        <w:rPr>
          <w:rStyle w:val="68"/>
          <w:rFonts w:ascii="宋体" w:hAnsi="宋体" w:cs="宋体"/>
          <w:color w:val="000000" w:themeColor="text1"/>
          <w:highlight w:val="none"/>
          <w:lang w:eastAsia="zh-Hans"/>
          <w14:textFill>
            <w14:solidFill>
              <w14:schemeClr w14:val="tx1"/>
            </w14:solidFill>
          </w14:textFill>
        </w:rPr>
        <w:t>附件13：立项及相关会纪函件关键页（如有）</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_Toc147856252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9"/>
        <w:tabs>
          <w:tab w:val="right" w:leader="dot" w:pos="9027"/>
        </w:tabs>
        <w:spacing w:line="360" w:lineRule="auto"/>
        <w:jc w:val="center"/>
        <w:rPr>
          <w:rFonts w:ascii="宋体" w:hAnsi="宋体" w:cs="宋体"/>
          <w:color w:val="000000" w:themeColor="text1"/>
          <w:highlight w:val="none"/>
          <w14:textFill>
            <w14:solidFill>
              <w14:schemeClr w14:val="tx1"/>
            </w14:solidFill>
          </w14:textFill>
        </w:rPr>
      </w:pPr>
      <w:r>
        <w:rPr>
          <w:rFonts w:hint="eastAsia" w:ascii="宋体" w:hAnsi="宋体" w:cs="宋体"/>
          <w:b w:val="0"/>
          <w:bCs w:val="0"/>
          <w:color w:val="000000" w:themeColor="text1"/>
          <w:highlight w:val="none"/>
          <w14:textFill>
            <w14:solidFill>
              <w14:schemeClr w14:val="tx1"/>
            </w14:solidFill>
          </w14:textFill>
        </w:rPr>
        <w:fldChar w:fldCharType="end"/>
      </w:r>
    </w:p>
    <w:p>
      <w:pPr>
        <w:pStyle w:val="543"/>
        <w:spacing w:line="360" w:lineRule="auto"/>
        <w:rPr>
          <w:rFonts w:cs="宋体"/>
          <w:color w:val="000000" w:themeColor="text1"/>
          <w:highlight w:val="none"/>
          <w14:textFill>
            <w14:solidFill>
              <w14:schemeClr w14:val="tx1"/>
            </w14:solidFill>
          </w14:textFill>
        </w:rPr>
      </w:pPr>
      <w:bookmarkStart w:id="1" w:name="_Toc476860352"/>
      <w:bookmarkStart w:id="2" w:name="_Toc411736141"/>
      <w:bookmarkStart w:id="3" w:name="_Toc411736417"/>
    </w:p>
    <w:p>
      <w:pPr>
        <w:pStyle w:val="4"/>
        <w:spacing w:line="360" w:lineRule="auto"/>
        <w:jc w:val="center"/>
        <w:rPr>
          <w:rFonts w:ascii="宋体" w:hAnsi="宋体" w:eastAsia="宋体" w:cs="宋体"/>
          <w:color w:val="000000" w:themeColor="text1"/>
          <w:highlight w:val="none"/>
          <w14:textFill>
            <w14:solidFill>
              <w14:schemeClr w14:val="tx1"/>
            </w14:solidFill>
          </w14:textFill>
        </w:rPr>
        <w:sectPr>
          <w:pgSz w:w="11907" w:h="16840"/>
          <w:pgMar w:top="1440" w:right="1440" w:bottom="1440" w:left="1440" w:header="851" w:footer="992" w:gutter="0"/>
          <w:cols w:space="720" w:num="1"/>
          <w:docGrid w:linePitch="312" w:charSpace="0"/>
        </w:sectPr>
      </w:pPr>
    </w:p>
    <w:p>
      <w:pPr>
        <w:pStyle w:val="4"/>
        <w:spacing w:before="120" w:beforeLines="50" w:after="120" w:afterLines="50" w:line="360" w:lineRule="auto"/>
        <w:jc w:val="center"/>
        <w:rPr>
          <w:rFonts w:ascii="宋体" w:hAnsi="宋体" w:eastAsia="宋体" w:cs="宋体"/>
          <w:color w:val="000000" w:themeColor="text1"/>
          <w:szCs w:val="21"/>
          <w:highlight w:val="none"/>
          <w14:textFill>
            <w14:solidFill>
              <w14:schemeClr w14:val="tx1"/>
            </w14:solidFill>
          </w14:textFill>
        </w:rPr>
      </w:pPr>
      <w:bookmarkStart w:id="4" w:name="_Toc31214431"/>
      <w:bookmarkStart w:id="5" w:name="_Toc147856177"/>
      <w:bookmarkStart w:id="6" w:name="_Toc8243"/>
      <w:bookmarkStart w:id="7" w:name="_Toc213"/>
      <w:r>
        <w:rPr>
          <w:rFonts w:hint="eastAsia" w:ascii="宋体" w:hAnsi="宋体" w:eastAsia="宋体"/>
          <w:color w:val="000000" w:themeColor="text1"/>
          <w:highlight w:val="none"/>
          <w14:textFill>
            <w14:solidFill>
              <w14:schemeClr w14:val="tx1"/>
            </w14:solidFill>
          </w14:textFill>
        </w:rPr>
        <w:t>第一部分   合同协议书</w:t>
      </w:r>
      <w:bookmarkEnd w:id="1"/>
      <w:bookmarkEnd w:id="2"/>
      <w:bookmarkEnd w:id="3"/>
      <w:bookmarkEnd w:id="4"/>
      <w:bookmarkEnd w:id="5"/>
      <w:bookmarkEnd w:id="6"/>
      <w:bookmarkEnd w:id="7"/>
    </w:p>
    <w:p>
      <w:pPr>
        <w:spacing w:before="120" w:beforeLines="50" w:after="120" w:afterLines="50"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鉴于：</w:t>
      </w:r>
      <w:r>
        <w:rPr>
          <w:rFonts w:hint="eastAsia" w:ascii="宋体" w:hAnsi="宋体"/>
          <w:color w:val="000000" w:themeColor="text1"/>
          <w:szCs w:val="21"/>
          <w:highlight w:val="none"/>
          <w:u w:val="single"/>
          <w14:textFill>
            <w14:solidFill>
              <w14:schemeClr w14:val="tx1"/>
            </w14:solidFill>
          </w14:textFill>
        </w:rPr>
        <w:t xml:space="preserve"> </w:t>
      </w:r>
      <w:bookmarkStart w:id="8" w:name="_Hlk147841180"/>
      <w:r>
        <w:rPr>
          <w:rFonts w:hint="eastAsia" w:ascii="宋体" w:hAnsi="宋体"/>
          <w:color w:val="000000" w:themeColor="text1"/>
          <w:szCs w:val="21"/>
          <w:highlight w:val="none"/>
          <w:u w:val="single"/>
          <w14:textFill>
            <w14:solidFill>
              <w14:schemeClr w14:val="tx1"/>
            </w14:solidFill>
          </w14:textFill>
        </w:rPr>
        <w:t>广州南沙交通投资集团有限公司</w:t>
      </w:r>
      <w:bookmarkEnd w:id="8"/>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（以下称发包人）</w:t>
      </w:r>
      <w:r>
        <w:rPr>
          <w:rFonts w:hint="eastAsia" w:ascii="宋体" w:hAnsi="宋体" w:cs="宋体"/>
          <w:color w:val="000000" w:themeColor="text1"/>
          <w:szCs w:val="21"/>
          <w:highlight w:val="none"/>
          <w14:textFill>
            <w14:solidFill>
              <w14:schemeClr w14:val="tx1"/>
            </w14:solidFill>
          </w14:textFill>
        </w:rPr>
        <w:t>采用勘察</w:t>
      </w:r>
      <w:r>
        <w:rPr>
          <w:rFonts w:hint="eastAsia" w:ascii="宋体" w:hAnsi="宋体" w:cs="Arial"/>
          <w:color w:val="000000" w:themeColor="text1"/>
          <w:szCs w:val="21"/>
          <w:highlight w:val="none"/>
          <w14:textFill>
            <w14:solidFill>
              <w14:schemeClr w14:val="tx1"/>
            </w14:solidFill>
          </w14:textFill>
        </w:rPr>
        <w:t>设计施工总承包</w:t>
      </w:r>
      <w:r>
        <w:rPr>
          <w:rFonts w:hint="eastAsia" w:ascii="宋体" w:hAnsi="宋体" w:cs="宋体"/>
          <w:color w:val="000000" w:themeColor="text1"/>
          <w:szCs w:val="21"/>
          <w:highlight w:val="none"/>
          <w14:textFill>
            <w14:solidFill>
              <w14:schemeClr w14:val="tx1"/>
            </w14:solidFill>
          </w14:textFill>
        </w:rPr>
        <w:t>模式建设项目</w:t>
      </w:r>
      <w:r>
        <w:rPr>
          <w:rFonts w:hint="eastAsia"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u w:val="single"/>
          <w14:textFill>
            <w14:solidFill>
              <w14:schemeClr w14:val="tx1"/>
            </w14:solidFill>
          </w14:textFill>
        </w:rPr>
        <w:t>南沙全民文化体育综合体生态堤建设工程（21涌以北）一期</w:t>
      </w:r>
      <w:r>
        <w:rPr>
          <w:rFonts w:hint="eastAsia"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（以下简称“本项目”）</w:t>
      </w:r>
    </w:p>
    <w:p>
      <w:pPr>
        <w:spacing w:before="120" w:beforeLines="50" w:after="120" w:afterLines="50"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（以下称承包人）</w:t>
      </w:r>
      <w:r>
        <w:rPr>
          <w:rFonts w:hint="eastAsia" w:ascii="宋体" w:hAnsi="宋体" w:cs="宋体"/>
          <w:color w:val="000000" w:themeColor="text1"/>
          <w:szCs w:val="21"/>
          <w:highlight w:val="none"/>
          <w14:textFill>
            <w14:solidFill>
              <w14:schemeClr w14:val="tx1"/>
            </w14:solidFill>
          </w14:textFill>
        </w:rPr>
        <w:t>参加本项目投标并中标，</w:t>
      </w:r>
      <w:r>
        <w:rPr>
          <w:rFonts w:hint="eastAsia" w:ascii="宋体" w:hAnsi="宋体" w:cs="宋体"/>
          <w:color w:val="000000" w:themeColor="text1"/>
          <w:kern w:val="0"/>
          <w:szCs w:val="21"/>
          <w:highlight w:val="none"/>
          <w14:textFill>
            <w14:solidFill>
              <w14:schemeClr w14:val="tx1"/>
            </w14:solidFill>
          </w14:textFill>
        </w:rPr>
        <w:t>为了加强建设实施管理工作</w:t>
      </w:r>
      <w:r>
        <w:rPr>
          <w:rFonts w:hint="eastAsia" w:ascii="宋体" w:hAnsi="宋体" w:cs="宋体"/>
          <w:color w:val="000000" w:themeColor="text1"/>
          <w:szCs w:val="21"/>
          <w:highlight w:val="none"/>
          <w14:textFill>
            <w14:solidFill>
              <w14:schemeClr w14:val="tx1"/>
            </w14:solidFill>
          </w14:textFill>
        </w:rPr>
        <w:t>，经双方充分协商，根据《中华人民共和国民法典》订立本勘察设计施工总承包合同，以此共同恪守。</w:t>
      </w:r>
    </w:p>
    <w:p>
      <w:pPr>
        <w:pStyle w:val="585"/>
        <w:spacing w:before="120" w:after="120"/>
        <w:rPr>
          <w:color w:val="000000" w:themeColor="text1"/>
          <w:highlight w:val="none"/>
          <w:lang w:eastAsia="zh-Hans"/>
          <w14:textFill>
            <w14:solidFill>
              <w14:schemeClr w14:val="tx1"/>
            </w14:solidFill>
          </w14:textFill>
        </w:rPr>
      </w:pPr>
      <w:bookmarkStart w:id="9" w:name="_Toc634931949"/>
      <w:bookmarkStart w:id="10" w:name="_Toc147856178"/>
      <w:r>
        <w:rPr>
          <w:color w:val="000000" w:themeColor="text1"/>
          <w:highlight w:val="none"/>
          <w:lang w:eastAsia="zh-Hans"/>
          <w14:textFill>
            <w14:solidFill>
              <w14:schemeClr w14:val="tx1"/>
            </w14:solidFill>
          </w14:textFill>
        </w:rPr>
        <w:t>一、工程概况（备注：划线部分预填内容具体按招标文件及公告等发包人招标发出文件作相应调整）</w:t>
      </w:r>
      <w:bookmarkEnd w:id="9"/>
      <w:bookmarkEnd w:id="10"/>
    </w:p>
    <w:p>
      <w:pPr>
        <w:adjustRightInd w:val="0"/>
        <w:snapToGrid w:val="0"/>
        <w:spacing w:before="120" w:beforeLines="50" w:after="120" w:afterLines="50" w:line="360" w:lineRule="auto"/>
        <w:ind w:left="2054" w:leftChars="228" w:right="11" w:hanging="1575" w:hangingChars="75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1.1</w:t>
      </w:r>
      <w:r>
        <w:rPr>
          <w:rFonts w:hint="eastAsia" w:ascii="宋体" w:hAnsi="宋体"/>
          <w:bCs/>
          <w:snapToGrid w:val="0"/>
          <w:color w:val="000000" w:themeColor="text1"/>
          <w:kern w:val="0"/>
          <w:szCs w:val="21"/>
          <w:highlight w:val="none"/>
          <w14:textFill>
            <w14:solidFill>
              <w14:schemeClr w14:val="tx1"/>
            </w14:solidFill>
          </w14:textFill>
        </w:rPr>
        <w:t>工程名称：</w:t>
      </w:r>
      <w:r>
        <w:rPr>
          <w:rFonts w:hint="eastAsia" w:ascii="宋体" w:hAnsi="宋体"/>
          <w:color w:val="000000" w:themeColor="text1"/>
          <w:szCs w:val="21"/>
          <w:highlight w:val="none"/>
          <w:u w:val="single"/>
          <w14:textFill>
            <w14:solidFill>
              <w14:schemeClr w14:val="tx1"/>
            </w14:solidFill>
          </w14:textFill>
        </w:rPr>
        <w:t>南沙全民文化体育综合体生态堤建设工程（21涌以北）一期</w:t>
      </w:r>
    </w:p>
    <w:p>
      <w:pPr>
        <w:adjustRightInd w:val="0"/>
        <w:snapToGrid w:val="0"/>
        <w:spacing w:before="120" w:beforeLines="50" w:after="120" w:afterLines="50" w:line="360" w:lineRule="auto"/>
        <w:ind w:left="2054" w:leftChars="228" w:right="11" w:hanging="1575" w:hangingChars="75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1.2</w:t>
      </w:r>
      <w:r>
        <w:rPr>
          <w:rFonts w:hint="eastAsia" w:ascii="宋体" w:hAnsi="宋体"/>
          <w:bCs/>
          <w:snapToGrid w:val="0"/>
          <w:color w:val="000000" w:themeColor="text1"/>
          <w:kern w:val="0"/>
          <w:szCs w:val="21"/>
          <w:highlight w:val="none"/>
          <w14:textFill>
            <w14:solidFill>
              <w14:schemeClr w14:val="tx1"/>
            </w14:solidFill>
          </w14:textFill>
        </w:rPr>
        <w:t>工程地点：</w:t>
      </w:r>
      <w:r>
        <w:rPr>
          <w:rFonts w:hint="eastAsia" w:ascii="宋体" w:hAnsi="宋体"/>
          <w:bCs/>
          <w:snapToGrid w:val="0"/>
          <w:color w:val="000000" w:themeColor="text1"/>
          <w:kern w:val="0"/>
          <w:szCs w:val="21"/>
          <w:highlight w:val="none"/>
          <w:u w:val="single"/>
          <w14:textFill>
            <w14:solidFill>
              <w14:schemeClr w14:val="tx1"/>
            </w14:solidFill>
          </w14:textFill>
        </w:rPr>
        <w:t>广州市南沙区</w:t>
      </w:r>
    </w:p>
    <w:p>
      <w:pPr>
        <w:adjustRightInd w:val="0"/>
        <w:snapToGrid w:val="0"/>
        <w:spacing w:before="120" w:beforeLines="50" w:after="120" w:afterLines="50" w:line="360" w:lineRule="auto"/>
        <w:ind w:left="2054" w:leftChars="228" w:right="11" w:hanging="1575" w:hangingChars="750"/>
        <w:rPr>
          <w:rFonts w:ascii="宋体" w:hAnsi="宋体"/>
          <w:bCs/>
          <w:snapToGrid w:val="0"/>
          <w:color w:val="000000" w:themeColor="text1"/>
          <w:kern w:val="0"/>
          <w:szCs w:val="21"/>
          <w:highlight w:val="none"/>
          <w:lang w:eastAsia="zh-Hans"/>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1.3</w:t>
      </w:r>
      <w:r>
        <w:rPr>
          <w:rFonts w:hint="eastAsia" w:ascii="宋体" w:hAnsi="宋体"/>
          <w:bCs/>
          <w:snapToGrid w:val="0"/>
          <w:color w:val="000000" w:themeColor="text1"/>
          <w:kern w:val="0"/>
          <w:szCs w:val="21"/>
          <w:highlight w:val="none"/>
          <w14:textFill>
            <w14:solidFill>
              <w14:schemeClr w14:val="tx1"/>
            </w14:solidFill>
          </w14:textFill>
        </w:rPr>
        <w:t>工程立项批准文号：</w:t>
      </w:r>
      <w:r>
        <w:rPr>
          <w:rFonts w:hint="eastAsia" w:ascii="宋体" w:hAnsi="宋体"/>
          <w:bCs/>
          <w:snapToGrid w:val="0"/>
          <w:color w:val="000000" w:themeColor="text1"/>
          <w:kern w:val="0"/>
          <w:szCs w:val="21"/>
          <w:highlight w:val="none"/>
          <w:u w:val="single"/>
          <w14:textFill>
            <w14:solidFill>
              <w14:schemeClr w14:val="tx1"/>
            </w14:solidFill>
          </w14:textFill>
        </w:rPr>
        <w:t xml:space="preserve">             </w:t>
      </w:r>
    </w:p>
    <w:p>
      <w:pPr>
        <w:adjustRightInd w:val="0"/>
        <w:snapToGrid w:val="0"/>
        <w:spacing w:before="120" w:beforeLines="50" w:after="120" w:afterLines="50" w:line="360" w:lineRule="auto"/>
        <w:ind w:left="13" w:leftChars="6" w:right="11" w:firstLine="464" w:firstLineChars="221"/>
        <w:rPr>
          <w:rFonts w:ascii="宋体" w:hAnsi="宋体"/>
          <w:bCs/>
          <w:snapToGrid w:val="0"/>
          <w:color w:val="000000" w:themeColor="text1"/>
          <w:kern w:val="0"/>
          <w:szCs w:val="21"/>
          <w:highlight w:val="none"/>
          <w:lang w:eastAsia="zh-Hans"/>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1.4</w:t>
      </w:r>
      <w:r>
        <w:rPr>
          <w:rFonts w:hint="eastAsia" w:ascii="宋体" w:hAnsi="宋体"/>
          <w:bCs/>
          <w:snapToGrid w:val="0"/>
          <w:color w:val="000000" w:themeColor="text1"/>
          <w:kern w:val="0"/>
          <w:szCs w:val="21"/>
          <w:highlight w:val="none"/>
          <w14:textFill>
            <w14:solidFill>
              <w14:schemeClr w14:val="tx1"/>
            </w14:solidFill>
          </w14:textFill>
        </w:rPr>
        <w:t>工程规模：</w:t>
      </w:r>
      <w:r>
        <w:rPr>
          <w:rFonts w:hint="eastAsia"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。具体项目以控规、批复文件和相关政府部门审查确定的建设项目、建设规模、建设标准等为准</w:t>
      </w:r>
      <w:r>
        <w:rPr>
          <w:rFonts w:hint="eastAsia" w:ascii="宋体" w:hAnsi="宋体"/>
          <w:bCs/>
          <w:snapToGrid w:val="0"/>
          <w:color w:val="000000" w:themeColor="text1"/>
          <w:kern w:val="0"/>
          <w:szCs w:val="21"/>
          <w:highlight w:val="none"/>
          <w:lang w:eastAsia="zh-Hans"/>
          <w14:textFill>
            <w14:solidFill>
              <w14:schemeClr w14:val="tx1"/>
            </w14:solidFill>
          </w14:textFill>
        </w:rPr>
        <w:t>。</w:t>
      </w:r>
    </w:p>
    <w:p>
      <w:pPr>
        <w:adjustRightInd w:val="0"/>
        <w:snapToGrid w:val="0"/>
        <w:spacing w:before="120" w:beforeLines="50" w:after="120" w:afterLines="50" w:line="360" w:lineRule="auto"/>
        <w:ind w:left="13" w:leftChars="6" w:right="11" w:firstLine="466" w:firstLineChars="221"/>
        <w:rPr>
          <w:rFonts w:ascii="宋体" w:hAnsi="宋体"/>
          <w:b/>
          <w:snapToGrid w:val="0"/>
          <w:color w:val="000000" w:themeColor="text1"/>
          <w:kern w:val="0"/>
          <w:szCs w:val="21"/>
          <w:highlight w:val="none"/>
          <w:u w:val="single"/>
          <w:lang w:eastAsia="zh-Hans"/>
          <w14:textFill>
            <w14:solidFill>
              <w14:schemeClr w14:val="tx1"/>
            </w14:solidFill>
          </w14:textFill>
        </w:rPr>
      </w:pPr>
      <w:r>
        <w:rPr>
          <w:rFonts w:hint="eastAsia" w:ascii="宋体" w:hAnsi="宋体"/>
          <w:b/>
          <w:snapToGrid w:val="0"/>
          <w:color w:val="000000" w:themeColor="text1"/>
          <w:kern w:val="0"/>
          <w:szCs w:val="21"/>
          <w:highlight w:val="none"/>
          <w:u w:val="single"/>
          <w:lang w:eastAsia="zh-Hans"/>
          <w14:textFill>
            <w14:solidFill>
              <w14:schemeClr w14:val="tx1"/>
            </w14:solidFill>
          </w14:textFill>
        </w:rPr>
        <w:t>根据本项目规划实施的具体情况，如遇该项目的投资规模、结构形式、项目名称、平面（位置）或者造价等发生调整（或变更，或增减），也可能会新增或减少部分、甚至取消全部内容，投标下浮率固定不变（如有），承包人已充分理解此风险并无条件接受不得拒绝。如遇政策变化取消该全部工程，则本合同自动失效，承包人应充分理解此风险并不得向发包人索赔。</w:t>
      </w:r>
    </w:p>
    <w:p>
      <w:pPr>
        <w:adjustRightInd w:val="0"/>
        <w:snapToGrid w:val="0"/>
        <w:spacing w:before="120" w:beforeLines="50" w:after="120" w:afterLines="50" w:line="360" w:lineRule="auto"/>
        <w:ind w:left="2054" w:leftChars="228" w:right="11" w:hanging="1575" w:hangingChars="75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1.5</w:t>
      </w:r>
      <w:r>
        <w:rPr>
          <w:rFonts w:hint="eastAsia" w:ascii="宋体" w:hAnsi="宋体"/>
          <w:bCs/>
          <w:snapToGrid w:val="0"/>
          <w:color w:val="000000" w:themeColor="text1"/>
          <w:kern w:val="0"/>
          <w:szCs w:val="21"/>
          <w:highlight w:val="none"/>
          <w14:textFill>
            <w14:solidFill>
              <w14:schemeClr w14:val="tx1"/>
            </w14:solidFill>
          </w14:textFill>
        </w:rPr>
        <w:t>资金来源：</w:t>
      </w:r>
      <w:r>
        <w:rPr>
          <w:rFonts w:hint="eastAsia" w:ascii="宋体" w:hAnsi="宋体"/>
          <w:bCs/>
          <w:snapToGrid w:val="0"/>
          <w:color w:val="000000" w:themeColor="text1"/>
          <w:kern w:val="0"/>
          <w:szCs w:val="21"/>
          <w:highlight w:val="none"/>
          <w:u w:val="single"/>
          <w14:textFill>
            <w14:solidFill>
              <w14:schemeClr w14:val="tx1"/>
            </w14:solidFill>
          </w14:textFill>
        </w:rPr>
        <w:t>财政资金</w:t>
      </w:r>
    </w:p>
    <w:p>
      <w:pPr>
        <w:pStyle w:val="585"/>
        <w:spacing w:before="120" w:after="120"/>
        <w:rPr>
          <w:color w:val="000000" w:themeColor="text1"/>
          <w:highlight w:val="none"/>
          <w14:textFill>
            <w14:solidFill>
              <w14:schemeClr w14:val="tx1"/>
            </w14:solidFill>
          </w14:textFill>
        </w:rPr>
      </w:pPr>
      <w:bookmarkStart w:id="11" w:name="_Toc455024900"/>
      <w:bookmarkStart w:id="12" w:name="_Toc147856179"/>
      <w:r>
        <w:rPr>
          <w:color w:val="000000" w:themeColor="text1"/>
          <w:highlight w:val="none"/>
          <w:lang w:eastAsia="zh-Hans"/>
          <w14:textFill>
            <w14:solidFill>
              <w14:schemeClr w14:val="tx1"/>
            </w14:solidFill>
          </w14:textFill>
        </w:rPr>
        <w:t>二、</w:t>
      </w:r>
      <w:r>
        <w:rPr>
          <w:color w:val="000000" w:themeColor="text1"/>
          <w:highlight w:val="none"/>
          <w14:textFill>
            <w14:solidFill>
              <w14:schemeClr w14:val="tx1"/>
            </w14:solidFill>
          </w14:textFill>
        </w:rPr>
        <w:t>工程内容、承包范围和承包方式（备注：划线部分预填内容具体按招标文件及公告等发包人招标发出文件作相应调整）</w:t>
      </w:r>
      <w:bookmarkEnd w:id="11"/>
      <w:bookmarkEnd w:id="12"/>
    </w:p>
    <w:p>
      <w:pPr>
        <w:spacing w:before="120" w:beforeLines="50" w:after="120" w:afterLines="50" w:line="360" w:lineRule="auto"/>
        <w:ind w:firstLine="457" w:firstLineChars="218"/>
        <w:rPr>
          <w:rFonts w:ascii="宋体" w:hAnsi="宋体"/>
          <w:bCs/>
          <w:snapToGrid w:val="0"/>
          <w:color w:val="000000" w:themeColor="text1"/>
          <w:kern w:val="0"/>
          <w:szCs w:val="21"/>
          <w:highlight w:val="none"/>
          <w:u w:val="singl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2.1</w:t>
      </w:r>
      <w:r>
        <w:rPr>
          <w:rFonts w:hint="eastAsia" w:ascii="宋体" w:hAnsi="宋体"/>
          <w:bCs/>
          <w:snapToGrid w:val="0"/>
          <w:color w:val="000000" w:themeColor="text1"/>
          <w:kern w:val="0"/>
          <w:szCs w:val="21"/>
          <w:highlight w:val="none"/>
          <w14:textFill>
            <w14:solidFill>
              <w14:schemeClr w14:val="tx1"/>
            </w14:solidFill>
          </w14:textFill>
        </w:rPr>
        <w:t>工程内容：</w:t>
      </w:r>
      <w:r>
        <w:rPr>
          <w:rFonts w:hint="eastAsia" w:ascii="宋体" w:hAnsi="宋体"/>
          <w:bCs/>
          <w:snapToGrid w:val="0"/>
          <w:color w:val="000000" w:themeColor="text1"/>
          <w:kern w:val="0"/>
          <w:szCs w:val="21"/>
          <w:highlight w:val="none"/>
          <w:u w:val="single"/>
          <w14:textFill>
            <w14:solidFill>
              <w14:schemeClr w14:val="tx1"/>
            </w14:solidFill>
          </w14:textFill>
        </w:rPr>
        <w:t>南沙全民文化体育综合体生态堤建设工程（21涌以北）一期勘察设计施工总承包</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2.2</w:t>
      </w:r>
      <w:r>
        <w:rPr>
          <w:rFonts w:hint="eastAsia" w:ascii="宋体" w:hAnsi="宋体"/>
          <w:bCs/>
          <w:snapToGrid w:val="0"/>
          <w:color w:val="000000" w:themeColor="text1"/>
          <w:kern w:val="0"/>
          <w:szCs w:val="21"/>
          <w:highlight w:val="none"/>
          <w14:textFill>
            <w14:solidFill>
              <w14:schemeClr w14:val="tx1"/>
            </w14:solidFill>
          </w14:textFill>
        </w:rPr>
        <w:t>承包范围：</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lang w:eastAsia="zh-Hans"/>
          <w14:textFill>
            <w14:solidFill>
              <w14:schemeClr w14:val="tx1"/>
            </w14:solidFill>
          </w14:textFill>
        </w:rPr>
        <w:t>1</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hint="eastAsia" w:ascii="宋体" w:hAnsi="宋体"/>
          <w:bCs/>
          <w:snapToGrid w:val="0"/>
          <w:color w:val="000000" w:themeColor="text1"/>
          <w:kern w:val="0"/>
          <w:szCs w:val="21"/>
          <w:highlight w:val="none"/>
          <w14:textFill>
            <w14:solidFill>
              <w14:schemeClr w14:val="tx1"/>
            </w14:solidFill>
          </w14:textFill>
        </w:rPr>
        <w:t>工程设计内容：</w:t>
      </w:r>
      <w:r>
        <w:rPr>
          <w:rFonts w:hint="eastAsia" w:ascii="宋体" w:hAnsi="宋体"/>
          <w:bCs/>
          <w:snapToGrid w:val="0"/>
          <w:color w:val="000000" w:themeColor="text1"/>
          <w:kern w:val="0"/>
          <w:szCs w:val="21"/>
          <w:highlight w:val="none"/>
          <w:u w:val="single"/>
          <w14:textFill>
            <w14:solidFill>
              <w14:schemeClr w14:val="tx1"/>
            </w14:solidFill>
          </w14:textFill>
        </w:rPr>
        <w:t>包括但不限于本项目的方案设计、初步设计</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（含方案比选）</w:t>
      </w:r>
      <w:r>
        <w:rPr>
          <w:rFonts w:hint="eastAsia" w:ascii="宋体" w:hAnsi="宋体"/>
          <w:bCs/>
          <w:snapToGrid w:val="0"/>
          <w:color w:val="000000" w:themeColor="text1"/>
          <w:kern w:val="0"/>
          <w:szCs w:val="21"/>
          <w:highlight w:val="none"/>
          <w:u w:val="single"/>
          <w14:textFill>
            <w14:solidFill>
              <w14:schemeClr w14:val="tx1"/>
            </w14:solidFill>
          </w14:textFill>
        </w:rPr>
        <w:t>、施工图设计(包括但不限于关键分项工程的施工方案设计)、施工图送审并取得施工图审查合格书、初步设计概算编制、施工图预算编制（含工程量清单编制）、初步设计概算审查配合服务、施工图预算审查配合服务、竣工图编制等工作，以及设计协调服务，专项深化设计及必要的专项研究，变更设计（如有）、现场服务、配合专家评审及相关</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报批</w:t>
      </w:r>
      <w:r>
        <w:rPr>
          <w:rFonts w:hint="eastAsia" w:ascii="宋体" w:hAnsi="宋体"/>
          <w:bCs/>
          <w:snapToGrid w:val="0"/>
          <w:color w:val="000000" w:themeColor="text1"/>
          <w:kern w:val="0"/>
          <w:szCs w:val="21"/>
          <w:highlight w:val="none"/>
          <w:u w:val="single"/>
          <w14:textFill>
            <w14:solidFill>
              <w14:schemeClr w14:val="tx1"/>
            </w14:solidFill>
          </w14:textFill>
        </w:rPr>
        <w:t>报建等与项目工程设计相关的所有工作。</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具体详见勘察设计任务书（如有）</w:t>
      </w:r>
      <w:r>
        <w:rPr>
          <w:rFonts w:hint="eastAsia" w:ascii="宋体" w:hAnsi="宋体"/>
          <w:bCs/>
          <w:snapToGrid w:val="0"/>
          <w:color w:val="000000" w:themeColor="text1"/>
          <w:kern w:val="0"/>
          <w:szCs w:val="21"/>
          <w:highlight w:val="none"/>
          <w:u w:val="single"/>
          <w14:textFill>
            <w14:solidFill>
              <w14:schemeClr w14:val="tx1"/>
            </w14:solidFill>
          </w14:textFill>
        </w:rPr>
        <w:t>，</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lang w:eastAsia="zh-Hans"/>
          <w14:textFill>
            <w14:solidFill>
              <w14:schemeClr w14:val="tx1"/>
            </w14:solidFill>
          </w14:textFill>
        </w:rPr>
        <w:t>2</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hint="eastAsia" w:ascii="宋体" w:hAnsi="宋体"/>
          <w:bCs/>
          <w:snapToGrid w:val="0"/>
          <w:color w:val="000000" w:themeColor="text1"/>
          <w:kern w:val="0"/>
          <w:szCs w:val="21"/>
          <w:highlight w:val="none"/>
          <w14:textFill>
            <w14:solidFill>
              <w14:schemeClr w14:val="tx1"/>
            </w14:solidFill>
          </w14:textFill>
        </w:rPr>
        <w:t>工程勘察内容：</w:t>
      </w:r>
      <w:r>
        <w:rPr>
          <w:rFonts w:hint="eastAsia" w:ascii="宋体" w:hAnsi="宋体"/>
          <w:bCs/>
          <w:snapToGrid w:val="0"/>
          <w:color w:val="000000" w:themeColor="text1"/>
          <w:kern w:val="0"/>
          <w:szCs w:val="21"/>
          <w:highlight w:val="none"/>
          <w:u w:val="single"/>
          <w14:textFill>
            <w14:solidFill>
              <w14:schemeClr w14:val="tx1"/>
            </w14:solidFill>
          </w14:textFill>
        </w:rPr>
        <w:t>对本项目进行勘察（包括但不限于岩土工程勘察、工程测量</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（含修测）</w:t>
      </w:r>
      <w:r>
        <w:rPr>
          <w:rFonts w:hint="eastAsia" w:ascii="宋体" w:hAnsi="宋体"/>
          <w:bCs/>
          <w:snapToGrid w:val="0"/>
          <w:color w:val="000000" w:themeColor="text1"/>
          <w:kern w:val="0"/>
          <w:szCs w:val="21"/>
          <w:highlight w:val="none"/>
          <w:u w:val="single"/>
          <w14:textFill>
            <w14:solidFill>
              <w14:schemeClr w14:val="tx1"/>
            </w14:solidFill>
          </w14:textFill>
        </w:rPr>
        <w:t>、物探</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、初勘、详勘、超前钻、水下地形测量及扫床工作（如有）</w:t>
      </w:r>
      <w:r>
        <w:rPr>
          <w:rFonts w:hint="eastAsia" w:ascii="宋体" w:hAnsi="宋体"/>
          <w:bCs/>
          <w:snapToGrid w:val="0"/>
          <w:color w:val="000000" w:themeColor="text1"/>
          <w:kern w:val="0"/>
          <w:szCs w:val="21"/>
          <w:highlight w:val="none"/>
          <w:u w:val="single"/>
          <w14:textFill>
            <w14:solidFill>
              <w14:schemeClr w14:val="tx1"/>
            </w14:solidFill>
          </w14:textFill>
        </w:rPr>
        <w:t>等工作、前期管线及现状摸查工作，完成工程勘察成果文件</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，现场服务等</w:t>
      </w:r>
      <w:r>
        <w:rPr>
          <w:rFonts w:hint="eastAsia" w:ascii="宋体" w:hAnsi="宋体"/>
          <w:bCs/>
          <w:snapToGrid w:val="0"/>
          <w:color w:val="000000" w:themeColor="text1"/>
          <w:kern w:val="0"/>
          <w:szCs w:val="21"/>
          <w:highlight w:val="none"/>
          <w:u w:val="single"/>
          <w14:textFill>
            <w14:solidFill>
              <w14:schemeClr w14:val="tx1"/>
            </w14:solidFill>
          </w14:textFill>
        </w:rPr>
        <w:t>与项目工程勘察相关的所有工作</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。具体详见勘察设计任务书（如有）</w:t>
      </w:r>
      <w:r>
        <w:rPr>
          <w:rFonts w:hint="eastAsia" w:ascii="宋体" w:hAnsi="宋体"/>
          <w:bCs/>
          <w:snapToGrid w:val="0"/>
          <w:color w:val="000000" w:themeColor="text1"/>
          <w:kern w:val="0"/>
          <w:szCs w:val="21"/>
          <w:highlight w:val="none"/>
          <w:u w:val="single"/>
          <w14:textFill>
            <w14:solidFill>
              <w14:schemeClr w14:val="tx1"/>
            </w14:solidFill>
          </w14:textFill>
        </w:rPr>
        <w:t>，</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lang w:eastAsia="zh-Hans"/>
          <w14:textFill>
            <w14:solidFill>
              <w14:schemeClr w14:val="tx1"/>
            </w14:solidFill>
          </w14:textFill>
        </w:rPr>
        <w:t>3</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hint="eastAsia" w:ascii="宋体" w:hAnsi="宋体"/>
          <w:bCs/>
          <w:snapToGrid w:val="0"/>
          <w:color w:val="000000" w:themeColor="text1"/>
          <w:kern w:val="0"/>
          <w:szCs w:val="21"/>
          <w:highlight w:val="none"/>
          <w14:textFill>
            <w14:solidFill>
              <w14:schemeClr w14:val="tx1"/>
            </w14:solidFill>
          </w14:textFill>
        </w:rPr>
        <w:t>工程施工内容：</w:t>
      </w:r>
      <w:r>
        <w:rPr>
          <w:rFonts w:hint="eastAsia" w:ascii="宋体" w:hAnsi="宋体"/>
          <w:bCs/>
          <w:snapToGrid w:val="0"/>
          <w:color w:val="000000" w:themeColor="text1"/>
          <w:kern w:val="0"/>
          <w:szCs w:val="21"/>
          <w:highlight w:val="none"/>
          <w:u w:val="single"/>
          <w14:textFill>
            <w14:solidFill>
              <w14:schemeClr w14:val="tx1"/>
            </w14:solidFill>
          </w14:textFill>
        </w:rPr>
        <w:t>按照招标文件及合同约定的范围和</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发包人</w:t>
      </w:r>
      <w:r>
        <w:rPr>
          <w:rFonts w:hint="eastAsia" w:ascii="宋体" w:hAnsi="宋体"/>
          <w:bCs/>
          <w:snapToGrid w:val="0"/>
          <w:color w:val="000000" w:themeColor="text1"/>
          <w:kern w:val="0"/>
          <w:szCs w:val="21"/>
          <w:highlight w:val="none"/>
          <w:u w:val="single"/>
          <w14:textFill>
            <w14:solidFill>
              <w14:schemeClr w14:val="tx1"/>
            </w14:solidFill>
          </w14:textFill>
        </w:rPr>
        <w:t>批复的施工图进行施工总承包，（包括但不限于包工、包料、包设备、包安装、包质量、包安全生产、包文明施工、包临时设施、包工期、包劳保、包验收、包保修、总价措施（安全文</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明</w:t>
      </w:r>
      <w:r>
        <w:rPr>
          <w:rFonts w:hint="eastAsia" w:ascii="宋体" w:hAnsi="宋体"/>
          <w:bCs/>
          <w:snapToGrid w:val="0"/>
          <w:color w:val="000000" w:themeColor="text1"/>
          <w:kern w:val="0"/>
          <w:szCs w:val="21"/>
          <w:highlight w:val="none"/>
          <w:u w:val="single"/>
          <w14:textFill>
            <w14:solidFill>
              <w14:schemeClr w14:val="tx1"/>
            </w14:solidFill>
          </w14:textFill>
        </w:rPr>
        <w:t>措施、临时工程措施）费包干。总承包范围内工程验收通过、包移交、包结算、包资料整理、包施工承包管理和现场整体组织、包专业协调及配合、包保修等），包括本项目施工范围内安全文明措施、交通疏解、土建、设备安装施工、外水外电配套建设施工、完工验收、结算</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（含结算文件编制）</w:t>
      </w:r>
      <w:r>
        <w:rPr>
          <w:rFonts w:hint="eastAsia" w:ascii="宋体" w:hAnsi="宋体"/>
          <w:bCs/>
          <w:snapToGrid w:val="0"/>
          <w:color w:val="000000" w:themeColor="text1"/>
          <w:kern w:val="0"/>
          <w:szCs w:val="21"/>
          <w:highlight w:val="none"/>
          <w:u w:val="single"/>
          <w14:textFill>
            <w14:solidFill>
              <w14:schemeClr w14:val="tx1"/>
            </w14:solidFill>
          </w14:textFill>
        </w:rPr>
        <w:t>、保修、配合竣工验收等与项目工程施工相关的所有工作，</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lang w:eastAsia="zh-Hans"/>
          <w14:textFill>
            <w14:solidFill>
              <w14:schemeClr w14:val="tx1"/>
            </w14:solidFill>
          </w14:textFill>
        </w:rPr>
      </w:pPr>
      <w:r>
        <w:rPr>
          <w:rFonts w:hint="eastAsia" w:ascii="宋体" w:hAnsi="宋体"/>
          <w:bCs/>
          <w:snapToGrid w:val="0"/>
          <w:color w:val="000000" w:themeColor="text1"/>
          <w:kern w:val="0"/>
          <w:szCs w:val="21"/>
          <w:highlight w:val="none"/>
          <w:lang w:eastAsia="zh-Hans"/>
          <w14:textFill>
            <w14:solidFill>
              <w14:schemeClr w14:val="tx1"/>
            </w14:solidFill>
          </w14:textFill>
        </w:rPr>
        <w:t>（4）BIM 技术应用内容：</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u w:val="single"/>
          <w:lang w:eastAsia="zh-Hans"/>
          <w14:textFill>
            <w14:solidFill>
              <w14:schemeClr w14:val="tx1"/>
            </w14:solidFill>
          </w14:textFill>
        </w:rPr>
      </w:pPr>
      <w:r>
        <w:rPr>
          <w:rFonts w:hint="eastAsia" w:ascii="宋体" w:hAnsi="宋体"/>
          <w:bCs/>
          <w:snapToGrid w:val="0"/>
          <w:color w:val="000000" w:themeColor="text1"/>
          <w:kern w:val="0"/>
          <w:szCs w:val="21"/>
          <w:highlight w:val="none"/>
          <w:u w:val="single"/>
          <w:lang w:eastAsia="zh-Hans"/>
          <w14:textFill>
            <w14:solidFill>
              <w14:schemeClr w14:val="tx1"/>
            </w14:solidFill>
          </w14:textFill>
        </w:rPr>
        <w:t>①BIM技术应用阶段：完成设计阶段、施工阶段及运维阶段（如有，最终以发包人需求为准）的BIM技术应用服务，包括方案设计阶段、初步设计阶段、施工图设计阶段、招标配合阶段和施工阶段、运维阶段（如有，最终以发包人需求为准）设计配合服务等应用阶段；</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u w:val="single"/>
          <w:lang w:eastAsia="zh-Hans"/>
          <w14:textFill>
            <w14:solidFill>
              <w14:schemeClr w14:val="tx1"/>
            </w14:solidFill>
          </w14:textFill>
        </w:rPr>
      </w:pPr>
      <w:r>
        <w:rPr>
          <w:rFonts w:hint="eastAsia" w:ascii="宋体" w:hAnsi="宋体"/>
          <w:bCs/>
          <w:snapToGrid w:val="0"/>
          <w:color w:val="000000" w:themeColor="text1"/>
          <w:kern w:val="0"/>
          <w:szCs w:val="21"/>
          <w:highlight w:val="none"/>
          <w:u w:val="single"/>
          <w:lang w:eastAsia="zh-Hans"/>
          <w14:textFill>
            <w14:solidFill>
              <w14:schemeClr w14:val="tx1"/>
            </w14:solidFill>
          </w14:textFill>
        </w:rPr>
        <w:t>②BIM技术应用专业：包括但不限于计划投资内所有专业的BIM技术应用；</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u w:val="single"/>
          <w:lang w:eastAsia="zh-Hans"/>
          <w14:textFill>
            <w14:solidFill>
              <w14:schemeClr w14:val="tx1"/>
            </w14:solidFill>
          </w14:textFill>
        </w:rPr>
      </w:pPr>
      <w:r>
        <w:rPr>
          <w:rFonts w:hint="eastAsia" w:ascii="宋体" w:hAnsi="宋体"/>
          <w:bCs/>
          <w:snapToGrid w:val="0"/>
          <w:color w:val="000000" w:themeColor="text1"/>
          <w:kern w:val="0"/>
          <w:szCs w:val="21"/>
          <w:highlight w:val="none"/>
          <w:u w:val="single"/>
          <w:lang w:eastAsia="zh-Hans"/>
          <w14:textFill>
            <w14:solidFill>
              <w14:schemeClr w14:val="tx1"/>
            </w14:solidFill>
          </w14:textFill>
        </w:rPr>
        <w:t>③BIM技术应用内容：必须满足相关国家、行业及地方发布的相关规范、标准及规程等的规定，并应满足发包人指定的BIM技术应用相关实施标准；</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u w:val="single"/>
          <w:lang w:eastAsia="zh-Hans"/>
          <w14:textFill>
            <w14:solidFill>
              <w14:schemeClr w14:val="tx1"/>
            </w14:solidFill>
          </w14:textFill>
        </w:rPr>
      </w:pPr>
      <w:r>
        <w:rPr>
          <w:rFonts w:hint="eastAsia" w:ascii="宋体" w:hAnsi="宋体"/>
          <w:bCs/>
          <w:snapToGrid w:val="0"/>
          <w:color w:val="000000" w:themeColor="text1"/>
          <w:kern w:val="0"/>
          <w:szCs w:val="21"/>
          <w:highlight w:val="none"/>
          <w:u w:val="single"/>
          <w:lang w:eastAsia="zh-Hans"/>
          <w14:textFill>
            <w14:solidFill>
              <w14:schemeClr w14:val="tx1"/>
            </w14:solidFill>
          </w14:textFill>
        </w:rPr>
        <w:t>④BIM技术应用协同：使用发包人提供的“BIM协同与管理平台”进行设计管理、设计成果提资和设计协调配合等事宜的沟通与管理；与项目其他参建各方协调配合，共同推进BIM实施。</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lang w:eastAsia="zh-Hans"/>
          <w14:textFill>
            <w14:solidFill>
              <w14:schemeClr w14:val="tx1"/>
            </w14:solidFill>
          </w14:textFill>
        </w:rPr>
        <w:t>5</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hint="eastAsia" w:ascii="宋体" w:hAnsi="宋体"/>
          <w:bCs/>
          <w:snapToGrid w:val="0"/>
          <w:color w:val="000000" w:themeColor="text1"/>
          <w:kern w:val="0"/>
          <w:szCs w:val="21"/>
          <w:highlight w:val="none"/>
          <w14:textFill>
            <w14:solidFill>
              <w14:schemeClr w14:val="tx1"/>
            </w14:solidFill>
          </w14:textFill>
        </w:rPr>
        <w:t>其他：</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1）概预算造价文件编制：</w:t>
      </w:r>
      <w:r>
        <w:rPr>
          <w:rFonts w:hint="eastAsia" w:ascii="宋体" w:hAnsi="宋体"/>
          <w:bCs/>
          <w:snapToGrid w:val="0"/>
          <w:color w:val="000000" w:themeColor="text1"/>
          <w:kern w:val="0"/>
          <w:szCs w:val="21"/>
          <w:highlight w:val="none"/>
          <w:u w:val="single"/>
          <w14:textFill>
            <w14:solidFill>
              <w14:schemeClr w14:val="tx1"/>
            </w14:solidFill>
          </w14:textFill>
        </w:rPr>
        <w:t>包括概算、预算文件编制，设计方案比选造价分析、设计变更造价分析等与项目</w:t>
      </w:r>
      <w:r>
        <w:rPr>
          <w:rFonts w:hint="eastAsia" w:ascii="宋体" w:hAnsi="宋体"/>
          <w:bCs/>
          <w:snapToGrid w:val="0"/>
          <w:color w:val="000000" w:themeColor="text1"/>
          <w:kern w:val="0"/>
          <w:szCs w:val="21"/>
          <w:highlight w:val="none"/>
          <w14:textFill>
            <w14:solidFill>
              <w14:schemeClr w14:val="tx1"/>
            </w14:solidFill>
          </w14:textFill>
        </w:rPr>
        <w:t>概预算造价</w:t>
      </w:r>
      <w:r>
        <w:rPr>
          <w:rFonts w:hint="eastAsia" w:ascii="宋体" w:hAnsi="宋体"/>
          <w:bCs/>
          <w:snapToGrid w:val="0"/>
          <w:color w:val="000000" w:themeColor="text1"/>
          <w:kern w:val="0"/>
          <w:szCs w:val="21"/>
          <w:highlight w:val="none"/>
          <w:u w:val="single"/>
          <w14:textFill>
            <w14:solidFill>
              <w14:schemeClr w14:val="tx1"/>
            </w14:solidFill>
          </w14:textFill>
        </w:rPr>
        <w:t>相关的所有工作，</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2）</w:t>
      </w:r>
      <w:r>
        <w:rPr>
          <w:rFonts w:hint="eastAsia" w:ascii="宋体" w:hAnsi="宋体"/>
          <w:bCs/>
          <w:snapToGrid w:val="0"/>
          <w:color w:val="000000" w:themeColor="text1"/>
          <w:kern w:val="0"/>
          <w:szCs w:val="21"/>
          <w:highlight w:val="none"/>
          <w:u w:val="single"/>
          <w14:textFill>
            <w14:solidFill>
              <w14:schemeClr w14:val="tx1"/>
            </w14:solidFill>
          </w14:textFill>
        </w:rPr>
        <w:t>派出专人负责项目的报批报建工作并承担相关费用，配合征地拆迁工作（如有）。</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内容包括但不限于：施工许可证、夜间施工许可证、建筑废弃物处置证等。</w:t>
      </w:r>
      <w:r>
        <w:rPr>
          <w:rFonts w:hint="eastAsia" w:ascii="宋体" w:hAnsi="宋体"/>
          <w:bCs/>
          <w:snapToGrid w:val="0"/>
          <w:color w:val="000000" w:themeColor="text1"/>
          <w:kern w:val="0"/>
          <w:szCs w:val="21"/>
          <w:highlight w:val="none"/>
          <w:u w:val="single"/>
          <w14:textFill>
            <w14:solidFill>
              <w14:schemeClr w14:val="tx1"/>
            </w14:solidFill>
          </w14:textFill>
        </w:rPr>
        <w:t>凡工程中涉及到劳动、消防、环保、规划、卫生防疫</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、质量安全、节能、水利、航道、海事、交通</w:t>
      </w:r>
      <w:r>
        <w:rPr>
          <w:rFonts w:hint="eastAsia" w:ascii="宋体" w:hAnsi="宋体"/>
          <w:bCs/>
          <w:snapToGrid w:val="0"/>
          <w:color w:val="000000" w:themeColor="text1"/>
          <w:kern w:val="0"/>
          <w:szCs w:val="21"/>
          <w:highlight w:val="none"/>
          <w:u w:val="single"/>
          <w14:textFill>
            <w14:solidFill>
              <w14:schemeClr w14:val="tx1"/>
            </w14:solidFill>
          </w14:textFill>
        </w:rPr>
        <w:t>等有关政府部门验收</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及检查</w:t>
      </w:r>
      <w:r>
        <w:rPr>
          <w:rFonts w:hint="eastAsia" w:ascii="宋体" w:hAnsi="宋体"/>
          <w:bCs/>
          <w:snapToGrid w:val="0"/>
          <w:color w:val="000000" w:themeColor="text1"/>
          <w:kern w:val="0"/>
          <w:szCs w:val="21"/>
          <w:highlight w:val="none"/>
          <w:u w:val="single"/>
          <w14:textFill>
            <w14:solidFill>
              <w14:schemeClr w14:val="tx1"/>
            </w14:solidFill>
          </w14:textFill>
        </w:rPr>
        <w:t>的项目，及时做好验收准备工作</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、参与验收、落实整改工作</w:t>
      </w:r>
      <w:r>
        <w:rPr>
          <w:rFonts w:hint="eastAsia" w:ascii="宋体" w:hAnsi="宋体"/>
          <w:bCs/>
          <w:snapToGrid w:val="0"/>
          <w:color w:val="000000" w:themeColor="text1"/>
          <w:kern w:val="0"/>
          <w:szCs w:val="21"/>
          <w:highlight w:val="none"/>
          <w:u w:val="single"/>
          <w14:textFill>
            <w14:solidFill>
              <w14:schemeClr w14:val="tx1"/>
            </w14:solidFill>
          </w14:textFill>
        </w:rPr>
        <w:t>。</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竣工验收前，向发包人提交竣工验收申请报告，</w:t>
      </w:r>
      <w:r>
        <w:rPr>
          <w:rFonts w:hint="eastAsia" w:ascii="宋体" w:hAnsi="宋体"/>
          <w:bCs/>
          <w:snapToGrid w:val="0"/>
          <w:color w:val="000000" w:themeColor="text1"/>
          <w:kern w:val="0"/>
          <w:szCs w:val="21"/>
          <w:highlight w:val="none"/>
          <w:u w:val="single"/>
          <w14:textFill>
            <w14:solidFill>
              <w14:schemeClr w14:val="tx1"/>
            </w14:solidFill>
          </w14:textFill>
        </w:rPr>
        <w:t>验收通过后，向发包人提交验收报告</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、办理竣工备案，</w:t>
      </w:r>
      <w:r>
        <w:rPr>
          <w:rFonts w:hint="eastAsia" w:ascii="宋体" w:hAnsi="宋体"/>
          <w:bCs/>
          <w:snapToGrid w:val="0"/>
          <w:color w:val="000000" w:themeColor="text1"/>
          <w:kern w:val="0"/>
          <w:szCs w:val="21"/>
          <w:highlight w:val="none"/>
          <w:u w:val="single"/>
          <w14:textFill>
            <w14:solidFill>
              <w14:schemeClr w14:val="tx1"/>
            </w14:solidFill>
          </w14:textFill>
        </w:rPr>
        <w:t>配合办理竣工验收，资料档案管理等工作等，</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14:textFill>
            <w14:solidFill>
              <w14:schemeClr w14:val="tx1"/>
            </w14:solidFill>
          </w14:textFill>
        </w:rPr>
        <w:t>。</w:t>
      </w:r>
    </w:p>
    <w:p>
      <w:pPr>
        <w:adjustRightInd w:val="0"/>
        <w:snapToGrid w:val="0"/>
        <w:spacing w:line="360" w:lineRule="auto"/>
        <w:ind w:firstLine="420" w:firstLineChars="200"/>
        <w:rPr>
          <w:rFonts w:ascii="宋体" w:hAnsi="宋体" w:cs="仿宋"/>
          <w:color w:val="000000" w:themeColor="text1"/>
          <w:szCs w:val="21"/>
          <w:highlight w:val="none"/>
          <w14:textFill>
            <w14:solidFill>
              <w14:schemeClr w14:val="tx1"/>
            </w14:solidFill>
          </w14:textFill>
        </w:rPr>
      </w:pPr>
      <w:r>
        <w:rPr>
          <w:rFonts w:ascii="宋体" w:hAnsi="宋体" w:cs="仿宋"/>
          <w:color w:val="000000" w:themeColor="text1"/>
          <w:szCs w:val="21"/>
          <w:highlight w:val="none"/>
          <w14:textFill>
            <w14:solidFill>
              <w14:schemeClr w14:val="tx1"/>
            </w14:solidFill>
          </w14:textFill>
        </w:rPr>
        <w:t>2.3</w:t>
      </w:r>
      <w:r>
        <w:rPr>
          <w:rFonts w:hint="eastAsia" w:ascii="宋体" w:hAnsi="宋体" w:cs="仿宋"/>
          <w:color w:val="000000" w:themeColor="text1"/>
          <w:szCs w:val="21"/>
          <w:highlight w:val="none"/>
          <w14:textFill>
            <w14:solidFill>
              <w14:schemeClr w14:val="tx1"/>
            </w14:solidFill>
          </w14:textFill>
        </w:rPr>
        <w:t>绩效考核的原则如下：</w:t>
      </w:r>
      <w:r>
        <w:rPr>
          <w:rFonts w:hint="eastAsia" w:ascii="宋体" w:hAnsi="宋体" w:cs="仿宋"/>
          <w:color w:val="000000" w:themeColor="text1"/>
          <w:szCs w:val="21"/>
          <w:highlight w:val="none"/>
          <w:u w:val="single"/>
          <w14:textFill>
            <w14:solidFill>
              <w14:schemeClr w14:val="tx1"/>
            </w14:solidFill>
          </w14:textFill>
        </w:rPr>
        <w:t>按合同附件</w:t>
      </w:r>
      <w:r>
        <w:rPr>
          <w:rFonts w:ascii="宋体" w:hAnsi="宋体" w:cs="仿宋"/>
          <w:color w:val="000000" w:themeColor="text1"/>
          <w:szCs w:val="21"/>
          <w:highlight w:val="none"/>
          <w:u w:val="single"/>
          <w14:textFill>
            <w14:solidFill>
              <w14:schemeClr w14:val="tx1"/>
            </w14:solidFill>
          </w14:textFill>
        </w:rPr>
        <w:t>8</w:t>
      </w:r>
      <w:r>
        <w:rPr>
          <w:rFonts w:hint="eastAsia" w:ascii="宋体" w:hAnsi="宋体" w:cs="仿宋"/>
          <w:color w:val="000000" w:themeColor="text1"/>
          <w:szCs w:val="21"/>
          <w:highlight w:val="none"/>
          <w:u w:val="single"/>
          <w14:textFill>
            <w14:solidFill>
              <w14:schemeClr w14:val="tx1"/>
            </w14:solidFill>
          </w14:textFill>
        </w:rPr>
        <w:t>进行考核。考核期限为三年，具体以发包人通知为准。在初步设计批复前，如因上级政策、法规要求或建设任务、范围调整或其他不可抗力因素等，承包人对绩效考核办法有修改诉求，可结合项目实际情况，提请对绩效考核办法进行修改，经发包人审核同意后方可生效</w:t>
      </w:r>
      <w:r>
        <w:rPr>
          <w:rFonts w:hint="eastAsia" w:ascii="宋体" w:hAnsi="宋体" w:cs="仿宋"/>
          <w:color w:val="000000" w:themeColor="text1"/>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2.4</w:t>
      </w:r>
      <w:r>
        <w:rPr>
          <w:rFonts w:hint="eastAsia" w:ascii="宋体" w:hAnsi="宋体"/>
          <w:bCs/>
          <w:snapToGrid w:val="0"/>
          <w:color w:val="000000" w:themeColor="text1"/>
          <w:kern w:val="0"/>
          <w:szCs w:val="21"/>
          <w:highlight w:val="none"/>
          <w:u w:val="single"/>
          <w14:textFill>
            <w14:solidFill>
              <w14:schemeClr w14:val="tx1"/>
            </w14:solidFill>
          </w14:textFill>
        </w:rPr>
        <w:t>承包人应配合发包人做好本工程外电项目设计、施工、报建报批等相关工作，</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u w:val="single"/>
          <w14:textFill>
            <w14:solidFill>
              <w14:schemeClr w14:val="tx1"/>
            </w14:solidFill>
          </w14:textFill>
        </w:rPr>
        <w:t>；且工程完工后，如建设项目外电工程尚未完工投入运行，承包人应无条件采取一切措施与行动确保本工程设施正常运行，并且不影响本工程运行期考核以及承担由此相关的费用，该项工作所有费用含在合同总价中，不单独开项</w:t>
      </w:r>
      <w:r>
        <w:rPr>
          <w:rFonts w:hint="eastAsia" w:ascii="宋体" w:hAnsi="宋体"/>
          <w:bCs/>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2.5</w:t>
      </w:r>
      <w:r>
        <w:rPr>
          <w:rFonts w:hint="eastAsia" w:ascii="宋体" w:hAnsi="宋体"/>
          <w:bCs/>
          <w:snapToGrid w:val="0"/>
          <w:color w:val="000000" w:themeColor="text1"/>
          <w:kern w:val="0"/>
          <w:szCs w:val="21"/>
          <w:highlight w:val="none"/>
          <w:u w:val="single"/>
          <w14:textFill>
            <w14:solidFill>
              <w14:schemeClr w14:val="tx1"/>
            </w14:solidFill>
          </w14:textFill>
        </w:rPr>
        <w:t>本项目采用信息化管理，承包人负责接入发包人指定的信息化平台，并负责提升及完善该平台的功能，负责调度指挥中心日常维护工作，负责调度中心服务器资源、网络资源，信息化安全资源以及软件系统升级等事项，具体以发包人要求为准。承包人应安装APP等操作系统，配备满足项目各类信息化管理需求的海量数据存储设备（服务器），将项目建设内容及各类信息（包括但不限于人员、设备、材料、进度、质量、安全基本情况等）在南沙全区一张高清电子卫星云图上分图层显示和动态更新，</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u w:val="single"/>
          <w14:textFill>
            <w14:solidFill>
              <w14:schemeClr w14:val="tx1"/>
            </w14:solidFill>
          </w14:textFill>
        </w:rPr>
        <w:t>。设计、施工、运维等关键环节和阶段数据应通过指挥中心现场导入录入和现场拍照录像回传方式存入服务器，并能实现分类信息查询、复核，</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u w:val="single"/>
          <w14:textFill>
            <w14:solidFill>
              <w14:schemeClr w14:val="tx1"/>
            </w14:solidFill>
          </w14:textFill>
        </w:rPr>
        <w:t>。调度指挥中心应能随时与勘察、设计、施工、运维现场实现视频互动，承包人须安排专人负责日常维护。该项工作所有费用含在合同总价中，不单独开项，如承包人未按要求接入广州市南沙区水务局信息化管控系统，发包人有权暂停预付款或进度款的支付</w:t>
      </w:r>
      <w:r>
        <w:rPr>
          <w:rFonts w:hint="eastAsia" w:ascii="宋体" w:hAnsi="宋体"/>
          <w:bCs/>
          <w:snapToGrid w:val="0"/>
          <w:color w:val="000000" w:themeColor="text1"/>
          <w:kern w:val="0"/>
          <w:szCs w:val="21"/>
          <w:highlight w:val="none"/>
          <w14:textFill>
            <w14:solidFill>
              <w14:schemeClr w14:val="tx1"/>
            </w14:solidFill>
          </w14:textFill>
        </w:rPr>
        <w:t>。关于调度指挥中心相关具体工作要求详见广州市南沙区水务局关于印发《南沙水务项目调度指挥中心工作指引》（试行版第一版，如有更新按最新执行。）</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注：以中标金额最大的单位（如联合体投标人则其主办方）为调度指挥中心日常维护的主责方，相关费用各单位按中标金额比例分摊。</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2.6</w:t>
      </w:r>
      <w:r>
        <w:rPr>
          <w:rFonts w:hint="eastAsia" w:ascii="宋体" w:hAnsi="宋体"/>
          <w:bCs/>
          <w:snapToGrid w:val="0"/>
          <w:color w:val="000000" w:themeColor="text1"/>
          <w:kern w:val="0"/>
          <w:szCs w:val="21"/>
          <w:highlight w:val="none"/>
          <w:u w:val="single"/>
          <w14:textFill>
            <w14:solidFill>
              <w14:schemeClr w14:val="tx1"/>
            </w14:solidFill>
          </w14:textFill>
        </w:rPr>
        <w:t>承包人为联合体的，若多家单位共同承接设计或施工任务，承包人须组织编写合理的标内劳动竞赛方案，在开工前提交发包人审核。劳动竞赛方案应包括联合体成员单位之间、施工班组之间的竞争机制、优胜劣汰替补方案、考核奖罚机制等，竞赛结果与绩效考核金的分配挂钩，</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u w:val="single"/>
          <w14:textFill>
            <w14:solidFill>
              <w14:schemeClr w14:val="tx1"/>
            </w14:solidFill>
          </w14:textFill>
        </w:rPr>
        <w:t>。劳动竞赛全过程应在甲方监督下执行</w:t>
      </w:r>
      <w:r>
        <w:rPr>
          <w:rFonts w:hint="eastAsia" w:ascii="宋体" w:hAnsi="宋体"/>
          <w:bCs/>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2.7</w:t>
      </w:r>
      <w:r>
        <w:rPr>
          <w:rFonts w:hint="eastAsia" w:ascii="宋体" w:hAnsi="宋体"/>
          <w:bCs/>
          <w:snapToGrid w:val="0"/>
          <w:color w:val="000000" w:themeColor="text1"/>
          <w:kern w:val="0"/>
          <w:szCs w:val="21"/>
          <w:highlight w:val="none"/>
          <w14:textFill>
            <w14:solidFill>
              <w14:schemeClr w14:val="tx1"/>
            </w14:solidFill>
          </w14:textFill>
        </w:rPr>
        <w:t>承包方式：</w:t>
      </w:r>
    </w:p>
    <w:p>
      <w:pPr>
        <w:pStyle w:val="58"/>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本工程采用勘察设计施工总承包（EPC）方式。</w:t>
      </w:r>
    </w:p>
    <w:p>
      <w:pPr>
        <w:spacing w:before="120" w:beforeLines="50" w:after="120" w:afterLines="50" w:line="360" w:lineRule="auto"/>
        <w:ind w:firstLine="457" w:firstLineChars="218"/>
        <w:rPr>
          <w:rFonts w:ascii="Times New Roman" w:hAnsi="Times New Roman"/>
          <w:color w:val="000000" w:themeColor="text1"/>
          <w:kern w:val="0"/>
          <w:szCs w:val="21"/>
          <w:highlight w:val="none"/>
          <w:u w:val="single"/>
          <w14:textFill>
            <w14:solidFill>
              <w14:schemeClr w14:val="tx1"/>
            </w14:solidFill>
          </w14:textFill>
        </w:rPr>
      </w:pPr>
      <w:r>
        <w:rPr>
          <w:rFonts w:hint="eastAsia" w:ascii="Times New Roman" w:hAnsi="Times New Roman"/>
          <w:color w:val="000000" w:themeColor="text1"/>
          <w:kern w:val="0"/>
          <w:szCs w:val="21"/>
          <w:highlight w:val="none"/>
          <w:u w:val="single"/>
          <w14:textFill>
            <w14:solidFill>
              <w14:schemeClr w14:val="tx1"/>
            </w14:solidFill>
          </w14:textFill>
        </w:rPr>
        <w:t>工程勘察：在合同实施期间工程勘察费按实际完成工作量调整，但投标报价下浮率不变。最终结算价</w:t>
      </w:r>
      <w:r>
        <w:rPr>
          <w:rFonts w:hint="eastAsia" w:ascii="Times New Roman" w:hAnsi="Times New Roman"/>
          <w:color w:val="000000" w:themeColor="text1"/>
          <w:kern w:val="0"/>
          <w:szCs w:val="21"/>
          <w:highlight w:val="none"/>
          <w:u w:val="single"/>
          <w:lang w:eastAsia="zh-Hans"/>
          <w14:textFill>
            <w14:solidFill>
              <w14:schemeClr w14:val="tx1"/>
            </w14:solidFill>
          </w14:textFill>
        </w:rPr>
        <w:t>由有审核权限</w:t>
      </w:r>
      <w:r>
        <w:rPr>
          <w:rFonts w:hint="eastAsia" w:ascii="Times New Roman" w:hAnsi="Times New Roman"/>
          <w:color w:val="000000" w:themeColor="text1"/>
          <w:kern w:val="0"/>
          <w:szCs w:val="21"/>
          <w:highlight w:val="none"/>
          <w:u w:val="single"/>
          <w14:textFill>
            <w14:solidFill>
              <w14:schemeClr w14:val="tx1"/>
            </w14:solidFill>
          </w14:textFill>
        </w:rPr>
        <w:t>部门审定为准。</w:t>
      </w:r>
    </w:p>
    <w:p>
      <w:pPr>
        <w:spacing w:before="120" w:beforeLines="50" w:after="120" w:afterLines="50" w:line="360" w:lineRule="auto"/>
        <w:ind w:firstLine="457" w:firstLineChars="218"/>
        <w:rPr>
          <w:rFonts w:ascii="Times New Roman" w:hAnsi="Times New Roman"/>
          <w:color w:val="000000" w:themeColor="text1"/>
          <w:kern w:val="0"/>
          <w:szCs w:val="21"/>
          <w:highlight w:val="none"/>
          <w:u w:val="single"/>
          <w14:textFill>
            <w14:solidFill>
              <w14:schemeClr w14:val="tx1"/>
            </w14:solidFill>
          </w14:textFill>
        </w:rPr>
      </w:pPr>
      <w:r>
        <w:rPr>
          <w:rFonts w:hint="eastAsia" w:ascii="Times New Roman" w:hAnsi="Times New Roman"/>
          <w:color w:val="000000" w:themeColor="text1"/>
          <w:kern w:val="0"/>
          <w:szCs w:val="21"/>
          <w:highlight w:val="none"/>
          <w:u w:val="single"/>
          <w14:textFill>
            <w14:solidFill>
              <w14:schemeClr w14:val="tx1"/>
            </w14:solidFill>
          </w14:textFill>
        </w:rPr>
        <w:t>工程设计：在合同实施期间设计费按建设规模和设计工作量调整，但投标报价下浮率不变。最终结算价由</w:t>
      </w:r>
      <w:r>
        <w:rPr>
          <w:rFonts w:hint="eastAsia" w:ascii="Times New Roman" w:hAnsi="Times New Roman"/>
          <w:color w:val="000000" w:themeColor="text1"/>
          <w:kern w:val="0"/>
          <w:szCs w:val="21"/>
          <w:highlight w:val="none"/>
          <w:u w:val="single"/>
          <w:lang w:eastAsia="zh-Hans"/>
          <w14:textFill>
            <w14:solidFill>
              <w14:schemeClr w14:val="tx1"/>
            </w14:solidFill>
          </w14:textFill>
        </w:rPr>
        <w:t>有审核权限</w:t>
      </w:r>
      <w:r>
        <w:rPr>
          <w:rFonts w:hint="eastAsia" w:ascii="Times New Roman" w:hAnsi="Times New Roman"/>
          <w:color w:val="000000" w:themeColor="text1"/>
          <w:kern w:val="0"/>
          <w:szCs w:val="21"/>
          <w:highlight w:val="none"/>
          <w:u w:val="single"/>
          <w14:textFill>
            <w14:solidFill>
              <w14:schemeClr w14:val="tx1"/>
            </w14:solidFill>
          </w14:textFill>
        </w:rPr>
        <w:t>部门审定为准。</w:t>
      </w:r>
    </w:p>
    <w:p>
      <w:pPr>
        <w:spacing w:before="120" w:beforeLines="50" w:after="120" w:afterLines="50" w:line="360" w:lineRule="auto"/>
        <w:ind w:firstLine="457" w:firstLineChars="218"/>
        <w:rPr>
          <w:rFonts w:ascii="Times New Roman" w:hAnsi="Times New Roman"/>
          <w:color w:val="000000" w:themeColor="text1"/>
          <w:kern w:val="0"/>
          <w:szCs w:val="21"/>
          <w:highlight w:val="none"/>
          <w:u w:val="single"/>
          <w14:textFill>
            <w14:solidFill>
              <w14:schemeClr w14:val="tx1"/>
            </w14:solidFill>
          </w14:textFill>
        </w:rPr>
      </w:pPr>
      <w:r>
        <w:rPr>
          <w:rFonts w:hint="eastAsia" w:ascii="Times New Roman" w:hAnsi="Times New Roman"/>
          <w:color w:val="000000" w:themeColor="text1"/>
          <w:kern w:val="0"/>
          <w:szCs w:val="21"/>
          <w:highlight w:val="none"/>
          <w:u w:val="single"/>
          <w14:textFill>
            <w14:solidFill>
              <w14:schemeClr w14:val="tx1"/>
            </w14:solidFill>
          </w14:textFill>
        </w:rPr>
        <w:t>工程施工：本项目施工图审查通过后，根据最终确认的施工图纸，采用清单模式编制施工图预算，经发包人组织的预算评审后，按投标下浮率及合同约定的方法，得出合同价格清单的单价及总价，作为计量和结算的依据；建安工程费结算原则以合同约定为准。</w:t>
      </w:r>
    </w:p>
    <w:p>
      <w:pPr>
        <w:spacing w:before="120" w:beforeLines="50" w:after="120" w:afterLines="50" w:line="360" w:lineRule="auto"/>
        <w:ind w:firstLine="457" w:firstLineChars="218"/>
        <w:rPr>
          <w:rFonts w:ascii="Times New Roman" w:hAnsi="Times New Roman"/>
          <w:color w:val="000000" w:themeColor="text1"/>
          <w:kern w:val="0"/>
          <w:szCs w:val="21"/>
          <w:highlight w:val="none"/>
          <w:u w:val="single"/>
          <w14:textFill>
            <w14:solidFill>
              <w14:schemeClr w14:val="tx1"/>
            </w14:solidFill>
          </w14:textFill>
        </w:rPr>
      </w:pPr>
      <w:r>
        <w:rPr>
          <w:rFonts w:hint="eastAsia" w:ascii="Times New Roman" w:hAnsi="Times New Roman"/>
          <w:color w:val="000000" w:themeColor="text1"/>
          <w:kern w:val="0"/>
          <w:szCs w:val="21"/>
          <w:highlight w:val="none"/>
          <w:u w:val="single"/>
          <w14:textFill>
            <w14:solidFill>
              <w14:schemeClr w14:val="tx1"/>
            </w14:solidFill>
          </w14:textFill>
        </w:rPr>
        <w:t>2</w:t>
      </w:r>
      <w:r>
        <w:rPr>
          <w:rFonts w:ascii="Times New Roman" w:hAnsi="Times New Roman"/>
          <w:color w:val="000000" w:themeColor="text1"/>
          <w:kern w:val="0"/>
          <w:szCs w:val="21"/>
          <w:highlight w:val="none"/>
          <w:u w:val="single"/>
          <w14:textFill>
            <w14:solidFill>
              <w14:schemeClr w14:val="tx1"/>
            </w14:solidFill>
          </w14:textFill>
        </w:rPr>
        <w:t xml:space="preserve">.8 </w:t>
      </w:r>
      <w:r>
        <w:rPr>
          <w:rFonts w:hint="eastAsia" w:ascii="Times New Roman" w:hAnsi="Times New Roman"/>
          <w:color w:val="000000" w:themeColor="text1"/>
          <w:kern w:val="0"/>
          <w:szCs w:val="21"/>
          <w:highlight w:val="none"/>
          <w:u w:val="single"/>
          <w14:textFill>
            <w14:solidFill>
              <w14:schemeClr w14:val="tx1"/>
            </w14:solidFill>
          </w14:textFill>
        </w:rPr>
        <w:t>承包人应在工程设计和施工阶段按照《水利部关于印发&lt;数字孪生流域建设技术大纲（试行）&gt;的通知》《水利部关于印发&lt;数字孪生水利工程建设技术导则（试行）&gt;的通知》《水利部关于印发&lt;水利业务“四预”基本技术要求（试行）&gt;的通知》《广州市城市信息模型（CIM）平台建设试点工作联席会议办公室关于进一步加快推进我市建筑信息模型（BIM）技术应用的通知》的要求，开展</w:t>
      </w:r>
      <w:r>
        <w:rPr>
          <w:rFonts w:hint="eastAsia" w:ascii="Times New Roman" w:hAnsi="Times New Roman"/>
          <w:color w:val="000000" w:themeColor="text1"/>
          <w:kern w:val="0"/>
          <w:szCs w:val="21"/>
          <w:highlight w:val="none"/>
          <w:u w:val="single"/>
          <w:lang w:eastAsia="zh-Hans"/>
          <w14:textFill>
            <w14:solidFill>
              <w14:schemeClr w14:val="tx1"/>
            </w14:solidFill>
          </w14:textFill>
        </w:rPr>
        <w:t>本项目</w:t>
      </w:r>
      <w:r>
        <w:rPr>
          <w:rFonts w:hint="eastAsia" w:ascii="Times New Roman" w:hAnsi="Times New Roman"/>
          <w:color w:val="000000" w:themeColor="text1"/>
          <w:kern w:val="0"/>
          <w:szCs w:val="21"/>
          <w:highlight w:val="none"/>
          <w:u w:val="single"/>
          <w14:textFill>
            <w14:solidFill>
              <w14:schemeClr w14:val="tx1"/>
            </w14:solidFill>
          </w14:textFill>
        </w:rPr>
        <w:t>数字孪生流域试点建设，包括但不限于以下内容：1.完成BIM技术应用服务模型；2.配备相应的物联网设备及管理系统；3.建立</w:t>
      </w:r>
      <w:r>
        <w:rPr>
          <w:rFonts w:hint="eastAsia" w:ascii="Times New Roman" w:hAnsi="Times New Roman"/>
          <w:color w:val="000000" w:themeColor="text1"/>
          <w:kern w:val="0"/>
          <w:szCs w:val="21"/>
          <w:highlight w:val="none"/>
          <w:u w:val="single"/>
          <w:lang w:eastAsia="zh-Hans"/>
          <w14:textFill>
            <w14:solidFill>
              <w14:schemeClr w14:val="tx1"/>
            </w14:solidFill>
          </w14:textFill>
        </w:rPr>
        <w:t>本项目</w:t>
      </w:r>
      <w:r>
        <w:rPr>
          <w:rFonts w:hint="eastAsia" w:ascii="Times New Roman" w:hAnsi="Times New Roman"/>
          <w:color w:val="000000" w:themeColor="text1"/>
          <w:kern w:val="0"/>
          <w:szCs w:val="21"/>
          <w:highlight w:val="none"/>
          <w:u w:val="single"/>
          <w14:textFill>
            <w14:solidFill>
              <w14:schemeClr w14:val="tx1"/>
            </w14:solidFill>
          </w14:textFill>
        </w:rPr>
        <w:t>调度指挥中心；4.配合协助开展“四预”基础性服务工作。具体以发包人批复要求为准</w:t>
      </w:r>
      <w:r>
        <w:rPr>
          <w:rFonts w:hint="eastAsia" w:ascii="宋体" w:hAnsi="宋体"/>
          <w:bCs/>
          <w:snapToGrid w:val="0"/>
          <w:color w:val="000000" w:themeColor="text1"/>
          <w:kern w:val="0"/>
          <w:szCs w:val="21"/>
          <w:highlight w:val="none"/>
          <w:u w:val="single"/>
          <w14:textFill>
            <w14:solidFill>
              <w14:schemeClr w14:val="tx1"/>
            </w14:solidFill>
          </w14:textFill>
        </w:rPr>
        <w:t>，</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p>
    <w:p>
      <w:pPr>
        <w:spacing w:before="120" w:beforeLines="50" w:after="120" w:afterLines="50" w:line="360" w:lineRule="auto"/>
        <w:ind w:firstLine="457" w:firstLineChars="218"/>
        <w:rPr>
          <w:rFonts w:ascii="Times New Roman" w:hAnsi="Times New Roman"/>
          <w:color w:val="000000" w:themeColor="text1"/>
          <w:kern w:val="0"/>
          <w:szCs w:val="21"/>
          <w:highlight w:val="none"/>
          <w:u w:val="single"/>
          <w14:textFill>
            <w14:solidFill>
              <w14:schemeClr w14:val="tx1"/>
            </w14:solidFill>
          </w14:textFill>
        </w:rPr>
      </w:pPr>
      <w:r>
        <w:rPr>
          <w:rFonts w:hint="eastAsia" w:ascii="Times New Roman" w:hAnsi="Times New Roman"/>
          <w:color w:val="000000" w:themeColor="text1"/>
          <w:kern w:val="0"/>
          <w:szCs w:val="21"/>
          <w:highlight w:val="none"/>
          <w:u w:val="single"/>
          <w14:textFill>
            <w14:solidFill>
              <w14:schemeClr w14:val="tx1"/>
            </w14:solidFill>
          </w14:textFill>
        </w:rPr>
        <w:t>上述第2</w:t>
      </w:r>
      <w:r>
        <w:rPr>
          <w:rFonts w:ascii="Times New Roman" w:hAnsi="Times New Roman"/>
          <w:color w:val="000000" w:themeColor="text1"/>
          <w:kern w:val="0"/>
          <w:szCs w:val="21"/>
          <w:highlight w:val="none"/>
          <w:u w:val="single"/>
          <w14:textFill>
            <w14:solidFill>
              <w14:schemeClr w14:val="tx1"/>
            </w14:solidFill>
          </w14:textFill>
        </w:rPr>
        <w:t>.8</w:t>
      </w:r>
      <w:r>
        <w:rPr>
          <w:rFonts w:hint="eastAsia" w:ascii="Times New Roman" w:hAnsi="Times New Roman"/>
          <w:color w:val="000000" w:themeColor="text1"/>
          <w:kern w:val="0"/>
          <w:szCs w:val="21"/>
          <w:highlight w:val="none"/>
          <w:u w:val="single"/>
          <w14:textFill>
            <w14:solidFill>
              <w14:schemeClr w14:val="tx1"/>
            </w14:solidFill>
          </w14:textFill>
        </w:rPr>
        <w:t>点内容纳入绩效考核办法的投资考核范围内，不额外调整投资考核基数。</w:t>
      </w:r>
    </w:p>
    <w:p>
      <w:pPr>
        <w:pStyle w:val="585"/>
        <w:spacing w:before="120" w:after="120"/>
        <w:rPr>
          <w:color w:val="000000" w:themeColor="text1"/>
          <w:highlight w:val="none"/>
          <w14:textFill>
            <w14:solidFill>
              <w14:schemeClr w14:val="tx1"/>
            </w14:solidFill>
          </w14:textFill>
        </w:rPr>
      </w:pPr>
      <w:bookmarkStart w:id="13" w:name="_Toc147856180"/>
      <w:bookmarkStart w:id="14" w:name="_Toc414227333"/>
      <w:r>
        <w:rPr>
          <w:rFonts w:hint="eastAsia"/>
          <w:color w:val="000000" w:themeColor="text1"/>
          <w:highlight w:val="none"/>
          <w:lang w:eastAsia="zh-Hans"/>
          <w14:textFill>
            <w14:solidFill>
              <w14:schemeClr w14:val="tx1"/>
            </w14:solidFill>
          </w14:textFill>
        </w:rPr>
        <w:t>三、</w:t>
      </w:r>
      <w:r>
        <w:rPr>
          <w:rFonts w:hint="eastAsia"/>
          <w:color w:val="000000" w:themeColor="text1"/>
          <w:highlight w:val="none"/>
          <w14:textFill>
            <w14:solidFill>
              <w14:schemeClr w14:val="tx1"/>
            </w14:solidFill>
          </w14:textFill>
        </w:rPr>
        <w:t>合同工期（备注：划线部分预填内容具体按招标文件及公告等发包人招标发出文件作相应调整）</w:t>
      </w:r>
      <w:bookmarkEnd w:id="13"/>
      <w:bookmarkEnd w:id="14"/>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3.1</w:t>
      </w:r>
      <w:r>
        <w:rPr>
          <w:rFonts w:hint="eastAsia" w:ascii="宋体" w:hAnsi="宋体"/>
          <w:bCs/>
          <w:snapToGrid w:val="0"/>
          <w:color w:val="000000" w:themeColor="text1"/>
          <w:kern w:val="0"/>
          <w:szCs w:val="21"/>
          <w:highlight w:val="none"/>
          <w14:textFill>
            <w14:solidFill>
              <w14:schemeClr w14:val="tx1"/>
            </w14:solidFill>
          </w14:textFill>
        </w:rPr>
        <w:t>计划工期：</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u w:val="single"/>
          <w14:textFill>
            <w14:solidFill>
              <w14:schemeClr w14:val="tx1"/>
            </w14:solidFill>
          </w14:textFill>
        </w:rPr>
        <w:t>个日历天（含勘察设计工期）。（备注：取招标文件要求天数和中标人投标文件承诺天数中的低值。）</w:t>
      </w:r>
      <w:r>
        <w:rPr>
          <w:rFonts w:hint="eastAsia" w:ascii="宋体" w:hAnsi="宋体"/>
          <w:bCs/>
          <w:snapToGrid w:val="0"/>
          <w:color w:val="000000" w:themeColor="text1"/>
          <w:kern w:val="0"/>
          <w:szCs w:val="21"/>
          <w:highlight w:val="none"/>
          <w14:textFill>
            <w14:solidFill>
              <w14:schemeClr w14:val="tx1"/>
            </w14:solidFill>
          </w14:textFill>
        </w:rPr>
        <w:t>。勘察工期自合同签订之日起算；设计工期自</w:t>
      </w:r>
      <w:r>
        <w:rPr>
          <w:rFonts w:hint="eastAsia" w:ascii="Times New Roman" w:hAnsi="Times New Roman"/>
          <w:color w:val="000000" w:themeColor="text1"/>
          <w:highlight w:val="none"/>
          <w14:textFill>
            <w14:solidFill>
              <w14:schemeClr w14:val="tx1"/>
            </w14:solidFill>
          </w14:textFill>
        </w:rPr>
        <w:t>勘察工期结束后起算；</w:t>
      </w:r>
      <w:r>
        <w:rPr>
          <w:rFonts w:hint="eastAsia" w:ascii="宋体" w:hAnsi="宋体"/>
          <w:bCs/>
          <w:snapToGrid w:val="0"/>
          <w:color w:val="000000" w:themeColor="text1"/>
          <w:kern w:val="0"/>
          <w:szCs w:val="21"/>
          <w:highlight w:val="none"/>
          <w14:textFill>
            <w14:solidFill>
              <w14:schemeClr w14:val="tx1"/>
            </w14:solidFill>
          </w14:textFill>
        </w:rPr>
        <w:t>施工工期由监理单位签发的开工日期起算。</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3.2</w:t>
      </w:r>
      <w:r>
        <w:rPr>
          <w:rFonts w:hint="eastAsia" w:ascii="宋体" w:hAnsi="宋体"/>
          <w:bCs/>
          <w:snapToGrid w:val="0"/>
          <w:color w:val="000000" w:themeColor="text1"/>
          <w:kern w:val="0"/>
          <w:szCs w:val="21"/>
          <w:highlight w:val="none"/>
          <w14:textFill>
            <w14:solidFill>
              <w14:schemeClr w14:val="tx1"/>
            </w14:solidFill>
          </w14:textFill>
        </w:rPr>
        <w:t>节点工期要求：</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（1）</w:t>
      </w:r>
      <w:r>
        <w:rPr>
          <w:rFonts w:hint="eastAsia" w:ascii="Times New Roman" w:hAnsi="Times New Roman"/>
          <w:color w:val="000000" w:themeColor="text1"/>
          <w:highlight w:val="none"/>
          <w14:textFill>
            <w14:solidFill>
              <w14:schemeClr w14:val="tx1"/>
            </w14:solidFill>
          </w14:textFill>
        </w:rPr>
        <w:t>勘察工期：</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u w:val="single"/>
          <w14:textFill>
            <w14:solidFill>
              <w14:schemeClr w14:val="tx1"/>
            </w14:solidFill>
          </w14:textFill>
        </w:rPr>
        <w:t>个日历天</w:t>
      </w:r>
      <w:r>
        <w:rPr>
          <w:rFonts w:hint="eastAsia" w:ascii="Times New Roman" w:hAnsi="Times New Roman"/>
          <w:color w:val="000000" w:themeColor="text1"/>
          <w:highlight w:val="none"/>
          <w14:textFill>
            <w14:solidFill>
              <w14:schemeClr w14:val="tx1"/>
            </w14:solidFill>
          </w14:textFill>
        </w:rPr>
        <w:t>。承包人在合同签订后按发包人工作要求</w:t>
      </w:r>
      <w:r>
        <w:rPr>
          <w:rFonts w:ascii="Times New Roman" w:hAnsi="Times New Roman"/>
          <w:color w:val="000000" w:themeColor="text1"/>
          <w:highlight w:val="none"/>
          <w:u w:val="single"/>
          <w14:textFill>
            <w14:solidFill>
              <w14:schemeClr w14:val="tx1"/>
            </w14:solidFill>
          </w14:textFill>
        </w:rPr>
        <w:t xml:space="preserve">  </w:t>
      </w:r>
      <w:r>
        <w:rPr>
          <w:rFonts w:hint="eastAsia" w:ascii="Times New Roman" w:hAnsi="Times New Roman"/>
          <w:color w:val="000000" w:themeColor="text1"/>
          <w:highlight w:val="none"/>
          <w:u w:val="single"/>
          <w14:textFill>
            <w14:solidFill>
              <w14:schemeClr w14:val="tx1"/>
            </w14:solidFill>
          </w14:textFill>
        </w:rPr>
        <w:t>个日历天内</w:t>
      </w:r>
      <w:r>
        <w:rPr>
          <w:rFonts w:hint="eastAsia" w:ascii="Times New Roman" w:hAnsi="Times New Roman"/>
          <w:color w:val="000000" w:themeColor="text1"/>
          <w:highlight w:val="none"/>
          <w14:textFill>
            <w14:solidFill>
              <w14:schemeClr w14:val="tx1"/>
            </w14:solidFill>
          </w14:textFill>
        </w:rPr>
        <w:t>提供本项目工程勘察成果文件</w:t>
      </w:r>
      <w:r>
        <w:rPr>
          <w:rFonts w:hint="eastAsia" w:ascii="宋体" w:hAnsi="宋体"/>
          <w:bCs/>
          <w:snapToGrid w:val="0"/>
          <w:color w:val="000000" w:themeColor="text1"/>
          <w:kern w:val="0"/>
          <w:szCs w:val="21"/>
          <w:highlight w:val="none"/>
          <w14:textFill>
            <w14:solidFill>
              <w14:schemeClr w14:val="tx1"/>
            </w14:solidFill>
          </w14:textFill>
        </w:rPr>
        <w:t>。如果延误工期，承包人向发包人支付的误期损害赔偿费</w:t>
      </w:r>
      <w:r>
        <w:rPr>
          <w:rFonts w:hint="eastAsia" w:ascii="宋体" w:hAnsi="宋体"/>
          <w:bCs/>
          <w:snapToGrid w:val="0"/>
          <w:color w:val="000000" w:themeColor="text1"/>
          <w:kern w:val="0"/>
          <w:szCs w:val="21"/>
          <w:highlight w:val="none"/>
          <w:u w:val="single"/>
          <w14:textFill>
            <w14:solidFill>
              <w14:schemeClr w14:val="tx1"/>
            </w14:solidFill>
          </w14:textFill>
        </w:rPr>
        <w:t>每天为最终勘察合同价格的0.3%</w:t>
      </w:r>
      <w:r>
        <w:rPr>
          <w:rFonts w:hint="eastAsia" w:ascii="宋体" w:hAnsi="宋体"/>
          <w:bCs/>
          <w:snapToGrid w:val="0"/>
          <w:color w:val="000000" w:themeColor="text1"/>
          <w:kern w:val="0"/>
          <w:szCs w:val="21"/>
          <w:highlight w:val="none"/>
          <w14:textFill>
            <w14:solidFill>
              <w14:schemeClr w14:val="tx1"/>
            </w14:solidFill>
          </w14:textFill>
        </w:rPr>
        <w:t>；误期损害赔偿费的</w:t>
      </w:r>
      <w:r>
        <w:rPr>
          <w:rFonts w:hint="eastAsia" w:ascii="宋体" w:hAnsi="宋体"/>
          <w:bCs/>
          <w:snapToGrid w:val="0"/>
          <w:color w:val="000000" w:themeColor="text1"/>
          <w:kern w:val="0"/>
          <w:szCs w:val="21"/>
          <w:highlight w:val="none"/>
          <w:u w:val="single"/>
          <w14:textFill>
            <w14:solidFill>
              <w14:schemeClr w14:val="tx1"/>
            </w14:solidFill>
          </w14:textFill>
        </w:rPr>
        <w:t>最高限额为最终勘察合同价格的30%</w:t>
      </w:r>
      <w:r>
        <w:rPr>
          <w:rFonts w:hint="eastAsia" w:ascii="宋体" w:hAnsi="宋体"/>
          <w:bCs/>
          <w:snapToGrid w:val="0"/>
          <w:color w:val="000000" w:themeColor="text1"/>
          <w:kern w:val="0"/>
          <w:szCs w:val="21"/>
          <w:highlight w:val="none"/>
          <w14:textFill>
            <w14:solidFill>
              <w14:schemeClr w14:val="tx1"/>
            </w14:solidFill>
          </w14:textFill>
        </w:rPr>
        <w:t>。</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（2）</w:t>
      </w:r>
      <w:r>
        <w:rPr>
          <w:rFonts w:hint="eastAsia" w:ascii="Times New Roman" w:hAnsi="Times New Roman"/>
          <w:color w:val="000000" w:themeColor="text1"/>
          <w:highlight w:val="none"/>
          <w14:textFill>
            <w14:solidFill>
              <w14:schemeClr w14:val="tx1"/>
            </w14:solidFill>
          </w14:textFill>
        </w:rPr>
        <w:t>设计工期：</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u w:val="single"/>
          <w14:textFill>
            <w14:solidFill>
              <w14:schemeClr w14:val="tx1"/>
            </w14:solidFill>
          </w14:textFill>
        </w:rPr>
        <w:t>个</w:t>
      </w:r>
      <w:r>
        <w:rPr>
          <w:rFonts w:hint="eastAsia" w:ascii="Times New Roman" w:hAnsi="Times New Roman"/>
          <w:color w:val="000000" w:themeColor="text1"/>
          <w:highlight w:val="none"/>
          <w:u w:val="single"/>
          <w14:textFill>
            <w14:solidFill>
              <w14:schemeClr w14:val="tx1"/>
            </w14:solidFill>
          </w14:textFill>
        </w:rPr>
        <w:t>日历天</w:t>
      </w:r>
      <w:r>
        <w:rPr>
          <w:rFonts w:hint="eastAsia" w:ascii="Times New Roman" w:hAnsi="Times New Roman"/>
          <w:color w:val="000000" w:themeColor="text1"/>
          <w:highlight w:val="none"/>
          <w14:textFill>
            <w14:solidFill>
              <w14:schemeClr w14:val="tx1"/>
            </w14:solidFill>
          </w14:textFill>
        </w:rPr>
        <w:t>。承包人应在勘察工期结束后</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u w:val="single"/>
          <w14:textFill>
            <w14:solidFill>
              <w14:schemeClr w14:val="tx1"/>
            </w14:solidFill>
          </w14:textFill>
        </w:rPr>
        <w:t>个</w:t>
      </w:r>
      <w:r>
        <w:rPr>
          <w:rFonts w:hint="eastAsia" w:ascii="Times New Roman" w:hAnsi="Times New Roman"/>
          <w:color w:val="000000" w:themeColor="text1"/>
          <w:highlight w:val="none"/>
          <w:u w:val="single"/>
          <w14:textFill>
            <w14:solidFill>
              <w14:schemeClr w14:val="tx1"/>
            </w14:solidFill>
          </w14:textFill>
        </w:rPr>
        <w:t>日历天完成初步设计</w:t>
      </w:r>
      <w:r>
        <w:rPr>
          <w:rFonts w:hint="eastAsia" w:ascii="Times New Roman" w:hAnsi="Times New Roman"/>
          <w:color w:val="000000" w:themeColor="text1"/>
          <w:highlight w:val="none"/>
          <w14:textFill>
            <w14:solidFill>
              <w14:schemeClr w14:val="tx1"/>
            </w14:solidFill>
          </w14:textFill>
        </w:rPr>
        <w:t>，</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u w:val="single"/>
          <w14:textFill>
            <w14:solidFill>
              <w14:schemeClr w14:val="tx1"/>
            </w14:solidFill>
          </w14:textFill>
        </w:rPr>
        <w:t>个</w:t>
      </w:r>
      <w:r>
        <w:rPr>
          <w:rFonts w:hint="eastAsia" w:ascii="Times New Roman" w:hAnsi="Times New Roman"/>
          <w:color w:val="000000" w:themeColor="text1"/>
          <w:highlight w:val="none"/>
          <w:u w:val="single"/>
          <w14:textFill>
            <w14:solidFill>
              <w14:schemeClr w14:val="tx1"/>
            </w14:solidFill>
          </w14:textFill>
        </w:rPr>
        <w:t>日历天内完成施工图设计</w:t>
      </w:r>
      <w:r>
        <w:rPr>
          <w:rFonts w:hint="eastAsia" w:ascii="Times New Roman" w:hAnsi="Times New Roman"/>
          <w:color w:val="000000" w:themeColor="text1"/>
          <w:highlight w:val="none"/>
          <w14:textFill>
            <w14:solidFill>
              <w14:schemeClr w14:val="tx1"/>
            </w14:solidFill>
          </w14:textFill>
        </w:rPr>
        <w:t>，施工图设计文件经审查发现问题后</w:t>
      </w:r>
      <w:r>
        <w:rPr>
          <w:rFonts w:hint="eastAsia" w:ascii="宋体" w:hAnsi="宋体"/>
          <w:bCs/>
          <w:snapToGrid w:val="0"/>
          <w:color w:val="000000" w:themeColor="text1"/>
          <w:kern w:val="0"/>
          <w:szCs w:val="21"/>
          <w:highlight w:val="none"/>
          <w:u w:val="single"/>
          <w14:textFill>
            <w14:solidFill>
              <w14:schemeClr w14:val="tx1"/>
            </w14:solidFill>
          </w14:textFill>
        </w:rPr>
        <w:t>5个</w:t>
      </w:r>
      <w:r>
        <w:rPr>
          <w:rFonts w:hint="eastAsia" w:ascii="Times New Roman" w:hAnsi="Times New Roman"/>
          <w:color w:val="000000" w:themeColor="text1"/>
          <w:highlight w:val="none"/>
          <w:u w:val="single"/>
          <w14:textFill>
            <w14:solidFill>
              <w14:schemeClr w14:val="tx1"/>
            </w14:solidFill>
          </w14:textFill>
        </w:rPr>
        <w:t>日历天内</w:t>
      </w:r>
      <w:r>
        <w:rPr>
          <w:rFonts w:hint="eastAsia" w:ascii="Times New Roman" w:hAnsi="Times New Roman"/>
          <w:color w:val="000000" w:themeColor="text1"/>
          <w:highlight w:val="none"/>
          <w14:textFill>
            <w14:solidFill>
              <w14:schemeClr w14:val="tx1"/>
            </w14:solidFill>
          </w14:textFill>
        </w:rPr>
        <w:t>完成补充、修改并送施工图审查单位</w:t>
      </w:r>
      <w:r>
        <w:rPr>
          <w:rFonts w:hint="eastAsia" w:ascii="宋体" w:hAnsi="宋体"/>
          <w:bCs/>
          <w:snapToGrid w:val="0"/>
          <w:color w:val="000000" w:themeColor="text1"/>
          <w:kern w:val="0"/>
          <w:szCs w:val="21"/>
          <w:highlight w:val="none"/>
          <w14:textFill>
            <w14:solidFill>
              <w14:schemeClr w14:val="tx1"/>
            </w14:solidFill>
          </w14:textFill>
        </w:rPr>
        <w:t>。如果延误工期，承包人向发包人支付的误期损害赔偿费</w:t>
      </w:r>
      <w:r>
        <w:rPr>
          <w:rFonts w:hint="eastAsia" w:ascii="宋体" w:hAnsi="宋体"/>
          <w:bCs/>
          <w:snapToGrid w:val="0"/>
          <w:color w:val="000000" w:themeColor="text1"/>
          <w:kern w:val="0"/>
          <w:szCs w:val="21"/>
          <w:highlight w:val="none"/>
          <w:u w:val="single"/>
          <w14:textFill>
            <w14:solidFill>
              <w14:schemeClr w14:val="tx1"/>
            </w14:solidFill>
          </w14:textFill>
        </w:rPr>
        <w:t>每天为最终设计合同价格的0.3%</w:t>
      </w:r>
      <w:r>
        <w:rPr>
          <w:rFonts w:hint="eastAsia" w:ascii="宋体" w:hAnsi="宋体"/>
          <w:bCs/>
          <w:snapToGrid w:val="0"/>
          <w:color w:val="000000" w:themeColor="text1"/>
          <w:kern w:val="0"/>
          <w:szCs w:val="21"/>
          <w:highlight w:val="none"/>
          <w14:textFill>
            <w14:solidFill>
              <w14:schemeClr w14:val="tx1"/>
            </w14:solidFill>
          </w14:textFill>
        </w:rPr>
        <w:t>；误期损害赔偿费的</w:t>
      </w:r>
      <w:r>
        <w:rPr>
          <w:rFonts w:hint="eastAsia" w:ascii="宋体" w:hAnsi="宋体"/>
          <w:bCs/>
          <w:snapToGrid w:val="0"/>
          <w:color w:val="000000" w:themeColor="text1"/>
          <w:kern w:val="0"/>
          <w:szCs w:val="21"/>
          <w:highlight w:val="none"/>
          <w:u w:val="single"/>
          <w14:textFill>
            <w14:solidFill>
              <w14:schemeClr w14:val="tx1"/>
            </w14:solidFill>
          </w14:textFill>
        </w:rPr>
        <w:t>最高限额为最终设计合同价格的30%</w:t>
      </w:r>
      <w:r>
        <w:rPr>
          <w:rFonts w:hint="eastAsia" w:ascii="宋体" w:hAnsi="宋体"/>
          <w:bCs/>
          <w:snapToGrid w:val="0"/>
          <w:color w:val="000000" w:themeColor="text1"/>
          <w:kern w:val="0"/>
          <w:szCs w:val="21"/>
          <w:highlight w:val="none"/>
          <w14:textFill>
            <w14:solidFill>
              <w14:schemeClr w14:val="tx1"/>
            </w14:solidFill>
          </w14:textFill>
        </w:rPr>
        <w:t>。</w:t>
      </w:r>
    </w:p>
    <w:p>
      <w:pPr>
        <w:pStyle w:val="58"/>
        <w:spacing w:after="0" w:line="360" w:lineRule="auto"/>
        <w:ind w:firstLineChars="200"/>
        <w:rPr>
          <w:rFonts w:ascii="宋体" w:hAnsi="宋体"/>
          <w:color w:val="000000" w:themeColor="text1"/>
          <w:sz w:val="24"/>
          <w:highlight w:val="none"/>
          <w14:textFill>
            <w14:solidFill>
              <w14:schemeClr w14:val="tx1"/>
            </w14:solidFill>
          </w14:textFill>
        </w:rPr>
      </w:pPr>
      <w:r>
        <w:rPr>
          <w:rFonts w:hint="eastAsia" w:ascii="宋体" w:hAnsi="宋体"/>
          <w:bCs/>
          <w:snapToGrid w:val="0"/>
          <w:color w:val="000000" w:themeColor="text1"/>
          <w:sz w:val="21"/>
          <w:szCs w:val="21"/>
          <w:highlight w:val="none"/>
          <w14:textFill>
            <w14:solidFill>
              <w14:schemeClr w14:val="tx1"/>
            </w14:solidFill>
          </w14:textFill>
        </w:rPr>
        <w:t>（</w:t>
      </w:r>
      <w:r>
        <w:rPr>
          <w:rFonts w:ascii="宋体" w:hAnsi="宋体"/>
          <w:bCs/>
          <w:snapToGrid w:val="0"/>
          <w:color w:val="000000" w:themeColor="text1"/>
          <w:sz w:val="21"/>
          <w:szCs w:val="21"/>
          <w:highlight w:val="none"/>
          <w14:textFill>
            <w14:solidFill>
              <w14:schemeClr w14:val="tx1"/>
            </w14:solidFill>
          </w14:textFill>
        </w:rPr>
        <w:t>3）施工工期：</w:t>
      </w:r>
      <w:r>
        <w:rPr>
          <w:rFonts w:ascii="宋体" w:hAnsi="宋体"/>
          <w:bCs/>
          <w:snapToGrid w:val="0"/>
          <w:color w:val="000000" w:themeColor="text1"/>
          <w:sz w:val="21"/>
          <w:szCs w:val="21"/>
          <w:highlight w:val="none"/>
          <w:u w:val="single"/>
          <w14:textFill>
            <w14:solidFill>
              <w14:schemeClr w14:val="tx1"/>
            </w14:solidFill>
          </w14:textFill>
        </w:rPr>
        <w:t xml:space="preserve">  </w:t>
      </w:r>
      <w:r>
        <w:rPr>
          <w:rFonts w:hint="eastAsia" w:ascii="宋体" w:hAnsi="宋体"/>
          <w:bCs/>
          <w:snapToGrid w:val="0"/>
          <w:color w:val="000000" w:themeColor="text1"/>
          <w:sz w:val="21"/>
          <w:szCs w:val="21"/>
          <w:highlight w:val="none"/>
          <w:u w:val="single"/>
          <w14:textFill>
            <w14:solidFill>
              <w14:schemeClr w14:val="tx1"/>
            </w14:solidFill>
          </w14:textFill>
        </w:rPr>
        <w:t>个日历天</w:t>
      </w:r>
      <w:r>
        <w:rPr>
          <w:rFonts w:hint="eastAsia" w:ascii="宋体" w:hAnsi="宋体"/>
          <w:bCs/>
          <w:snapToGrid w:val="0"/>
          <w:color w:val="000000" w:themeColor="text1"/>
          <w:sz w:val="21"/>
          <w:szCs w:val="21"/>
          <w:highlight w:val="none"/>
          <w14:textFill>
            <w14:solidFill>
              <w14:schemeClr w14:val="tx1"/>
            </w14:solidFill>
          </w14:textFill>
        </w:rPr>
        <w:t>，其中</w:t>
      </w:r>
      <w:r>
        <w:rPr>
          <w:rFonts w:hint="eastAsia" w:ascii="宋体" w:hAnsi="宋体"/>
          <w:bCs/>
          <w:snapToGrid w:val="0"/>
          <w:color w:val="000000" w:themeColor="text1"/>
          <w:sz w:val="21"/>
          <w:szCs w:val="21"/>
          <w:highlight w:val="none"/>
          <w:u w:val="single"/>
          <w14:textFill>
            <w14:solidFill>
              <w14:schemeClr w14:val="tx1"/>
            </w14:solidFill>
          </w14:textFill>
        </w:rPr>
        <w:t>施工准备期</w:t>
      </w:r>
      <w:r>
        <w:rPr>
          <w:rFonts w:ascii="宋体" w:hAnsi="宋体"/>
          <w:bCs/>
          <w:snapToGrid w:val="0"/>
          <w:color w:val="000000" w:themeColor="text1"/>
          <w:sz w:val="21"/>
          <w:szCs w:val="21"/>
          <w:highlight w:val="none"/>
          <w:u w:val="single"/>
          <w14:textFill>
            <w14:solidFill>
              <w14:schemeClr w14:val="tx1"/>
            </w14:solidFill>
          </w14:textFill>
        </w:rPr>
        <w:t xml:space="preserve">  </w:t>
      </w:r>
      <w:r>
        <w:rPr>
          <w:rFonts w:hint="eastAsia" w:ascii="宋体" w:hAnsi="宋体"/>
          <w:bCs/>
          <w:snapToGrid w:val="0"/>
          <w:color w:val="000000" w:themeColor="text1"/>
          <w:sz w:val="21"/>
          <w:szCs w:val="21"/>
          <w:highlight w:val="none"/>
          <w:u w:val="single"/>
          <w14:textFill>
            <w14:solidFill>
              <w14:schemeClr w14:val="tx1"/>
            </w14:solidFill>
          </w14:textFill>
        </w:rPr>
        <w:t>个</w:t>
      </w:r>
      <w:r>
        <w:rPr>
          <w:rFonts w:hint="eastAsia" w:ascii="宋体" w:hAnsi="宋体"/>
          <w:color w:val="000000" w:themeColor="text1"/>
          <w:sz w:val="21"/>
          <w:szCs w:val="21"/>
          <w:highlight w:val="none"/>
          <w:u w:val="single"/>
          <w14:textFill>
            <w14:solidFill>
              <w14:schemeClr w14:val="tx1"/>
            </w14:solidFill>
          </w14:textFill>
        </w:rPr>
        <w:t>日历</w:t>
      </w:r>
      <w:r>
        <w:rPr>
          <w:rFonts w:hint="eastAsia" w:ascii="宋体" w:hAnsi="宋体"/>
          <w:bCs/>
          <w:snapToGrid w:val="0"/>
          <w:color w:val="000000" w:themeColor="text1"/>
          <w:sz w:val="21"/>
          <w:szCs w:val="21"/>
          <w:highlight w:val="none"/>
          <w:u w:val="single"/>
          <w14:textFill>
            <w14:solidFill>
              <w14:schemeClr w14:val="tx1"/>
            </w14:solidFill>
          </w14:textFill>
        </w:rPr>
        <w:t>天、主体工期</w:t>
      </w:r>
      <w:r>
        <w:rPr>
          <w:rFonts w:ascii="宋体" w:hAnsi="宋体"/>
          <w:bCs/>
          <w:snapToGrid w:val="0"/>
          <w:color w:val="000000" w:themeColor="text1"/>
          <w:sz w:val="21"/>
          <w:szCs w:val="21"/>
          <w:highlight w:val="none"/>
          <w:u w:val="single"/>
          <w14:textFill>
            <w14:solidFill>
              <w14:schemeClr w14:val="tx1"/>
            </w14:solidFill>
          </w14:textFill>
        </w:rPr>
        <w:t xml:space="preserve">  </w:t>
      </w:r>
      <w:r>
        <w:rPr>
          <w:rFonts w:hint="eastAsia" w:ascii="宋体" w:hAnsi="宋体"/>
          <w:bCs/>
          <w:snapToGrid w:val="0"/>
          <w:color w:val="000000" w:themeColor="text1"/>
          <w:sz w:val="21"/>
          <w:szCs w:val="21"/>
          <w:highlight w:val="none"/>
          <w:u w:val="single"/>
          <w14:textFill>
            <w14:solidFill>
              <w14:schemeClr w14:val="tx1"/>
            </w14:solidFill>
          </w14:textFill>
        </w:rPr>
        <w:t>个</w:t>
      </w:r>
      <w:r>
        <w:rPr>
          <w:rFonts w:hint="eastAsia"/>
          <w:color w:val="000000" w:themeColor="text1"/>
          <w:sz w:val="21"/>
          <w:highlight w:val="none"/>
          <w:u w:val="single"/>
          <w14:textFill>
            <w14:solidFill>
              <w14:schemeClr w14:val="tx1"/>
            </w14:solidFill>
          </w14:textFill>
        </w:rPr>
        <w:t>日历</w:t>
      </w:r>
      <w:r>
        <w:rPr>
          <w:rFonts w:hint="eastAsia" w:ascii="宋体" w:hAnsi="宋体"/>
          <w:bCs/>
          <w:snapToGrid w:val="0"/>
          <w:color w:val="000000" w:themeColor="text1"/>
          <w:sz w:val="21"/>
          <w:szCs w:val="21"/>
          <w:highlight w:val="none"/>
          <w:u w:val="single"/>
          <w14:textFill>
            <w14:solidFill>
              <w14:schemeClr w14:val="tx1"/>
            </w14:solidFill>
          </w14:textFill>
        </w:rPr>
        <w:t>天、施工收尾期</w:t>
      </w:r>
      <w:r>
        <w:rPr>
          <w:rFonts w:ascii="宋体" w:hAnsi="宋体"/>
          <w:bCs/>
          <w:snapToGrid w:val="0"/>
          <w:color w:val="000000" w:themeColor="text1"/>
          <w:sz w:val="21"/>
          <w:szCs w:val="21"/>
          <w:highlight w:val="none"/>
          <w:u w:val="single"/>
          <w14:textFill>
            <w14:solidFill>
              <w14:schemeClr w14:val="tx1"/>
            </w14:solidFill>
          </w14:textFill>
        </w:rPr>
        <w:t xml:space="preserve">  </w:t>
      </w:r>
      <w:r>
        <w:rPr>
          <w:rFonts w:hint="eastAsia" w:ascii="宋体" w:hAnsi="宋体"/>
          <w:bCs/>
          <w:snapToGrid w:val="0"/>
          <w:color w:val="000000" w:themeColor="text1"/>
          <w:sz w:val="21"/>
          <w:szCs w:val="21"/>
          <w:highlight w:val="none"/>
          <w:u w:val="single"/>
          <w14:textFill>
            <w14:solidFill>
              <w14:schemeClr w14:val="tx1"/>
            </w14:solidFill>
          </w14:textFill>
        </w:rPr>
        <w:t>个</w:t>
      </w:r>
      <w:r>
        <w:rPr>
          <w:rFonts w:hint="eastAsia"/>
          <w:color w:val="000000" w:themeColor="text1"/>
          <w:sz w:val="21"/>
          <w:highlight w:val="none"/>
          <w:u w:val="single"/>
          <w14:textFill>
            <w14:solidFill>
              <w14:schemeClr w14:val="tx1"/>
            </w14:solidFill>
          </w14:textFill>
        </w:rPr>
        <w:t>日历</w:t>
      </w:r>
      <w:r>
        <w:rPr>
          <w:rFonts w:hint="eastAsia" w:ascii="宋体" w:hAnsi="宋体"/>
          <w:bCs/>
          <w:snapToGrid w:val="0"/>
          <w:color w:val="000000" w:themeColor="text1"/>
          <w:sz w:val="21"/>
          <w:szCs w:val="21"/>
          <w:highlight w:val="none"/>
          <w:u w:val="single"/>
          <w14:textFill>
            <w14:solidFill>
              <w14:schemeClr w14:val="tx1"/>
            </w14:solidFill>
          </w14:textFill>
        </w:rPr>
        <w:t>天</w:t>
      </w:r>
      <w:r>
        <w:rPr>
          <w:rFonts w:hint="eastAsia" w:ascii="宋体" w:hAnsi="宋体"/>
          <w:bCs/>
          <w:snapToGrid w:val="0"/>
          <w:color w:val="000000" w:themeColor="text1"/>
          <w:sz w:val="21"/>
          <w:szCs w:val="21"/>
          <w:highlight w:val="none"/>
          <w14:textFill>
            <w14:solidFill>
              <w14:schemeClr w14:val="tx1"/>
            </w14:solidFill>
          </w14:textFill>
        </w:rPr>
        <w:t>。具体进场</w:t>
      </w:r>
      <w:r>
        <w:rPr>
          <w:rFonts w:hint="eastAsia" w:ascii="宋体" w:hAnsi="宋体" w:cs="仿宋"/>
          <w:color w:val="000000" w:themeColor="text1"/>
          <w:sz w:val="21"/>
          <w:szCs w:val="21"/>
          <w:highlight w:val="none"/>
          <w14:textFill>
            <w14:solidFill>
              <w14:schemeClr w14:val="tx1"/>
            </w14:solidFill>
          </w14:textFill>
        </w:rPr>
        <w:t>开工日期以监理</w:t>
      </w:r>
      <w:r>
        <w:rPr>
          <w:rFonts w:hint="eastAsia" w:ascii="宋体" w:hAnsi="宋体"/>
          <w:bCs/>
          <w:snapToGrid w:val="0"/>
          <w:color w:val="000000" w:themeColor="text1"/>
          <w:sz w:val="21"/>
          <w:szCs w:val="21"/>
          <w:highlight w:val="none"/>
          <w14:textFill>
            <w14:solidFill>
              <w14:schemeClr w14:val="tx1"/>
            </w14:solidFill>
          </w14:textFill>
        </w:rPr>
        <w:t>单位</w:t>
      </w:r>
      <w:r>
        <w:rPr>
          <w:rFonts w:hint="eastAsia" w:ascii="宋体" w:hAnsi="宋体" w:cs="仿宋"/>
          <w:color w:val="000000" w:themeColor="text1"/>
          <w:sz w:val="21"/>
          <w:szCs w:val="21"/>
          <w:highlight w:val="none"/>
          <w14:textFill>
            <w14:solidFill>
              <w14:schemeClr w14:val="tx1"/>
            </w14:solidFill>
          </w14:textFill>
        </w:rPr>
        <w:t>签发的开工</w:t>
      </w:r>
      <w:r>
        <w:rPr>
          <w:rFonts w:hint="eastAsia" w:ascii="宋体" w:hAnsi="宋体"/>
          <w:bCs/>
          <w:snapToGrid w:val="0"/>
          <w:color w:val="000000" w:themeColor="text1"/>
          <w:sz w:val="21"/>
          <w:szCs w:val="21"/>
          <w:highlight w:val="none"/>
          <w14:textFill>
            <w14:solidFill>
              <w14:schemeClr w14:val="tx1"/>
            </w14:solidFill>
          </w14:textFill>
        </w:rPr>
        <w:t>令或开工报告批准的日期</w:t>
      </w:r>
      <w:r>
        <w:rPr>
          <w:rFonts w:hint="eastAsia" w:ascii="宋体" w:hAnsi="宋体" w:cs="仿宋"/>
          <w:color w:val="000000" w:themeColor="text1"/>
          <w:sz w:val="21"/>
          <w:szCs w:val="21"/>
          <w:highlight w:val="none"/>
          <w14:textFill>
            <w14:solidFill>
              <w14:schemeClr w14:val="tx1"/>
            </w14:solidFill>
          </w14:textFill>
        </w:rPr>
        <w:t>为准。发包人要求按时完成，不得延期。如经验收不合格，不能交付使用，不能视为竣工，承包人应负责返工直至合格为止，因此导致逾期竣工的视为承包人违约。由此产生的一切费用均由承包人承担。(合同总工期已计入晴、阴、雨、风、雾、20年一遇的洪水、十级以下（含十级）台风及停电、停水等影响施工的时间。)</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（4）本工程的合同工期</w:t>
      </w:r>
      <w:r>
        <w:rPr>
          <w:rFonts w:hint="eastAsia" w:ascii="宋体" w:hAnsi="宋体"/>
          <w:bCs/>
          <w:snapToGrid w:val="0"/>
          <w:color w:val="000000" w:themeColor="text1"/>
          <w:kern w:val="0"/>
          <w:szCs w:val="21"/>
          <w:highlight w:val="none"/>
          <w:lang w:eastAsia="zh-Hans"/>
          <w14:textFill>
            <w14:solidFill>
              <w14:schemeClr w14:val="tx1"/>
            </w14:solidFill>
          </w14:textFill>
        </w:rPr>
        <w:t>已</w:t>
      </w:r>
      <w:r>
        <w:rPr>
          <w:rFonts w:hint="eastAsia" w:ascii="宋体" w:hAnsi="宋体"/>
          <w:bCs/>
          <w:snapToGrid w:val="0"/>
          <w:color w:val="000000" w:themeColor="text1"/>
          <w:kern w:val="0"/>
          <w:szCs w:val="21"/>
          <w:highlight w:val="none"/>
          <w14:textFill>
            <w14:solidFill>
              <w14:schemeClr w14:val="tx1"/>
            </w14:solidFill>
          </w14:textFill>
        </w:rPr>
        <w:t>包括因承包人的</w:t>
      </w:r>
      <w:r>
        <w:rPr>
          <w:rFonts w:hint="eastAsia" w:ascii="宋体" w:hAnsi="宋体"/>
          <w:bCs/>
          <w:snapToGrid w:val="0"/>
          <w:color w:val="000000" w:themeColor="text1"/>
          <w:kern w:val="0"/>
          <w:szCs w:val="21"/>
          <w:highlight w:val="none"/>
          <w:lang w:eastAsia="zh-Hans"/>
          <w14:textFill>
            <w14:solidFill>
              <w14:schemeClr w14:val="tx1"/>
            </w14:solidFill>
          </w14:textFill>
        </w:rPr>
        <w:t>勘察、</w:t>
      </w:r>
      <w:r>
        <w:rPr>
          <w:rFonts w:hint="eastAsia" w:ascii="宋体" w:hAnsi="宋体"/>
          <w:bCs/>
          <w:snapToGrid w:val="0"/>
          <w:color w:val="000000" w:themeColor="text1"/>
          <w:kern w:val="0"/>
          <w:szCs w:val="21"/>
          <w:highlight w:val="none"/>
          <w14:textFill>
            <w14:solidFill>
              <w14:schemeClr w14:val="tx1"/>
            </w14:solidFill>
          </w14:textFill>
        </w:rPr>
        <w:t>设计</w:t>
      </w:r>
      <w:r>
        <w:rPr>
          <w:rFonts w:hint="eastAsia" w:ascii="宋体" w:hAnsi="宋体"/>
          <w:bCs/>
          <w:snapToGrid w:val="0"/>
          <w:color w:val="000000" w:themeColor="text1"/>
          <w:kern w:val="0"/>
          <w:szCs w:val="21"/>
          <w:highlight w:val="none"/>
          <w:lang w:eastAsia="zh-Hans"/>
          <w14:textFill>
            <w14:solidFill>
              <w14:schemeClr w14:val="tx1"/>
            </w14:solidFill>
          </w14:textFill>
        </w:rPr>
        <w:t>、施工</w:t>
      </w:r>
      <w:r>
        <w:rPr>
          <w:rFonts w:hint="eastAsia" w:ascii="宋体" w:hAnsi="宋体"/>
          <w:bCs/>
          <w:snapToGrid w:val="0"/>
          <w:color w:val="000000" w:themeColor="text1"/>
          <w:kern w:val="0"/>
          <w:szCs w:val="21"/>
          <w:highlight w:val="none"/>
          <w14:textFill>
            <w14:solidFill>
              <w14:schemeClr w14:val="tx1"/>
            </w14:solidFill>
          </w14:textFill>
        </w:rPr>
        <w:t>未能达到发包人及相关政府部门的要求而需要修改或重新设计所涉及的额外工程期限，承包人被视为已对上述审批时间作出考虑和预留。</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（5）发包人根据工程实施情况，有权对合同工程工期（包括关键节点工期）进行适当</w:t>
      </w:r>
      <w:r>
        <w:rPr>
          <w:rFonts w:hint="eastAsia" w:ascii="宋体" w:hAnsi="宋体"/>
          <w:bCs/>
          <w:snapToGrid w:val="0"/>
          <w:color w:val="000000" w:themeColor="text1"/>
          <w:kern w:val="0"/>
          <w:szCs w:val="21"/>
          <w:highlight w:val="none"/>
          <w:lang w:eastAsia="zh-Hans"/>
          <w14:textFill>
            <w14:solidFill>
              <w14:schemeClr w14:val="tx1"/>
            </w14:solidFill>
          </w14:textFill>
        </w:rPr>
        <w:t>（含提前）</w:t>
      </w:r>
      <w:r>
        <w:rPr>
          <w:rFonts w:hint="eastAsia" w:ascii="宋体" w:hAnsi="宋体"/>
          <w:bCs/>
          <w:snapToGrid w:val="0"/>
          <w:color w:val="000000" w:themeColor="text1"/>
          <w:kern w:val="0"/>
          <w:szCs w:val="21"/>
          <w:highlight w:val="none"/>
          <w14:textFill>
            <w14:solidFill>
              <w14:schemeClr w14:val="tx1"/>
            </w14:solidFill>
          </w14:textFill>
        </w:rPr>
        <w:t>调整，承包人必须采取一切有效措施保证关键节点工期的调整，不得延误，并不得要求另行增加费用，相关赶工措施费用应在投标报价中综合考虑并应已</w:t>
      </w:r>
      <w:r>
        <w:rPr>
          <w:rFonts w:hint="eastAsia" w:ascii="宋体" w:hAnsi="宋体"/>
          <w:bCs/>
          <w:snapToGrid w:val="0"/>
          <w:color w:val="000000" w:themeColor="text1"/>
          <w:kern w:val="0"/>
          <w:szCs w:val="21"/>
          <w:highlight w:val="none"/>
          <w:u w:val="single"/>
          <w14:textFill>
            <w14:solidFill>
              <w14:schemeClr w14:val="tx1"/>
            </w14:solidFill>
          </w14:textFill>
        </w:rPr>
        <w:t>含在合同总价中</w:t>
      </w:r>
      <w:r>
        <w:rPr>
          <w:rFonts w:hint="eastAsia" w:ascii="宋体" w:hAnsi="宋体"/>
          <w:bCs/>
          <w:snapToGrid w:val="0"/>
          <w:color w:val="000000" w:themeColor="text1"/>
          <w:kern w:val="0"/>
          <w:szCs w:val="21"/>
          <w:highlight w:val="none"/>
          <w14:textFill>
            <w14:solidFill>
              <w14:schemeClr w14:val="tx1"/>
            </w14:solidFill>
          </w14:textFill>
        </w:rPr>
        <w:t>。</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（6）单位工程、合同工程完工验收合格后，该工程的结算在合同规定的时间内</w:t>
      </w:r>
      <w:r>
        <w:rPr>
          <w:rFonts w:hint="eastAsia" w:ascii="宋体" w:hAnsi="宋体"/>
          <w:bCs/>
          <w:snapToGrid w:val="0"/>
          <w:color w:val="000000" w:themeColor="text1"/>
          <w:kern w:val="0"/>
          <w:szCs w:val="21"/>
          <w:highlight w:val="none"/>
          <w:lang w:eastAsia="zh-Hans"/>
          <w14:textFill>
            <w14:solidFill>
              <w14:schemeClr w14:val="tx1"/>
            </w14:solidFill>
          </w14:textFill>
        </w:rPr>
        <w:t>送有审核权限</w:t>
      </w:r>
      <w:r>
        <w:rPr>
          <w:rFonts w:hint="eastAsia" w:ascii="宋体" w:hAnsi="宋体"/>
          <w:bCs/>
          <w:snapToGrid w:val="0"/>
          <w:color w:val="000000" w:themeColor="text1"/>
          <w:kern w:val="0"/>
          <w:szCs w:val="21"/>
          <w:highlight w:val="none"/>
          <w14:textFill>
            <w14:solidFill>
              <w14:schemeClr w14:val="tx1"/>
            </w14:solidFill>
          </w14:textFill>
        </w:rPr>
        <w:t>部门或经发包人确定的第三方造价咨询机构进行评审</w:t>
      </w:r>
      <w:r>
        <w:rPr>
          <w:rFonts w:hint="eastAsia" w:ascii="宋体" w:hAnsi="宋体"/>
          <w:bCs/>
          <w:snapToGrid w:val="0"/>
          <w:color w:val="000000" w:themeColor="text1"/>
          <w:kern w:val="0"/>
          <w:szCs w:val="21"/>
          <w:highlight w:val="none"/>
          <w:u w:val="single"/>
          <w14:textFill>
            <w14:solidFill>
              <w14:schemeClr w14:val="tx1"/>
            </w14:solidFill>
          </w14:textFill>
        </w:rPr>
        <w:t>，</w:t>
      </w:r>
      <w:r>
        <w:rPr>
          <w:rFonts w:hint="eastAsia" w:ascii="Times New Roman" w:hAnsi="Times New Roman"/>
          <w:color w:val="000000" w:themeColor="text1"/>
          <w:kern w:val="0"/>
          <w:szCs w:val="21"/>
          <w:highlight w:val="none"/>
          <w:u w:val="single"/>
          <w14:textFill>
            <w14:solidFill>
              <w14:schemeClr w14:val="tx1"/>
            </w14:solidFill>
          </w14:textFill>
        </w:rPr>
        <w:t>具体以发包人要求为准</w:t>
      </w:r>
      <w:r>
        <w:rPr>
          <w:rFonts w:hint="eastAsia" w:ascii="宋体" w:hAnsi="宋体"/>
          <w:bCs/>
          <w:snapToGrid w:val="0"/>
          <w:color w:val="000000" w:themeColor="text1"/>
          <w:kern w:val="0"/>
          <w:szCs w:val="21"/>
          <w:highlight w:val="none"/>
          <w14:textFill>
            <w14:solidFill>
              <w14:schemeClr w14:val="tx1"/>
            </w14:solidFill>
          </w14:textFill>
        </w:rPr>
        <w:t>。</w:t>
      </w:r>
    </w:p>
    <w:p>
      <w:pPr>
        <w:pStyle w:val="585"/>
        <w:spacing w:before="120" w:after="120"/>
        <w:rPr>
          <w:color w:val="000000" w:themeColor="text1"/>
          <w:highlight w:val="none"/>
          <w:lang w:eastAsia="zh-Hans"/>
          <w14:textFill>
            <w14:solidFill>
              <w14:schemeClr w14:val="tx1"/>
            </w14:solidFill>
          </w14:textFill>
        </w:rPr>
      </w:pPr>
      <w:bookmarkStart w:id="15" w:name="_Toc1924285804"/>
      <w:bookmarkStart w:id="16" w:name="_Toc147856181"/>
      <w:r>
        <w:rPr>
          <w:rFonts w:hint="eastAsia"/>
          <w:color w:val="000000" w:themeColor="text1"/>
          <w:highlight w:val="none"/>
          <w:lang w:eastAsia="zh-Hans"/>
          <w14:textFill>
            <w14:solidFill>
              <w14:schemeClr w14:val="tx1"/>
            </w14:solidFill>
          </w14:textFill>
        </w:rPr>
        <w:t>四、</w:t>
      </w:r>
      <w:r>
        <w:rPr>
          <w:rFonts w:hint="eastAsia"/>
          <w:color w:val="000000" w:themeColor="text1"/>
          <w:highlight w:val="none"/>
          <w14:textFill>
            <w14:solidFill>
              <w14:schemeClr w14:val="tx1"/>
            </w14:solidFill>
          </w14:textFill>
        </w:rPr>
        <w:t>工程</w:t>
      </w:r>
      <w:r>
        <w:rPr>
          <w:rFonts w:hint="eastAsia"/>
          <w:color w:val="000000" w:themeColor="text1"/>
          <w:highlight w:val="none"/>
          <w:lang w:eastAsia="zh-Hans"/>
          <w14:textFill>
            <w14:solidFill>
              <w14:schemeClr w14:val="tx1"/>
            </w14:solidFill>
          </w14:textFill>
        </w:rPr>
        <w:t>质量标准、创优目标、</w:t>
      </w:r>
      <w:r>
        <w:rPr>
          <w:rFonts w:hint="eastAsia"/>
          <w:bCs w:val="0"/>
          <w:color w:val="000000" w:themeColor="text1"/>
          <w:highlight w:val="none"/>
          <w14:textFill>
            <w14:solidFill>
              <w14:schemeClr w14:val="tx1"/>
            </w14:solidFill>
          </w14:textFill>
        </w:rPr>
        <w:t>职业健康安全管理目标及环境管理目标</w:t>
      </w:r>
      <w:r>
        <w:rPr>
          <w:rFonts w:hint="eastAsia"/>
          <w:color w:val="000000" w:themeColor="text1"/>
          <w:highlight w:val="none"/>
          <w:lang w:eastAsia="zh-Hans"/>
          <w14:textFill>
            <w14:solidFill>
              <w14:schemeClr w14:val="tx1"/>
            </w14:solidFill>
          </w14:textFill>
        </w:rPr>
        <w:t>（备注：划线部分预填内容具体按招标文件及公告等发包人招标发出文件作相应调整）</w:t>
      </w:r>
      <w:bookmarkEnd w:id="15"/>
      <w:bookmarkEnd w:id="16"/>
    </w:p>
    <w:p>
      <w:pPr>
        <w:spacing w:before="120" w:beforeLines="50" w:after="120" w:afterLines="50"/>
        <w:ind w:firstLine="457" w:firstLineChars="218"/>
        <w:rPr>
          <w:rFonts w:ascii="宋体" w:hAnsi="宋体"/>
          <w:bCs/>
          <w:snapToGrid w:val="0"/>
          <w:color w:val="000000" w:themeColor="text1"/>
          <w:kern w:val="0"/>
          <w:szCs w:val="21"/>
          <w:highlight w:val="none"/>
          <w14:textFill>
            <w14:solidFill>
              <w14:schemeClr w14:val="tx1"/>
            </w14:solidFill>
          </w14:textFill>
        </w:rPr>
      </w:pPr>
      <w:bookmarkStart w:id="17" w:name="_Toc23311"/>
      <w:r>
        <w:rPr>
          <w:rFonts w:ascii="宋体" w:hAnsi="宋体"/>
          <w:bCs/>
          <w:snapToGrid w:val="0"/>
          <w:color w:val="000000" w:themeColor="text1"/>
          <w:kern w:val="0"/>
          <w:szCs w:val="21"/>
          <w:highlight w:val="none"/>
          <w14:textFill>
            <w14:solidFill>
              <w14:schemeClr w14:val="tx1"/>
            </w14:solidFill>
          </w14:textFill>
        </w:rPr>
        <w:t xml:space="preserve">4.1 </w:t>
      </w:r>
      <w:r>
        <w:rPr>
          <w:rFonts w:hint="eastAsia" w:ascii="宋体" w:hAnsi="宋体"/>
          <w:bCs/>
          <w:snapToGrid w:val="0"/>
          <w:color w:val="000000" w:themeColor="text1"/>
          <w:kern w:val="0"/>
          <w:szCs w:val="21"/>
          <w:highlight w:val="none"/>
          <w14:textFill>
            <w14:solidFill>
              <w14:schemeClr w14:val="tx1"/>
            </w14:solidFill>
          </w14:textFill>
        </w:rPr>
        <w:t>质量标准</w:t>
      </w:r>
    </w:p>
    <w:p>
      <w:pPr>
        <w:spacing w:before="120" w:beforeLines="50" w:after="120" w:afterLines="50"/>
        <w:ind w:firstLine="457" w:firstLineChars="218"/>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勘察质量标准：</w:t>
      </w:r>
      <w:r>
        <w:rPr>
          <w:rFonts w:hint="eastAsia" w:ascii="宋体" w:hAnsi="宋体"/>
          <w:bCs/>
          <w:snapToGrid w:val="0"/>
          <w:color w:val="000000" w:themeColor="text1"/>
          <w:kern w:val="0"/>
          <w:szCs w:val="21"/>
          <w:highlight w:val="none"/>
          <w:u w:val="single"/>
          <w14:textFill>
            <w14:solidFill>
              <w14:schemeClr w14:val="tx1"/>
            </w14:solidFill>
          </w14:textFill>
        </w:rPr>
        <w:t>符合建设工程勘察的相关标准、规范及本工程勘察设计任务书（如有）的要求以及发包人提出的要求。</w:t>
      </w:r>
      <w:bookmarkEnd w:id="17"/>
    </w:p>
    <w:p>
      <w:pPr>
        <w:spacing w:before="120" w:beforeLines="50" w:after="120" w:afterLines="50"/>
        <w:ind w:firstLine="457" w:firstLineChars="218"/>
        <w:rPr>
          <w:rFonts w:ascii="宋体" w:hAnsi="宋体"/>
          <w:bCs/>
          <w:snapToGrid w:val="0"/>
          <w:color w:val="000000" w:themeColor="text1"/>
          <w:kern w:val="0"/>
          <w:szCs w:val="21"/>
          <w:highlight w:val="none"/>
          <w14:textFill>
            <w14:solidFill>
              <w14:schemeClr w14:val="tx1"/>
            </w14:solidFill>
          </w14:textFill>
        </w:rPr>
      </w:pPr>
      <w:bookmarkStart w:id="18" w:name="_Toc13299"/>
      <w:r>
        <w:rPr>
          <w:rFonts w:hint="eastAsia" w:ascii="宋体" w:hAnsi="宋体"/>
          <w:bCs/>
          <w:snapToGrid w:val="0"/>
          <w:color w:val="000000" w:themeColor="text1"/>
          <w:kern w:val="0"/>
          <w:szCs w:val="21"/>
          <w:highlight w:val="none"/>
          <w14:textFill>
            <w14:solidFill>
              <w14:schemeClr w14:val="tx1"/>
            </w14:solidFill>
          </w14:textFill>
        </w:rPr>
        <w:t>设计质量标准：</w:t>
      </w:r>
      <w:r>
        <w:rPr>
          <w:rFonts w:hint="eastAsia" w:ascii="宋体" w:hAnsi="宋体"/>
          <w:bCs/>
          <w:snapToGrid w:val="0"/>
          <w:color w:val="000000" w:themeColor="text1"/>
          <w:kern w:val="0"/>
          <w:szCs w:val="21"/>
          <w:highlight w:val="none"/>
          <w:u w:val="single"/>
          <w14:textFill>
            <w14:solidFill>
              <w14:schemeClr w14:val="tx1"/>
            </w14:solidFill>
          </w14:textFill>
        </w:rPr>
        <w:t>符合建设工程设计的相关标准、规范及本工程勘察设计任务书（如有）的要求以及发包人提出的要求。</w:t>
      </w:r>
      <w:bookmarkEnd w:id="18"/>
    </w:p>
    <w:p>
      <w:pPr>
        <w:spacing w:before="120" w:beforeLines="50" w:after="120" w:afterLines="50"/>
        <w:ind w:firstLine="457" w:firstLineChars="218"/>
        <w:rPr>
          <w:rFonts w:ascii="宋体" w:hAnsi="宋体"/>
          <w:bCs/>
          <w:snapToGrid w:val="0"/>
          <w:color w:val="000000" w:themeColor="text1"/>
          <w:kern w:val="0"/>
          <w:szCs w:val="21"/>
          <w:highlight w:val="none"/>
          <w14:textFill>
            <w14:solidFill>
              <w14:schemeClr w14:val="tx1"/>
            </w14:solidFill>
          </w14:textFill>
        </w:rPr>
      </w:pPr>
      <w:bookmarkStart w:id="19" w:name="_Toc21196"/>
      <w:r>
        <w:rPr>
          <w:rFonts w:hint="eastAsia" w:ascii="宋体" w:hAnsi="宋体"/>
          <w:bCs/>
          <w:snapToGrid w:val="0"/>
          <w:color w:val="000000" w:themeColor="text1"/>
          <w:kern w:val="0"/>
          <w:szCs w:val="21"/>
          <w:highlight w:val="none"/>
          <w14:textFill>
            <w14:solidFill>
              <w14:schemeClr w14:val="tx1"/>
            </w14:solidFill>
          </w14:textFill>
        </w:rPr>
        <w:t>施工质量要求：</w:t>
      </w:r>
      <w:r>
        <w:rPr>
          <w:rFonts w:hint="eastAsia" w:ascii="宋体" w:hAnsi="宋体"/>
          <w:bCs/>
          <w:snapToGrid w:val="0"/>
          <w:color w:val="000000" w:themeColor="text1"/>
          <w:kern w:val="0"/>
          <w:szCs w:val="21"/>
          <w:highlight w:val="none"/>
          <w:u w:val="single"/>
          <w14:textFill>
            <w14:solidFill>
              <w14:schemeClr w14:val="tx1"/>
            </w14:solidFill>
          </w14:textFill>
        </w:rPr>
        <w:t>符合建设工程施工质量验收规范合格标准以及发包人提出的标准</w:t>
      </w:r>
      <w:r>
        <w:rPr>
          <w:rFonts w:hint="eastAsia" w:ascii="宋体" w:hAnsi="宋体"/>
          <w:bCs/>
          <w:snapToGrid w:val="0"/>
          <w:color w:val="000000" w:themeColor="text1"/>
          <w:kern w:val="0"/>
          <w:szCs w:val="21"/>
          <w:highlight w:val="none"/>
          <w14:textFill>
            <w14:solidFill>
              <w14:schemeClr w14:val="tx1"/>
            </w14:solidFill>
          </w14:textFill>
        </w:rPr>
        <w:t>。</w:t>
      </w:r>
      <w:bookmarkEnd w:id="19"/>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bookmarkStart w:id="20" w:name="_Toc486159623"/>
      <w:bookmarkStart w:id="21" w:name="_Toc486159965"/>
      <w:r>
        <w:rPr>
          <w:rFonts w:ascii="宋体" w:hAnsi="宋体" w:cs="宋体"/>
          <w:bCs/>
          <w:snapToGrid w:val="0"/>
          <w:color w:val="000000" w:themeColor="text1"/>
          <w:kern w:val="0"/>
          <w:szCs w:val="21"/>
          <w:highlight w:val="none"/>
          <w14:textFill>
            <w14:solidFill>
              <w14:schemeClr w14:val="tx1"/>
            </w14:solidFill>
          </w14:textFill>
        </w:rPr>
        <w:t xml:space="preserve">4.2 </w:t>
      </w:r>
      <w:r>
        <w:rPr>
          <w:rFonts w:hint="eastAsia" w:ascii="宋体" w:hAnsi="宋体" w:cs="宋体"/>
          <w:bCs/>
          <w:snapToGrid w:val="0"/>
          <w:color w:val="000000" w:themeColor="text1"/>
          <w:kern w:val="0"/>
          <w:szCs w:val="21"/>
          <w:highlight w:val="none"/>
          <w:lang w:eastAsia="zh-Hans"/>
          <w14:textFill>
            <w14:solidFill>
              <w14:schemeClr w14:val="tx1"/>
            </w14:solidFill>
          </w14:textFill>
        </w:rPr>
        <w:t>创优目标</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□市级工程优质奖：</w:t>
      </w:r>
      <w:r>
        <w:rPr>
          <w:rFonts w:hint="eastAsia" w:ascii="宋体" w:hAnsi="宋体" w:cs="宋体"/>
          <w:color w:val="000000" w:themeColor="text1"/>
          <w:szCs w:val="21"/>
          <w:highlight w:val="none"/>
          <w:u w:val="single"/>
          <w14:textFill>
            <w14:solidFill>
              <w14:schemeClr w14:val="tx1"/>
            </w14:solidFill>
          </w14:textFill>
        </w:rPr>
        <w:t xml:space="preserve">                         </w:t>
      </w:r>
      <w:r>
        <w:rPr>
          <w:rFonts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52"/>
      </w:r>
      <w:r>
        <w:rPr>
          <w:rFonts w:hint="eastAsia" w:ascii="宋体" w:hAnsi="宋体" w:cs="宋体"/>
          <w:color w:val="000000" w:themeColor="text1"/>
          <w:szCs w:val="21"/>
          <w:highlight w:val="none"/>
          <w14:textFill>
            <w14:solidFill>
              <w14:schemeClr w14:val="tx1"/>
            </w14:solidFill>
          </w14:textFill>
        </w:rPr>
        <w:t>省级工程优质奖：</w:t>
      </w:r>
      <w:r>
        <w:rPr>
          <w:rFonts w:hint="eastAsia" w:ascii="宋体" w:hAnsi="宋体" w:cs="宋体"/>
          <w:color w:val="000000" w:themeColor="text1"/>
          <w:szCs w:val="21"/>
          <w:highlight w:val="none"/>
          <w:u w:val="single"/>
          <w14:textFill>
            <w14:solidFill>
              <w14:schemeClr w14:val="tx1"/>
            </w14:solidFill>
          </w14:textFill>
        </w:rPr>
        <w:t xml:space="preserve"> 确保获得广东省优质水利工程奖（一等奖）及广东省优秀水利工程勘测设计奖（一等奖）</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52"/>
      </w:r>
      <w:r>
        <w:rPr>
          <w:rFonts w:hint="eastAsia" w:ascii="宋体" w:hAnsi="宋体" w:cs="宋体"/>
          <w:color w:val="000000" w:themeColor="text1"/>
          <w:szCs w:val="21"/>
          <w:highlight w:val="none"/>
          <w14:textFill>
            <w14:solidFill>
              <w14:schemeClr w14:val="tx1"/>
            </w14:solidFill>
          </w14:textFill>
        </w:rPr>
        <w:t>国家级工程优质奖：</w:t>
      </w:r>
      <w:r>
        <w:rPr>
          <w:rFonts w:hint="eastAsia" w:ascii="宋体" w:hAnsi="宋体" w:cs="宋体"/>
          <w:color w:val="000000" w:themeColor="text1"/>
          <w:szCs w:val="21"/>
          <w:highlight w:val="none"/>
          <w:u w:val="single"/>
          <w14:textFill>
            <w14:solidFill>
              <w14:schemeClr w14:val="tx1"/>
            </w14:solidFill>
          </w14:textFill>
        </w:rPr>
        <w:t xml:space="preserve"> 争创</w:t>
      </w:r>
      <w:r>
        <w:rPr>
          <w:rFonts w:hint="eastAsia" w:ascii="宋体" w:hAnsi="宋体" w:cs="宋体"/>
          <w:color w:val="000000" w:themeColor="text1"/>
          <w:szCs w:val="21"/>
          <w:highlight w:val="none"/>
          <w:u w:val="single"/>
          <w:lang w:eastAsia="zh-Hans"/>
          <w14:textFill>
            <w14:solidFill>
              <w14:schemeClr w14:val="tx1"/>
            </w14:solidFill>
          </w14:textFill>
        </w:rPr>
        <w:t xml:space="preserve">中国水利工程优质（大禹）奖 </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□其它：</w:t>
      </w:r>
      <w:r>
        <w:rPr>
          <w:rFonts w:hint="eastAsia" w:ascii="宋体" w:hAnsi="宋体" w:cs="宋体"/>
          <w:color w:val="000000" w:themeColor="text1"/>
          <w:szCs w:val="21"/>
          <w:highlight w:val="none"/>
          <w:u w:val="single"/>
          <w14:textFill>
            <w14:solidFill>
              <w14:schemeClr w14:val="tx1"/>
            </w14:solidFill>
          </w14:textFill>
        </w:rPr>
        <w:t xml:space="preserve">                                 </w:t>
      </w:r>
      <w:r>
        <w:rPr>
          <w:rFonts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 xml:space="preserve"> 。</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lang w:eastAsia="zh-Hans"/>
          <w14:textFill>
            <w14:solidFill>
              <w14:schemeClr w14:val="tx1"/>
            </w14:solidFill>
          </w14:textFill>
        </w:rPr>
      </w:pPr>
      <w:r>
        <w:rPr>
          <w:rFonts w:ascii="宋体" w:hAnsi="宋体" w:cs="宋体"/>
          <w:bCs/>
          <w:snapToGrid w:val="0"/>
          <w:color w:val="000000" w:themeColor="text1"/>
          <w:kern w:val="0"/>
          <w:szCs w:val="21"/>
          <w:highlight w:val="none"/>
          <w14:textFill>
            <w14:solidFill>
              <w14:schemeClr w14:val="tx1"/>
            </w14:solidFill>
          </w14:textFill>
        </w:rPr>
        <w:t xml:space="preserve">4.3 </w:t>
      </w:r>
      <w:r>
        <w:rPr>
          <w:rFonts w:hint="eastAsia" w:ascii="宋体" w:hAnsi="宋体" w:cs="宋体"/>
          <w:bCs/>
          <w:snapToGrid w:val="0"/>
          <w:color w:val="000000" w:themeColor="text1"/>
          <w:kern w:val="0"/>
          <w:szCs w:val="21"/>
          <w:highlight w:val="none"/>
          <w14:textFill>
            <w14:solidFill>
              <w14:schemeClr w14:val="tx1"/>
            </w14:solidFill>
          </w14:textFill>
        </w:rPr>
        <w:t>创安全文明工地目标</w:t>
      </w:r>
      <w:r>
        <w:rPr>
          <w:rFonts w:hint="eastAsia" w:ascii="宋体" w:hAnsi="宋体" w:cs="宋体"/>
          <w:bCs/>
          <w:snapToGrid w:val="0"/>
          <w:color w:val="000000" w:themeColor="text1"/>
          <w:kern w:val="0"/>
          <w:szCs w:val="21"/>
          <w:highlight w:val="none"/>
          <w:lang w:eastAsia="zh-Hans"/>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□市级安全文明施工样板工地：</w:t>
      </w:r>
      <w:r>
        <w:rPr>
          <w:rFonts w:hint="eastAsia" w:ascii="宋体" w:hAnsi="宋体" w:cs="宋体"/>
          <w:color w:val="000000" w:themeColor="text1"/>
          <w:szCs w:val="21"/>
          <w:highlight w:val="none"/>
          <w:u w:val="single"/>
          <w14:textFill>
            <w14:solidFill>
              <w14:schemeClr w14:val="tx1"/>
            </w14:solidFill>
          </w14:textFill>
        </w:rPr>
        <w:t xml:space="preserve">                  </w:t>
      </w:r>
      <w:r>
        <w:rPr>
          <w:rFonts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52"/>
      </w:r>
      <w:r>
        <w:rPr>
          <w:rFonts w:hint="eastAsia" w:ascii="宋体" w:hAnsi="宋体" w:cs="宋体"/>
          <w:color w:val="000000" w:themeColor="text1"/>
          <w:szCs w:val="21"/>
          <w:highlight w:val="none"/>
          <w14:textFill>
            <w14:solidFill>
              <w14:schemeClr w14:val="tx1"/>
            </w14:solidFill>
          </w14:textFill>
        </w:rPr>
        <w:t>省级安全文明施工示范工地：</w:t>
      </w:r>
      <w:r>
        <w:rPr>
          <w:rFonts w:hint="eastAsia" w:ascii="宋体" w:hAnsi="宋体" w:cs="宋体"/>
          <w:color w:val="000000" w:themeColor="text1"/>
          <w:szCs w:val="21"/>
          <w:highlight w:val="none"/>
          <w:u w:val="single"/>
          <w14:textFill>
            <w14:solidFill>
              <w14:schemeClr w14:val="tx1"/>
            </w14:solidFill>
          </w14:textFill>
        </w:rPr>
        <w:t xml:space="preserve"> 确保广东省安全生产文明工地 </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□国家级安全文明工地：</w:t>
      </w:r>
      <w:r>
        <w:rPr>
          <w:rFonts w:hint="eastAsia" w:ascii="宋体" w:hAnsi="宋体" w:cs="宋体"/>
          <w:color w:val="000000" w:themeColor="text1"/>
          <w:szCs w:val="21"/>
          <w:highlight w:val="none"/>
          <w:u w:val="single"/>
          <w14:textFill>
            <w14:solidFill>
              <w14:schemeClr w14:val="tx1"/>
            </w14:solidFill>
          </w14:textFill>
        </w:rPr>
        <w:t xml:space="preserve">                        </w:t>
      </w:r>
      <w:r>
        <w:rPr>
          <w:rFonts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□其它：</w:t>
      </w:r>
      <w:r>
        <w:rPr>
          <w:rFonts w:hint="eastAsia" w:ascii="宋体" w:hAnsi="宋体" w:cs="宋体"/>
          <w:color w:val="000000" w:themeColor="text1"/>
          <w:szCs w:val="21"/>
          <w:highlight w:val="none"/>
          <w:u w:val="single"/>
          <w14:textFill>
            <w14:solidFill>
              <w14:schemeClr w14:val="tx1"/>
            </w14:solidFill>
          </w14:textFill>
        </w:rPr>
        <w:t xml:space="preserve">                                      </w:t>
      </w:r>
      <w:r>
        <w:rPr>
          <w:rFonts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ascii="宋体" w:hAnsi="宋体" w:cs="宋体"/>
          <w:bCs/>
          <w:snapToGrid w:val="0"/>
          <w:color w:val="000000" w:themeColor="text1"/>
          <w:kern w:val="0"/>
          <w:szCs w:val="21"/>
          <w:highlight w:val="none"/>
          <w14:textFill>
            <w14:solidFill>
              <w14:schemeClr w14:val="tx1"/>
            </w14:solidFill>
          </w14:textFill>
        </w:rPr>
        <w:t>4</w:t>
      </w:r>
      <w:r>
        <w:rPr>
          <w:rFonts w:hint="eastAsia" w:ascii="宋体" w:hAnsi="宋体" w:cs="宋体"/>
          <w:bCs/>
          <w:snapToGrid w:val="0"/>
          <w:color w:val="000000" w:themeColor="text1"/>
          <w:kern w:val="0"/>
          <w:szCs w:val="21"/>
          <w:highlight w:val="none"/>
          <w14:textFill>
            <w14:solidFill>
              <w14:schemeClr w14:val="tx1"/>
            </w14:solidFill>
          </w14:textFill>
        </w:rPr>
        <w:t>.4 绿色建筑设计目标</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hint="eastAsia" w:ascii="宋体" w:hAnsi="宋体" w:cs="宋体"/>
          <w:bCs/>
          <w:snapToGrid w:val="0"/>
          <w:color w:val="000000" w:themeColor="text1"/>
          <w:kern w:val="0"/>
          <w:szCs w:val="21"/>
          <w:highlight w:val="none"/>
          <w14:textFill>
            <w14:solidFill>
              <w14:schemeClr w14:val="tx1"/>
            </w14:solidFill>
          </w14:textFill>
        </w:rPr>
        <w:t>□绿色建筑设计评价（□一星级、□二星级、□三星级）</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hint="eastAsia" w:ascii="宋体" w:hAnsi="宋体" w:cs="宋体"/>
          <w:bCs/>
          <w:snapToGrid w:val="0"/>
          <w:color w:val="000000" w:themeColor="text1"/>
          <w:kern w:val="0"/>
          <w:szCs w:val="21"/>
          <w:highlight w:val="none"/>
          <w14:textFill>
            <w14:solidFill>
              <w14:schemeClr w14:val="tx1"/>
            </w14:solidFill>
          </w14:textFill>
        </w:rPr>
        <w:t>□其它：</w:t>
      </w:r>
      <w:r>
        <w:rPr>
          <w:rFonts w:hint="eastAsia" w:ascii="宋体" w:hAnsi="宋体" w:cs="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cs="宋体"/>
          <w:bCs/>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ascii="宋体" w:hAnsi="宋体" w:cs="宋体"/>
          <w:bCs/>
          <w:snapToGrid w:val="0"/>
          <w:color w:val="000000" w:themeColor="text1"/>
          <w:kern w:val="0"/>
          <w:szCs w:val="21"/>
          <w:highlight w:val="none"/>
          <w14:textFill>
            <w14:solidFill>
              <w14:schemeClr w14:val="tx1"/>
            </w14:solidFill>
          </w14:textFill>
        </w:rPr>
        <w:t>4</w:t>
      </w:r>
      <w:r>
        <w:rPr>
          <w:rFonts w:hint="eastAsia" w:ascii="宋体" w:hAnsi="宋体" w:cs="宋体"/>
          <w:bCs/>
          <w:snapToGrid w:val="0"/>
          <w:color w:val="000000" w:themeColor="text1"/>
          <w:kern w:val="0"/>
          <w:szCs w:val="21"/>
          <w:highlight w:val="none"/>
          <w14:textFill>
            <w14:solidFill>
              <w14:schemeClr w14:val="tx1"/>
            </w14:solidFill>
          </w14:textFill>
        </w:rPr>
        <w:t>.5 创绿色施工示范工程目标</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hint="eastAsia" w:ascii="宋体" w:hAnsi="宋体" w:cs="宋体"/>
          <w:bCs/>
          <w:snapToGrid w:val="0"/>
          <w:color w:val="000000" w:themeColor="text1"/>
          <w:kern w:val="0"/>
          <w:szCs w:val="21"/>
          <w:highlight w:val="none"/>
          <w14:textFill>
            <w14:solidFill>
              <w14:schemeClr w14:val="tx1"/>
            </w14:solidFill>
          </w14:textFill>
        </w:rPr>
        <w:t>□广州市建筑业绿色施工示范工程；</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hint="eastAsia" w:ascii="宋体" w:hAnsi="宋体" w:cs="宋体"/>
          <w:bCs/>
          <w:snapToGrid w:val="0"/>
          <w:color w:val="000000" w:themeColor="text1"/>
          <w:kern w:val="0"/>
          <w:szCs w:val="21"/>
          <w:highlight w:val="none"/>
          <w14:textFill>
            <w14:solidFill>
              <w14:schemeClr w14:val="tx1"/>
            </w14:solidFill>
          </w14:textFill>
        </w:rPr>
        <w:t>□广东省建筑业绿色施工示范工程；</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hint="eastAsia" w:ascii="宋体" w:hAnsi="宋体" w:cs="宋体"/>
          <w:bCs/>
          <w:snapToGrid w:val="0"/>
          <w:color w:val="000000" w:themeColor="text1"/>
          <w:kern w:val="0"/>
          <w:szCs w:val="21"/>
          <w:highlight w:val="none"/>
          <w14:textFill>
            <w14:solidFill>
              <w14:schemeClr w14:val="tx1"/>
            </w14:solidFill>
          </w14:textFill>
        </w:rPr>
        <w:t>□全国建筑业绿色施工示范工程；</w:t>
      </w:r>
    </w:p>
    <w:p>
      <w:pPr>
        <w:spacing w:before="120" w:beforeLines="50" w:after="120" w:afterLines="50" w:line="360" w:lineRule="auto"/>
        <w:ind w:firstLine="457" w:firstLineChars="218"/>
        <w:rPr>
          <w:rFonts w:ascii="宋体" w:hAnsi="宋体" w:cs="宋体"/>
          <w:bCs/>
          <w:snapToGrid w:val="0"/>
          <w:color w:val="000000" w:themeColor="text1"/>
          <w:kern w:val="0"/>
          <w:szCs w:val="21"/>
          <w:highlight w:val="none"/>
          <w14:textFill>
            <w14:solidFill>
              <w14:schemeClr w14:val="tx1"/>
            </w14:solidFill>
          </w14:textFill>
        </w:rPr>
      </w:pPr>
      <w:r>
        <w:rPr>
          <w:rFonts w:hint="eastAsia" w:ascii="宋体" w:hAnsi="宋体" w:cs="宋体"/>
          <w:bCs/>
          <w:snapToGrid w:val="0"/>
          <w:color w:val="000000" w:themeColor="text1"/>
          <w:kern w:val="0"/>
          <w:szCs w:val="21"/>
          <w:highlight w:val="none"/>
          <w14:textFill>
            <w14:solidFill>
              <w14:schemeClr w14:val="tx1"/>
            </w14:solidFill>
          </w14:textFill>
        </w:rPr>
        <w:t>□其它：</w:t>
      </w:r>
      <w:r>
        <w:rPr>
          <w:rFonts w:hint="eastAsia" w:ascii="宋体" w:hAnsi="宋体" w:cs="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cs="宋体"/>
          <w:bCs/>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4</w:t>
      </w:r>
      <w:r>
        <w:rPr>
          <w:rFonts w:hint="eastAsia" w:ascii="宋体" w:hAnsi="宋体"/>
          <w:bCs/>
          <w:snapToGrid w:val="0"/>
          <w:color w:val="000000" w:themeColor="text1"/>
          <w:kern w:val="0"/>
          <w:szCs w:val="21"/>
          <w:highlight w:val="none"/>
          <w14:textFill>
            <w14:solidFill>
              <w14:schemeClr w14:val="tx1"/>
            </w14:solidFill>
          </w14:textFill>
        </w:rPr>
        <w:t>.</w:t>
      </w:r>
      <w:r>
        <w:rPr>
          <w:rFonts w:ascii="宋体" w:hAnsi="宋体"/>
          <w:bCs/>
          <w:snapToGrid w:val="0"/>
          <w:color w:val="000000" w:themeColor="text1"/>
          <w:kern w:val="0"/>
          <w:szCs w:val="21"/>
          <w:highlight w:val="none"/>
          <w14:textFill>
            <w14:solidFill>
              <w14:schemeClr w14:val="tx1"/>
            </w14:solidFill>
          </w14:textFill>
        </w:rPr>
        <w:t>6</w:t>
      </w:r>
      <w:r>
        <w:rPr>
          <w:rFonts w:hint="eastAsia" w:ascii="宋体" w:hAnsi="宋体"/>
          <w:bCs/>
          <w:snapToGrid w:val="0"/>
          <w:color w:val="000000" w:themeColor="text1"/>
          <w:kern w:val="0"/>
          <w:szCs w:val="21"/>
          <w:highlight w:val="none"/>
          <w14:textFill>
            <w14:solidFill>
              <w14:schemeClr w14:val="tx1"/>
            </w14:solidFill>
          </w14:textFill>
        </w:rPr>
        <w:t>职业健康安全管理目标：</w:t>
      </w:r>
      <w:r>
        <w:rPr>
          <w:rFonts w:hint="eastAsia" w:ascii="宋体" w:hAnsi="宋体"/>
          <w:snapToGrid w:val="0"/>
          <w:color w:val="000000" w:themeColor="text1"/>
          <w:kern w:val="0"/>
          <w:szCs w:val="21"/>
          <w:highlight w:val="none"/>
          <w:u w:val="single"/>
          <w14:textFill>
            <w14:solidFill>
              <w14:schemeClr w14:val="tx1"/>
            </w14:solidFill>
          </w14:textFill>
        </w:rPr>
        <w:t>杜绝发生一般事故等级及以上的伤亡事故且工伤责任事故死亡人数为零</w:t>
      </w:r>
      <w:r>
        <w:rPr>
          <w:rFonts w:hint="eastAsia" w:ascii="宋体" w:hAnsi="宋体"/>
          <w:snapToGrid w:val="0"/>
          <w:color w:val="000000" w:themeColor="text1"/>
          <w:kern w:val="0"/>
          <w:szCs w:val="21"/>
          <w:highlight w:val="none"/>
          <w14:textFill>
            <w14:solidFill>
              <w14:schemeClr w14:val="tx1"/>
            </w14:solidFill>
          </w14:textFill>
        </w:rPr>
        <w:t>。</w:t>
      </w:r>
    </w:p>
    <w:p>
      <w:pPr>
        <w:spacing w:before="120" w:beforeLines="50" w:after="120" w:afterLines="50" w:line="360" w:lineRule="auto"/>
        <w:ind w:firstLine="457" w:firstLineChars="218"/>
        <w:rPr>
          <w:rFonts w:ascii="宋体" w:hAnsi="宋体"/>
          <w:bCs/>
          <w:snapToGrid w:val="0"/>
          <w:color w:val="000000" w:themeColor="text1"/>
          <w:kern w:val="0"/>
          <w:szCs w:val="21"/>
          <w:highlight w:val="none"/>
          <w14:textFill>
            <w14:solidFill>
              <w14:schemeClr w14:val="tx1"/>
            </w14:solidFill>
          </w14:textFill>
        </w:rPr>
      </w:pPr>
      <w:bookmarkStart w:id="22" w:name="_Toc486159966"/>
      <w:bookmarkStart w:id="23" w:name="_Toc486159624"/>
      <w:r>
        <w:rPr>
          <w:rFonts w:ascii="宋体" w:hAnsi="宋体"/>
          <w:bCs/>
          <w:snapToGrid w:val="0"/>
          <w:color w:val="000000" w:themeColor="text1"/>
          <w:kern w:val="0"/>
          <w:szCs w:val="21"/>
          <w:highlight w:val="none"/>
          <w14:textFill>
            <w14:solidFill>
              <w14:schemeClr w14:val="tx1"/>
            </w14:solidFill>
          </w14:textFill>
        </w:rPr>
        <w:t>4</w:t>
      </w:r>
      <w:r>
        <w:rPr>
          <w:rFonts w:hint="eastAsia" w:ascii="宋体" w:hAnsi="宋体"/>
          <w:bCs/>
          <w:snapToGrid w:val="0"/>
          <w:color w:val="000000" w:themeColor="text1"/>
          <w:kern w:val="0"/>
          <w:szCs w:val="21"/>
          <w:highlight w:val="none"/>
          <w14:textFill>
            <w14:solidFill>
              <w14:schemeClr w14:val="tx1"/>
            </w14:solidFill>
          </w14:textFill>
        </w:rPr>
        <w:t>.</w:t>
      </w:r>
      <w:r>
        <w:rPr>
          <w:rFonts w:ascii="宋体" w:hAnsi="宋体"/>
          <w:bCs/>
          <w:snapToGrid w:val="0"/>
          <w:color w:val="000000" w:themeColor="text1"/>
          <w:kern w:val="0"/>
          <w:szCs w:val="21"/>
          <w:highlight w:val="none"/>
          <w14:textFill>
            <w14:solidFill>
              <w14:schemeClr w14:val="tx1"/>
            </w14:solidFill>
          </w14:textFill>
        </w:rPr>
        <w:t>7</w:t>
      </w:r>
      <w:r>
        <w:rPr>
          <w:rFonts w:hint="eastAsia" w:ascii="宋体" w:hAnsi="宋体"/>
          <w:bCs/>
          <w:snapToGrid w:val="0"/>
          <w:color w:val="000000" w:themeColor="text1"/>
          <w:kern w:val="0"/>
          <w:szCs w:val="21"/>
          <w:highlight w:val="none"/>
          <w14:textFill>
            <w14:solidFill>
              <w14:schemeClr w14:val="tx1"/>
            </w14:solidFill>
          </w14:textFill>
        </w:rPr>
        <w:t>环境管理目标：</w:t>
      </w:r>
      <w:bookmarkEnd w:id="22"/>
      <w:bookmarkEnd w:id="23"/>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snapToGrid w:val="0"/>
          <w:color w:val="000000" w:themeColor="text1"/>
          <w:kern w:val="0"/>
          <w:szCs w:val="21"/>
          <w:highlight w:val="none"/>
          <w:u w:val="single"/>
          <w14:textFill>
            <w14:solidFill>
              <w14:schemeClr w14:val="tx1"/>
            </w14:solidFill>
          </w14:textFill>
        </w:rPr>
        <w:t>严格按照</w:t>
      </w:r>
      <w:r>
        <w:rPr>
          <w:rFonts w:hint="eastAsia" w:ascii="宋体" w:hAnsi="宋体"/>
          <w:bCs/>
          <w:snapToGrid w:val="0"/>
          <w:color w:val="000000" w:themeColor="text1"/>
          <w:kern w:val="0"/>
          <w:szCs w:val="21"/>
          <w:highlight w:val="none"/>
          <w:u w:val="single"/>
          <w14:textFill>
            <w14:solidFill>
              <w14:schemeClr w14:val="tx1"/>
            </w14:solidFill>
          </w14:textFill>
        </w:rPr>
        <w:t>《广州市建设工程现场文明施工管理办法》（穗建质〔2008〕937号）、《广州市建设工程文明施工管理规定》 （广州市人民政府令第62号）、《广州市城乡建设委员会关于印发广州市加强建筑工地环保管理工作方案的通知》（穗建质〔2014〕754号）、《水利水电工程施工安全管理导则》</w:t>
      </w:r>
      <w:r>
        <w:rPr>
          <w:rFonts w:hint="eastAsia" w:ascii="宋体" w:hAnsi="宋体" w:cs="宋体"/>
          <w:color w:val="000000" w:themeColor="text1"/>
          <w:kern w:val="0"/>
          <w:szCs w:val="21"/>
          <w:highlight w:val="none"/>
          <w:u w:val="single"/>
          <w14:textFill>
            <w14:solidFill>
              <w14:schemeClr w14:val="tx1"/>
            </w14:solidFill>
          </w14:textFill>
        </w:rPr>
        <w:t>SL721—2015</w:t>
      </w:r>
      <w:r>
        <w:rPr>
          <w:rFonts w:hint="eastAsia" w:ascii="宋体" w:hAnsi="宋体"/>
          <w:bCs/>
          <w:snapToGrid w:val="0"/>
          <w:color w:val="000000" w:themeColor="text1"/>
          <w:kern w:val="0"/>
          <w:szCs w:val="21"/>
          <w:highlight w:val="none"/>
          <w:u w:val="single"/>
          <w14:textFill>
            <w14:solidFill>
              <w14:schemeClr w14:val="tx1"/>
            </w14:solidFill>
          </w14:textFill>
        </w:rPr>
        <w:t>、《关于加强建设工程安全生产管理落实建设各方主体责任的暂行规定》（穗建规字〔2017〕21号）、《广州市住房和城乡建设委员会关于印发建设工程扬尘防治“6个100%”管理标准细化措施的通知》（穗建质〔2018〕1394号）、《广州市住房和城乡建设局等9部门关于印发广州市建设工程绿色施工围蔽指导图集（V2.0版）的通知 》（穗建质〔2020〕1号 ）、《广州市水务局关于印发广州市2018年水务工程扬尘污染控制行动方案的通知》（穗水质安〔2018〕45号）等相关规定</w:t>
      </w:r>
      <w:r>
        <w:rPr>
          <w:rFonts w:hint="eastAsia" w:ascii="宋体" w:hAnsi="宋体"/>
          <w:snapToGrid w:val="0"/>
          <w:color w:val="000000" w:themeColor="text1"/>
          <w:kern w:val="0"/>
          <w:szCs w:val="21"/>
          <w:highlight w:val="none"/>
          <w:u w:val="single"/>
          <w14:textFill>
            <w14:solidFill>
              <w14:schemeClr w14:val="tx1"/>
            </w14:solidFill>
          </w14:textFill>
        </w:rPr>
        <w:t>执行（如有更新，按最新文件要求执行）</w:t>
      </w:r>
      <w:r>
        <w:rPr>
          <w:rFonts w:hint="eastAsia" w:ascii="宋体" w:hAnsi="宋体"/>
          <w:snapToGrid w:val="0"/>
          <w:color w:val="000000" w:themeColor="text1"/>
          <w:kern w:val="0"/>
          <w:szCs w:val="21"/>
          <w:highlight w:val="none"/>
          <w14:textFill>
            <w14:solidFill>
              <w14:schemeClr w14:val="tx1"/>
            </w14:solidFill>
          </w14:textFill>
        </w:rPr>
        <w:t>。</w:t>
      </w:r>
    </w:p>
    <w:bookmarkEnd w:id="20"/>
    <w:bookmarkEnd w:id="21"/>
    <w:p>
      <w:pPr>
        <w:pStyle w:val="585"/>
        <w:spacing w:before="120" w:after="120"/>
        <w:rPr>
          <w:color w:val="000000" w:themeColor="text1"/>
          <w:highlight w:val="none"/>
          <w:lang w:eastAsia="zh-Hans"/>
          <w14:textFill>
            <w14:solidFill>
              <w14:schemeClr w14:val="tx1"/>
            </w14:solidFill>
          </w14:textFill>
        </w:rPr>
      </w:pPr>
      <w:bookmarkStart w:id="24" w:name="_Toc887886390"/>
      <w:bookmarkStart w:id="25" w:name="_Toc147856182"/>
      <w:r>
        <w:rPr>
          <w:rFonts w:hint="eastAsia"/>
          <w:color w:val="000000" w:themeColor="text1"/>
          <w:highlight w:val="none"/>
          <w14:textFill>
            <w14:solidFill>
              <w14:schemeClr w14:val="tx1"/>
            </w14:solidFill>
          </w14:textFill>
        </w:rPr>
        <w:t>五</w:t>
      </w:r>
      <w:r>
        <w:rPr>
          <w:rFonts w:hint="eastAsia"/>
          <w:color w:val="000000" w:themeColor="text1"/>
          <w:highlight w:val="none"/>
          <w:lang w:eastAsia="zh-Hans"/>
          <w14:textFill>
            <w14:solidFill>
              <w14:schemeClr w14:val="tx1"/>
            </w14:solidFill>
          </w14:textFill>
        </w:rPr>
        <w:t>、</w:t>
      </w:r>
      <w:bookmarkEnd w:id="24"/>
      <w:r>
        <w:rPr>
          <w:rFonts w:hint="eastAsia"/>
          <w:color w:val="000000" w:themeColor="text1"/>
          <w:highlight w:val="none"/>
          <w:lang w:eastAsia="zh-Hans"/>
          <w14:textFill>
            <w14:solidFill>
              <w14:schemeClr w14:val="tx1"/>
            </w14:solidFill>
          </w14:textFill>
        </w:rPr>
        <w:t>签约合同价</w:t>
      </w:r>
      <w:bookmarkEnd w:id="25"/>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5</w:t>
      </w:r>
      <w:r>
        <w:rPr>
          <w:rFonts w:hint="eastAsia" w:ascii="宋体" w:hAnsi="宋体"/>
          <w:bCs/>
          <w:snapToGrid w:val="0"/>
          <w:color w:val="000000" w:themeColor="text1"/>
          <w:kern w:val="0"/>
          <w:szCs w:val="21"/>
          <w:highlight w:val="none"/>
          <w14:textFill>
            <w14:solidFill>
              <w14:schemeClr w14:val="tx1"/>
            </w14:solidFill>
          </w14:textFill>
        </w:rPr>
        <w:t>.1本合同以人民币为报价和结算货币，除非发包人、承包人双方另有约定。</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5</w:t>
      </w:r>
      <w:r>
        <w:rPr>
          <w:rFonts w:hint="eastAsia" w:ascii="宋体" w:hAnsi="宋体"/>
          <w:bCs/>
          <w:snapToGrid w:val="0"/>
          <w:color w:val="000000" w:themeColor="text1"/>
          <w:kern w:val="0"/>
          <w:szCs w:val="21"/>
          <w:highlight w:val="none"/>
          <w14:textFill>
            <w14:solidFill>
              <w14:schemeClr w14:val="tx1"/>
            </w14:solidFill>
          </w14:textFill>
        </w:rPr>
        <w:t>.2签约合同暂定总价为</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元（大写：人民币</w:t>
      </w:r>
      <w:r>
        <w:rPr>
          <w:rFonts w:hint="eastAsia"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），其中：</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（1）建安工程费（以下简称“工程费”或“施工费”）暂定为</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元，</w:t>
      </w:r>
      <w:r>
        <w:rPr>
          <w:rFonts w:hint="eastAsia" w:ascii="宋体" w:hAnsi="宋体" w:cs="宋体"/>
          <w:color w:val="000000" w:themeColor="text1"/>
          <w:szCs w:val="21"/>
          <w:highlight w:val="none"/>
          <w14:textFill>
            <w14:solidFill>
              <w14:schemeClr w14:val="tx1"/>
            </w14:solidFill>
          </w14:textFill>
        </w:rPr>
        <w:t>工程费投标下浮率</w:t>
      </w:r>
      <w:r>
        <w:rPr>
          <w:rFonts w:hint="eastAsia" w:ascii="宋体" w:hAnsi="宋体"/>
          <w:bCs/>
          <w:snapToGrid w:val="0"/>
          <w:color w:val="000000" w:themeColor="text1"/>
          <w:kern w:val="0"/>
          <w:szCs w:val="21"/>
          <w:highlight w:val="none"/>
          <w14:textFill>
            <w14:solidFill>
              <w14:schemeClr w14:val="tx1"/>
            </w14:solidFill>
          </w14:textFill>
        </w:rPr>
        <w:t>为</w:t>
      </w:r>
      <w:r>
        <w:rPr>
          <w:rFonts w:hint="eastAsia"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（2）勘察费暂定为</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元，勘察费投标下浮率为</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（3）设计费暂定为</w:t>
      </w:r>
      <w:r>
        <w:rPr>
          <w:rFonts w:hint="eastAsia" w:ascii="宋体" w:hAnsi="宋体"/>
          <w:bCs/>
          <w:snapToGrid w:val="0"/>
          <w:color w:val="000000" w:themeColor="text1"/>
          <w:kern w:val="0"/>
          <w:szCs w:val="21"/>
          <w:highlight w:val="none"/>
          <w:lang w:eastAsia="zh-Hans"/>
          <w14:textFill>
            <w14:solidFill>
              <w14:schemeClr w14:val="tx1"/>
            </w14:solidFill>
          </w14:textFill>
        </w:rPr>
        <w:t>¥</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元，设计费投标下浮率为</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w:t>
      </w:r>
      <w:r>
        <w:rPr>
          <w:rFonts w:ascii="宋体" w:hAnsi="宋体"/>
          <w:bCs/>
          <w:snapToGrid w:val="0"/>
          <w:color w:val="000000" w:themeColor="text1"/>
          <w:kern w:val="0"/>
          <w:szCs w:val="21"/>
          <w:highlight w:val="none"/>
          <w14:textFill>
            <w14:solidFill>
              <w14:schemeClr w14:val="tx1"/>
            </w14:solidFill>
          </w14:textFill>
        </w:rPr>
        <w:t>4</w:t>
      </w:r>
      <w:r>
        <w:rPr>
          <w:rFonts w:hint="eastAsia" w:ascii="宋体" w:hAnsi="宋体"/>
          <w:bCs/>
          <w:snapToGrid w:val="0"/>
          <w:color w:val="000000" w:themeColor="text1"/>
          <w:kern w:val="0"/>
          <w:szCs w:val="21"/>
          <w:highlight w:val="none"/>
          <w14:textFill>
            <w14:solidFill>
              <w14:schemeClr w14:val="tx1"/>
            </w14:solidFill>
          </w14:textFill>
        </w:rPr>
        <w:t>）BIM技术应用费暂定为：¥</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元，BIM技术应用费投标下浮率为</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5</w:t>
      </w:r>
      <w:r>
        <w:rPr>
          <w:rFonts w:hint="eastAsia" w:ascii="宋体" w:hAnsi="宋体"/>
          <w:bCs/>
          <w:snapToGrid w:val="0"/>
          <w:color w:val="000000" w:themeColor="text1"/>
          <w:kern w:val="0"/>
          <w:szCs w:val="21"/>
          <w:highlight w:val="none"/>
          <w14:textFill>
            <w14:solidFill>
              <w14:schemeClr w14:val="tx1"/>
            </w14:solidFill>
          </w14:textFill>
        </w:rPr>
        <w:t>.3本合同价款仅作为签约合同价（即中标价），实际合同价款按合同条款第17条约定确定，待</w:t>
      </w:r>
      <w:r>
        <w:rPr>
          <w:rFonts w:ascii="宋体" w:hAnsi="宋体"/>
          <w:bCs/>
          <w:snapToGrid w:val="0"/>
          <w:color w:val="000000" w:themeColor="text1"/>
          <w:kern w:val="0"/>
          <w:szCs w:val="21"/>
          <w:highlight w:val="none"/>
          <w14:textFill>
            <w14:solidFill>
              <w14:schemeClr w14:val="tx1"/>
            </w14:solidFill>
          </w14:textFill>
        </w:rPr>
        <w:t>概预算</w:t>
      </w:r>
      <w:r>
        <w:rPr>
          <w:rFonts w:hint="eastAsia" w:ascii="宋体" w:hAnsi="宋体"/>
          <w:bCs/>
          <w:snapToGrid w:val="0"/>
          <w:color w:val="000000" w:themeColor="text1"/>
          <w:kern w:val="0"/>
          <w:szCs w:val="21"/>
          <w:highlight w:val="none"/>
          <w14:textFill>
            <w14:solidFill>
              <w14:schemeClr w14:val="tx1"/>
            </w14:solidFill>
          </w14:textFill>
        </w:rPr>
        <w:t>审</w:t>
      </w:r>
      <w:r>
        <w:rPr>
          <w:rFonts w:hint="eastAsia" w:ascii="宋体" w:hAnsi="宋体"/>
          <w:bCs/>
          <w:snapToGrid w:val="0"/>
          <w:color w:val="000000" w:themeColor="text1"/>
          <w:kern w:val="0"/>
          <w:szCs w:val="21"/>
          <w:highlight w:val="none"/>
          <w:lang w:eastAsia="zh-Hans"/>
          <w14:textFill>
            <w14:solidFill>
              <w14:schemeClr w14:val="tx1"/>
            </w14:solidFill>
          </w14:textFill>
        </w:rPr>
        <w:t>定</w:t>
      </w:r>
      <w:r>
        <w:rPr>
          <w:rFonts w:hint="eastAsia" w:ascii="宋体" w:hAnsi="宋体"/>
          <w:bCs/>
          <w:snapToGrid w:val="0"/>
          <w:color w:val="000000" w:themeColor="text1"/>
          <w:kern w:val="0"/>
          <w:szCs w:val="21"/>
          <w:highlight w:val="none"/>
          <w14:textFill>
            <w14:solidFill>
              <w14:schemeClr w14:val="tx1"/>
            </w14:solidFill>
          </w14:textFill>
        </w:rPr>
        <w:t>后，以补充协议形式修正合同价款（附修正合同清单）。最终结算价以</w:t>
      </w:r>
      <w:r>
        <w:rPr>
          <w:rFonts w:hint="eastAsia" w:ascii="宋体" w:hAnsi="宋体"/>
          <w:bCs/>
          <w:snapToGrid w:val="0"/>
          <w:color w:val="000000" w:themeColor="text1"/>
          <w:kern w:val="0"/>
          <w:szCs w:val="21"/>
          <w:highlight w:val="none"/>
          <w:lang w:eastAsia="zh-Hans"/>
          <w14:textFill>
            <w14:solidFill>
              <w14:schemeClr w14:val="tx1"/>
            </w14:solidFill>
          </w14:textFill>
        </w:rPr>
        <w:t>有审核权限部门</w:t>
      </w:r>
      <w:r>
        <w:rPr>
          <w:rFonts w:hint="eastAsia" w:ascii="宋体" w:hAnsi="宋体"/>
          <w:bCs/>
          <w:snapToGrid w:val="0"/>
          <w:color w:val="000000" w:themeColor="text1"/>
          <w:kern w:val="0"/>
          <w:szCs w:val="21"/>
          <w:highlight w:val="none"/>
          <w14:textFill>
            <w14:solidFill>
              <w14:schemeClr w14:val="tx1"/>
            </w14:solidFill>
          </w14:textFill>
        </w:rPr>
        <w:t>审定的金额为准。</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5.4</w:t>
      </w:r>
      <w:r>
        <w:rPr>
          <w:rFonts w:hint="eastAsia" w:ascii="宋体" w:hAnsi="宋体"/>
          <w:bCs/>
          <w:snapToGrid w:val="0"/>
          <w:color w:val="000000" w:themeColor="text1"/>
          <w:kern w:val="0"/>
          <w:szCs w:val="21"/>
          <w:highlight w:val="none"/>
          <w14:textFill>
            <w14:solidFill>
              <w14:schemeClr w14:val="tx1"/>
            </w14:solidFill>
          </w14:textFill>
        </w:rPr>
        <w:t>本合同价格均已包括各有关应予缴纳的税金与行政性收费（本合同已约定由发包人承担的除外），承包人须承担纳税与支付行政性收费的责任。其税种、税率、行政性收费标准等，按国家和广东省、广州市、南沙区有关法律法规和条例的规定办理。</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ascii="宋体" w:hAnsi="宋体"/>
          <w:bCs/>
          <w:snapToGrid w:val="0"/>
          <w:color w:val="000000" w:themeColor="text1"/>
          <w:kern w:val="0"/>
          <w:szCs w:val="21"/>
          <w:highlight w:val="none"/>
          <w14:textFill>
            <w14:solidFill>
              <w14:schemeClr w14:val="tx1"/>
            </w14:solidFill>
          </w14:textFill>
        </w:rPr>
        <w:t>5.5</w:t>
      </w:r>
      <w:r>
        <w:rPr>
          <w:rFonts w:hint="eastAsia" w:ascii="宋体" w:hAnsi="宋体"/>
          <w:bCs/>
          <w:snapToGrid w:val="0"/>
          <w:color w:val="000000" w:themeColor="text1"/>
          <w:kern w:val="0"/>
          <w:szCs w:val="21"/>
          <w:highlight w:val="none"/>
          <w14:textFill>
            <w14:solidFill>
              <w14:schemeClr w14:val="tx1"/>
            </w14:solidFill>
          </w14:textFill>
        </w:rPr>
        <w:t>申请合同款时，承包人需开具合同履行所在地税务部门认可的等值、合法、有效的增值税发票。增值税发票开票信息以发包人确认的为准。</w:t>
      </w:r>
    </w:p>
    <w:p>
      <w:pPr>
        <w:pStyle w:val="585"/>
        <w:spacing w:before="120" w:after="120"/>
        <w:rPr>
          <w:color w:val="000000" w:themeColor="text1"/>
          <w:highlight w:val="none"/>
          <w:lang w:eastAsia="zh-Hans"/>
          <w14:textFill>
            <w14:solidFill>
              <w14:schemeClr w14:val="tx1"/>
            </w14:solidFill>
          </w14:textFill>
        </w:rPr>
      </w:pPr>
      <w:bookmarkStart w:id="26" w:name="_Toc143623501"/>
      <w:bookmarkStart w:id="27" w:name="_Toc7461"/>
      <w:bookmarkStart w:id="28" w:name="_Toc3495544"/>
      <w:bookmarkStart w:id="29" w:name="_Toc511905373"/>
      <w:bookmarkStart w:id="30" w:name="_Toc512433700"/>
      <w:bookmarkStart w:id="31" w:name="_Toc9432"/>
      <w:bookmarkStart w:id="32" w:name="_Toc521180266"/>
      <w:bookmarkStart w:id="33" w:name="_Toc4146"/>
      <w:bookmarkStart w:id="34" w:name="_Toc19378"/>
      <w:bookmarkStart w:id="35" w:name="_Toc23822"/>
      <w:bookmarkStart w:id="36" w:name="_Toc522004874"/>
      <w:bookmarkStart w:id="37" w:name="_Toc20450"/>
      <w:bookmarkStart w:id="38" w:name="_Toc518053253"/>
      <w:bookmarkStart w:id="39" w:name="_Toc3495814"/>
      <w:bookmarkStart w:id="40" w:name="_Toc512436796"/>
      <w:bookmarkStart w:id="41" w:name="_Toc23021"/>
      <w:bookmarkStart w:id="42" w:name="_Toc30877"/>
      <w:bookmarkStart w:id="43" w:name="_Toc147856183"/>
      <w:r>
        <w:rPr>
          <w:rFonts w:hint="eastAsia"/>
          <w:color w:val="000000" w:themeColor="text1"/>
          <w:highlight w:val="none"/>
          <w:lang w:eastAsia="zh-Hans"/>
          <w14:textFill>
            <w14:solidFill>
              <w14:schemeClr w14:val="tx1"/>
            </w14:solidFill>
          </w14:textFill>
        </w:rPr>
        <w:t>六、工人工资支付分账</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承包人必须依法建立、落实工人工资支付专户管理制度和用工实名制管理制度。工人工资支付专用账户的监督和管理按照《关于印发&lt;广州市南沙区建设领域工人工资支付分账管理实施细则&gt;的通知》（穗南建交〔2016〕1388号）、《关于印发广州市建设领域工人工资支付分账管理实施细则的通知》（穗建规字〔2020〕37号）、《关于印发&lt;广东省建设工程领域工人工资支付专用账户管理办法&gt;的通知》（粤人社规〔2018〕14号）及《广州市住房和城乡建设局关于我市房建市政工程贯彻省用工实名及工人工资支付专用账户管理办法有关要求的通知》（穗建筑〔2019〕3</w:t>
      </w:r>
      <w:r>
        <w:rPr>
          <w:rFonts w:ascii="宋体" w:hAnsi="宋体"/>
          <w:bCs/>
          <w:snapToGrid w:val="0"/>
          <w:color w:val="000000" w:themeColor="text1"/>
          <w:kern w:val="0"/>
          <w:szCs w:val="21"/>
          <w:highlight w:val="none"/>
          <w14:textFill>
            <w14:solidFill>
              <w14:schemeClr w14:val="tx1"/>
            </w14:solidFill>
          </w14:textFill>
        </w:rPr>
        <w:t>52</w:t>
      </w:r>
      <w:r>
        <w:rPr>
          <w:rFonts w:hint="eastAsia" w:ascii="宋体" w:hAnsi="宋体"/>
          <w:bCs/>
          <w:snapToGrid w:val="0"/>
          <w:color w:val="000000" w:themeColor="text1"/>
          <w:kern w:val="0"/>
          <w:szCs w:val="21"/>
          <w:highlight w:val="none"/>
          <w14:textFill>
            <w14:solidFill>
              <w14:schemeClr w14:val="tx1"/>
            </w14:solidFill>
          </w14:textFill>
        </w:rPr>
        <w:t>号）、</w:t>
      </w:r>
      <w:r>
        <w:rPr>
          <w:rFonts w:ascii="宋体" w:hAnsi="宋体"/>
          <w:bCs/>
          <w:snapToGrid w:val="0"/>
          <w:color w:val="000000" w:themeColor="text1"/>
          <w:kern w:val="0"/>
          <w:szCs w:val="21"/>
          <w:highlight w:val="none"/>
          <w14:textFill>
            <w14:solidFill>
              <w14:schemeClr w14:val="tx1"/>
            </w14:solidFill>
          </w14:textFill>
        </w:rPr>
        <w:t>人力资源社会保障部、住房和城乡建设部、交通运输部、水利部、银保监会、铁路局、民航局关于印发《工程建设领域农民工工资保证金规定》的通知</w:t>
      </w:r>
      <w:r>
        <w:rPr>
          <w:rFonts w:hint="eastAsia" w:ascii="宋体" w:hAnsi="宋体"/>
          <w:bCs/>
          <w:snapToGrid w:val="0"/>
          <w:color w:val="000000" w:themeColor="text1"/>
          <w:kern w:val="0"/>
          <w:szCs w:val="21"/>
          <w:highlight w:val="none"/>
          <w14:textFill>
            <w14:solidFill>
              <w14:schemeClr w14:val="tx1"/>
            </w14:solidFill>
          </w14:textFill>
        </w:rPr>
        <w:t>（</w:t>
      </w:r>
      <w:r>
        <w:rPr>
          <w:rFonts w:ascii="宋体" w:hAnsi="宋体"/>
          <w:bCs/>
          <w:snapToGrid w:val="0"/>
          <w:color w:val="000000" w:themeColor="text1"/>
          <w:kern w:val="0"/>
          <w:szCs w:val="21"/>
          <w:highlight w:val="none"/>
          <w14:textFill>
            <w14:solidFill>
              <w14:schemeClr w14:val="tx1"/>
            </w14:solidFill>
          </w14:textFill>
        </w:rPr>
        <w:t>人社部发〔2021〕65号）</w:t>
      </w:r>
      <w:r>
        <w:rPr>
          <w:rFonts w:hint="eastAsia" w:ascii="宋体" w:hAnsi="宋体"/>
          <w:bCs/>
          <w:snapToGrid w:val="0"/>
          <w:color w:val="000000" w:themeColor="text1"/>
          <w:kern w:val="0"/>
          <w:szCs w:val="21"/>
          <w:highlight w:val="none"/>
          <w14:textFill>
            <w14:solidFill>
              <w14:schemeClr w14:val="tx1"/>
            </w14:solidFill>
          </w14:textFill>
        </w:rPr>
        <w:t>等相关规定执行，相关规定如有更新按最新执行。</w:t>
      </w:r>
    </w:p>
    <w:p>
      <w:pPr>
        <w:adjustRightInd w:val="0"/>
        <w:snapToGrid w:val="0"/>
        <w:spacing w:before="120" w:beforeLines="50" w:after="120" w:afterLines="50" w:line="360" w:lineRule="auto"/>
        <w:ind w:right="11" w:firstLine="420" w:firstLineChars="200"/>
        <w:rPr>
          <w:rFonts w:ascii="宋体" w:hAnsi="宋体"/>
          <w:bCs/>
          <w:snapToGrid w:val="0"/>
          <w:color w:val="000000" w:themeColor="text1"/>
          <w:kern w:val="0"/>
          <w:szCs w:val="21"/>
          <w:highlight w:val="none"/>
          <w14:textFill>
            <w14:solidFill>
              <w14:schemeClr w14:val="tx1"/>
            </w14:solidFill>
          </w14:textFill>
        </w:rPr>
      </w:pPr>
      <w:r>
        <w:rPr>
          <w:rFonts w:hint="eastAsia" w:ascii="宋体" w:hAnsi="宋体"/>
          <w:bCs/>
          <w:snapToGrid w:val="0"/>
          <w:color w:val="000000" w:themeColor="text1"/>
          <w:kern w:val="0"/>
          <w:szCs w:val="21"/>
          <w:highlight w:val="none"/>
          <w14:textFill>
            <w14:solidFill>
              <w14:schemeClr w14:val="tx1"/>
            </w14:solidFill>
          </w14:textFill>
        </w:rPr>
        <w:t>建筑施工实名制的监督和管理按照《广州市住房和城乡建设局关于印发广州市建筑施工实名制管理办法的通知》（穗建规字〔2020〕18号）、《关于转发广州市住房和城乡建设委员会关于转发广东省住房和城乡建设厅关于房屋建筑和市政基础设施工程用工实名管理暂行办法的通知》（穗南建交〔2018〕1799号）等有关规定执行，相关规定如有更新按最新执行。</w:t>
      </w:r>
    </w:p>
    <w:p>
      <w:pPr>
        <w:pStyle w:val="585"/>
        <w:spacing w:before="120" w:after="120"/>
        <w:rPr>
          <w:color w:val="000000" w:themeColor="text1"/>
          <w:highlight w:val="none"/>
          <w:lang w:eastAsia="zh-Hans"/>
          <w14:textFill>
            <w14:solidFill>
              <w14:schemeClr w14:val="tx1"/>
            </w14:solidFill>
          </w14:textFill>
        </w:rPr>
      </w:pPr>
      <w:bookmarkStart w:id="44" w:name="_Toc147856184"/>
      <w:bookmarkStart w:id="45" w:name="_Toc1990177374"/>
      <w:r>
        <w:rPr>
          <w:rFonts w:hint="eastAsia"/>
          <w:color w:val="000000" w:themeColor="text1"/>
          <w:highlight w:val="none"/>
          <w:lang w:eastAsia="zh-Hans"/>
          <w14:textFill>
            <w14:solidFill>
              <w14:schemeClr w14:val="tx1"/>
            </w14:solidFill>
          </w14:textFill>
        </w:rPr>
        <w:t>七、组成合同的文件</w:t>
      </w:r>
      <w:bookmarkEnd w:id="44"/>
      <w:bookmarkEnd w:id="45"/>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7.1</w:t>
      </w:r>
      <w:r>
        <w:rPr>
          <w:rFonts w:hint="eastAsia" w:ascii="宋体" w:hAnsi="宋体" w:cs="宋体"/>
          <w:color w:val="000000" w:themeColor="text1"/>
          <w:kern w:val="0"/>
          <w:szCs w:val="21"/>
          <w:highlight w:val="none"/>
          <w14:textFill>
            <w14:solidFill>
              <w14:schemeClr w14:val="tx1"/>
            </w14:solidFill>
          </w14:textFill>
        </w:rPr>
        <w:t>下列文件应被认为是组成本合同的一部分，并互为补充和解释，如各文件存在冲突之处，以如下排列次序在前者优先适用：</w:t>
      </w:r>
    </w:p>
    <w:p>
      <w:pPr>
        <w:autoSpaceDE w:val="0"/>
        <w:autoSpaceDN w:val="0"/>
        <w:adjustRightInd w:val="0"/>
        <w:snapToGri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（1）发包人要求执行的政府及相关主管部门关于本建设项目的有关文件；</w:t>
      </w:r>
    </w:p>
    <w:p>
      <w:pPr>
        <w:autoSpaceDE w:val="0"/>
        <w:autoSpaceDN w:val="0"/>
        <w:adjustRightInd w:val="0"/>
        <w:snapToGri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（2）合同履行期间双方签订的补充合同（协议）或修正文件（如有）；</w:t>
      </w:r>
    </w:p>
    <w:p>
      <w:pPr>
        <w:autoSpaceDE w:val="0"/>
        <w:autoSpaceDN w:val="0"/>
        <w:adjustRightInd w:val="0"/>
        <w:snapToGri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）合同协议书；</w:t>
      </w:r>
    </w:p>
    <w:p>
      <w:pPr>
        <w:autoSpaceDE w:val="0"/>
        <w:autoSpaceDN w:val="0"/>
        <w:adjustRightInd w:val="0"/>
        <w:snapToGri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）中标通知书；</w:t>
      </w:r>
    </w:p>
    <w:p>
      <w:pPr>
        <w:autoSpaceDE w:val="0"/>
        <w:autoSpaceDN w:val="0"/>
        <w:adjustRightInd w:val="0"/>
        <w:snapToGri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）专用合同条款；</w:t>
      </w:r>
    </w:p>
    <w:p>
      <w:pPr>
        <w:autoSpaceDE w:val="0"/>
        <w:autoSpaceDN w:val="0"/>
        <w:adjustRightInd w:val="0"/>
        <w:snapToGri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）发包人关于工程管理的各项制度、规定和管理办法；</w:t>
      </w:r>
    </w:p>
    <w:p>
      <w:pPr>
        <w:autoSpaceDE w:val="0"/>
        <w:autoSpaceDN w:val="0"/>
        <w:adjustRightInd w:val="0"/>
        <w:snapToGri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）通用合同条款；</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（8）合同附件；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（9）招标文件的答疑及澄清文件；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（10）招标文件及其附件资料；</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（11）承包人投标时的澄清、承诺文件；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（12）承包人的投标文件；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（13）国家及广东省、广州市、南沙区的标准、规范及有关技术文件；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（14）构成合同的其他文件。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7.2上述合同文件包括合同当事人就该项合同文件所作出的补充和修改，属于同一类内容的文件，应以最新签署的为准。</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7.3</w:t>
      </w:r>
      <w:r>
        <w:rPr>
          <w:rFonts w:hint="eastAsia" w:ascii="宋体" w:hAnsi="宋体" w:cs="宋体"/>
          <w:color w:val="000000" w:themeColor="text1"/>
          <w:kern w:val="0"/>
          <w:szCs w:val="21"/>
          <w:highlight w:val="none"/>
          <w14:textFill>
            <w14:solidFill>
              <w14:schemeClr w14:val="tx1"/>
            </w14:solidFill>
          </w14:textFill>
        </w:rPr>
        <w:t>通过上述顺序解释仍无法明确的事项，由发包人与承包人协商解决；如协商不成，由发包人按照公平合理和有利于本工程建设的原则作出决定，如承包人对此决定不服的，应在接到发包人决定之日起三日内提出书面异议。如期满不提出书面异议的，视为同意发包人的决定。发包人收到承包人的书面异议后应作出进一步的决定。在发包人作出决定之前，承包人必须无条件先行执行发包人的决定。</w:t>
      </w:r>
    </w:p>
    <w:p>
      <w:pPr>
        <w:pStyle w:val="585"/>
        <w:spacing w:before="120" w:after="120"/>
        <w:rPr>
          <w:color w:val="000000" w:themeColor="text1"/>
          <w:highlight w:val="none"/>
          <w:lang w:eastAsia="zh-Hans"/>
          <w14:textFill>
            <w14:solidFill>
              <w14:schemeClr w14:val="tx1"/>
            </w14:solidFill>
          </w14:textFill>
        </w:rPr>
      </w:pPr>
      <w:bookmarkStart w:id="46" w:name="_Toc147856185"/>
      <w:bookmarkStart w:id="47" w:name="_Toc1853322793"/>
      <w:r>
        <w:rPr>
          <w:rFonts w:hint="eastAsia"/>
          <w:color w:val="000000" w:themeColor="text1"/>
          <w:highlight w:val="none"/>
          <w:lang w:eastAsia="zh-Hans"/>
          <w14:textFill>
            <w14:solidFill>
              <w14:schemeClr w14:val="tx1"/>
            </w14:solidFill>
          </w14:textFill>
        </w:rPr>
        <w:t>八、词语含义</w:t>
      </w:r>
      <w:bookmarkEnd w:id="46"/>
      <w:bookmarkEnd w:id="47"/>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合同协议书中有关词语含义与合同条款中分别赋予它们的定义相同。</w:t>
      </w:r>
    </w:p>
    <w:p>
      <w:pPr>
        <w:pStyle w:val="585"/>
        <w:spacing w:before="120" w:after="120"/>
        <w:rPr>
          <w:color w:val="000000" w:themeColor="text1"/>
          <w:highlight w:val="none"/>
          <w:lang w:eastAsia="zh-Hans"/>
          <w14:textFill>
            <w14:solidFill>
              <w14:schemeClr w14:val="tx1"/>
            </w14:solidFill>
          </w14:textFill>
        </w:rPr>
      </w:pPr>
      <w:bookmarkStart w:id="48" w:name="_Toc1946769397"/>
      <w:bookmarkStart w:id="49" w:name="_Toc147856186"/>
      <w:r>
        <w:rPr>
          <w:rFonts w:hint="eastAsia"/>
          <w:color w:val="000000" w:themeColor="text1"/>
          <w:highlight w:val="none"/>
          <w:lang w:eastAsia="zh-Hans"/>
          <w14:textFill>
            <w14:solidFill>
              <w14:schemeClr w14:val="tx1"/>
            </w14:solidFill>
          </w14:textFill>
        </w:rPr>
        <w:t>九、承诺</w:t>
      </w:r>
      <w:bookmarkEnd w:id="48"/>
      <w:bookmarkEnd w:id="49"/>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9.1发包人承诺按照法律规定履行项目审批手续并按照合同约定的期限和方式支付合同价款。</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9.2</w:t>
      </w:r>
      <w:r>
        <w:rPr>
          <w:rFonts w:hint="eastAsia" w:ascii="宋体" w:hAnsi="宋体" w:cs="宋体"/>
          <w:color w:val="000000" w:themeColor="text1"/>
          <w:kern w:val="0"/>
          <w:szCs w:val="21"/>
          <w:highlight w:val="none"/>
          <w14:textFill>
            <w14:solidFill>
              <w14:schemeClr w14:val="tx1"/>
            </w14:solidFill>
          </w14:textFill>
        </w:rPr>
        <w:t>承包人向发包人承诺按照合同约定进行勘察、设计、施工、验收、移交、结算、管理及配合服务，</w:t>
      </w:r>
      <w:r>
        <w:rPr>
          <w:rFonts w:hint="eastAsia" w:ascii="宋体" w:hAnsi="宋体" w:cs="宋体"/>
          <w:color w:val="000000" w:themeColor="text1"/>
          <w:kern w:val="0"/>
          <w:szCs w:val="21"/>
          <w:highlight w:val="none"/>
          <w:lang w:eastAsia="zh-Hans"/>
          <w14:textFill>
            <w14:solidFill>
              <w14:schemeClr w14:val="tx1"/>
            </w14:solidFill>
          </w14:textFill>
        </w:rPr>
        <w:t>确保工程质量和安全，</w:t>
      </w:r>
      <w:r>
        <w:rPr>
          <w:rFonts w:hint="eastAsia" w:ascii="宋体" w:hAnsi="宋体" w:cs="宋体"/>
          <w:color w:val="000000" w:themeColor="text1"/>
          <w:kern w:val="0"/>
          <w:szCs w:val="21"/>
          <w:highlight w:val="none"/>
          <w14:textFill>
            <w14:solidFill>
              <w14:schemeClr w14:val="tx1"/>
            </w14:solidFill>
          </w14:textFill>
        </w:rPr>
        <w:t>并在质量保修期内承担工程质量保修责任。</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9.3发包人和承包人保证严格遵守本合同的各项约定，享有并承担本合同的各项权利和义务。</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w:t>
      </w:r>
      <w:r>
        <w:rPr>
          <w:rFonts w:ascii="宋体" w:hAnsi="宋体" w:cs="宋体"/>
          <w:color w:val="000000" w:themeColor="text1"/>
          <w:kern w:val="0"/>
          <w:szCs w:val="21"/>
          <w:highlight w:val="none"/>
          <w14:textFill>
            <w14:solidFill>
              <w14:schemeClr w14:val="tx1"/>
            </w14:solidFill>
          </w14:textFill>
        </w:rPr>
        <w:t>.4承包人承诺遵守发包人制订（含已制订及合同执行过程中制订）的关于工程建设管理的各项制度、规定和管理办法等。合同生效后，承包人应履行合同义务及职责，并视为接受及认同发包人制订的关于工程建设管理的各项制度、规定和管理办法，包括但不限于管理制度、工作指引（或作业指导书）、工作流程等。如承包人违反发包人相关制度、规定和管理办法等的，发包人有权依据相关制度、规定和管理办法等要求承包人承担违约责任及赔偿损失。</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9.5承包人承诺按投标文件和本合同所承诺的各项条款落实做好各项工作；采取一切措施按合同文件约定完成本工程质量、进度、投资、安全等各项目标，达到合同约定的各项标准，并保证不因此增加发包人的成本负担。</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9.6因资金管理的需要，发包人有权根据资金来源不同对合同价款的结算审核、支付流程及支付方式等进行调整，承包人承诺配合相关工作。</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9.7承包人各阶段设计成果以及设计各阶段进度汇报展示须以BIM技术达到构件级进度管控及汇报可视化效果，同时承包人需配合BIM技术应用统筹单位（如有）开展相关工作，上述工作相关费用承包人已在投标报价中统筹考虑，不另外计取。</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9.8承包人须配合发包人实现技术数字化管理及有效应用，具体数字化技术工作要求详见发包人提供的《南沙全民文化体育综合体及配套设施工程数字化应用指引》（详见附件</w:t>
      </w:r>
      <w:r>
        <w:rPr>
          <w:rFonts w:ascii="宋体" w:hAnsi="宋体" w:cs="宋体"/>
          <w:color w:val="000000" w:themeColor="text1"/>
          <w:kern w:val="0"/>
          <w:szCs w:val="21"/>
          <w:highlight w:val="none"/>
          <w:lang w:eastAsia="zh-Hans"/>
          <w14:textFill>
            <w14:solidFill>
              <w14:schemeClr w14:val="tx1"/>
            </w14:solidFill>
          </w14:textFill>
        </w:rPr>
        <w:t>9</w:t>
      </w:r>
      <w:r>
        <w:rPr>
          <w:rFonts w:ascii="宋体" w:hAnsi="宋体" w:cs="宋体"/>
          <w:color w:val="000000" w:themeColor="text1"/>
          <w:kern w:val="0"/>
          <w:szCs w:val="21"/>
          <w:highlight w:val="none"/>
          <w14:textFill>
            <w14:solidFill>
              <w14:schemeClr w14:val="tx1"/>
            </w14:solidFill>
          </w14:textFill>
        </w:rPr>
        <w:t>，如有更新按最新执行），上述工作相关费用承包人已在投标报价中统筹考虑，不另外计取。</w:t>
      </w:r>
    </w:p>
    <w:p>
      <w:pPr>
        <w:pStyle w:val="585"/>
        <w:spacing w:before="120" w:after="120"/>
        <w:rPr>
          <w:color w:val="000000" w:themeColor="text1"/>
          <w:highlight w:val="none"/>
          <w:lang w:eastAsia="zh-Hans"/>
          <w14:textFill>
            <w14:solidFill>
              <w14:schemeClr w14:val="tx1"/>
            </w14:solidFill>
          </w14:textFill>
        </w:rPr>
      </w:pPr>
      <w:bookmarkStart w:id="50" w:name="_Toc292409687"/>
      <w:bookmarkStart w:id="51" w:name="_Toc147856187"/>
      <w:r>
        <w:rPr>
          <w:rFonts w:hint="eastAsia"/>
          <w:color w:val="000000" w:themeColor="text1"/>
          <w:highlight w:val="none"/>
          <w:lang w:eastAsia="zh-Hans"/>
          <w14:textFill>
            <w14:solidFill>
              <w14:schemeClr w14:val="tx1"/>
            </w14:solidFill>
          </w14:textFill>
        </w:rPr>
        <w:t>十、合同生效</w:t>
      </w:r>
      <w:bookmarkEnd w:id="50"/>
      <w:bookmarkEnd w:id="51"/>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10.1</w:t>
      </w:r>
      <w:r>
        <w:rPr>
          <w:rFonts w:hint="eastAsia" w:ascii="宋体" w:hAnsi="宋体" w:cs="宋体"/>
          <w:color w:val="000000" w:themeColor="text1"/>
          <w:kern w:val="0"/>
          <w:szCs w:val="21"/>
          <w:highlight w:val="none"/>
          <w14:textFill>
            <w14:solidFill>
              <w14:schemeClr w14:val="tx1"/>
            </w14:solidFill>
          </w14:textFill>
        </w:rPr>
        <w:t>合同订立时间：</w:t>
      </w:r>
      <w:r>
        <w:rPr>
          <w:rFonts w:hint="eastAsia"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年</w:t>
      </w:r>
      <w:r>
        <w:rPr>
          <w:rFonts w:hint="eastAsia"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月</w:t>
      </w:r>
      <w:r>
        <w:rPr>
          <w:rFonts w:hint="eastAsia"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日。</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lang w:eastAsia="zh-Hans"/>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10.2</w:t>
      </w:r>
      <w:r>
        <w:rPr>
          <w:rFonts w:hint="eastAsia" w:ascii="宋体" w:hAnsi="宋体" w:cs="宋体"/>
          <w:color w:val="000000" w:themeColor="text1"/>
          <w:kern w:val="0"/>
          <w:szCs w:val="21"/>
          <w:highlight w:val="none"/>
          <w14:textFill>
            <w14:solidFill>
              <w14:schemeClr w14:val="tx1"/>
            </w14:solidFill>
          </w14:textFill>
        </w:rPr>
        <w:t>合同订立地点：</w:t>
      </w:r>
      <w:r>
        <w:rPr>
          <w:rFonts w:hint="eastAsia" w:ascii="宋体" w:hAnsi="宋体" w:cs="宋体"/>
          <w:color w:val="000000" w:themeColor="text1"/>
          <w:kern w:val="0"/>
          <w:szCs w:val="21"/>
          <w:highlight w:val="none"/>
          <w:u w:val="single"/>
          <w14:textFill>
            <w14:solidFill>
              <w14:schemeClr w14:val="tx1"/>
            </w14:solidFill>
          </w14:textFill>
        </w:rPr>
        <w:t>广州市</w:t>
      </w:r>
      <w:r>
        <w:rPr>
          <w:rFonts w:hint="eastAsia" w:ascii="宋体" w:hAnsi="宋体" w:cs="宋体"/>
          <w:color w:val="000000" w:themeColor="text1"/>
          <w:kern w:val="0"/>
          <w:szCs w:val="21"/>
          <w:highlight w:val="none"/>
          <w:u w:val="single"/>
          <w:lang w:eastAsia="zh-Hans"/>
          <w14:textFill>
            <w14:solidFill>
              <w14:schemeClr w14:val="tx1"/>
            </w14:solidFill>
          </w14:textFill>
        </w:rPr>
        <w:t>南沙区</w:t>
      </w:r>
      <w:r>
        <w:rPr>
          <w:rFonts w:hint="eastAsia" w:ascii="宋体" w:hAnsi="宋体" w:cs="宋体"/>
          <w:color w:val="000000" w:themeColor="text1"/>
          <w:kern w:val="0"/>
          <w:szCs w:val="21"/>
          <w:highlight w:val="none"/>
          <w:lang w:eastAsia="zh-Hans"/>
          <w14:textFill>
            <w14:solidFill>
              <w14:schemeClr w14:val="tx1"/>
            </w14:solidFill>
          </w14:textFill>
        </w:rPr>
        <w:t>。</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10.3</w:t>
      </w:r>
      <w:r>
        <w:rPr>
          <w:rFonts w:hint="eastAsia" w:ascii="宋体" w:hAnsi="宋体" w:cs="宋体"/>
          <w:color w:val="000000" w:themeColor="text1"/>
          <w:kern w:val="0"/>
          <w:szCs w:val="21"/>
          <w:highlight w:val="none"/>
          <w14:textFill>
            <w14:solidFill>
              <w14:schemeClr w14:val="tx1"/>
            </w14:solidFill>
          </w14:textFill>
        </w:rPr>
        <w:t>本合同自发包人、承包人双方法定代表人（或其委托代理人）签字并加盖公章之日起生效，至本工程质量保修期满且最终结算满60日并同时双方的责任、义务履行完毕时终止。</w:t>
      </w:r>
    </w:p>
    <w:p>
      <w:pPr>
        <w:pStyle w:val="585"/>
        <w:spacing w:before="120" w:after="120"/>
        <w:rPr>
          <w:color w:val="000000" w:themeColor="text1"/>
          <w:highlight w:val="none"/>
          <w:lang w:eastAsia="zh-Hans"/>
          <w14:textFill>
            <w14:solidFill>
              <w14:schemeClr w14:val="tx1"/>
            </w14:solidFill>
          </w14:textFill>
        </w:rPr>
      </w:pPr>
      <w:bookmarkStart w:id="52" w:name="_Toc1087025073"/>
      <w:bookmarkStart w:id="53" w:name="_Toc147856188"/>
      <w:r>
        <w:rPr>
          <w:rFonts w:hint="eastAsia"/>
          <w:color w:val="000000" w:themeColor="text1"/>
          <w:highlight w:val="none"/>
          <w:lang w:eastAsia="zh-Hans"/>
          <w14:textFill>
            <w14:solidFill>
              <w14:schemeClr w14:val="tx1"/>
            </w14:solidFill>
          </w14:textFill>
        </w:rPr>
        <w:t>十</w:t>
      </w:r>
      <w:r>
        <w:rPr>
          <w:rFonts w:hint="eastAsia"/>
          <w:color w:val="000000" w:themeColor="text1"/>
          <w:highlight w:val="none"/>
          <w14:textFill>
            <w14:solidFill>
              <w14:schemeClr w14:val="tx1"/>
            </w14:solidFill>
          </w14:textFill>
        </w:rPr>
        <w:t>一</w:t>
      </w:r>
      <w:r>
        <w:rPr>
          <w:rFonts w:hint="eastAsia"/>
          <w:color w:val="000000" w:themeColor="text1"/>
          <w:highlight w:val="none"/>
          <w:lang w:eastAsia="zh-Hans"/>
          <w14:textFill>
            <w14:solidFill>
              <w14:schemeClr w14:val="tx1"/>
            </w14:solidFill>
          </w14:textFill>
        </w:rPr>
        <w:t>、合同份数</w:t>
      </w:r>
      <w:bookmarkEnd w:id="52"/>
      <w:bookmarkEnd w:id="53"/>
    </w:p>
    <w:p>
      <w:pPr>
        <w:adjustRightInd w:val="0"/>
        <w:snapToGrid w:val="0"/>
        <w:spacing w:line="360" w:lineRule="auto"/>
        <w:ind w:right="11" w:firstLine="420" w:firstLineChars="200"/>
        <w:rPr>
          <w:rFonts w:ascii="宋体" w:hAnsi="宋体"/>
          <w:bCs/>
          <w:snapToGrid w:val="0"/>
          <w:color w:val="000000" w:themeColor="text1"/>
          <w:kern w:val="0"/>
          <w:szCs w:val="21"/>
          <w:highlight w:val="none"/>
          <w:lang w:eastAsia="zh-Hans"/>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本合同正本一式</w:t>
      </w:r>
      <w:r>
        <w:rPr>
          <w:rFonts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份，发包人、承包人</w:t>
      </w:r>
      <w:r>
        <w:rPr>
          <w:rFonts w:hint="eastAsia" w:ascii="宋体" w:hAnsi="宋体" w:cs="宋体"/>
          <w:color w:val="000000" w:themeColor="text1"/>
          <w:kern w:val="0"/>
          <w:szCs w:val="21"/>
          <w:highlight w:val="none"/>
          <w:lang w:eastAsia="zh-Hans"/>
          <w14:textFill>
            <w14:solidFill>
              <w14:schemeClr w14:val="tx1"/>
            </w14:solidFill>
          </w14:textFill>
        </w:rPr>
        <w:t>各方各执</w:t>
      </w:r>
      <w:r>
        <w:rPr>
          <w:rFonts w:ascii="宋体" w:hAnsi="宋体" w:cs="宋体"/>
          <w:color w:val="000000" w:themeColor="text1"/>
          <w:kern w:val="0"/>
          <w:szCs w:val="21"/>
          <w:highlight w:val="none"/>
          <w:u w:val="single"/>
          <w:lang w:eastAsia="zh-Hans"/>
          <w14:textFill>
            <w14:solidFill>
              <w14:schemeClr w14:val="tx1"/>
            </w14:solidFill>
          </w14:textFill>
        </w:rPr>
        <w:t xml:space="preserve"> </w:t>
      </w:r>
      <w:r>
        <w:rPr>
          <w:rFonts w:hint="eastAsia" w:ascii="宋体" w:hAnsi="宋体" w:cs="宋体"/>
          <w:color w:val="000000" w:themeColor="text1"/>
          <w:kern w:val="0"/>
          <w:szCs w:val="21"/>
          <w:highlight w:val="none"/>
          <w:u w:val="single"/>
          <w:lang w:eastAsia="zh-Hans"/>
          <w14:textFill>
            <w14:solidFill>
              <w14:schemeClr w14:val="tx1"/>
            </w14:solidFill>
          </w14:textFill>
        </w:rPr>
        <w:t>壹</w:t>
      </w:r>
      <w:r>
        <w:rPr>
          <w:rFonts w:ascii="宋体" w:hAnsi="宋体" w:cs="宋体"/>
          <w:color w:val="000000" w:themeColor="text1"/>
          <w:kern w:val="0"/>
          <w:szCs w:val="21"/>
          <w:highlight w:val="none"/>
          <w:u w:val="single"/>
          <w:lang w:eastAsia="zh-Hans"/>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份；副本</w:t>
      </w:r>
      <w:r>
        <w:rPr>
          <w:rFonts w:hint="eastAsia" w:ascii="宋体" w:hAnsi="宋体" w:cs="宋体"/>
          <w:color w:val="000000" w:themeColor="text1"/>
          <w:kern w:val="0"/>
          <w:szCs w:val="21"/>
          <w:highlight w:val="none"/>
          <w:u w:val="single"/>
          <w14:textFill>
            <w14:solidFill>
              <w14:schemeClr w14:val="tx1"/>
            </w14:solidFill>
          </w14:textFill>
        </w:rPr>
        <w:t xml:space="preserve"> </w:t>
      </w:r>
      <w:r>
        <w:rPr>
          <w:rFonts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份，发包人、承</w:t>
      </w:r>
      <w:r>
        <w:rPr>
          <w:rFonts w:hint="eastAsia" w:ascii="宋体" w:hAnsi="宋体"/>
          <w:bCs/>
          <w:snapToGrid w:val="0"/>
          <w:color w:val="000000" w:themeColor="text1"/>
          <w:kern w:val="0"/>
          <w:szCs w:val="21"/>
          <w:highlight w:val="none"/>
          <w14:textFill>
            <w14:solidFill>
              <w14:schemeClr w14:val="tx1"/>
            </w14:solidFill>
          </w14:textFill>
        </w:rPr>
        <w:t>包人</w:t>
      </w:r>
      <w:r>
        <w:rPr>
          <w:rFonts w:hint="eastAsia" w:ascii="宋体" w:hAnsi="宋体"/>
          <w:bCs/>
          <w:snapToGrid w:val="0"/>
          <w:color w:val="000000" w:themeColor="text1"/>
          <w:kern w:val="0"/>
          <w:szCs w:val="21"/>
          <w:highlight w:val="none"/>
          <w:lang w:eastAsia="zh-Hans"/>
          <w14:textFill>
            <w14:solidFill>
              <w14:schemeClr w14:val="tx1"/>
            </w14:solidFill>
          </w14:textFill>
        </w:rPr>
        <w:t>各方各</w:t>
      </w:r>
      <w:r>
        <w:rPr>
          <w:rFonts w:hint="eastAsia" w:ascii="宋体" w:hAnsi="宋体"/>
          <w:bCs/>
          <w:snapToGrid w:val="0"/>
          <w:color w:val="000000" w:themeColor="text1"/>
          <w:kern w:val="0"/>
          <w:szCs w:val="21"/>
          <w:highlight w:val="none"/>
          <w14:textFill>
            <w14:solidFill>
              <w14:schemeClr w14:val="tx1"/>
            </w14:solidFill>
          </w14:textFill>
        </w:rPr>
        <w:t>执</w:t>
      </w:r>
      <w:r>
        <w:rPr>
          <w:rFonts w:ascii="宋体" w:hAnsi="宋体"/>
          <w:bCs/>
          <w:snapToGrid w:val="0"/>
          <w:color w:val="000000" w:themeColor="text1"/>
          <w:kern w:val="0"/>
          <w:szCs w:val="21"/>
          <w:highlight w:val="none"/>
          <w:u w:val="single"/>
          <w14:textFill>
            <w14:solidFill>
              <w14:schemeClr w14:val="tx1"/>
            </w14:solidFill>
          </w14:textFill>
        </w:rPr>
        <w:t xml:space="preserve"> </w:t>
      </w:r>
      <w:r>
        <w:rPr>
          <w:rFonts w:hint="eastAsia" w:ascii="宋体" w:hAnsi="宋体"/>
          <w:bCs/>
          <w:snapToGrid w:val="0"/>
          <w:color w:val="000000" w:themeColor="text1"/>
          <w:kern w:val="0"/>
          <w:szCs w:val="21"/>
          <w:highlight w:val="none"/>
          <w:u w:val="single"/>
          <w:lang w:eastAsia="zh-Hans"/>
          <w14:textFill>
            <w14:solidFill>
              <w14:schemeClr w14:val="tx1"/>
            </w14:solidFill>
          </w14:textFill>
        </w:rPr>
        <w:t>肆</w:t>
      </w:r>
      <w:r>
        <w:rPr>
          <w:rFonts w:ascii="宋体" w:hAnsi="宋体"/>
          <w:bCs/>
          <w:snapToGrid w:val="0"/>
          <w:color w:val="000000" w:themeColor="text1"/>
          <w:kern w:val="0"/>
          <w:szCs w:val="21"/>
          <w:highlight w:val="none"/>
          <w:u w:val="single"/>
          <w:lang w:eastAsia="zh-Hans"/>
          <w14:textFill>
            <w14:solidFill>
              <w14:schemeClr w14:val="tx1"/>
            </w14:solidFill>
          </w14:textFill>
        </w:rPr>
        <w:t xml:space="preserve"> </w:t>
      </w:r>
      <w:r>
        <w:rPr>
          <w:rFonts w:hint="eastAsia" w:ascii="宋体" w:hAnsi="宋体"/>
          <w:bCs/>
          <w:snapToGrid w:val="0"/>
          <w:color w:val="000000" w:themeColor="text1"/>
          <w:kern w:val="0"/>
          <w:szCs w:val="21"/>
          <w:highlight w:val="none"/>
          <w14:textFill>
            <w14:solidFill>
              <w14:schemeClr w14:val="tx1"/>
            </w14:solidFill>
          </w14:textFill>
        </w:rPr>
        <w:t>份。合同正、副本具有同等效力，但当合同正本与副本的表述不一致时，以合同正本为准。</w:t>
      </w:r>
      <w:r>
        <w:rPr>
          <w:rFonts w:hint="eastAsia" w:ascii="宋体" w:hAnsi="宋体"/>
          <w:bCs/>
          <w:snapToGrid w:val="0"/>
          <w:color w:val="000000" w:themeColor="text1"/>
          <w:kern w:val="0"/>
          <w:szCs w:val="21"/>
          <w:highlight w:val="none"/>
          <w14:textFill>
            <w14:solidFill>
              <w14:schemeClr w14:val="tx1"/>
            </w14:solidFill>
          </w14:textFill>
        </w:rPr>
        <w:br w:type="page"/>
      </w:r>
      <w:r>
        <w:rPr>
          <w:rFonts w:hint="eastAsia" w:ascii="宋体" w:hAnsi="宋体"/>
          <w:bCs/>
          <w:snapToGrid w:val="0"/>
          <w:color w:val="000000" w:themeColor="text1"/>
          <w:kern w:val="0"/>
          <w:szCs w:val="21"/>
          <w:highlight w:val="none"/>
          <w:lang w:eastAsia="zh-Hans"/>
          <w14:textFill>
            <w14:solidFill>
              <w14:schemeClr w14:val="tx1"/>
            </w14:solidFill>
          </w14:textFill>
        </w:rPr>
        <w:t>（此页为签署页）</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发包人（盖章）：广州南沙交通投资集团有限公司</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法定代表人：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委托代理人：</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地    址：广东省广州市南沙区黄阁镇蕉西路115号融通大厦13楼</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联 系 人：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联系电话：</w:t>
      </w:r>
    </w:p>
    <w:p>
      <w:pPr>
        <w:snapToGrid w:val="0"/>
        <w:spacing w:line="360" w:lineRule="auto"/>
        <w:rPr>
          <w:color w:val="000000" w:themeColor="text1"/>
          <w:highlight w:val="none"/>
          <w14:textFill>
            <w14:solidFill>
              <w14:schemeClr w14:val="tx1"/>
            </w14:solidFill>
          </w14:textFill>
        </w:rPr>
      </w:pPr>
    </w:p>
    <w:p>
      <w:pPr>
        <w:snapToGrid w:val="0"/>
        <w:spacing w:line="360" w:lineRule="auto"/>
        <w:rPr>
          <w:color w:val="000000" w:themeColor="text1"/>
          <w:highlight w:val="none"/>
          <w14:textFill>
            <w14:solidFill>
              <w14:schemeClr w14:val="tx1"/>
            </w14:solidFill>
          </w14:textFill>
        </w:rPr>
      </w:pP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承包人（盖章）：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法定代表人：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委托代理人：</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地    址：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联 系 人：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联系电话：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开户银行：                      </w:t>
      </w:r>
    </w:p>
    <w:p>
      <w:pP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帐    号：                      </w:t>
      </w:r>
    </w:p>
    <w:p>
      <w:pPr>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此处粘贴中标通知书复印件</w:t>
      </w: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此处粘贴承包人法定代表人证明书原件及法定代表人身份证复印件</w:t>
      </w:r>
    </w:p>
    <w:p>
      <w:pPr>
        <w:pStyle w:val="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（仅合同正本粘贴）</w:t>
      </w: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adjustRightInd w:val="0"/>
        <w:snapToGrid w:val="0"/>
        <w:spacing w:before="120" w:beforeLines="50" w:after="120" w:afterLines="50" w:line="360" w:lineRule="auto"/>
        <w:ind w:right="11"/>
        <w:rPr>
          <w:rFonts w:ascii="宋体" w:hAnsi="宋体"/>
          <w:bCs/>
          <w:snapToGrid w:val="0"/>
          <w:color w:val="000000" w:themeColor="text1"/>
          <w:kern w:val="0"/>
          <w:szCs w:val="21"/>
          <w:highlight w:val="none"/>
          <w14:textFill>
            <w14:solidFill>
              <w14:schemeClr w14:val="tx1"/>
            </w14:solidFill>
          </w14:textFill>
        </w:rPr>
        <w:sectPr>
          <w:headerReference r:id="rId7" w:type="default"/>
          <w:footerReference r:id="rId8" w:type="default"/>
          <w:pgSz w:w="11907" w:h="16840"/>
          <w:pgMar w:top="1440" w:right="1440" w:bottom="1440" w:left="1440" w:header="851" w:footer="992" w:gutter="0"/>
          <w:pgNumType w:start="1"/>
          <w:cols w:space="720" w:num="1"/>
          <w:docGrid w:linePitch="312" w:charSpace="0"/>
        </w:sectPr>
      </w:pPr>
    </w:p>
    <w:p>
      <w:pPr>
        <w:adjustRightInd w:val="0"/>
        <w:snapToGrid w:val="0"/>
        <w:spacing w:before="120" w:beforeLines="50" w:after="120" w:afterLines="50" w:line="360" w:lineRule="auto"/>
        <w:ind w:right="11"/>
        <w:rPr>
          <w:rFonts w:ascii="宋体" w:hAnsi="宋体"/>
          <w:bCs/>
          <w:snapToGrid w:val="0"/>
          <w:color w:val="000000" w:themeColor="text1"/>
          <w:kern w:val="0"/>
          <w:szCs w:val="21"/>
          <w:highlight w:val="none"/>
          <w14:textFill>
            <w14:solidFill>
              <w14:schemeClr w14:val="tx1"/>
            </w14:solidFill>
          </w14:textFill>
        </w:rPr>
      </w:pPr>
    </w:p>
    <w:p>
      <w:pPr>
        <w:pStyle w:val="4"/>
        <w:spacing w:before="120" w:beforeLines="50" w:after="120" w:afterLines="50" w:line="360" w:lineRule="auto"/>
        <w:jc w:val="center"/>
        <w:rPr>
          <w:rFonts w:ascii="宋体" w:hAnsi="宋体" w:eastAsia="宋体"/>
          <w:color w:val="000000" w:themeColor="text1"/>
          <w:highlight w:val="none"/>
          <w14:textFill>
            <w14:solidFill>
              <w14:schemeClr w14:val="tx1"/>
            </w14:solidFill>
          </w14:textFill>
        </w:rPr>
      </w:pPr>
      <w:bookmarkStart w:id="54" w:name="_Toc147856189"/>
      <w:bookmarkStart w:id="55" w:name="_Toc411736418"/>
      <w:bookmarkStart w:id="56" w:name="_Toc26591"/>
      <w:bookmarkStart w:id="57" w:name="_Toc411736142"/>
      <w:bookmarkStart w:id="58" w:name="_Toc987016882"/>
      <w:bookmarkStart w:id="59" w:name="_Toc476860353"/>
      <w:bookmarkStart w:id="60" w:name="_Toc23501"/>
      <w:r>
        <w:rPr>
          <w:rFonts w:hint="eastAsia" w:ascii="宋体" w:hAnsi="宋体" w:eastAsia="宋体"/>
          <w:color w:val="000000" w:themeColor="text1"/>
          <w:highlight w:val="none"/>
          <w14:textFill>
            <w14:solidFill>
              <w14:schemeClr w14:val="tx1"/>
            </w14:solidFill>
          </w14:textFill>
        </w:rPr>
        <w:t>第二部分   通用合同条款</w:t>
      </w:r>
      <w:bookmarkEnd w:id="54"/>
      <w:bookmarkEnd w:id="55"/>
      <w:bookmarkEnd w:id="56"/>
      <w:bookmarkEnd w:id="57"/>
      <w:bookmarkEnd w:id="58"/>
      <w:bookmarkEnd w:id="59"/>
      <w:bookmarkEnd w:id="60"/>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61" w:name="_Toc247527636"/>
      <w:bookmarkStart w:id="62" w:name="_Toc476860354"/>
      <w:bookmarkStart w:id="63" w:name="_Toc13616"/>
      <w:bookmarkStart w:id="64" w:name="_Toc1629046346"/>
      <w:bookmarkStart w:id="65" w:name="_Toc410559337"/>
      <w:bookmarkStart w:id="66" w:name="_Toc300835032"/>
      <w:bookmarkStart w:id="67" w:name="_Toc411736419"/>
      <w:bookmarkStart w:id="68" w:name="_Toc411736143"/>
      <w:bookmarkStart w:id="69" w:name="_Toc184635098"/>
      <w:bookmarkStart w:id="70" w:name="_Toc247514035"/>
      <w:bookmarkStart w:id="71" w:name="_Toc18747"/>
      <w:bookmarkStart w:id="72" w:name="_Toc147856190"/>
      <w:r>
        <w:rPr>
          <w:rStyle w:val="114"/>
          <w:rFonts w:hint="eastAsia"/>
          <w:bCs w:val="0"/>
          <w:color w:val="000000" w:themeColor="text1"/>
          <w:highlight w:val="none"/>
          <w14:textFill>
            <w14:solidFill>
              <w14:schemeClr w14:val="tx1"/>
            </w14:solidFill>
          </w14:textFill>
        </w:rPr>
        <w:t>1. 一般约定</w:t>
      </w:r>
      <w:bookmarkEnd w:id="61"/>
      <w:bookmarkEnd w:id="62"/>
      <w:bookmarkEnd w:id="63"/>
      <w:bookmarkEnd w:id="64"/>
      <w:bookmarkEnd w:id="65"/>
      <w:bookmarkEnd w:id="66"/>
      <w:bookmarkEnd w:id="67"/>
      <w:bookmarkEnd w:id="68"/>
      <w:bookmarkEnd w:id="69"/>
      <w:bookmarkEnd w:id="70"/>
      <w:bookmarkEnd w:id="71"/>
      <w:bookmarkEnd w:id="72"/>
    </w:p>
    <w:p>
      <w:pPr>
        <w:pStyle w:val="6"/>
        <w:spacing w:before="240" w:after="120" w:line="360" w:lineRule="auto"/>
        <w:rPr>
          <w:color w:val="000000" w:themeColor="text1"/>
          <w:highlight w:val="none"/>
          <w14:textFill>
            <w14:solidFill>
              <w14:schemeClr w14:val="tx1"/>
            </w14:solidFill>
          </w14:textFill>
        </w:rPr>
      </w:pPr>
      <w:bookmarkStart w:id="73" w:name="_Toc300835033"/>
      <w:bookmarkStart w:id="74" w:name="_Toc1112921619"/>
      <w:bookmarkStart w:id="75" w:name="_Toc247514036"/>
      <w:bookmarkStart w:id="76" w:name="_Toc247527637"/>
      <w:bookmarkStart w:id="77" w:name="_Toc476860355"/>
      <w:bookmarkStart w:id="78" w:name="_Toc410559338"/>
      <w:bookmarkStart w:id="79" w:name="_Toc411736420"/>
      <w:bookmarkStart w:id="80" w:name="_Toc411736144"/>
      <w:r>
        <w:rPr>
          <w:rFonts w:hint="eastAsia"/>
          <w:color w:val="000000" w:themeColor="text1"/>
          <w:highlight w:val="none"/>
          <w14:textFill>
            <w14:solidFill>
              <w14:schemeClr w14:val="tx1"/>
            </w14:solidFill>
          </w14:textFill>
        </w:rPr>
        <w:t>1.1 词语定义</w:t>
      </w:r>
      <w:bookmarkEnd w:id="73"/>
      <w:bookmarkEnd w:id="74"/>
      <w:bookmarkEnd w:id="75"/>
      <w:bookmarkEnd w:id="76"/>
      <w:bookmarkEnd w:id="77"/>
      <w:bookmarkEnd w:id="78"/>
      <w:bookmarkEnd w:id="79"/>
      <w:bookmarkEnd w:id="8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通用合同条款、专用合同条款中的下列词语应具有本款所赋予的含义。</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1.1.1 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1.1.1.1 合同文件（或称合同）：指合同协议书、中标通知书、投标函及投标函附录、专用合同条款、通用合同条款、发包人要求、价格清单、承包人建议书，以及其他构成合同组成部分的文件。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1.1.1.2 合同协议书：指第1.5 款所指的合同协议书。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1.1.1.3 中标通知书：指发包人通知承包人中标的函件。中标通知书随附的澄清、说明、补正事项纪要等，是中标通知书的组成部分。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1.1.1.4 投标函：指构成合同文件组成部分的由承包人填写并签署的投标函。</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1.1.1.5 投标函附录：指附在投标函后构成合同文件的投标函附录。</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1.1.1.6 发包人要求：指构成合同文件组成部分的名为发包人要求的文件，包括招标项目的目的、范围、设计与其他技术标准和要求，以及合同双方当事人约定对其所作的修改或补充。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1.1.1.7 价格清单：指构成合同文件组成部分的由承包人按规定的格式和要求填写并标明价格的清单。</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1.1.1.8承包人建议书：指构成合同文件组成部分的名为承包人建议书的文件。承包人建议书由承包人随投标函一起提交。</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1.1.1.9 其他合同文件：指经合同双方当事人确认构成合同文件的其他文件。</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1.1.2 合同当事人和人员</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1.1.2.1 合同当事人：指发包人和（或）承包人。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1.1.2.2 发包人：指专用合同条款中指明并与承包人在合同协议书中签字的当事人。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1.1.2.3 承包人：指与发包人签订合同协议书的当事人。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1.1.2.4 承包人项目经理：指承包人指定代表承包人履行义务的负责人。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1.1.2.5 设计负责人：指承包人指定负责组织指导协调设计工作并具有相应资格的人员。</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1.1.2.6 施工负责人：指承包人指定负责组织指导协调施工工作并具有相应资格的人员。</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1.1.2.7 采购负责人：指承包人指定负责组织指导协调采购工作的人员。</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1.1.2.8 分包人：指从承包人处分包合同中某一部分工作，并与其签订分包合同的分包人。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1.1.2.9 监理人：指在专用合同条款中指明的，受发包人委托对合同履行实施管理的法人或其他组织。属于国家强制监理的，监理人应当具有相应的监理资质。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1.1.2.10 总监理工程师：指由监理人委派对合同履行实施管理的全权负责人。</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1.1.3 工程和设备</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1.1.3.1 工程：指永久工程和（或）临时工程。</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1.1.3.2 永久工程：指按合同约定建造并移交给发包人的工程，包括工程设备。</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1.1.3.3 临时工程：指为完成合同约定的永久工程所修建的各类临时性工程，不包括施工设备。</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1.1.3.4 区段工程：指专用合同条款中指明特定范围的能单独接收并使用的永久工程。</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1.1.3.5 工程设备：指构成或计划构成永久工程的机电设备、仪器装置、运载工具及其他类似的设备和装置。</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1.1.3.6 施工设备：指为完成合同约定的各项工作所需的设备、器具和其他物品，不包括临时工程和材料。</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1.1.3.7 临时设施：指为完成合同约定的各项工作所服务的临时性生产和生活设施。</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1.1.3.8 承包人设备：指承包人为工程实施提供的施工设备。</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1.1.3.9 施工场地（或称工地、现场）：指用于合同工程施工的场所，以及在合同中指定作为施工场地组成部分的其他场所，包括永久占地和临时占地。</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1.1.3.10 永久占地：指专用合同条款中指明为实施合同工程需永久占用的土地。</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1.1.3.11 临时占地：指专用合同条款中指明为实施合同工程需临时占用的土地。</w:t>
      </w:r>
    </w:p>
    <w:p>
      <w:pPr>
        <w:pStyle w:val="7"/>
        <w:spacing w:before="120" w:after="120"/>
        <w:ind w:firstLine="482" w:firstLineChars="200"/>
        <w:jc w:val="both"/>
        <w:rPr>
          <w:rStyle w:val="157"/>
          <w:rFonts w:hint="default"/>
          <w:b w:val="0"/>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1.1.4 日期、检验和竣工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1.1.4.1 开始工作通知：指监理人按第11.1 款通知承包人开始工作的函件。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1.1.4.2 开始工作日期：指监理人按第11.1款发出的开始工作通知中写明的开始工作日期。</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1.1.4.3 工期：指承包人在投标函中承诺的完成合同工作所需的期限，包括按第11.3款、第11.4款和第11.6款约定所作的变更。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1.1.4.4 完工日期：即合同工程完工日期，指第1.1.4.3目约定工期届满时的日期。实际完工日期以合同工程完工证书中写明的日期为准。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1.1.4.5 缺陷责任期：即工程质量保修期：指履行第19.2款约定的缺陷责任的期限，包括根据第19.3款约定所作的延长，具体期限由专用合同条款约定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 xml:space="preserve">1.1.4.6 </w:t>
      </w:r>
      <w:r>
        <w:rPr>
          <w:rFonts w:hint="eastAsia"/>
          <w:color w:val="000000" w:themeColor="text1"/>
          <w:sz w:val="21"/>
          <w:szCs w:val="21"/>
          <w:highlight w:val="none"/>
          <w14:textFill>
            <w14:solidFill>
              <w14:schemeClr w14:val="tx1"/>
            </w14:solidFill>
          </w14:textFill>
        </w:rPr>
        <w:t>基准日期：指投标截止之日前28天的日期。</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1.1.4.7 天：除特别指明外，指日历天。合同中按天计算时间的，开始当天不计入，从次日开始计算。期限最后一天的截止时间为当天24:00。</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1.1.4.8 竣工验收：是指工程建设项目全部完成并满足一定运行条件后，发包人按合同要求进行的验收。</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1.1.5 合同价格和费用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1.1.5.1 签约合同价：指中标通知书明确的并在签定合同时于合同协议书中写明的，包括了暂列金额、暂估价的合同总金额。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1.1.5.2 合同价格：指承包人按合同约定完成了包括缺陷责任期内的全部承包工作后，发包人应付给承包人的金额，包括在履行合同过程中按合同约定进行的变更和调整。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1.1.5.3 费用：指为履行合同所发生的或将要发生的所有合理开支，包括管理费和应分摊的其他费用，但不包括利润。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1.1.5.4 暂列金额：指招标文件中给定的，用于在签订协议书时尚未确定或不可预见变更的设计、施工及其所需材料、工程设备、服务等的金额，包括以计日工方式支付的金额。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1.1.5.5 暂估价：指招标文件中给定的，用于支付必然发生但暂时不能确定价格的专业服务、材料、设备专业工程的金额。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1.1.5.6 计日工：指对零星工作采取的一种计价方式，按合同中的计日工子目及其单价计价付款。</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1.1.5.7 质量保证金：指按第17.4.1项约定用于保证在缺陷责任期内履行缺陷修复义务的金额。</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1.1.6 其他</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1.1.6.1 书面形式：指合同文件、信函、电报、传真、数据电文、电子邮件、会议纪要等可以有形地表现所载内容的形式。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1.1.6.2 承包人文件：指由承包人根据合同应提交的所有图纸、手册、模型、计算书、软件和其他文件。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1.1.6.3 变更是指根据第15条的约定，经指示或批准对发包人要求或工程所做的改变。</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 xml:space="preserve">.1.6.3 </w:t>
      </w:r>
      <w:r>
        <w:rPr>
          <w:rFonts w:hint="eastAsia"/>
          <w:color w:val="000000" w:themeColor="text1"/>
          <w:sz w:val="21"/>
          <w:szCs w:val="21"/>
          <w:highlight w:val="none"/>
          <w14:textFill>
            <w14:solidFill>
              <w14:schemeClr w14:val="tx1"/>
            </w14:solidFill>
          </w14:textFill>
        </w:rPr>
        <w:t>“以上”“以下”：除本合同另有约定外，均包括本数。</w:t>
      </w:r>
    </w:p>
    <w:p>
      <w:pPr>
        <w:pStyle w:val="6"/>
        <w:spacing w:before="240" w:after="120" w:line="360" w:lineRule="auto"/>
        <w:rPr>
          <w:color w:val="000000" w:themeColor="text1"/>
          <w:highlight w:val="none"/>
          <w14:textFill>
            <w14:solidFill>
              <w14:schemeClr w14:val="tx1"/>
            </w14:solidFill>
          </w14:textFill>
        </w:rPr>
      </w:pPr>
      <w:bookmarkStart w:id="81" w:name="_Toc291085163"/>
      <w:bookmarkStart w:id="82" w:name="_Toc247514037"/>
      <w:bookmarkStart w:id="83" w:name="_Toc300835034"/>
      <w:bookmarkStart w:id="84" w:name="_Toc247527638"/>
      <w:bookmarkStart w:id="85" w:name="_Toc411736145"/>
      <w:bookmarkStart w:id="86" w:name="_Toc476860356"/>
      <w:bookmarkStart w:id="87" w:name="_Toc411736421"/>
      <w:bookmarkStart w:id="88" w:name="_Toc410559339"/>
      <w:r>
        <w:rPr>
          <w:rFonts w:hint="eastAsia"/>
          <w:color w:val="000000" w:themeColor="text1"/>
          <w:highlight w:val="none"/>
          <w14:textFill>
            <w14:solidFill>
              <w14:schemeClr w14:val="tx1"/>
            </w14:solidFill>
          </w14:textFill>
        </w:rPr>
        <w:t>1.2 语言文字</w:t>
      </w:r>
      <w:bookmarkEnd w:id="81"/>
      <w:bookmarkEnd w:id="82"/>
      <w:bookmarkEnd w:id="83"/>
      <w:bookmarkEnd w:id="84"/>
      <w:bookmarkEnd w:id="85"/>
      <w:bookmarkEnd w:id="86"/>
      <w:bookmarkEnd w:id="87"/>
      <w:bookmarkEnd w:id="8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合同使用的语言文字为中文。专用术语使用外文的，应附有中文注释。</w:t>
      </w:r>
    </w:p>
    <w:p>
      <w:pPr>
        <w:pStyle w:val="6"/>
        <w:spacing w:before="240" w:after="120" w:line="360" w:lineRule="auto"/>
        <w:rPr>
          <w:color w:val="000000" w:themeColor="text1"/>
          <w:highlight w:val="none"/>
          <w14:textFill>
            <w14:solidFill>
              <w14:schemeClr w14:val="tx1"/>
            </w14:solidFill>
          </w14:textFill>
        </w:rPr>
      </w:pPr>
      <w:bookmarkStart w:id="89" w:name="_Toc300586675"/>
      <w:bookmarkStart w:id="90" w:name="_Toc247514038"/>
      <w:bookmarkStart w:id="91" w:name="_Toc300835035"/>
      <w:bookmarkStart w:id="92" w:name="_Toc247527639"/>
      <w:bookmarkStart w:id="93" w:name="_Toc411736146"/>
      <w:bookmarkStart w:id="94" w:name="_Toc410559340"/>
      <w:bookmarkStart w:id="95" w:name="_Toc411736422"/>
      <w:bookmarkStart w:id="96" w:name="_Toc476860357"/>
      <w:r>
        <w:rPr>
          <w:rFonts w:hint="eastAsia"/>
          <w:color w:val="000000" w:themeColor="text1"/>
          <w:highlight w:val="none"/>
          <w14:textFill>
            <w14:solidFill>
              <w14:schemeClr w14:val="tx1"/>
            </w14:solidFill>
          </w14:textFill>
        </w:rPr>
        <w:t>1.3 法律</w:t>
      </w:r>
      <w:bookmarkEnd w:id="89"/>
      <w:bookmarkEnd w:id="90"/>
      <w:bookmarkEnd w:id="91"/>
      <w:bookmarkEnd w:id="92"/>
      <w:bookmarkEnd w:id="93"/>
      <w:bookmarkEnd w:id="94"/>
      <w:bookmarkEnd w:id="95"/>
      <w:bookmarkEnd w:id="9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适用于合同的法律包括中华人民共和国法律、行政法规、部门规章，以及工程所在地的地方法规、自治条例、单行条例和地方政府规章。</w:t>
      </w:r>
    </w:p>
    <w:p>
      <w:pPr>
        <w:pStyle w:val="6"/>
        <w:spacing w:before="240" w:after="120" w:line="360" w:lineRule="auto"/>
        <w:rPr>
          <w:color w:val="000000" w:themeColor="text1"/>
          <w:highlight w:val="none"/>
          <w14:textFill>
            <w14:solidFill>
              <w14:schemeClr w14:val="tx1"/>
            </w14:solidFill>
          </w14:textFill>
        </w:rPr>
      </w:pPr>
      <w:bookmarkStart w:id="97" w:name="_Toc411736147"/>
      <w:bookmarkStart w:id="98" w:name="_Toc410559341"/>
      <w:bookmarkStart w:id="99" w:name="_Toc1078708981"/>
      <w:bookmarkStart w:id="100" w:name="_Toc411736423"/>
      <w:bookmarkStart w:id="101" w:name="_Toc247514039"/>
      <w:bookmarkStart w:id="102" w:name="_Toc300835036"/>
      <w:bookmarkStart w:id="103" w:name="_Toc476860358"/>
      <w:bookmarkStart w:id="104" w:name="_Toc247527640"/>
      <w:r>
        <w:rPr>
          <w:rFonts w:hint="eastAsia"/>
          <w:color w:val="000000" w:themeColor="text1"/>
          <w:highlight w:val="none"/>
          <w14:textFill>
            <w14:solidFill>
              <w14:schemeClr w14:val="tx1"/>
            </w14:solidFill>
          </w14:textFill>
        </w:rPr>
        <w:t>1.4 合同文件的优先顺序</w:t>
      </w:r>
      <w:bookmarkEnd w:id="97"/>
      <w:bookmarkEnd w:id="98"/>
      <w:bookmarkEnd w:id="99"/>
      <w:bookmarkEnd w:id="100"/>
      <w:bookmarkEnd w:id="101"/>
      <w:bookmarkEnd w:id="102"/>
      <w:bookmarkEnd w:id="103"/>
      <w:bookmarkEnd w:id="10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组成合同的各项文件应互相解释，互为说明。除专用合同条款另有约定外，解释合同文件的优先顺序如下：</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bookmarkStart w:id="105" w:name="_Toc410559342"/>
      <w:bookmarkStart w:id="106" w:name="_Toc247527641"/>
      <w:bookmarkStart w:id="107" w:name="_Toc411736148"/>
      <w:bookmarkStart w:id="108" w:name="_Toc300835037"/>
      <w:bookmarkStart w:id="109" w:name="_Toc247514040"/>
      <w:bookmarkStart w:id="110" w:name="_Toc411736424"/>
      <w:bookmarkStart w:id="111" w:name="_Toc476860359"/>
      <w:r>
        <w:rPr>
          <w:rFonts w:hint="eastAsia" w:ascii="宋体" w:hAnsi="宋体" w:cs="宋体"/>
          <w:color w:val="000000" w:themeColor="text1"/>
          <w:kern w:val="0"/>
          <w:szCs w:val="21"/>
          <w:highlight w:val="none"/>
          <w14:textFill>
            <w14:solidFill>
              <w14:schemeClr w14:val="tx1"/>
            </w14:solidFill>
          </w14:textFill>
        </w:rPr>
        <w:t>（l）合同协议书；</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（2）中标通知书；</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（3）专用合同条款；</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（4）通用合同条款；</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（5）招标文件（含澄清文件）；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（6）投标文件；</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（7）发包人各项管理规定；</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（8）勘察设计任务书;</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（9）工程造价控制方案；</w:t>
      </w:r>
    </w:p>
    <w:p>
      <w:pPr>
        <w:autoSpaceDE w:val="0"/>
        <w:autoSpaceDN w:val="0"/>
        <w:adjustRightInd w:val="0"/>
        <w:spacing w:before="120" w:beforeLines="50" w:after="120"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（10）其他合同文件。</w:t>
      </w:r>
    </w:p>
    <w:p>
      <w:pPr>
        <w:pStyle w:val="6"/>
        <w:spacing w:before="240" w:after="120" w:line="360" w:lineRule="auto"/>
        <w:rPr>
          <w:color w:val="000000" w:themeColor="text1"/>
          <w:highlight w:val="none"/>
          <w14:textFill>
            <w14:solidFill>
              <w14:schemeClr w14:val="tx1"/>
            </w14:solidFill>
          </w14:textFill>
        </w:rPr>
      </w:pPr>
      <w:bookmarkStart w:id="112" w:name="_Toc804895693"/>
      <w:r>
        <w:rPr>
          <w:rFonts w:hint="eastAsia"/>
          <w:color w:val="000000" w:themeColor="text1"/>
          <w:highlight w:val="none"/>
          <w14:textFill>
            <w14:solidFill>
              <w14:schemeClr w14:val="tx1"/>
            </w14:solidFill>
          </w14:textFill>
        </w:rPr>
        <w:t>1.5 合同协议书</w:t>
      </w:r>
      <w:bookmarkEnd w:id="105"/>
      <w:bookmarkEnd w:id="106"/>
      <w:bookmarkEnd w:id="107"/>
      <w:bookmarkEnd w:id="108"/>
      <w:bookmarkEnd w:id="109"/>
      <w:bookmarkEnd w:id="110"/>
      <w:bookmarkEnd w:id="111"/>
      <w:bookmarkEnd w:id="11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承包人按中标通知书规定的时间与发包人签订合同协议书。除法律另有规定或合同另有约定外，发包人和承包人的法定代表人或其委托代理人在合同协议书上签字并盖单位章后，合同生效。</w:t>
      </w:r>
    </w:p>
    <w:p>
      <w:pPr>
        <w:pStyle w:val="6"/>
        <w:spacing w:before="240" w:after="120" w:line="360" w:lineRule="auto"/>
        <w:rPr>
          <w:color w:val="000000" w:themeColor="text1"/>
          <w:highlight w:val="none"/>
          <w:lang w:val="en-US"/>
          <w14:textFill>
            <w14:solidFill>
              <w14:schemeClr w14:val="tx1"/>
            </w14:solidFill>
          </w14:textFill>
        </w:rPr>
      </w:pPr>
      <w:bookmarkStart w:id="113" w:name="_Toc247514041"/>
      <w:bookmarkStart w:id="114" w:name="_Toc247527642"/>
      <w:bookmarkStart w:id="115" w:name="_Toc300835038"/>
      <w:bookmarkStart w:id="116" w:name="_Toc411736149"/>
      <w:bookmarkStart w:id="117" w:name="_Toc410559343"/>
      <w:bookmarkStart w:id="118" w:name="_Toc411736425"/>
      <w:bookmarkStart w:id="119" w:name="_Toc476860360"/>
      <w:bookmarkStart w:id="120" w:name="_Toc882419798"/>
      <w:r>
        <w:rPr>
          <w:rFonts w:hint="eastAsia"/>
          <w:color w:val="000000" w:themeColor="text1"/>
          <w:highlight w:val="none"/>
          <w:lang w:val="en-US"/>
          <w14:textFill>
            <w14:solidFill>
              <w14:schemeClr w14:val="tx1"/>
            </w14:solidFill>
          </w14:textFill>
        </w:rPr>
        <w:t xml:space="preserve">1.6 </w:t>
      </w:r>
      <w:r>
        <w:rPr>
          <w:rFonts w:hint="eastAsia"/>
          <w:color w:val="000000" w:themeColor="text1"/>
          <w:highlight w:val="none"/>
          <w14:textFill>
            <w14:solidFill>
              <w14:schemeClr w14:val="tx1"/>
            </w14:solidFill>
          </w14:textFill>
        </w:rPr>
        <w:t>文件的提供和</w:t>
      </w:r>
      <w:bookmarkEnd w:id="113"/>
      <w:bookmarkEnd w:id="114"/>
      <w:r>
        <w:rPr>
          <w:rFonts w:hint="eastAsia"/>
          <w:color w:val="000000" w:themeColor="text1"/>
          <w:highlight w:val="none"/>
          <w14:textFill>
            <w14:solidFill>
              <w14:schemeClr w14:val="tx1"/>
            </w14:solidFill>
          </w14:textFill>
        </w:rPr>
        <w:t>照管</w:t>
      </w:r>
      <w:bookmarkEnd w:id="115"/>
      <w:bookmarkEnd w:id="116"/>
      <w:bookmarkEnd w:id="117"/>
      <w:bookmarkEnd w:id="118"/>
      <w:bookmarkEnd w:id="119"/>
      <w:bookmarkEnd w:id="120"/>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1.6.1 承包人文件的提供</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承包人应在合理的期限内按照合同约定的数量向监理人提供承包人文件。合同约定承包人文件应批准的，监理人应当在合同约定的期限内批复。承包人的设计文件的提供和审查按第5.3款和第5.5款的约定执行。</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1.6.2 发包人提供的文件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按专用合同条款约定由发包人提供的文件，包括前期工作相关文件、环境保护、气象水文、地质条件等，发包人应按约定的数量和期限交给承包人。由于发包人未按时提供文件造成工期延误的，按第11.3款约定执行。</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1.6.3 文件错误的通知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任何一方发现了文件中存在的明显错误或疏忽，应及时通知另一方。</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1.6.4 文件的照管</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承包人应在现场保留一份合同、发包人要求中列出的所有文件、承包人文件、变更以及其它根据合同收发的往来信函。发包人有权在任何合理的时间查阅和使用上述所有文件。</w:t>
      </w:r>
      <w:bookmarkStart w:id="121" w:name="_Toc247514042"/>
      <w:bookmarkStart w:id="122" w:name="_Toc247527643"/>
    </w:p>
    <w:p>
      <w:pPr>
        <w:pStyle w:val="6"/>
        <w:spacing w:before="240" w:after="120" w:line="360" w:lineRule="auto"/>
        <w:rPr>
          <w:color w:val="000000" w:themeColor="text1"/>
          <w:highlight w:val="none"/>
          <w14:textFill>
            <w14:solidFill>
              <w14:schemeClr w14:val="tx1"/>
            </w14:solidFill>
          </w14:textFill>
        </w:rPr>
      </w:pPr>
      <w:bookmarkStart w:id="123" w:name="_Toc411736426"/>
      <w:bookmarkStart w:id="124" w:name="_Toc410559344"/>
      <w:bookmarkStart w:id="125" w:name="_Toc476860361"/>
      <w:bookmarkStart w:id="126" w:name="_Toc307478804"/>
      <w:bookmarkStart w:id="127" w:name="_Toc411736150"/>
      <w:bookmarkStart w:id="128" w:name="_Toc300835039"/>
      <w:r>
        <w:rPr>
          <w:rFonts w:hint="eastAsia"/>
          <w:color w:val="000000" w:themeColor="text1"/>
          <w:highlight w:val="none"/>
          <w14:textFill>
            <w14:solidFill>
              <w14:schemeClr w14:val="tx1"/>
            </w14:solidFill>
          </w14:textFill>
        </w:rPr>
        <w:t>1.7 联络</w:t>
      </w:r>
      <w:bookmarkEnd w:id="121"/>
      <w:bookmarkEnd w:id="122"/>
      <w:bookmarkEnd w:id="123"/>
      <w:bookmarkEnd w:id="124"/>
      <w:bookmarkEnd w:id="125"/>
      <w:bookmarkEnd w:id="126"/>
      <w:bookmarkEnd w:id="127"/>
      <w:bookmarkEnd w:id="12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1.7.1 与合同有关的通知、批准、证明、证书、指示、要求、请求、同意、意见、确定和决定等，均应采用书面形式。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1.7.2 第1.7.1 项中的通知、批准、证明、证书、指示、要求、请求、同意、意见、确定和决定等来往函件，均应在合同约定的期限内送达指定的地点和指定的接收人，并办理签收手续。</w:t>
      </w:r>
    </w:p>
    <w:p>
      <w:pPr>
        <w:pStyle w:val="6"/>
        <w:spacing w:before="240" w:after="120" w:line="360" w:lineRule="auto"/>
        <w:rPr>
          <w:color w:val="000000" w:themeColor="text1"/>
          <w:highlight w:val="none"/>
          <w14:textFill>
            <w14:solidFill>
              <w14:schemeClr w14:val="tx1"/>
            </w14:solidFill>
          </w14:textFill>
        </w:rPr>
      </w:pPr>
      <w:bookmarkStart w:id="129" w:name="_Toc410559345"/>
      <w:bookmarkStart w:id="130" w:name="_Toc950604146"/>
      <w:bookmarkStart w:id="131" w:name="_Toc411736427"/>
      <w:bookmarkStart w:id="132" w:name="_Toc247514043"/>
      <w:bookmarkStart w:id="133" w:name="_Toc476860362"/>
      <w:bookmarkStart w:id="134" w:name="_Toc247527644"/>
      <w:bookmarkStart w:id="135" w:name="_Toc300835040"/>
      <w:bookmarkStart w:id="136" w:name="_Toc411736151"/>
      <w:r>
        <w:rPr>
          <w:rFonts w:hint="eastAsia"/>
          <w:color w:val="000000" w:themeColor="text1"/>
          <w:highlight w:val="none"/>
          <w14:textFill>
            <w14:solidFill>
              <w14:schemeClr w14:val="tx1"/>
            </w14:solidFill>
          </w14:textFill>
        </w:rPr>
        <w:t>1.8 转让</w:t>
      </w:r>
      <w:bookmarkEnd w:id="129"/>
      <w:bookmarkEnd w:id="130"/>
      <w:bookmarkEnd w:id="131"/>
      <w:bookmarkEnd w:id="132"/>
      <w:bookmarkEnd w:id="133"/>
      <w:bookmarkEnd w:id="134"/>
      <w:bookmarkEnd w:id="135"/>
      <w:bookmarkEnd w:id="13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合同另有约定外，未经承包人同意，发包人不得将合同权利全部或部分转让给第三人，也不得全部或部分转让合同义务。承包人不得将合同权利和义务全部转让给第三人，也不得将合同的义务全部或部分转让给第三人，法律另有规定的除外。</w:t>
      </w:r>
    </w:p>
    <w:p>
      <w:pPr>
        <w:pStyle w:val="6"/>
        <w:spacing w:before="240" w:after="120" w:line="360" w:lineRule="auto"/>
        <w:rPr>
          <w:color w:val="000000" w:themeColor="text1"/>
          <w:highlight w:val="none"/>
          <w14:textFill>
            <w14:solidFill>
              <w14:schemeClr w14:val="tx1"/>
            </w14:solidFill>
          </w14:textFill>
        </w:rPr>
      </w:pPr>
      <w:bookmarkStart w:id="137" w:name="_Toc300835041"/>
      <w:bookmarkStart w:id="138" w:name="_Toc411736428"/>
      <w:bookmarkStart w:id="139" w:name="_Toc247527645"/>
      <w:bookmarkStart w:id="140" w:name="_Toc1673031789"/>
      <w:bookmarkStart w:id="141" w:name="_Toc476860363"/>
      <w:bookmarkStart w:id="142" w:name="_Toc247514044"/>
      <w:bookmarkStart w:id="143" w:name="_Toc410559346"/>
      <w:bookmarkStart w:id="144" w:name="_Toc411736152"/>
      <w:r>
        <w:rPr>
          <w:rFonts w:hint="eastAsia"/>
          <w:color w:val="000000" w:themeColor="text1"/>
          <w:highlight w:val="none"/>
          <w14:textFill>
            <w14:solidFill>
              <w14:schemeClr w14:val="tx1"/>
            </w14:solidFill>
          </w14:textFill>
        </w:rPr>
        <w:t>1.9 严禁贿赂</w:t>
      </w:r>
      <w:bookmarkEnd w:id="137"/>
      <w:bookmarkEnd w:id="138"/>
      <w:bookmarkEnd w:id="139"/>
      <w:bookmarkEnd w:id="140"/>
      <w:bookmarkEnd w:id="141"/>
      <w:bookmarkEnd w:id="142"/>
      <w:bookmarkEnd w:id="143"/>
      <w:bookmarkEnd w:id="14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合同双方当事人不得以贿赂或变相贿赂的方式，谋取不当利益或损害对方权益。因贿赂造成对方损失的，行为人应赔偿损失，并承担相应的法律责任。</w:t>
      </w:r>
    </w:p>
    <w:p>
      <w:pPr>
        <w:pStyle w:val="6"/>
        <w:spacing w:before="240" w:after="120" w:line="360" w:lineRule="auto"/>
        <w:rPr>
          <w:color w:val="000000" w:themeColor="text1"/>
          <w:highlight w:val="none"/>
          <w14:textFill>
            <w14:solidFill>
              <w14:schemeClr w14:val="tx1"/>
            </w14:solidFill>
          </w14:textFill>
        </w:rPr>
      </w:pPr>
      <w:bookmarkStart w:id="145" w:name="_Toc411736429"/>
      <w:bookmarkStart w:id="146" w:name="_Toc476860364"/>
      <w:bookmarkStart w:id="147" w:name="_Toc1641887552"/>
      <w:bookmarkStart w:id="148" w:name="_Toc247527646"/>
      <w:bookmarkStart w:id="149" w:name="_Toc247514045"/>
      <w:bookmarkStart w:id="150" w:name="_Toc411736153"/>
      <w:bookmarkStart w:id="151" w:name="_Toc300835042"/>
      <w:bookmarkStart w:id="152" w:name="_Toc410559347"/>
      <w:r>
        <w:rPr>
          <w:rFonts w:hint="eastAsia"/>
          <w:color w:val="000000" w:themeColor="text1"/>
          <w:highlight w:val="none"/>
          <w14:textFill>
            <w14:solidFill>
              <w14:schemeClr w14:val="tx1"/>
            </w14:solidFill>
          </w14:textFill>
        </w:rPr>
        <w:t>1.10 化石、文物</w:t>
      </w:r>
      <w:bookmarkEnd w:id="145"/>
      <w:bookmarkEnd w:id="146"/>
      <w:bookmarkEnd w:id="147"/>
      <w:bookmarkEnd w:id="148"/>
      <w:bookmarkEnd w:id="149"/>
      <w:bookmarkEnd w:id="150"/>
      <w:bookmarkEnd w:id="151"/>
      <w:bookmarkEnd w:id="15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1.10.1 在施工场地发掘的所有文物、古迹以及具有地质研究或考古价值的其他遗迹、化石、钱币或物品属于国家所有。一旦发现上述文物，承包人应采取有效合理的保护措施，防止任何人员移动或损坏上述物品，并立即报告当地文物行政部门，同时通知监理人和发包人。发包人、监理人和承包人应按文物行政部门要求采取妥善保护措施，由此导致费用增加和（或）工期延误由发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1.10.2 承包人发现文物后不及时报告或隐瞒不报，致使文物丢失或损坏的，应赔偿损失，并承担相应的法律责任。</w:t>
      </w:r>
    </w:p>
    <w:p>
      <w:pPr>
        <w:pStyle w:val="6"/>
        <w:spacing w:before="240" w:after="120" w:line="360" w:lineRule="auto"/>
        <w:rPr>
          <w:color w:val="000000" w:themeColor="text1"/>
          <w:highlight w:val="none"/>
          <w14:textFill>
            <w14:solidFill>
              <w14:schemeClr w14:val="tx1"/>
            </w14:solidFill>
          </w14:textFill>
        </w:rPr>
      </w:pPr>
      <w:bookmarkStart w:id="153" w:name="_Toc247514046"/>
      <w:bookmarkStart w:id="154" w:name="_Toc247527647"/>
      <w:bookmarkStart w:id="155" w:name="_Toc476860365"/>
      <w:bookmarkStart w:id="156" w:name="_Toc411736430"/>
      <w:bookmarkStart w:id="157" w:name="_Toc410559348"/>
      <w:bookmarkStart w:id="158" w:name="_Toc39222514"/>
      <w:bookmarkStart w:id="159" w:name="_Toc411736154"/>
      <w:bookmarkStart w:id="160" w:name="_Toc300835043"/>
      <w:r>
        <w:rPr>
          <w:rFonts w:hint="eastAsia"/>
          <w:color w:val="000000" w:themeColor="text1"/>
          <w:highlight w:val="none"/>
          <w14:textFill>
            <w14:solidFill>
              <w14:schemeClr w14:val="tx1"/>
            </w14:solidFill>
          </w14:textFill>
        </w:rPr>
        <w:t xml:space="preserve">1.11 </w:t>
      </w:r>
      <w:bookmarkEnd w:id="153"/>
      <w:bookmarkEnd w:id="154"/>
      <w:r>
        <w:rPr>
          <w:rFonts w:hint="eastAsia"/>
          <w:color w:val="000000" w:themeColor="text1"/>
          <w:highlight w:val="none"/>
          <w14:textFill>
            <w14:solidFill>
              <w14:schemeClr w14:val="tx1"/>
            </w14:solidFill>
          </w14:textFill>
        </w:rPr>
        <w:t>知识产权</w:t>
      </w:r>
      <w:bookmarkEnd w:id="155"/>
      <w:bookmarkEnd w:id="156"/>
      <w:bookmarkEnd w:id="157"/>
      <w:bookmarkEnd w:id="158"/>
      <w:bookmarkEnd w:id="159"/>
      <w:bookmarkEnd w:id="16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1.11.1除专用合同条款另有约定外，承包人完成的设计工作成果和建造完成的建筑物，除署名权以外的著作权以及建筑物形象使用收益等其他知识产权均归发包人享有。</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1.11.2 承包人在进行设计，以及使用任何材料、承包人设备、工程设备或采用施工工艺时，因侵犯专利权或其他知识产权所引起的责任，由承包人承担。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1.11.3 承包人在投标文件中采用专利技术的，专利技术的使用费包含在投标报价内。</w:t>
      </w:r>
      <w:bookmarkStart w:id="161" w:name="_Toc247514047"/>
      <w:bookmarkStart w:id="162" w:name="_Toc247527648"/>
    </w:p>
    <w:p>
      <w:pPr>
        <w:pStyle w:val="6"/>
        <w:spacing w:before="240" w:after="120" w:line="360" w:lineRule="auto"/>
        <w:rPr>
          <w:color w:val="000000" w:themeColor="text1"/>
          <w:highlight w:val="none"/>
          <w14:textFill>
            <w14:solidFill>
              <w14:schemeClr w14:val="tx1"/>
            </w14:solidFill>
          </w14:textFill>
        </w:rPr>
      </w:pPr>
      <w:bookmarkStart w:id="163" w:name="_Toc476860366"/>
      <w:bookmarkStart w:id="164" w:name="_Toc411736431"/>
      <w:bookmarkStart w:id="165" w:name="_Toc411736155"/>
      <w:bookmarkStart w:id="166" w:name="_Toc2082796816"/>
      <w:bookmarkStart w:id="167" w:name="_Toc300835044"/>
      <w:bookmarkStart w:id="168" w:name="_Toc410559349"/>
      <w:r>
        <w:rPr>
          <w:rFonts w:hint="eastAsia"/>
          <w:color w:val="000000" w:themeColor="text1"/>
          <w:highlight w:val="none"/>
          <w14:textFill>
            <w14:solidFill>
              <w14:schemeClr w14:val="tx1"/>
            </w14:solidFill>
          </w14:textFill>
        </w:rPr>
        <w:t>1.12 文件及信息的保密</w:t>
      </w:r>
      <w:bookmarkEnd w:id="161"/>
      <w:bookmarkEnd w:id="162"/>
      <w:bookmarkEnd w:id="163"/>
      <w:bookmarkEnd w:id="164"/>
      <w:bookmarkEnd w:id="165"/>
      <w:bookmarkEnd w:id="166"/>
      <w:bookmarkEnd w:id="167"/>
      <w:bookmarkEnd w:id="16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未经对方同意，任何一方当事人不得将有关文件、技术秘密、需要保密的资料和信息泄露给他人或公开发表与引用。</w:t>
      </w:r>
    </w:p>
    <w:p>
      <w:pPr>
        <w:pStyle w:val="6"/>
        <w:spacing w:before="240" w:after="120" w:line="360" w:lineRule="auto"/>
        <w:rPr>
          <w:color w:val="000000" w:themeColor="text1"/>
          <w:highlight w:val="none"/>
          <w14:textFill>
            <w14:solidFill>
              <w14:schemeClr w14:val="tx1"/>
            </w14:solidFill>
          </w14:textFill>
        </w:rPr>
      </w:pPr>
      <w:bookmarkStart w:id="169" w:name="_Toc410559350"/>
      <w:bookmarkStart w:id="170" w:name="_Toc300835046"/>
      <w:bookmarkStart w:id="171" w:name="_Toc476860367"/>
      <w:bookmarkStart w:id="172" w:name="_Toc411736432"/>
      <w:bookmarkStart w:id="173" w:name="_Toc1582640412"/>
      <w:bookmarkStart w:id="174" w:name="_Toc411736156"/>
      <w:r>
        <w:rPr>
          <w:rFonts w:hint="eastAsia"/>
          <w:color w:val="000000" w:themeColor="text1"/>
          <w:highlight w:val="none"/>
          <w14:textFill>
            <w14:solidFill>
              <w14:schemeClr w14:val="tx1"/>
            </w14:solidFill>
          </w14:textFill>
        </w:rPr>
        <w:t>1.13 发包人要求中的错误（B）</w:t>
      </w:r>
      <w:bookmarkEnd w:id="169"/>
      <w:bookmarkEnd w:id="170"/>
      <w:bookmarkEnd w:id="171"/>
      <w:bookmarkEnd w:id="172"/>
      <w:bookmarkEnd w:id="173"/>
      <w:bookmarkEnd w:id="17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1.13.1 承包人应认真阅读、复核发包人要求，发现错误的，应及时书面通知发包人。发包人作相应修改的，按照第15条约定处理。对确实存在的错误，发包人坚持不作修改的，应承担由此导致承包人增加的费用和（或）延误的工期。</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1.13.2 承包人未发现发包人要求中存在错误的，承包人自行承担由此导致的费用增加和（或） 工期延误，但专用合同条款另有约定的除外。</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1.13.3 无论承包人发现与否，在任何情况下，发包人要求中的下列错误导致承包人增加的费用和（或）延误的工期，由发包人承担，并向承包人支付合理利润。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（1）发包人要求中引用的原始数据和资料；</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（2）对工程或其任何部分的功能要求；</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（3）对工程的工艺安排或要求；</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（4）试验和检验标准；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（5）除合同另有约定外，承包人无法核实的数据和资料。</w:t>
      </w:r>
    </w:p>
    <w:p>
      <w:pPr>
        <w:pStyle w:val="6"/>
        <w:spacing w:before="240" w:after="120" w:line="360" w:lineRule="auto"/>
        <w:rPr>
          <w:color w:val="000000" w:themeColor="text1"/>
          <w:highlight w:val="none"/>
          <w14:textFill>
            <w14:solidFill>
              <w14:schemeClr w14:val="tx1"/>
            </w14:solidFill>
          </w14:textFill>
        </w:rPr>
      </w:pPr>
      <w:bookmarkStart w:id="175" w:name="_Toc411736433"/>
      <w:bookmarkStart w:id="176" w:name="_Toc704952742"/>
      <w:bookmarkStart w:id="177" w:name="_Toc476860368"/>
      <w:bookmarkStart w:id="178" w:name="_Toc410559351"/>
      <w:bookmarkStart w:id="179" w:name="_Toc411736157"/>
      <w:bookmarkStart w:id="180" w:name="_Toc300835047"/>
      <w:r>
        <w:rPr>
          <w:rFonts w:hint="eastAsia"/>
          <w:color w:val="000000" w:themeColor="text1"/>
          <w:highlight w:val="none"/>
          <w14:textFill>
            <w14:solidFill>
              <w14:schemeClr w14:val="tx1"/>
            </w14:solidFill>
          </w14:textFill>
        </w:rPr>
        <w:t>1.14 发包人要求违法</w:t>
      </w:r>
      <w:bookmarkEnd w:id="175"/>
      <w:bookmarkEnd w:id="176"/>
      <w:bookmarkEnd w:id="177"/>
      <w:bookmarkEnd w:id="178"/>
      <w:bookmarkEnd w:id="179"/>
      <w:bookmarkEnd w:id="18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要求违反法律规定的，承包人发现后应书面通知发包人，并要求其改正。发包人收到通知书后不予改正或不予答复的，承包人有权拒绝履行合同义务，直至解除合同。发包人应承担由此引起的承包人全部损失。</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81" w:name="_Toc660"/>
      <w:bookmarkStart w:id="182" w:name="_Toc476860369"/>
      <w:bookmarkStart w:id="183" w:name="_Toc247514049"/>
      <w:bookmarkStart w:id="184" w:name="_Toc411736158"/>
      <w:bookmarkStart w:id="185" w:name="_Toc300835048"/>
      <w:bookmarkStart w:id="186" w:name="_Toc410559352"/>
      <w:bookmarkStart w:id="187" w:name="_Toc8988"/>
      <w:bookmarkStart w:id="188" w:name="_Toc473454295"/>
      <w:bookmarkStart w:id="189" w:name="_Toc184635099"/>
      <w:bookmarkStart w:id="190" w:name="_Toc411736434"/>
      <w:bookmarkStart w:id="191" w:name="_Toc247527650"/>
      <w:bookmarkStart w:id="192" w:name="_Toc147856191"/>
      <w:r>
        <w:rPr>
          <w:rStyle w:val="114"/>
          <w:rFonts w:hint="eastAsia"/>
          <w:bCs/>
          <w:color w:val="000000" w:themeColor="text1"/>
          <w:highlight w:val="none"/>
          <w14:textFill>
            <w14:solidFill>
              <w14:schemeClr w14:val="tx1"/>
            </w14:solidFill>
          </w14:textFill>
        </w:rPr>
        <w:t>2.</w:t>
      </w:r>
      <w:r>
        <w:rPr>
          <w:rStyle w:val="114"/>
          <w:bCs/>
          <w:color w:val="000000" w:themeColor="text1"/>
          <w:highlight w:val="none"/>
          <w14:textFill>
            <w14:solidFill>
              <w14:schemeClr w14:val="tx1"/>
            </w14:solidFill>
          </w14:textFill>
        </w:rPr>
        <w:t xml:space="preserve"> </w:t>
      </w:r>
      <w:r>
        <w:rPr>
          <w:rStyle w:val="114"/>
          <w:rFonts w:hint="eastAsia"/>
          <w:bCs/>
          <w:color w:val="000000" w:themeColor="text1"/>
          <w:highlight w:val="none"/>
          <w14:textFill>
            <w14:solidFill>
              <w14:schemeClr w14:val="tx1"/>
            </w14:solidFill>
          </w14:textFill>
        </w:rPr>
        <w:t>发包人义务</w:t>
      </w:r>
      <w:bookmarkEnd w:id="181"/>
      <w:bookmarkEnd w:id="182"/>
      <w:bookmarkEnd w:id="183"/>
      <w:bookmarkEnd w:id="184"/>
      <w:bookmarkEnd w:id="185"/>
      <w:bookmarkEnd w:id="186"/>
      <w:bookmarkEnd w:id="187"/>
      <w:bookmarkEnd w:id="188"/>
      <w:bookmarkEnd w:id="189"/>
      <w:bookmarkEnd w:id="190"/>
      <w:bookmarkEnd w:id="191"/>
      <w:bookmarkEnd w:id="192"/>
    </w:p>
    <w:p>
      <w:pPr>
        <w:pStyle w:val="6"/>
        <w:spacing w:before="240" w:after="120" w:line="360" w:lineRule="auto"/>
        <w:rPr>
          <w:color w:val="000000" w:themeColor="text1"/>
          <w:highlight w:val="none"/>
          <w14:textFill>
            <w14:solidFill>
              <w14:schemeClr w14:val="tx1"/>
            </w14:solidFill>
          </w14:textFill>
        </w:rPr>
      </w:pPr>
      <w:bookmarkStart w:id="193" w:name="_Toc247514050"/>
      <w:bookmarkStart w:id="194" w:name="_Toc410559353"/>
      <w:bookmarkStart w:id="195" w:name="_Toc411736435"/>
      <w:bookmarkStart w:id="196" w:name="_Toc411736159"/>
      <w:bookmarkStart w:id="197" w:name="_Toc247527651"/>
      <w:bookmarkStart w:id="198" w:name="_Toc300835049"/>
      <w:bookmarkStart w:id="199" w:name="_Toc476860370"/>
      <w:bookmarkStart w:id="200" w:name="_Toc919423930"/>
      <w:r>
        <w:rPr>
          <w:rFonts w:hint="eastAsia"/>
          <w:color w:val="000000" w:themeColor="text1"/>
          <w:highlight w:val="none"/>
          <w14:textFill>
            <w14:solidFill>
              <w14:schemeClr w14:val="tx1"/>
            </w14:solidFill>
          </w14:textFill>
        </w:rPr>
        <w:t>2.1 遵守法律</w:t>
      </w:r>
      <w:bookmarkEnd w:id="193"/>
      <w:bookmarkEnd w:id="194"/>
      <w:bookmarkEnd w:id="195"/>
      <w:bookmarkEnd w:id="196"/>
      <w:bookmarkEnd w:id="197"/>
      <w:bookmarkEnd w:id="198"/>
      <w:bookmarkEnd w:id="199"/>
      <w:bookmarkEnd w:id="20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发包人在履行合同过程中应遵守法律，并保证承包人免于承担因发包人违反法律而引起的任何责任。</w:t>
      </w:r>
    </w:p>
    <w:p>
      <w:pPr>
        <w:pStyle w:val="6"/>
        <w:spacing w:before="240" w:after="120" w:line="360" w:lineRule="auto"/>
        <w:rPr>
          <w:color w:val="000000" w:themeColor="text1"/>
          <w:highlight w:val="none"/>
          <w14:textFill>
            <w14:solidFill>
              <w14:schemeClr w14:val="tx1"/>
            </w14:solidFill>
          </w14:textFill>
        </w:rPr>
      </w:pPr>
      <w:bookmarkStart w:id="201" w:name="_Toc411736436"/>
      <w:bookmarkStart w:id="202" w:name="_Toc476860371"/>
      <w:bookmarkStart w:id="203" w:name="_Toc300835050"/>
      <w:bookmarkStart w:id="204" w:name="_Toc411736160"/>
      <w:bookmarkStart w:id="205" w:name="_Toc410559354"/>
      <w:bookmarkStart w:id="206" w:name="_Toc247514051"/>
      <w:bookmarkStart w:id="207" w:name="_Toc1613151345"/>
      <w:bookmarkStart w:id="208" w:name="_Toc247527652"/>
      <w:r>
        <w:rPr>
          <w:rFonts w:hint="eastAsia"/>
          <w:color w:val="000000" w:themeColor="text1"/>
          <w:highlight w:val="none"/>
          <w14:textFill>
            <w14:solidFill>
              <w14:schemeClr w14:val="tx1"/>
            </w14:solidFill>
          </w14:textFill>
        </w:rPr>
        <w:t>2.2 发出承包人开始工作通知</w:t>
      </w:r>
      <w:bookmarkEnd w:id="201"/>
      <w:bookmarkEnd w:id="202"/>
      <w:bookmarkEnd w:id="203"/>
      <w:bookmarkEnd w:id="204"/>
      <w:bookmarkEnd w:id="205"/>
      <w:bookmarkEnd w:id="206"/>
      <w:bookmarkEnd w:id="207"/>
      <w:bookmarkEnd w:id="20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发包人应委托监理人按第11.1 款的约定向承包人发出开始工作通知。</w:t>
      </w:r>
    </w:p>
    <w:p>
      <w:pPr>
        <w:pStyle w:val="6"/>
        <w:spacing w:before="240" w:after="120" w:line="360" w:lineRule="auto"/>
        <w:rPr>
          <w:color w:val="000000" w:themeColor="text1"/>
          <w:highlight w:val="none"/>
          <w14:textFill>
            <w14:solidFill>
              <w14:schemeClr w14:val="tx1"/>
            </w14:solidFill>
          </w14:textFill>
        </w:rPr>
      </w:pPr>
      <w:bookmarkStart w:id="209" w:name="_Toc410559355"/>
      <w:bookmarkStart w:id="210" w:name="_Toc411736437"/>
      <w:bookmarkStart w:id="211" w:name="_Toc476860372"/>
      <w:bookmarkStart w:id="212" w:name="_Toc247514052"/>
      <w:bookmarkStart w:id="213" w:name="_Toc253612040"/>
      <w:bookmarkStart w:id="214" w:name="_Toc247527653"/>
      <w:bookmarkStart w:id="215" w:name="_Toc411736161"/>
      <w:bookmarkStart w:id="216" w:name="_Toc300835051"/>
      <w:r>
        <w:rPr>
          <w:rFonts w:hint="eastAsia"/>
          <w:color w:val="000000" w:themeColor="text1"/>
          <w:highlight w:val="none"/>
          <w14:textFill>
            <w14:solidFill>
              <w14:schemeClr w14:val="tx1"/>
            </w14:solidFill>
          </w14:textFill>
        </w:rPr>
        <w:t>2.3 提供施工场地</w:t>
      </w:r>
      <w:bookmarkEnd w:id="209"/>
      <w:bookmarkEnd w:id="210"/>
      <w:bookmarkEnd w:id="211"/>
      <w:bookmarkEnd w:id="212"/>
      <w:bookmarkEnd w:id="213"/>
      <w:bookmarkEnd w:id="214"/>
      <w:bookmarkEnd w:id="215"/>
      <w:bookmarkEnd w:id="21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发包人应按专用合同条款约定向承包人提供施工场地及进场施工条件，并明确与承包人的交接界面。</w:t>
      </w:r>
    </w:p>
    <w:p>
      <w:pPr>
        <w:pStyle w:val="6"/>
        <w:spacing w:before="240" w:after="120" w:line="360" w:lineRule="auto"/>
        <w:rPr>
          <w:color w:val="000000" w:themeColor="text1"/>
          <w:highlight w:val="none"/>
          <w14:textFill>
            <w14:solidFill>
              <w14:schemeClr w14:val="tx1"/>
            </w14:solidFill>
          </w14:textFill>
        </w:rPr>
      </w:pPr>
      <w:bookmarkStart w:id="217" w:name="_Toc476860373"/>
      <w:bookmarkStart w:id="218" w:name="_Toc1850000632"/>
      <w:bookmarkStart w:id="219" w:name="_Toc247514053"/>
      <w:bookmarkStart w:id="220" w:name="_Toc411736438"/>
      <w:bookmarkStart w:id="221" w:name="_Toc410559356"/>
      <w:bookmarkStart w:id="222" w:name="_Toc411736162"/>
      <w:bookmarkStart w:id="223" w:name="_Toc247527654"/>
      <w:bookmarkStart w:id="224" w:name="_Toc300835052"/>
      <w:r>
        <w:rPr>
          <w:rFonts w:hint="eastAsia"/>
          <w:color w:val="000000" w:themeColor="text1"/>
          <w:highlight w:val="none"/>
          <w14:textFill>
            <w14:solidFill>
              <w14:schemeClr w14:val="tx1"/>
            </w14:solidFill>
          </w14:textFill>
        </w:rPr>
        <w:t>2.4 办理证件和批件</w:t>
      </w:r>
      <w:bookmarkEnd w:id="217"/>
      <w:bookmarkEnd w:id="218"/>
      <w:bookmarkEnd w:id="219"/>
      <w:bookmarkEnd w:id="220"/>
      <w:bookmarkEnd w:id="221"/>
      <w:bookmarkEnd w:id="222"/>
      <w:bookmarkEnd w:id="223"/>
      <w:bookmarkEnd w:id="22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法律规定和（或）合同约定由发包人负责办理的工程建设项目必须履行的各类审批、核准或备案手续，发包人应按时办理。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法律规定和（或）合同约定由承包人负责的有关设计、施工证件和批件，发包人应给予必要的协助。</w:t>
      </w:r>
    </w:p>
    <w:p>
      <w:pPr>
        <w:pStyle w:val="6"/>
        <w:spacing w:before="240" w:after="120" w:line="360" w:lineRule="auto"/>
        <w:rPr>
          <w:color w:val="000000" w:themeColor="text1"/>
          <w:highlight w:val="none"/>
          <w14:textFill>
            <w14:solidFill>
              <w14:schemeClr w14:val="tx1"/>
            </w14:solidFill>
          </w14:textFill>
        </w:rPr>
      </w:pPr>
      <w:bookmarkStart w:id="225" w:name="_Toc247527655"/>
      <w:bookmarkStart w:id="226" w:name="_Toc247514054"/>
      <w:bookmarkStart w:id="227" w:name="_Toc411736163"/>
      <w:bookmarkStart w:id="228" w:name="_Toc300835053"/>
      <w:bookmarkStart w:id="229" w:name="_Toc1692380758"/>
      <w:bookmarkStart w:id="230" w:name="_Toc411736439"/>
      <w:bookmarkStart w:id="231" w:name="_Toc476860374"/>
      <w:bookmarkStart w:id="232" w:name="_Toc410559357"/>
      <w:r>
        <w:rPr>
          <w:rFonts w:hint="eastAsia"/>
          <w:color w:val="000000" w:themeColor="text1"/>
          <w:highlight w:val="none"/>
          <w14:textFill>
            <w14:solidFill>
              <w14:schemeClr w14:val="tx1"/>
            </w14:solidFill>
          </w14:textFill>
        </w:rPr>
        <w:t>2.5</w:t>
      </w:r>
      <w:bookmarkEnd w:id="225"/>
      <w:bookmarkEnd w:id="226"/>
      <w:bookmarkStart w:id="233" w:name="_Toc247527656"/>
      <w:bookmarkStart w:id="234" w:name="_Toc247514055"/>
      <w:r>
        <w:rPr>
          <w:rFonts w:hint="eastAsia"/>
          <w:color w:val="000000" w:themeColor="text1"/>
          <w:highlight w:val="none"/>
          <w14:textFill>
            <w14:solidFill>
              <w14:schemeClr w14:val="tx1"/>
            </w14:solidFill>
          </w14:textFill>
        </w:rPr>
        <w:t xml:space="preserve"> 支付合同价款</w:t>
      </w:r>
      <w:bookmarkEnd w:id="227"/>
      <w:bookmarkEnd w:id="228"/>
      <w:bookmarkEnd w:id="229"/>
      <w:bookmarkEnd w:id="230"/>
      <w:bookmarkEnd w:id="231"/>
      <w:bookmarkEnd w:id="232"/>
      <w:bookmarkEnd w:id="233"/>
      <w:bookmarkEnd w:id="23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发包人应按合同约定向承包人及时支付合同价款。专用合同条款对发包人工程款支付担保有约定的，从其约定。</w:t>
      </w:r>
    </w:p>
    <w:p>
      <w:pPr>
        <w:pStyle w:val="6"/>
        <w:spacing w:before="240" w:after="120" w:line="360" w:lineRule="auto"/>
        <w:rPr>
          <w:color w:val="000000" w:themeColor="text1"/>
          <w:highlight w:val="none"/>
          <w14:textFill>
            <w14:solidFill>
              <w14:schemeClr w14:val="tx1"/>
            </w14:solidFill>
          </w14:textFill>
        </w:rPr>
      </w:pPr>
      <w:bookmarkStart w:id="235" w:name="_Toc476860375"/>
      <w:bookmarkStart w:id="236" w:name="_Toc410559358"/>
      <w:bookmarkStart w:id="237" w:name="_Toc300835054"/>
      <w:bookmarkStart w:id="238" w:name="_Toc422495191"/>
      <w:bookmarkStart w:id="239" w:name="_Toc411736440"/>
      <w:bookmarkStart w:id="240" w:name="_Toc247514056"/>
      <w:bookmarkStart w:id="241" w:name="_Toc411736164"/>
      <w:bookmarkStart w:id="242" w:name="_Toc247527657"/>
      <w:r>
        <w:rPr>
          <w:rFonts w:hint="eastAsia"/>
          <w:color w:val="000000" w:themeColor="text1"/>
          <w:highlight w:val="none"/>
          <w14:textFill>
            <w14:solidFill>
              <w14:schemeClr w14:val="tx1"/>
            </w14:solidFill>
          </w14:textFill>
        </w:rPr>
        <w:t>2.6 组织竣工验收</w:t>
      </w:r>
      <w:bookmarkEnd w:id="235"/>
      <w:bookmarkEnd w:id="236"/>
      <w:bookmarkEnd w:id="237"/>
      <w:bookmarkEnd w:id="238"/>
      <w:bookmarkEnd w:id="239"/>
      <w:bookmarkEnd w:id="240"/>
      <w:bookmarkEnd w:id="241"/>
      <w:bookmarkEnd w:id="24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发包人应按合同约定及时组织竣工验收。</w:t>
      </w:r>
    </w:p>
    <w:p>
      <w:pPr>
        <w:pStyle w:val="6"/>
        <w:spacing w:before="240" w:after="120" w:line="360" w:lineRule="auto"/>
        <w:rPr>
          <w:color w:val="000000" w:themeColor="text1"/>
          <w:highlight w:val="none"/>
          <w14:textFill>
            <w14:solidFill>
              <w14:schemeClr w14:val="tx1"/>
            </w14:solidFill>
          </w14:textFill>
        </w:rPr>
      </w:pPr>
      <w:bookmarkStart w:id="243" w:name="_Toc411736165"/>
      <w:bookmarkStart w:id="244" w:name="_Toc476860376"/>
      <w:bookmarkStart w:id="245" w:name="_Toc300835055"/>
      <w:bookmarkStart w:id="246" w:name="_Toc411736441"/>
      <w:bookmarkStart w:id="247" w:name="_Toc1295738155"/>
      <w:bookmarkStart w:id="248" w:name="_Toc410559359"/>
      <w:bookmarkStart w:id="249" w:name="_Toc247514057"/>
      <w:bookmarkStart w:id="250" w:name="_Toc247527658"/>
      <w:r>
        <w:rPr>
          <w:rFonts w:hint="eastAsia"/>
          <w:color w:val="000000" w:themeColor="text1"/>
          <w:highlight w:val="none"/>
          <w14:textFill>
            <w14:solidFill>
              <w14:schemeClr w14:val="tx1"/>
            </w14:solidFill>
          </w14:textFill>
        </w:rPr>
        <w:t>2.7 其他义务</w:t>
      </w:r>
      <w:bookmarkEnd w:id="243"/>
      <w:bookmarkEnd w:id="244"/>
      <w:bookmarkEnd w:id="245"/>
      <w:bookmarkEnd w:id="246"/>
      <w:bookmarkEnd w:id="247"/>
      <w:bookmarkEnd w:id="248"/>
      <w:bookmarkEnd w:id="249"/>
      <w:bookmarkEnd w:id="25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发包人应履行合同约定的其他义务。</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251" w:name="_Toc184635100"/>
      <w:bookmarkStart w:id="252" w:name="_Toc300835056"/>
      <w:bookmarkStart w:id="253" w:name="_Toc1986990505"/>
      <w:bookmarkStart w:id="254" w:name="_Toc247527659"/>
      <w:bookmarkStart w:id="255" w:name="_Toc411736442"/>
      <w:bookmarkStart w:id="256" w:name="_Toc15503"/>
      <w:bookmarkStart w:id="257" w:name="_Toc476860377"/>
      <w:bookmarkStart w:id="258" w:name="_Toc411736166"/>
      <w:bookmarkStart w:id="259" w:name="_Toc1134"/>
      <w:bookmarkStart w:id="260" w:name="_Toc247514058"/>
      <w:bookmarkStart w:id="261" w:name="_Toc410559360"/>
      <w:bookmarkStart w:id="262" w:name="_Toc147856192"/>
      <w:r>
        <w:rPr>
          <w:rStyle w:val="114"/>
          <w:rFonts w:hint="eastAsia"/>
          <w:bCs/>
          <w:color w:val="000000" w:themeColor="text1"/>
          <w:highlight w:val="none"/>
          <w14:textFill>
            <w14:solidFill>
              <w14:schemeClr w14:val="tx1"/>
            </w14:solidFill>
          </w14:textFill>
        </w:rPr>
        <w:t>3. 监理人</w:t>
      </w:r>
      <w:bookmarkEnd w:id="251"/>
      <w:bookmarkEnd w:id="252"/>
      <w:bookmarkEnd w:id="253"/>
      <w:bookmarkEnd w:id="254"/>
      <w:bookmarkEnd w:id="255"/>
      <w:bookmarkEnd w:id="256"/>
      <w:bookmarkEnd w:id="257"/>
      <w:bookmarkEnd w:id="258"/>
      <w:bookmarkEnd w:id="259"/>
      <w:bookmarkEnd w:id="260"/>
      <w:bookmarkEnd w:id="261"/>
      <w:bookmarkEnd w:id="262"/>
    </w:p>
    <w:p>
      <w:pPr>
        <w:pStyle w:val="6"/>
        <w:spacing w:before="240" w:after="120" w:line="360" w:lineRule="auto"/>
        <w:rPr>
          <w:color w:val="000000" w:themeColor="text1"/>
          <w:highlight w:val="none"/>
          <w14:textFill>
            <w14:solidFill>
              <w14:schemeClr w14:val="tx1"/>
            </w14:solidFill>
          </w14:textFill>
        </w:rPr>
      </w:pPr>
      <w:bookmarkStart w:id="263" w:name="_Toc247527660"/>
      <w:bookmarkStart w:id="264" w:name="_Toc411736167"/>
      <w:bookmarkStart w:id="265" w:name="_Toc476860378"/>
      <w:bookmarkStart w:id="266" w:name="_Toc300835057"/>
      <w:bookmarkStart w:id="267" w:name="_Toc247514059"/>
      <w:bookmarkStart w:id="268" w:name="_Toc1978706685"/>
      <w:bookmarkStart w:id="269" w:name="_Toc411736443"/>
      <w:bookmarkStart w:id="270" w:name="_Toc410559361"/>
      <w:r>
        <w:rPr>
          <w:rFonts w:hint="eastAsia"/>
          <w:color w:val="000000" w:themeColor="text1"/>
          <w:highlight w:val="none"/>
          <w14:textFill>
            <w14:solidFill>
              <w14:schemeClr w14:val="tx1"/>
            </w14:solidFill>
          </w14:textFill>
        </w:rPr>
        <w:t>3.1 监理人的职责和权力</w:t>
      </w:r>
      <w:bookmarkEnd w:id="263"/>
      <w:bookmarkEnd w:id="264"/>
      <w:bookmarkEnd w:id="265"/>
      <w:bookmarkEnd w:id="266"/>
      <w:bookmarkEnd w:id="267"/>
      <w:bookmarkEnd w:id="268"/>
      <w:bookmarkEnd w:id="269"/>
      <w:bookmarkEnd w:id="27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3.1.1 监理人受发包人委托，享有合同约定的权力，其所发出的任何指示应视为已得到发包人的批准。监理人在行使某项权力前需要经发包人事先批准而通用合同条款没有指明的，应在专用合同条款中指明。未经发包人批准，监理人无权修改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3.1.2 合同约定应由承包人承担的义务和责任，不因监理人对承包人文件的审查或批准，对工程、材料和工程设备的检查和检验，以及为实施监理作出的指示等职务行为而减轻或解除。</w:t>
      </w:r>
    </w:p>
    <w:p>
      <w:pPr>
        <w:pStyle w:val="6"/>
        <w:spacing w:before="240" w:after="120" w:line="360" w:lineRule="auto"/>
        <w:rPr>
          <w:color w:val="000000" w:themeColor="text1"/>
          <w:highlight w:val="none"/>
          <w14:textFill>
            <w14:solidFill>
              <w14:schemeClr w14:val="tx1"/>
            </w14:solidFill>
          </w14:textFill>
        </w:rPr>
      </w:pPr>
      <w:bookmarkStart w:id="271" w:name="_Toc411736444"/>
      <w:bookmarkStart w:id="272" w:name="_Toc300835058"/>
      <w:bookmarkStart w:id="273" w:name="_Toc247527661"/>
      <w:bookmarkStart w:id="274" w:name="_Toc476860379"/>
      <w:bookmarkStart w:id="275" w:name="_Toc411736168"/>
      <w:bookmarkStart w:id="276" w:name="_Toc191497353"/>
      <w:bookmarkStart w:id="277" w:name="_Toc410559362"/>
      <w:bookmarkStart w:id="278" w:name="_Toc247514060"/>
      <w:r>
        <w:rPr>
          <w:rFonts w:hint="eastAsia"/>
          <w:color w:val="000000" w:themeColor="text1"/>
          <w:highlight w:val="none"/>
          <w14:textFill>
            <w14:solidFill>
              <w14:schemeClr w14:val="tx1"/>
            </w14:solidFill>
          </w14:textFill>
        </w:rPr>
        <w:t>3.2 总监理工程师</w:t>
      </w:r>
      <w:bookmarkEnd w:id="271"/>
      <w:bookmarkEnd w:id="272"/>
      <w:bookmarkEnd w:id="273"/>
      <w:bookmarkEnd w:id="274"/>
      <w:bookmarkEnd w:id="275"/>
      <w:bookmarkEnd w:id="276"/>
      <w:bookmarkEnd w:id="277"/>
      <w:bookmarkEnd w:id="27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发包人应在发出开始工作通知前将总监理工程师的任命通知承包人。总监理工程师更换时，应提前14 天通知承包人。总监理工程师超过２天不能履行职责的，应委派代表代行其职责，并通知承包人。</w:t>
      </w:r>
    </w:p>
    <w:p>
      <w:pPr>
        <w:pStyle w:val="6"/>
        <w:spacing w:before="240" w:after="120" w:line="360" w:lineRule="auto"/>
        <w:rPr>
          <w:color w:val="000000" w:themeColor="text1"/>
          <w:highlight w:val="none"/>
          <w14:textFill>
            <w14:solidFill>
              <w14:schemeClr w14:val="tx1"/>
            </w14:solidFill>
          </w14:textFill>
        </w:rPr>
      </w:pPr>
      <w:bookmarkStart w:id="279" w:name="_Toc411736445"/>
      <w:bookmarkStart w:id="280" w:name="_Toc411736169"/>
      <w:bookmarkStart w:id="281" w:name="_Toc247514061"/>
      <w:bookmarkStart w:id="282" w:name="_Toc410559363"/>
      <w:bookmarkStart w:id="283" w:name="_Toc300835059"/>
      <w:bookmarkStart w:id="284" w:name="_Toc1565508665"/>
      <w:bookmarkStart w:id="285" w:name="_Toc476860380"/>
      <w:bookmarkStart w:id="286" w:name="_Toc247527662"/>
      <w:r>
        <w:rPr>
          <w:rFonts w:hint="eastAsia"/>
          <w:color w:val="000000" w:themeColor="text1"/>
          <w:highlight w:val="none"/>
          <w14:textFill>
            <w14:solidFill>
              <w14:schemeClr w14:val="tx1"/>
            </w14:solidFill>
          </w14:textFill>
        </w:rPr>
        <w:t>3.3 监理人员</w:t>
      </w:r>
      <w:bookmarkEnd w:id="279"/>
      <w:bookmarkEnd w:id="280"/>
      <w:bookmarkEnd w:id="281"/>
      <w:bookmarkEnd w:id="282"/>
      <w:bookmarkEnd w:id="283"/>
      <w:bookmarkEnd w:id="284"/>
      <w:bookmarkEnd w:id="285"/>
      <w:bookmarkEnd w:id="28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3.3.1 总监理工程师可以授权其他监理人员负责执行其指派的一项或多项监理工作。总监理工程师应将被授权监理人员的姓名及其授权范围通知承包人。被授权的监理人员在授权范围内发出的指示视为已得到总监理工程师的同意，与总监理工程师发出的指示具有同等效力。总监理工程师撤销某项授权时，应将撤销授权的决定及时通知发包人和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3.3.2 总监理工程师授权的监理人员对承包人文件、工程或其采用的材料和工程设备未在约定的或合理的期限内提出否定意见的，视为已获批准，但不影响监理人在以后拒绝该项工作、工程、材料或工程设备的权利，监理人的拒绝应当符合法律规定和合同约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3.3.3 承包人对总监理工程师授权的监理人员发出的指示有疑问的，可在该指示发出的48小时内向总监理工程师提出书面异议，总监理工程师应在48小时内对该指示予以确认、更改或撤销。</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3.3.4 除专用合同条款另有约定外，总监理工程师不应将第3.5 款约定应由总监理工程师作出确定的权力授权或委托给其他监理人员。</w:t>
      </w:r>
    </w:p>
    <w:p>
      <w:pPr>
        <w:pStyle w:val="6"/>
        <w:spacing w:before="240" w:after="120" w:line="360" w:lineRule="auto"/>
        <w:rPr>
          <w:color w:val="000000" w:themeColor="text1"/>
          <w:highlight w:val="none"/>
          <w14:textFill>
            <w14:solidFill>
              <w14:schemeClr w14:val="tx1"/>
            </w14:solidFill>
          </w14:textFill>
        </w:rPr>
      </w:pPr>
      <w:bookmarkStart w:id="287" w:name="_Toc247527663"/>
      <w:bookmarkStart w:id="288" w:name="_Toc410559364"/>
      <w:bookmarkStart w:id="289" w:name="_Toc300835060"/>
      <w:bookmarkStart w:id="290" w:name="_Toc247514062"/>
      <w:bookmarkStart w:id="291" w:name="_Toc411736170"/>
      <w:bookmarkStart w:id="292" w:name="_Toc476860381"/>
      <w:bookmarkStart w:id="293" w:name="_Toc534489611"/>
      <w:bookmarkStart w:id="294" w:name="_Toc411736446"/>
      <w:r>
        <w:rPr>
          <w:rFonts w:hint="eastAsia"/>
          <w:color w:val="000000" w:themeColor="text1"/>
          <w:highlight w:val="none"/>
          <w14:textFill>
            <w14:solidFill>
              <w14:schemeClr w14:val="tx1"/>
            </w14:solidFill>
          </w14:textFill>
        </w:rPr>
        <w:t>3.4 监理人的指示</w:t>
      </w:r>
      <w:bookmarkEnd w:id="287"/>
      <w:bookmarkEnd w:id="288"/>
      <w:bookmarkEnd w:id="289"/>
      <w:bookmarkEnd w:id="290"/>
      <w:bookmarkEnd w:id="291"/>
      <w:bookmarkEnd w:id="292"/>
      <w:bookmarkEnd w:id="293"/>
      <w:bookmarkEnd w:id="29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3.4.1 监理人应按第3.1 款的约定向承包人发出指示，监理人的指示应盖有监理人授权的项目管理机构章，并由总监理工程师或总监理工程师约定授权的监理人员签字。</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3.4.2 承包人收到监理人作出的指示后应遵照执行。指示构成变更的，应按第15条执行。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3.4.3 在紧急情况下，总监理工程师或其授权的监理人员可以当场签发临时书面指示，承包人应遵照执行。监理应在临时书面指示发出后24小时内发出书面确认函，监理人在24小时内未发出书面确认函的，该临时书面指示应被视为监理人的正式指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3.4.4 除合同另有约定外，承包人只从总监理工程师或按第3.3.1项被授权的监理人员处取得指示。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3.4.5 由于监理人未能按合同约定发出指示、指示延误或指示错误而导致承包人费用增加和（或）工期延误的，发包人应承担由此增加的费用和（或）工期延误，并向承包人支付合理利润。</w:t>
      </w:r>
    </w:p>
    <w:p>
      <w:pPr>
        <w:pStyle w:val="6"/>
        <w:spacing w:before="240" w:after="120" w:line="360" w:lineRule="auto"/>
        <w:rPr>
          <w:color w:val="000000" w:themeColor="text1"/>
          <w:highlight w:val="none"/>
          <w14:textFill>
            <w14:solidFill>
              <w14:schemeClr w14:val="tx1"/>
            </w14:solidFill>
          </w14:textFill>
        </w:rPr>
      </w:pPr>
      <w:bookmarkStart w:id="295" w:name="_Toc411736447"/>
      <w:bookmarkStart w:id="296" w:name="_Toc300835061"/>
      <w:bookmarkStart w:id="297" w:name="_Toc411736171"/>
      <w:bookmarkStart w:id="298" w:name="_Toc410559365"/>
      <w:bookmarkStart w:id="299" w:name="_Toc247514063"/>
      <w:bookmarkStart w:id="300" w:name="_Toc476860382"/>
      <w:bookmarkStart w:id="301" w:name="_Toc247527664"/>
      <w:bookmarkStart w:id="302" w:name="_Toc242796676"/>
      <w:r>
        <w:rPr>
          <w:rFonts w:hint="eastAsia"/>
          <w:color w:val="000000" w:themeColor="text1"/>
          <w:highlight w:val="none"/>
          <w14:textFill>
            <w14:solidFill>
              <w14:schemeClr w14:val="tx1"/>
            </w14:solidFill>
          </w14:textFill>
        </w:rPr>
        <w:t>3.5 商定或确定</w:t>
      </w:r>
      <w:bookmarkEnd w:id="295"/>
      <w:bookmarkEnd w:id="296"/>
      <w:bookmarkEnd w:id="297"/>
      <w:bookmarkEnd w:id="298"/>
      <w:bookmarkEnd w:id="299"/>
      <w:bookmarkEnd w:id="300"/>
      <w:bookmarkEnd w:id="301"/>
      <w:bookmarkEnd w:id="30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3.5.1 合同约定总监理工程师应按照本款对任何事项进行商定或确定时，总监理工程师应与合同当事人协商，尽量达成一致。不能达成一致的，总监理工程师应认真研究后审慎确定。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3.5.2 总监理工程师应将商定或确定的事项通知合同当事人，并附详细依据。对总监理工程师的确定有异议的，构成争议，按照第24 条的约定处理。在争议解决前，双方应暂按总监理工程师的确定执行，按照第24 条的约定对总监理工程师的确定作出修改的，按修改后的结果执行，由此导致承包人增加的费用和（或）延误的工期由发包人承担。</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303" w:name="_Toc300835062"/>
      <w:bookmarkStart w:id="304" w:name="_Toc247514064"/>
      <w:bookmarkStart w:id="305" w:name="_Toc411736448"/>
      <w:bookmarkStart w:id="306" w:name="_Toc247527665"/>
      <w:bookmarkStart w:id="307" w:name="_Toc464804232"/>
      <w:bookmarkStart w:id="308" w:name="_Toc7357"/>
      <w:bookmarkStart w:id="309" w:name="_Toc411736172"/>
      <w:bookmarkStart w:id="310" w:name="_Toc22565"/>
      <w:bookmarkStart w:id="311" w:name="_Toc410559366"/>
      <w:bookmarkStart w:id="312" w:name="_Toc476860383"/>
      <w:bookmarkStart w:id="313" w:name="_Toc184635101"/>
      <w:bookmarkStart w:id="314" w:name="_Toc147856193"/>
      <w:r>
        <w:rPr>
          <w:rStyle w:val="114"/>
          <w:rFonts w:hint="eastAsia"/>
          <w:bCs/>
          <w:color w:val="000000" w:themeColor="text1"/>
          <w:highlight w:val="none"/>
          <w14:textFill>
            <w14:solidFill>
              <w14:schemeClr w14:val="tx1"/>
            </w14:solidFill>
          </w14:textFill>
        </w:rPr>
        <w:t>4. 承包人</w:t>
      </w:r>
      <w:bookmarkEnd w:id="303"/>
      <w:bookmarkEnd w:id="304"/>
      <w:bookmarkEnd w:id="305"/>
      <w:bookmarkEnd w:id="306"/>
      <w:bookmarkEnd w:id="307"/>
      <w:bookmarkEnd w:id="308"/>
      <w:bookmarkEnd w:id="309"/>
      <w:bookmarkEnd w:id="310"/>
      <w:bookmarkEnd w:id="311"/>
      <w:bookmarkEnd w:id="312"/>
      <w:bookmarkEnd w:id="313"/>
      <w:bookmarkEnd w:id="314"/>
    </w:p>
    <w:p>
      <w:pPr>
        <w:pStyle w:val="6"/>
        <w:spacing w:before="240" w:after="120" w:line="360" w:lineRule="auto"/>
        <w:rPr>
          <w:color w:val="000000" w:themeColor="text1"/>
          <w:highlight w:val="none"/>
          <w14:textFill>
            <w14:solidFill>
              <w14:schemeClr w14:val="tx1"/>
            </w14:solidFill>
          </w14:textFill>
        </w:rPr>
      </w:pPr>
      <w:bookmarkStart w:id="315" w:name="_Toc411736449"/>
      <w:bookmarkStart w:id="316" w:name="_Toc247514065"/>
      <w:bookmarkStart w:id="317" w:name="_Toc1566703085"/>
      <w:bookmarkStart w:id="318" w:name="_Toc411736173"/>
      <w:bookmarkStart w:id="319" w:name="_Toc476860384"/>
      <w:bookmarkStart w:id="320" w:name="_Toc247527666"/>
      <w:bookmarkStart w:id="321" w:name="_Toc300835063"/>
      <w:bookmarkStart w:id="322" w:name="_Toc410559367"/>
      <w:r>
        <w:rPr>
          <w:rFonts w:hint="eastAsia"/>
          <w:color w:val="000000" w:themeColor="text1"/>
          <w:highlight w:val="none"/>
          <w14:textFill>
            <w14:solidFill>
              <w14:schemeClr w14:val="tx1"/>
            </w14:solidFill>
          </w14:textFill>
        </w:rPr>
        <w:t>4.1 承包人的一般义务</w:t>
      </w:r>
      <w:bookmarkEnd w:id="315"/>
      <w:bookmarkEnd w:id="316"/>
      <w:bookmarkEnd w:id="317"/>
      <w:bookmarkEnd w:id="318"/>
      <w:bookmarkEnd w:id="319"/>
      <w:bookmarkEnd w:id="320"/>
      <w:bookmarkEnd w:id="321"/>
      <w:bookmarkEnd w:id="322"/>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4.1.1 遵守法律</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承包人在履行合同过程中应遵守法律，并保证发包人免于承担因承包人违反法律而引起的任何责任。</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4.1.2 依法纳税</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承包人应按有关法律规定纳税，应缴纳的税金包括在合同价格内。</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4.1.3 完成各项承包工作</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合同约定以及监理人根据第3.4款作出的指示，完成合同约定的全部工作，并对工作中的任何缺陷进行整改、完善和修补，使其满足合同约定的目的。除专用合同条款另有约定外，承包人应提供合同约定的工程设备和承包人文件，以及为完成合同工作所需的劳务、材料、施工设备和其他物品，并按合同约定负责临时设施的设计、施工、运行、维护、管理和拆除。</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4.1.4 对设计、施工作业和施工方法，以及工程的完备性负责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承包人应按合同约定的工作内容和进度要求，编制设计、施工的组织和实施计划，并对所有设计、施工作业和施工方法，以及全部工程的完备性和安全可靠性负责。</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4.1.5 保证工程施工和人员的安全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承包人应按第10.2 款约定采取施工安全措施，确保工程及其人员、材料、设备和设施的安全，防止因工程施工造成的人身伤害和财产损失。</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4.1.6 负责施工场地及其周边环境与生态的保护工作</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承包人应按照第10.4 款约定负责施工场地及其周边环境与生态的保护工作。</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4.1.7 避免施工对公众与他人的利益造成损害</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4.1.8 为他人提供方便</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承包人应按监理人的指示为他人在施工场地或附近实施与工程有关的其他各项工作提供可能的条件。除合同另有约定外，提供有关条件的内容和可能发生的费用，由监理人按第3.5 款商定或确定。</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4.1.9 工程的维护和照管</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工程接收证书颁发前，承包人应负责照管和维护工程。工程接收证书颁发时尚有部分未竣工工程的，承包人还应负责该未竣工工程的照管和维护工作，直至竣工后移交给发包人。</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4.1.10 其他义务</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承包人应履行合同约定的其他义务。</w:t>
      </w:r>
    </w:p>
    <w:p>
      <w:pPr>
        <w:pStyle w:val="6"/>
        <w:spacing w:before="240" w:after="120" w:line="360" w:lineRule="auto"/>
        <w:rPr>
          <w:color w:val="000000" w:themeColor="text1"/>
          <w:highlight w:val="none"/>
          <w14:textFill>
            <w14:solidFill>
              <w14:schemeClr w14:val="tx1"/>
            </w14:solidFill>
          </w14:textFill>
        </w:rPr>
      </w:pPr>
      <w:bookmarkStart w:id="323" w:name="_Toc300835064"/>
      <w:bookmarkStart w:id="324" w:name="_Toc411736450"/>
      <w:bookmarkStart w:id="325" w:name="_Toc411736174"/>
      <w:bookmarkStart w:id="326" w:name="_Toc247514066"/>
      <w:bookmarkStart w:id="327" w:name="_Toc410559368"/>
      <w:bookmarkStart w:id="328" w:name="_Toc1281753728"/>
      <w:bookmarkStart w:id="329" w:name="_Toc476860385"/>
      <w:bookmarkStart w:id="330" w:name="_Toc247527667"/>
      <w:r>
        <w:rPr>
          <w:rFonts w:hint="eastAsia"/>
          <w:color w:val="000000" w:themeColor="text1"/>
          <w:highlight w:val="none"/>
          <w14:textFill>
            <w14:solidFill>
              <w14:schemeClr w14:val="tx1"/>
            </w14:solidFill>
          </w14:textFill>
        </w:rPr>
        <w:t>4.2 履约担保</w:t>
      </w:r>
      <w:bookmarkEnd w:id="323"/>
      <w:bookmarkEnd w:id="324"/>
      <w:bookmarkEnd w:id="325"/>
      <w:bookmarkEnd w:id="326"/>
      <w:bookmarkEnd w:id="327"/>
      <w:bookmarkEnd w:id="328"/>
      <w:bookmarkEnd w:id="329"/>
      <w:bookmarkEnd w:id="33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4.2.1 承包人应保证其履约担保在发包人颁发工程接收证书前一直有效。发包人应在工程接收证书颁发后</w:t>
      </w:r>
      <w:r>
        <w:rPr>
          <w:color w:val="000000" w:themeColor="text1"/>
          <w:sz w:val="21"/>
          <w:szCs w:val="21"/>
          <w:highlight w:val="none"/>
          <w14:textFill>
            <w14:solidFill>
              <w14:schemeClr w14:val="tx1"/>
            </w14:solidFill>
          </w14:textFill>
        </w:rPr>
        <w:t>28天内</w:t>
      </w:r>
      <w:r>
        <w:rPr>
          <w:rFonts w:hint="eastAsia"/>
          <w:color w:val="000000" w:themeColor="text1"/>
          <w:sz w:val="21"/>
          <w:szCs w:val="21"/>
          <w:highlight w:val="none"/>
          <w14:textFill>
            <w14:solidFill>
              <w14:schemeClr w14:val="tx1"/>
            </w14:solidFill>
          </w14:textFill>
        </w:rPr>
        <w:t>将履约担保退还给承包人。需进行竣工后试验的，承包人应保证其履约担保在竣工后试验通过前一直有效，发包人应在通过竣工验收后7天内将履约担保退还给承包人。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4.2.2 如工程延期，承包人有义务继续提供履约担保。由于发包人原因导致延期的，继续提供履约担保所需的费用由发包人承担；由于承包人原因导致延期的，继续提供履约担保所需费用由承包人承担。</w:t>
      </w:r>
    </w:p>
    <w:p>
      <w:pPr>
        <w:pStyle w:val="6"/>
        <w:spacing w:before="240" w:after="120" w:line="360" w:lineRule="auto"/>
        <w:rPr>
          <w:color w:val="000000" w:themeColor="text1"/>
          <w:highlight w:val="none"/>
          <w14:textFill>
            <w14:solidFill>
              <w14:schemeClr w14:val="tx1"/>
            </w14:solidFill>
          </w14:textFill>
        </w:rPr>
      </w:pPr>
      <w:bookmarkStart w:id="331" w:name="_Toc247514067"/>
      <w:bookmarkStart w:id="332" w:name="_Toc247527668"/>
      <w:bookmarkStart w:id="333" w:name="_Toc300835065"/>
      <w:bookmarkStart w:id="334" w:name="_Toc476860386"/>
      <w:bookmarkStart w:id="335" w:name="_Toc411736451"/>
      <w:bookmarkStart w:id="336" w:name="_Toc410559369"/>
      <w:bookmarkStart w:id="337" w:name="_Toc411736175"/>
      <w:bookmarkStart w:id="338" w:name="_Toc1026443439"/>
      <w:r>
        <w:rPr>
          <w:rFonts w:hint="eastAsia"/>
          <w:color w:val="000000" w:themeColor="text1"/>
          <w:highlight w:val="none"/>
          <w14:textFill>
            <w14:solidFill>
              <w14:schemeClr w14:val="tx1"/>
            </w14:solidFill>
          </w14:textFill>
        </w:rPr>
        <w:t>4.3 分包</w:t>
      </w:r>
      <w:bookmarkEnd w:id="331"/>
      <w:bookmarkEnd w:id="332"/>
      <w:r>
        <w:rPr>
          <w:rFonts w:hint="eastAsia"/>
          <w:color w:val="000000" w:themeColor="text1"/>
          <w:highlight w:val="none"/>
          <w14:textFill>
            <w14:solidFill>
              <w14:schemeClr w14:val="tx1"/>
            </w14:solidFill>
          </w14:textFill>
        </w:rPr>
        <w:t>和不得转包</w:t>
      </w:r>
      <w:bookmarkEnd w:id="333"/>
      <w:bookmarkEnd w:id="334"/>
      <w:bookmarkEnd w:id="335"/>
      <w:bookmarkEnd w:id="336"/>
      <w:bookmarkEnd w:id="337"/>
      <w:bookmarkEnd w:id="33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4.3.1 承包人不得将其承包的全部工程转包给第三人，也不得将其承包的全部工程肢解后以分包的名义分别转包给第三人。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4.3.2 承包人不得将设计和施工的主体、关键性工作分包给第三人。除专用合同条款另有约定外，未经发包人同意，承包人也不得将非主体、非关键性工作分包给第三人。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4.3.3 分包人的资格能力应与其分包工作的标准和规模相适应。</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4.3.4 发包人同意承包人分包工作的，承包人应向发包人和监理人提交分包合同副本。</w:t>
      </w:r>
    </w:p>
    <w:p>
      <w:pPr>
        <w:pStyle w:val="6"/>
        <w:spacing w:before="240" w:after="120" w:line="360" w:lineRule="auto"/>
        <w:rPr>
          <w:color w:val="000000" w:themeColor="text1"/>
          <w:highlight w:val="none"/>
          <w14:textFill>
            <w14:solidFill>
              <w14:schemeClr w14:val="tx1"/>
            </w14:solidFill>
          </w14:textFill>
        </w:rPr>
      </w:pPr>
      <w:bookmarkStart w:id="339" w:name="_Toc476860387"/>
      <w:bookmarkStart w:id="340" w:name="_Toc698742922"/>
      <w:bookmarkStart w:id="341" w:name="_Toc410559370"/>
      <w:bookmarkStart w:id="342" w:name="_Toc411736452"/>
      <w:bookmarkStart w:id="343" w:name="_Toc247527669"/>
      <w:bookmarkStart w:id="344" w:name="_Toc247514068"/>
      <w:bookmarkStart w:id="345" w:name="_Toc300835066"/>
      <w:bookmarkStart w:id="346" w:name="_Toc411736176"/>
      <w:r>
        <w:rPr>
          <w:rFonts w:hint="eastAsia"/>
          <w:color w:val="000000" w:themeColor="text1"/>
          <w:highlight w:val="none"/>
          <w14:textFill>
            <w14:solidFill>
              <w14:schemeClr w14:val="tx1"/>
            </w14:solidFill>
          </w14:textFill>
        </w:rPr>
        <w:t>4.4 联合体</w:t>
      </w:r>
      <w:bookmarkEnd w:id="339"/>
      <w:bookmarkEnd w:id="340"/>
      <w:bookmarkEnd w:id="341"/>
      <w:bookmarkEnd w:id="342"/>
      <w:bookmarkEnd w:id="343"/>
      <w:bookmarkEnd w:id="344"/>
      <w:bookmarkEnd w:id="345"/>
      <w:bookmarkEnd w:id="34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4.4.1 联合体各方应共同与发包人签订合同。联合体各方应为履行合同承担连带责任。</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4.4.2 联合体协议经发包人确认后作为合同附件。在履行合同过程中，未经发包人同意，不得修改联合体协议。</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4.4.3 联合体主办方或联合体授权的代表负责与发包人和监理人联系，并接受指示，负责组织联合体各成员全面履行合同。</w:t>
      </w:r>
    </w:p>
    <w:p>
      <w:pPr>
        <w:pStyle w:val="6"/>
        <w:spacing w:before="240" w:after="120" w:line="360" w:lineRule="auto"/>
        <w:rPr>
          <w:color w:val="000000" w:themeColor="text1"/>
          <w:highlight w:val="none"/>
          <w14:textFill>
            <w14:solidFill>
              <w14:schemeClr w14:val="tx1"/>
            </w14:solidFill>
          </w14:textFill>
        </w:rPr>
      </w:pPr>
      <w:bookmarkStart w:id="347" w:name="_Toc410559371"/>
      <w:bookmarkStart w:id="348" w:name="_Toc411736177"/>
      <w:bookmarkStart w:id="349" w:name="_Toc1331708258"/>
      <w:bookmarkStart w:id="350" w:name="_Toc411736453"/>
      <w:bookmarkStart w:id="351" w:name="_Toc247527670"/>
      <w:bookmarkStart w:id="352" w:name="_Toc247514069"/>
      <w:bookmarkStart w:id="353" w:name="_Toc300835067"/>
      <w:bookmarkStart w:id="354" w:name="_Toc476860388"/>
      <w:r>
        <w:rPr>
          <w:rFonts w:hint="eastAsia"/>
          <w:color w:val="000000" w:themeColor="text1"/>
          <w:highlight w:val="none"/>
          <w14:textFill>
            <w14:solidFill>
              <w14:schemeClr w14:val="tx1"/>
            </w14:solidFill>
          </w14:textFill>
        </w:rPr>
        <w:t>4.5 承包人项目经理</w:t>
      </w:r>
      <w:bookmarkEnd w:id="347"/>
      <w:bookmarkEnd w:id="348"/>
      <w:bookmarkEnd w:id="349"/>
      <w:bookmarkEnd w:id="350"/>
      <w:bookmarkEnd w:id="351"/>
      <w:bookmarkEnd w:id="352"/>
      <w:bookmarkEnd w:id="353"/>
      <w:bookmarkEnd w:id="35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4.5.1 承包人应按合同协议书的约定指派项目经理，并在约定的期限内到职。承包人更换项目经理应事先征得发包人同意，并应在更换14天前将拟更换的项目经理的姓名和详细资料提交发包人和监理人。承包人项目经理2天内不能履行职责的，应事先征得监理人同意，并委派代表代行其职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4.5.2 承包人项目经理应按合同约定以及监理人按第3.4 款作出的指示，负责组织合同工作的实施。在情况紧急且无法与监理人取得联系时，可采取保证工程和人员生命财产安全的紧急措施，并在采取措施后24小时内向监理人提交书面报告。</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4.5.3 承包人为履行合同发出的一切函件均应盖有承包人单位章或由承包人项目经理签字。</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4.5.4 承包人项目经理可以授权其下属人员履行其某项职责，但事先应将这些人员的姓名和授权范围书面通知发包人和监理人。</w:t>
      </w:r>
    </w:p>
    <w:p>
      <w:pPr>
        <w:pStyle w:val="6"/>
        <w:spacing w:before="240" w:after="120" w:line="360" w:lineRule="auto"/>
        <w:rPr>
          <w:color w:val="000000" w:themeColor="text1"/>
          <w:highlight w:val="none"/>
          <w14:textFill>
            <w14:solidFill>
              <w14:schemeClr w14:val="tx1"/>
            </w14:solidFill>
          </w14:textFill>
        </w:rPr>
      </w:pPr>
      <w:bookmarkStart w:id="355" w:name="_Toc247527671"/>
      <w:bookmarkStart w:id="356" w:name="_Toc411736454"/>
      <w:bookmarkStart w:id="357" w:name="_Toc247514070"/>
      <w:bookmarkStart w:id="358" w:name="_Toc476860389"/>
      <w:bookmarkStart w:id="359" w:name="_Toc946123172"/>
      <w:bookmarkStart w:id="360" w:name="_Toc410559372"/>
      <w:bookmarkStart w:id="361" w:name="_Toc411736178"/>
      <w:bookmarkStart w:id="362" w:name="_Toc300835068"/>
      <w:r>
        <w:rPr>
          <w:rFonts w:hint="eastAsia"/>
          <w:color w:val="000000" w:themeColor="text1"/>
          <w:highlight w:val="none"/>
          <w14:textFill>
            <w14:solidFill>
              <w14:schemeClr w14:val="tx1"/>
            </w14:solidFill>
          </w14:textFill>
        </w:rPr>
        <w:t>4.6 承包人人员的管理</w:t>
      </w:r>
      <w:bookmarkEnd w:id="355"/>
      <w:bookmarkEnd w:id="356"/>
      <w:bookmarkEnd w:id="357"/>
      <w:bookmarkEnd w:id="358"/>
      <w:bookmarkEnd w:id="359"/>
      <w:bookmarkEnd w:id="360"/>
      <w:bookmarkEnd w:id="361"/>
      <w:bookmarkEnd w:id="36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4.6.1 承包人应在接到开始工作通知之日起28天内，向监理人提交承包人的项目管理机构以及人员安排的报告，其内容应包括项目管理机构的设置、各主要岗位的技术和管理人员名单及其资格，以及设计人员和各工种技术工人的安排状况。承包人安排的主要管理人员和技术人员应相对稳定，更换主要管理人员和技术人员的，应取得监理人的同意,并向监理人提交继任人员的资格、管理经验等资料。项目经理的更换，应按照本章第4.5款规定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4.6.2 承包人安排的主要管理人员包括项目经理、设计负责人、施工负责人、采购负责人以及专职质量、安全生产管理人员等；技术人员包括设计师、建筑师、土木工程师、设备工程师、建造师等。</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4.6.3 承包人的设计人员应由具有国家规定和发包人要求中约定的资格，并具有从事设计所必需的经验与能力。</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承包人应保证其设计人员（包括分包人的设计人员）在合同期限内的任何时候，都能按时参加发包人或其委托的监理人组织的工作会议。</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4.6.4 国家规定应当持证上岗的工作人员均应持有相应的资格证明，监理人有权随时检查。监理人认为有必要时，可进行现场考核。</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4.6.5 除专用合同条款另有约定外，承包人的主要施工管理人员离开施工现场连续超过3天的，应事先征得监理人同意。承包人擅自更换项目经理或主要施工管理人员，或前述人员未经监理人许可擅自离开施工现场连续超过3天的，应按照专用合同条款约定承担违约责任。</w:t>
      </w:r>
    </w:p>
    <w:p>
      <w:pPr>
        <w:pStyle w:val="6"/>
        <w:spacing w:before="240" w:after="120" w:line="360" w:lineRule="auto"/>
        <w:rPr>
          <w:color w:val="000000" w:themeColor="text1"/>
          <w:highlight w:val="none"/>
          <w14:textFill>
            <w14:solidFill>
              <w14:schemeClr w14:val="tx1"/>
            </w14:solidFill>
          </w14:textFill>
        </w:rPr>
      </w:pPr>
      <w:bookmarkStart w:id="363" w:name="_Toc1523229416"/>
      <w:bookmarkStart w:id="364" w:name="_Toc247527672"/>
      <w:bookmarkStart w:id="365" w:name="_Toc411736455"/>
      <w:bookmarkStart w:id="366" w:name="_Toc476860390"/>
      <w:bookmarkStart w:id="367" w:name="_Toc411736179"/>
      <w:bookmarkStart w:id="368" w:name="_Toc247514071"/>
      <w:bookmarkStart w:id="369" w:name="_Toc300835069"/>
      <w:bookmarkStart w:id="370" w:name="_Toc410559373"/>
      <w:r>
        <w:rPr>
          <w:rFonts w:hint="eastAsia"/>
          <w:color w:val="000000" w:themeColor="text1"/>
          <w:highlight w:val="none"/>
          <w14:textFill>
            <w14:solidFill>
              <w14:schemeClr w14:val="tx1"/>
            </w14:solidFill>
          </w14:textFill>
        </w:rPr>
        <w:t>4.7 撤换承包人项目经理和其他人员</w:t>
      </w:r>
      <w:bookmarkEnd w:id="363"/>
      <w:bookmarkEnd w:id="364"/>
      <w:bookmarkEnd w:id="365"/>
      <w:bookmarkEnd w:id="366"/>
      <w:bookmarkEnd w:id="367"/>
      <w:bookmarkEnd w:id="368"/>
      <w:bookmarkEnd w:id="369"/>
      <w:bookmarkEnd w:id="37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承包人应对其项目经理和其他人员进行有效管理。监理人要求撤换不能胜任本职工作、行为不端或玩忽职守的承包人项目经理和其他人员的，承包人应予以撤换。</w:t>
      </w:r>
    </w:p>
    <w:p>
      <w:pPr>
        <w:pStyle w:val="6"/>
        <w:spacing w:before="240" w:after="120" w:line="360" w:lineRule="auto"/>
        <w:rPr>
          <w:color w:val="000000" w:themeColor="text1"/>
          <w:highlight w:val="none"/>
          <w14:textFill>
            <w14:solidFill>
              <w14:schemeClr w14:val="tx1"/>
            </w14:solidFill>
          </w14:textFill>
        </w:rPr>
      </w:pPr>
      <w:bookmarkStart w:id="371" w:name="_Toc247527673"/>
      <w:bookmarkStart w:id="372" w:name="_Toc300835070"/>
      <w:bookmarkStart w:id="373" w:name="_Toc764238825"/>
      <w:bookmarkStart w:id="374" w:name="_Toc247514072"/>
      <w:bookmarkStart w:id="375" w:name="_Toc411736180"/>
      <w:bookmarkStart w:id="376" w:name="_Toc410559374"/>
      <w:bookmarkStart w:id="377" w:name="_Toc411736456"/>
      <w:bookmarkStart w:id="378" w:name="_Toc476860391"/>
      <w:r>
        <w:rPr>
          <w:rFonts w:hint="eastAsia"/>
          <w:color w:val="000000" w:themeColor="text1"/>
          <w:highlight w:val="none"/>
          <w14:textFill>
            <w14:solidFill>
              <w14:schemeClr w14:val="tx1"/>
            </w14:solidFill>
          </w14:textFill>
        </w:rPr>
        <w:t>4.8 保障承包人人员的合法权益</w:t>
      </w:r>
      <w:bookmarkEnd w:id="371"/>
      <w:bookmarkEnd w:id="372"/>
      <w:bookmarkEnd w:id="373"/>
      <w:bookmarkEnd w:id="374"/>
      <w:bookmarkEnd w:id="375"/>
      <w:bookmarkEnd w:id="376"/>
      <w:bookmarkEnd w:id="377"/>
      <w:bookmarkEnd w:id="37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4.8.1 承包人应与其雇佣的人员签订劳动合同，并按时发放工资。</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4.8.2 承包人应按劳动法的规定安排工作时间，保证其雇佣人员享有休息和休假的权利。因设计、施工的特殊需要占用休假日或延长工作时间的，应不超过法律规定的限度，并按法律规定给予补休或付酬。</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4.8.3 承包人应为其雇佣人员提供必要的食宿条件，以及符合环境保护和卫生要求的生活环境，在远离城镇的施工场地，还应配备必要的伤病防治和急救的医务人员与医疗设施。</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4.8.4 承包人应按国家有关劳动保护的规定，采取有效的防止粉尘、降低噪声、控制有害气体和保障高温、高寒、高空作业安全等劳动保护措施。其雇佣人员在施工中受到伤害的，承包人应立即采取有效措施进行抢救和治疗。</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4.8.5 承包人应按有关法律规定和合同约定，为其雇佣人员办理保险。</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4.8.6 承包人应负责处理其雇佣人员因工伤亡事故的善后事宜。</w:t>
      </w:r>
    </w:p>
    <w:p>
      <w:pPr>
        <w:pStyle w:val="6"/>
        <w:spacing w:before="240" w:after="120" w:line="360" w:lineRule="auto"/>
        <w:rPr>
          <w:color w:val="000000" w:themeColor="text1"/>
          <w:highlight w:val="none"/>
          <w14:textFill>
            <w14:solidFill>
              <w14:schemeClr w14:val="tx1"/>
            </w14:solidFill>
          </w14:textFill>
        </w:rPr>
      </w:pPr>
      <w:bookmarkStart w:id="379" w:name="_Toc300835071"/>
      <w:bookmarkStart w:id="380" w:name="_Toc411736181"/>
      <w:bookmarkStart w:id="381" w:name="_Toc476860392"/>
      <w:bookmarkStart w:id="382" w:name="_Toc247527674"/>
      <w:bookmarkStart w:id="383" w:name="_Toc247514073"/>
      <w:bookmarkStart w:id="384" w:name="_Toc410559375"/>
      <w:bookmarkStart w:id="385" w:name="_Toc411736457"/>
      <w:bookmarkStart w:id="386" w:name="_Toc462239068"/>
      <w:r>
        <w:rPr>
          <w:rFonts w:hint="eastAsia"/>
          <w:color w:val="000000" w:themeColor="text1"/>
          <w:highlight w:val="none"/>
          <w14:textFill>
            <w14:solidFill>
              <w14:schemeClr w14:val="tx1"/>
            </w14:solidFill>
          </w14:textFill>
        </w:rPr>
        <w:t>4.9 工程价款应专款专用</w:t>
      </w:r>
      <w:bookmarkEnd w:id="379"/>
      <w:bookmarkEnd w:id="380"/>
      <w:bookmarkEnd w:id="381"/>
      <w:bookmarkEnd w:id="382"/>
      <w:bookmarkEnd w:id="383"/>
      <w:bookmarkEnd w:id="384"/>
      <w:bookmarkEnd w:id="385"/>
      <w:bookmarkEnd w:id="38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发包人按合同约定支付给承包人的各项价款应专用于合同工作。</w:t>
      </w:r>
    </w:p>
    <w:p>
      <w:pPr>
        <w:pStyle w:val="6"/>
        <w:spacing w:before="240" w:after="120" w:line="360" w:lineRule="auto"/>
        <w:rPr>
          <w:color w:val="000000" w:themeColor="text1"/>
          <w:highlight w:val="none"/>
          <w14:textFill>
            <w14:solidFill>
              <w14:schemeClr w14:val="tx1"/>
            </w14:solidFill>
          </w14:textFill>
        </w:rPr>
      </w:pPr>
      <w:bookmarkStart w:id="387" w:name="_Toc411736458"/>
      <w:bookmarkStart w:id="388" w:name="_Toc411736182"/>
      <w:bookmarkStart w:id="389" w:name="_Toc1403664677"/>
      <w:bookmarkStart w:id="390" w:name="_Toc247527675"/>
      <w:bookmarkStart w:id="391" w:name="_Toc476860393"/>
      <w:bookmarkStart w:id="392" w:name="_Toc247514074"/>
      <w:bookmarkStart w:id="393" w:name="_Toc410559376"/>
      <w:bookmarkStart w:id="394" w:name="_Toc300835072"/>
      <w:r>
        <w:rPr>
          <w:rFonts w:hint="eastAsia"/>
          <w:color w:val="000000" w:themeColor="text1"/>
          <w:highlight w:val="none"/>
          <w14:textFill>
            <w14:solidFill>
              <w14:schemeClr w14:val="tx1"/>
            </w14:solidFill>
          </w14:textFill>
        </w:rPr>
        <w:t>4.10 承包人现场查勘</w:t>
      </w:r>
      <w:bookmarkEnd w:id="387"/>
      <w:bookmarkEnd w:id="388"/>
      <w:bookmarkEnd w:id="389"/>
      <w:bookmarkEnd w:id="390"/>
      <w:bookmarkEnd w:id="391"/>
      <w:bookmarkEnd w:id="392"/>
      <w:bookmarkEnd w:id="393"/>
      <w:bookmarkEnd w:id="39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4.10.1 发包人应向承包人提供施工场地及毗邻区域内的供水、排水、供电、供气、供热、通信、广播电视等地下管线资料、气象和水文观测资料，相邻建筑物和构筑物、地下工程的有关资料，以及其他与建设工程有关的原始资料，并承担原始资料错误造成的全部责任，但承包人应对其阅读上述有关资料后所作出的解释和推断负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4.10.2 承包人应对施工场地和周围环境进行查勘，并收集除发包人提供外为完成合同工作有关的当地资料。在全部合同工作中，视为承包人已充分估计了应承担的责任和风险。</w:t>
      </w:r>
    </w:p>
    <w:p>
      <w:pPr>
        <w:pStyle w:val="6"/>
        <w:spacing w:before="240" w:after="120" w:line="360" w:lineRule="auto"/>
        <w:rPr>
          <w:color w:val="000000" w:themeColor="text1"/>
          <w:highlight w:val="none"/>
          <w14:textFill>
            <w14:solidFill>
              <w14:schemeClr w14:val="tx1"/>
            </w14:solidFill>
          </w14:textFill>
        </w:rPr>
      </w:pPr>
      <w:bookmarkStart w:id="395" w:name="_Toc265955416"/>
      <w:bookmarkStart w:id="396" w:name="_Toc247705004"/>
      <w:bookmarkStart w:id="397" w:name="_Toc411736459"/>
      <w:bookmarkStart w:id="398" w:name="_Toc300835074"/>
      <w:bookmarkStart w:id="399" w:name="_Toc1284364044"/>
      <w:bookmarkStart w:id="400" w:name="_Toc410559377"/>
      <w:bookmarkStart w:id="401" w:name="_Toc411736183"/>
      <w:bookmarkStart w:id="402" w:name="_Toc476860394"/>
      <w:r>
        <w:rPr>
          <w:rFonts w:hint="eastAsia"/>
          <w:color w:val="000000" w:themeColor="text1"/>
          <w:highlight w:val="none"/>
          <w14:textFill>
            <w14:solidFill>
              <w14:schemeClr w14:val="tx1"/>
            </w14:solidFill>
          </w14:textFill>
        </w:rPr>
        <w:t>4.11 不可预见的困难和费用</w:t>
      </w:r>
      <w:bookmarkEnd w:id="395"/>
      <w:bookmarkEnd w:id="396"/>
      <w:r>
        <w:rPr>
          <w:rFonts w:hint="eastAsia"/>
          <w:color w:val="000000" w:themeColor="text1"/>
          <w:highlight w:val="none"/>
          <w14:textFill>
            <w14:solidFill>
              <w14:schemeClr w14:val="tx1"/>
            </w14:solidFill>
          </w14:textFill>
        </w:rPr>
        <w:t>（B）</w:t>
      </w:r>
      <w:bookmarkEnd w:id="397"/>
      <w:bookmarkEnd w:id="398"/>
      <w:bookmarkEnd w:id="399"/>
      <w:bookmarkEnd w:id="400"/>
      <w:bookmarkEnd w:id="401"/>
      <w:bookmarkEnd w:id="40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除合同另有约定外，承包人应视为已取得工程有关风险、意外事件和其他情况的全部必要资料，并预见工程所有困难和费用。承包人遇到不可预见的困难和费用时，合同价格不予调整。</w:t>
      </w:r>
    </w:p>
    <w:p>
      <w:pPr>
        <w:pStyle w:val="6"/>
        <w:spacing w:before="240" w:after="120" w:line="360" w:lineRule="auto"/>
        <w:rPr>
          <w:color w:val="000000" w:themeColor="text1"/>
          <w:highlight w:val="none"/>
          <w14:textFill>
            <w14:solidFill>
              <w14:schemeClr w14:val="tx1"/>
            </w14:solidFill>
          </w14:textFill>
        </w:rPr>
      </w:pPr>
      <w:bookmarkStart w:id="403" w:name="_Toc1948351511"/>
      <w:bookmarkStart w:id="404" w:name="_Toc476860395"/>
      <w:bookmarkStart w:id="405" w:name="_Toc247514076"/>
      <w:bookmarkStart w:id="406" w:name="_Toc247527677"/>
      <w:bookmarkStart w:id="407" w:name="_Toc410559378"/>
      <w:bookmarkStart w:id="408" w:name="_Toc411736460"/>
      <w:bookmarkStart w:id="409" w:name="_Toc411736184"/>
      <w:bookmarkStart w:id="410" w:name="_Toc300835075"/>
      <w:r>
        <w:rPr>
          <w:rFonts w:hint="eastAsia"/>
          <w:color w:val="000000" w:themeColor="text1"/>
          <w:highlight w:val="none"/>
          <w14:textFill>
            <w14:solidFill>
              <w14:schemeClr w14:val="tx1"/>
            </w14:solidFill>
          </w14:textFill>
        </w:rPr>
        <w:t>4.12 进度计划</w:t>
      </w:r>
      <w:bookmarkEnd w:id="403"/>
      <w:bookmarkEnd w:id="404"/>
      <w:bookmarkEnd w:id="405"/>
      <w:bookmarkEnd w:id="406"/>
      <w:bookmarkEnd w:id="407"/>
      <w:bookmarkEnd w:id="408"/>
      <w:bookmarkEnd w:id="409"/>
      <w:bookmarkEnd w:id="410"/>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4.12.1 合同进度计划</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合同约定的内容和期限，编制详细的进度计划，包括设计、承包人文件提交、采购、制造、检验、运达现场、施工、安装、试验的各个阶段的预期时间以及设计和施工组织方案说明等报送监理人。监理人应在专用合同条款约定的期限内批复或提出修改意见，否则该进度计划视为已得到批准。经监理人批准的进度计划称合同进度计划，是控制合同工程进度的依据。承包人还应根据合同进度计划，编制更为详细的分阶段或分项进度计划，报监理人批准。</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4.12.2 合同进度计划的修订</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不论何种原因造成工程的实际进度与第4.12.1项的合同进度计划不符时，承包人可以在专用合同条款约定的期限内向监理人提交修订合同进度计划的申请报告，并附有关措施和相关资料，报监理人批准；监理人也可以直接向承包人作出修订合同进度计划的指示，承包人应按该指示修订合同进度计划，报监理人批准。监理人应在专用合同条款约定的期限内批复。监理人在批复前应获得发包人同意。</w:t>
      </w:r>
    </w:p>
    <w:p>
      <w:pPr>
        <w:pStyle w:val="6"/>
        <w:spacing w:before="240" w:after="120" w:line="360" w:lineRule="auto"/>
        <w:rPr>
          <w:color w:val="000000" w:themeColor="text1"/>
          <w:highlight w:val="none"/>
          <w14:textFill>
            <w14:solidFill>
              <w14:schemeClr w14:val="tx1"/>
            </w14:solidFill>
          </w14:textFill>
        </w:rPr>
      </w:pPr>
      <w:bookmarkStart w:id="411" w:name="_Toc476860396"/>
      <w:bookmarkStart w:id="412" w:name="_Toc410559379"/>
      <w:bookmarkStart w:id="413" w:name="_Toc300835076"/>
      <w:bookmarkStart w:id="414" w:name="_Toc411736461"/>
      <w:bookmarkStart w:id="415" w:name="_Toc1113195921"/>
      <w:bookmarkStart w:id="416" w:name="_Toc411736185"/>
      <w:r>
        <w:rPr>
          <w:rFonts w:hint="eastAsia"/>
          <w:color w:val="000000" w:themeColor="text1"/>
          <w:highlight w:val="none"/>
          <w14:textFill>
            <w14:solidFill>
              <w14:schemeClr w14:val="tx1"/>
            </w14:solidFill>
          </w14:textFill>
        </w:rPr>
        <w:t>4.13 质量保证</w:t>
      </w:r>
      <w:bookmarkEnd w:id="411"/>
      <w:bookmarkEnd w:id="412"/>
      <w:bookmarkEnd w:id="413"/>
      <w:bookmarkEnd w:id="414"/>
      <w:bookmarkEnd w:id="415"/>
      <w:bookmarkEnd w:id="41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4.13.1 为保证工程质量，承包人应按照合同要求建立质量保证体系。监理人有权对承包人的质量保证体系进行审查。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4.13.2 承包人应在各设计和实施阶段开始前，向监理人提交其具体的质量保证细则和工作程序。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4.13.3 遵守质量保证体系，不应免除合同约定的承包人的义务和责任。</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417" w:name="_Toc606311583"/>
      <w:bookmarkStart w:id="418" w:name="_Toc411736462"/>
      <w:bookmarkStart w:id="419" w:name="_Toc411736186"/>
      <w:bookmarkStart w:id="420" w:name="_Toc247527678"/>
      <w:bookmarkStart w:id="421" w:name="_Toc410559380"/>
      <w:bookmarkStart w:id="422" w:name="_Toc476860397"/>
      <w:bookmarkStart w:id="423" w:name="_Toc30213"/>
      <w:bookmarkStart w:id="424" w:name="_Toc9834"/>
      <w:bookmarkStart w:id="425" w:name="_Toc247514077"/>
      <w:bookmarkStart w:id="426" w:name="_Toc300835077"/>
      <w:bookmarkStart w:id="427" w:name="_Toc147856194"/>
      <w:r>
        <w:rPr>
          <w:rStyle w:val="114"/>
          <w:rFonts w:hint="eastAsia"/>
          <w:bCs/>
          <w:color w:val="000000" w:themeColor="text1"/>
          <w:highlight w:val="none"/>
          <w14:textFill>
            <w14:solidFill>
              <w14:schemeClr w14:val="tx1"/>
            </w14:solidFill>
          </w14:textFill>
        </w:rPr>
        <w:t>5. 设计</w:t>
      </w:r>
      <w:bookmarkEnd w:id="417"/>
      <w:bookmarkEnd w:id="418"/>
      <w:bookmarkEnd w:id="419"/>
      <w:bookmarkEnd w:id="420"/>
      <w:bookmarkEnd w:id="421"/>
      <w:bookmarkEnd w:id="422"/>
      <w:bookmarkEnd w:id="423"/>
      <w:bookmarkEnd w:id="424"/>
      <w:bookmarkEnd w:id="425"/>
      <w:bookmarkEnd w:id="426"/>
      <w:bookmarkEnd w:id="427"/>
    </w:p>
    <w:p>
      <w:pPr>
        <w:pStyle w:val="6"/>
        <w:spacing w:before="240" w:after="120" w:line="360" w:lineRule="auto"/>
        <w:rPr>
          <w:color w:val="000000" w:themeColor="text1"/>
          <w:highlight w:val="none"/>
          <w14:textFill>
            <w14:solidFill>
              <w14:schemeClr w14:val="tx1"/>
            </w14:solidFill>
          </w14:textFill>
        </w:rPr>
      </w:pPr>
      <w:bookmarkStart w:id="428" w:name="_Toc259350427"/>
      <w:bookmarkStart w:id="429" w:name="_Toc300835078"/>
      <w:bookmarkStart w:id="430" w:name="_Toc410559381"/>
      <w:bookmarkStart w:id="431" w:name="_Toc411736463"/>
      <w:bookmarkStart w:id="432" w:name="_Toc264373498"/>
      <w:bookmarkStart w:id="433" w:name="_Toc257880849"/>
      <w:bookmarkStart w:id="434" w:name="_Toc258440543"/>
      <w:bookmarkStart w:id="435" w:name="_Toc259552511"/>
      <w:bookmarkStart w:id="436" w:name="_Toc411736187"/>
      <w:bookmarkStart w:id="437" w:name="_Toc476860398"/>
      <w:bookmarkStart w:id="438" w:name="_Toc468870466"/>
      <w:bookmarkStart w:id="439" w:name="_Toc468936969"/>
      <w:bookmarkStart w:id="440" w:name="_Toc297347661"/>
      <w:bookmarkStart w:id="441" w:name="_Toc487072795"/>
      <w:bookmarkStart w:id="442" w:name="_Toc247514078"/>
      <w:bookmarkStart w:id="443" w:name="_Toc247527679"/>
      <w:r>
        <w:rPr>
          <w:rFonts w:hint="eastAsia"/>
          <w:color w:val="000000" w:themeColor="text1"/>
          <w:highlight w:val="none"/>
          <w14:textFill>
            <w14:solidFill>
              <w14:schemeClr w14:val="tx1"/>
            </w14:solidFill>
          </w14:textFill>
        </w:rPr>
        <w:t>5.1 承包人的设计义务</w:t>
      </w:r>
      <w:bookmarkEnd w:id="428"/>
      <w:bookmarkEnd w:id="429"/>
      <w:bookmarkEnd w:id="430"/>
      <w:bookmarkEnd w:id="431"/>
      <w:bookmarkEnd w:id="432"/>
      <w:bookmarkEnd w:id="433"/>
      <w:bookmarkEnd w:id="434"/>
      <w:bookmarkEnd w:id="435"/>
      <w:bookmarkEnd w:id="436"/>
      <w:bookmarkEnd w:id="437"/>
      <w:bookmarkEnd w:id="438"/>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bookmarkStart w:id="444" w:name="_Toc259552512"/>
      <w:bookmarkStart w:id="445" w:name="_Toc264373499"/>
      <w:bookmarkStart w:id="446" w:name="_Toc258440544"/>
      <w:bookmarkStart w:id="447" w:name="_Toc259350428"/>
      <w:r>
        <w:rPr>
          <w:rStyle w:val="157"/>
          <w:rFonts w:hint="default"/>
          <w:b/>
          <w:bCs/>
          <w:color w:val="000000" w:themeColor="text1"/>
          <w:sz w:val="24"/>
          <w:highlight w:val="none"/>
          <w14:textFill>
            <w14:solidFill>
              <w14:schemeClr w14:val="tx1"/>
            </w14:solidFill>
          </w14:textFill>
        </w:rPr>
        <w:t>5.1.1 设计义务</w:t>
      </w:r>
      <w:bookmarkEnd w:id="444"/>
      <w:bookmarkEnd w:id="445"/>
      <w:bookmarkEnd w:id="446"/>
      <w:bookmarkEnd w:id="447"/>
      <w:r>
        <w:rPr>
          <w:rStyle w:val="157"/>
          <w:rFonts w:hint="default"/>
          <w:b/>
          <w:bCs/>
          <w:color w:val="000000" w:themeColor="text1"/>
          <w:sz w:val="24"/>
          <w:highlight w:val="none"/>
          <w14:textFill>
            <w14:solidFill>
              <w14:schemeClr w14:val="tx1"/>
            </w14:solidFill>
          </w14:textFill>
        </w:rPr>
        <w:t>的一般要求</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承包人应按照法律规定，以及国家、行业和地方的规范和标准完成设计工作，并符合发包人要求。</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5.1.2 法律和标准的变化</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合同另有约定外，承包人完成设计工作所应遵守的法律规定，以及国家、行业和地方的规范和标准，均应视为在基准日适用的版本。基准日之后，前述版本发生重大变化，或者有新的法律，以及国家、行业和地方的规范和标准实施的，承包人应向发包人或发包人委托的监理人提出遵守新规定的建议。发包人或其委托的监理人应在收到建议后7天内发出是否遵守新规定的指示。发包人或其委托的监理人指示遵守新规定的，按照第15条或第16.2款约定执行。</w:t>
      </w:r>
    </w:p>
    <w:p>
      <w:pPr>
        <w:pStyle w:val="6"/>
        <w:spacing w:before="240" w:after="120" w:line="360" w:lineRule="auto"/>
        <w:rPr>
          <w:color w:val="000000" w:themeColor="text1"/>
          <w:highlight w:val="none"/>
          <w14:textFill>
            <w14:solidFill>
              <w14:schemeClr w14:val="tx1"/>
            </w14:solidFill>
          </w14:textFill>
        </w:rPr>
      </w:pPr>
      <w:bookmarkStart w:id="448" w:name="_Toc257880851"/>
      <w:bookmarkStart w:id="449" w:name="_Toc1188421219"/>
      <w:bookmarkStart w:id="450" w:name="_Toc476860399"/>
      <w:bookmarkStart w:id="451" w:name="_Toc259350434"/>
      <w:bookmarkStart w:id="452" w:name="_Toc264373505"/>
      <w:bookmarkStart w:id="453" w:name="_Toc258440550"/>
      <w:bookmarkStart w:id="454" w:name="_Toc259552518"/>
      <w:bookmarkStart w:id="455" w:name="_Toc411736188"/>
      <w:bookmarkStart w:id="456" w:name="_Toc300835079"/>
      <w:bookmarkStart w:id="457" w:name="_Toc411736464"/>
      <w:bookmarkStart w:id="458" w:name="_Toc410559382"/>
      <w:r>
        <w:rPr>
          <w:rFonts w:hint="eastAsia"/>
          <w:color w:val="000000" w:themeColor="text1"/>
          <w:highlight w:val="none"/>
          <w14:textFill>
            <w14:solidFill>
              <w14:schemeClr w14:val="tx1"/>
            </w14:solidFill>
          </w14:textFill>
        </w:rPr>
        <w:t xml:space="preserve">5.2 </w:t>
      </w:r>
      <w:bookmarkEnd w:id="448"/>
      <w:r>
        <w:rPr>
          <w:rFonts w:hint="eastAsia"/>
          <w:color w:val="000000" w:themeColor="text1"/>
          <w:highlight w:val="none"/>
          <w14:textFill>
            <w14:solidFill>
              <w14:schemeClr w14:val="tx1"/>
            </w14:solidFill>
          </w14:textFill>
        </w:rPr>
        <w:t>承包人设计进度计划</w:t>
      </w:r>
      <w:bookmarkEnd w:id="449"/>
      <w:bookmarkEnd w:id="450"/>
      <w:bookmarkEnd w:id="451"/>
      <w:bookmarkEnd w:id="452"/>
      <w:bookmarkEnd w:id="453"/>
      <w:bookmarkEnd w:id="454"/>
      <w:bookmarkEnd w:id="455"/>
      <w:bookmarkEnd w:id="456"/>
      <w:bookmarkEnd w:id="457"/>
      <w:bookmarkEnd w:id="45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承包人应按照发包人要求，在合同进度计划中专门列出设计进度计划，报发包人批准后执行。承包人需按照经批准后的计划开展设计工作。</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bookmarkStart w:id="459" w:name="_Toc247593033"/>
      <w:r>
        <w:rPr>
          <w:rFonts w:hint="eastAsia"/>
          <w:color w:val="000000" w:themeColor="text1"/>
          <w:sz w:val="21"/>
          <w:szCs w:val="21"/>
          <w:highlight w:val="none"/>
          <w14:textFill>
            <w14:solidFill>
              <w14:schemeClr w14:val="tx1"/>
            </w14:solidFill>
          </w14:textFill>
        </w:rPr>
        <w:t>因承包人原因影响设计进度的，按第11.5款</w:t>
      </w:r>
      <w:bookmarkEnd w:id="459"/>
      <w:r>
        <w:rPr>
          <w:rFonts w:hint="eastAsia"/>
          <w:color w:val="000000" w:themeColor="text1"/>
          <w:sz w:val="21"/>
          <w:szCs w:val="21"/>
          <w:highlight w:val="none"/>
          <w14:textFill>
            <w14:solidFill>
              <w14:schemeClr w14:val="tx1"/>
            </w14:solidFill>
          </w14:textFill>
        </w:rPr>
        <w:t>的约定执行。因发包人原因影响设计进度的，按第15条变更处理。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发包人或其委托的监理人有权要求承包人根据第11.5款提交修正的进度计划、增加投入资源并加快设计进度。</w:t>
      </w:r>
    </w:p>
    <w:p>
      <w:pPr>
        <w:pStyle w:val="6"/>
        <w:spacing w:before="240" w:after="120" w:line="360" w:lineRule="auto"/>
        <w:rPr>
          <w:color w:val="000000" w:themeColor="text1"/>
          <w:highlight w:val="none"/>
          <w14:textFill>
            <w14:solidFill>
              <w14:schemeClr w14:val="tx1"/>
            </w14:solidFill>
          </w14:textFill>
        </w:rPr>
      </w:pPr>
      <w:bookmarkStart w:id="460" w:name="_Toc50026986"/>
      <w:bookmarkStart w:id="461" w:name="_Toc259350439"/>
      <w:bookmarkStart w:id="462" w:name="_Toc411736189"/>
      <w:bookmarkStart w:id="463" w:name="_Toc257880852"/>
      <w:bookmarkStart w:id="464" w:name="_Toc300835080"/>
      <w:bookmarkStart w:id="465" w:name="_Toc259552523"/>
      <w:bookmarkStart w:id="466" w:name="_Toc258440555"/>
      <w:bookmarkStart w:id="467" w:name="_Toc411736465"/>
      <w:bookmarkStart w:id="468" w:name="_Toc264373507"/>
      <w:bookmarkStart w:id="469" w:name="_Toc476860400"/>
      <w:bookmarkStart w:id="470" w:name="_Toc410559383"/>
      <w:r>
        <w:rPr>
          <w:rFonts w:hint="eastAsia"/>
          <w:color w:val="000000" w:themeColor="text1"/>
          <w:highlight w:val="none"/>
          <w14:textFill>
            <w14:solidFill>
              <w14:schemeClr w14:val="tx1"/>
            </w14:solidFill>
          </w14:textFill>
        </w:rPr>
        <w:t>5.3 设计审查</w:t>
      </w:r>
      <w:bookmarkEnd w:id="460"/>
      <w:bookmarkEnd w:id="461"/>
      <w:bookmarkEnd w:id="462"/>
      <w:bookmarkEnd w:id="463"/>
      <w:bookmarkEnd w:id="464"/>
      <w:bookmarkEnd w:id="465"/>
      <w:bookmarkEnd w:id="466"/>
      <w:bookmarkEnd w:id="467"/>
      <w:bookmarkEnd w:id="468"/>
      <w:bookmarkEnd w:id="469"/>
      <w:bookmarkEnd w:id="47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5.3.1 承包人的设计文件应报发包人审查同意。审查的范围和内容在发包人要求中约定。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合同另有约定外，自监理人收到承包人的设计文件以及承包人的通知之日起，发包人对承包人的设计文件审查期不超过21天。承包人的设计文件对于合同约定有偏离的，应在通知中说明。承包人需要修改已提交的承包人文件的，应立即通知监理人，并向监理人提交修改后的承包人的设计文件，审查期重新起算。</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发包人不同意设计文件的，应通过监理人以书面形式通知承包人，并说明不符合合同要求的具体内容。承包人应根据监理人的书面说明，对承包人文件进行修改后重新报送发包人审查，审查期重新起算。</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合同约定的审查期满，发包人没有做出审查结论也没有提出异议的，视为承包人的设计文件已获发包人同意。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5.3.2 承包人的设计文件不需要政府有关部门审查或批准的，承包人应当严格按照经发包人审查同意的设计文件设计和实施工程。</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5.3.3 设计文件需政府有关部门审查或批准的，发包人应在审查同意承包人的设计文件后7天内，向政府有关部门报送设计文件，承包人应予以协助。</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对于政府有关部门的审查意见，不需要修改发包人要求的，承包人需按该审查意见修改承包人的设计文件；需要修改发包人要求的，发包人应重新提出发包人要求，承包人应根据新提出的发包人要求修改承包人文件。上述情形还应适用第15条、第1.13款的有关约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政府有关部门审查批准的，承包人应当严格按照批准后的承包人的设计文件设计和实施工程。</w:t>
      </w:r>
    </w:p>
    <w:p>
      <w:pPr>
        <w:pStyle w:val="6"/>
        <w:spacing w:before="240" w:after="120" w:line="360" w:lineRule="auto"/>
        <w:rPr>
          <w:color w:val="000000" w:themeColor="text1"/>
          <w:highlight w:val="none"/>
          <w14:textFill>
            <w14:solidFill>
              <w14:schemeClr w14:val="tx1"/>
            </w14:solidFill>
          </w14:textFill>
        </w:rPr>
      </w:pPr>
      <w:bookmarkStart w:id="471" w:name="_Toc410559384"/>
      <w:bookmarkStart w:id="472" w:name="_Toc300835081"/>
      <w:bookmarkStart w:id="473" w:name="_Toc476860401"/>
      <w:bookmarkStart w:id="474" w:name="_Toc411736190"/>
      <w:bookmarkStart w:id="475" w:name="_Toc1137447725"/>
      <w:bookmarkStart w:id="476" w:name="_Toc411736466"/>
      <w:r>
        <w:rPr>
          <w:rFonts w:hint="eastAsia"/>
          <w:color w:val="000000" w:themeColor="text1"/>
          <w:highlight w:val="none"/>
          <w14:textFill>
            <w14:solidFill>
              <w14:schemeClr w14:val="tx1"/>
            </w14:solidFill>
          </w14:textFill>
        </w:rPr>
        <w:t>5.4 培训</w:t>
      </w:r>
      <w:bookmarkEnd w:id="471"/>
      <w:bookmarkEnd w:id="472"/>
      <w:bookmarkEnd w:id="473"/>
      <w:bookmarkEnd w:id="474"/>
      <w:bookmarkEnd w:id="475"/>
      <w:bookmarkEnd w:id="47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承包人应按照发包人要求，对发包人的人员进行工程操作和维修方面的培训。合同约定接收之前进行培训的，应在第18.3款约定的竣工验收前完成培训。</w:t>
      </w:r>
    </w:p>
    <w:bookmarkEnd w:id="439"/>
    <w:bookmarkEnd w:id="440"/>
    <w:bookmarkEnd w:id="441"/>
    <w:bookmarkEnd w:id="442"/>
    <w:bookmarkEnd w:id="443"/>
    <w:p>
      <w:pPr>
        <w:pStyle w:val="6"/>
        <w:spacing w:before="240" w:after="120" w:line="360" w:lineRule="auto"/>
        <w:rPr>
          <w:color w:val="000000" w:themeColor="text1"/>
          <w:highlight w:val="none"/>
          <w14:textFill>
            <w14:solidFill>
              <w14:schemeClr w14:val="tx1"/>
            </w14:solidFill>
          </w14:textFill>
        </w:rPr>
      </w:pPr>
      <w:bookmarkStart w:id="477" w:name="_Toc300835082"/>
      <w:bookmarkStart w:id="478" w:name="_Toc476860402"/>
      <w:bookmarkStart w:id="479" w:name="_Toc410559385"/>
      <w:bookmarkStart w:id="480" w:name="_Toc411736467"/>
      <w:bookmarkStart w:id="481" w:name="_Toc184488481"/>
      <w:bookmarkStart w:id="482" w:name="_Toc411736191"/>
      <w:bookmarkStart w:id="483" w:name="_Toc487072797"/>
      <w:bookmarkStart w:id="484" w:name="_Toc297347663"/>
      <w:bookmarkStart w:id="485" w:name="_Toc247514080"/>
      <w:bookmarkStart w:id="486" w:name="_Toc468936971"/>
      <w:bookmarkStart w:id="487" w:name="_Toc247527681"/>
      <w:r>
        <w:rPr>
          <w:rFonts w:hint="eastAsia"/>
          <w:color w:val="000000" w:themeColor="text1"/>
          <w:highlight w:val="none"/>
          <w14:textFill>
            <w14:solidFill>
              <w14:schemeClr w14:val="tx1"/>
            </w14:solidFill>
          </w14:textFill>
        </w:rPr>
        <w:t>5.5 竣工文件</w:t>
      </w:r>
      <w:bookmarkEnd w:id="477"/>
      <w:bookmarkEnd w:id="478"/>
      <w:bookmarkEnd w:id="479"/>
      <w:bookmarkEnd w:id="480"/>
      <w:bookmarkEnd w:id="481"/>
      <w:bookmarkEnd w:id="48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5.5.1 承包人应编制并及时更新反映工程实施结果的竣工记录，如实记载竣工工程的确切位置、尺寸和已实施工作的详细说明。按照专用合同条款约定的份数提交给监理人。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5.5.2 在颁发工程接收证书之前，承包人应按照发包人要求的份数和形式向监理人提交相应竣工图纸，并取得监理人对尺寸、参照系统及其他有关细节的认可。监理人应按照第5.3款的约定进行审查。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5.5.3 在监理人收到上述文件前，不应认为工程已根据第18.3款和第18.5款约定完成验收。</w:t>
      </w:r>
    </w:p>
    <w:p>
      <w:pPr>
        <w:pStyle w:val="6"/>
        <w:spacing w:before="240" w:after="120" w:line="360" w:lineRule="auto"/>
        <w:rPr>
          <w:color w:val="000000" w:themeColor="text1"/>
          <w:highlight w:val="none"/>
          <w14:textFill>
            <w14:solidFill>
              <w14:schemeClr w14:val="tx1"/>
            </w14:solidFill>
          </w14:textFill>
        </w:rPr>
      </w:pPr>
      <w:bookmarkStart w:id="488" w:name="_Toc411736468"/>
      <w:bookmarkStart w:id="489" w:name="_Toc410559386"/>
      <w:bookmarkStart w:id="490" w:name="_Toc411736192"/>
      <w:bookmarkStart w:id="491" w:name="_Toc300835083"/>
      <w:bookmarkStart w:id="492" w:name="_Toc476860403"/>
      <w:bookmarkStart w:id="493" w:name="_Toc1878997546"/>
      <w:r>
        <w:rPr>
          <w:rFonts w:hint="eastAsia"/>
          <w:color w:val="000000" w:themeColor="text1"/>
          <w:highlight w:val="none"/>
          <w14:textFill>
            <w14:solidFill>
              <w14:schemeClr w14:val="tx1"/>
            </w14:solidFill>
          </w14:textFill>
        </w:rPr>
        <w:t>5.6 操作和维修手册</w:t>
      </w:r>
      <w:bookmarkEnd w:id="488"/>
      <w:bookmarkEnd w:id="489"/>
      <w:bookmarkEnd w:id="490"/>
      <w:bookmarkEnd w:id="491"/>
      <w:bookmarkEnd w:id="492"/>
      <w:bookmarkEnd w:id="49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5.6.1 在竣工试验开始前，承包人应向监理人提交暂行的操作和维修手册，该手册应足够详细，以便发包人能够对生产设备进行操作、维修、拆卸、重新安装、调整及修理。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5.6.2 承包人应提交足够详细的最终操作和维修手册，以及在发包人要求中明确的相关操作和维修手册。在监理人收到上述文件前，不应认为工程已根据第18.3款和第18.5款约定完成验收。</w:t>
      </w:r>
    </w:p>
    <w:bookmarkEnd w:id="483"/>
    <w:bookmarkEnd w:id="484"/>
    <w:bookmarkEnd w:id="485"/>
    <w:bookmarkEnd w:id="486"/>
    <w:bookmarkEnd w:id="487"/>
    <w:p>
      <w:pPr>
        <w:pStyle w:val="6"/>
        <w:spacing w:before="240" w:after="120" w:line="360" w:lineRule="auto"/>
        <w:rPr>
          <w:color w:val="000000" w:themeColor="text1"/>
          <w:highlight w:val="none"/>
          <w14:textFill>
            <w14:solidFill>
              <w14:schemeClr w14:val="tx1"/>
            </w14:solidFill>
          </w14:textFill>
        </w:rPr>
      </w:pPr>
      <w:bookmarkStart w:id="494" w:name="_Toc300835084"/>
      <w:bookmarkStart w:id="495" w:name="_Toc247514085"/>
      <w:bookmarkStart w:id="496" w:name="_Toc411736193"/>
      <w:bookmarkStart w:id="497" w:name="_Toc1564726487"/>
      <w:bookmarkStart w:id="498" w:name="_Toc476860404"/>
      <w:bookmarkStart w:id="499" w:name="_Toc410559387"/>
      <w:bookmarkStart w:id="500" w:name="_Toc247527686"/>
      <w:bookmarkStart w:id="501" w:name="_Toc411736469"/>
      <w:r>
        <w:rPr>
          <w:rFonts w:hint="eastAsia"/>
          <w:color w:val="000000" w:themeColor="text1"/>
          <w:highlight w:val="none"/>
          <w14:textFill>
            <w14:solidFill>
              <w14:schemeClr w14:val="tx1"/>
            </w14:solidFill>
          </w14:textFill>
        </w:rPr>
        <w:t>5.7 承包人文件错误</w:t>
      </w:r>
      <w:bookmarkEnd w:id="494"/>
      <w:bookmarkEnd w:id="495"/>
      <w:bookmarkEnd w:id="496"/>
      <w:bookmarkEnd w:id="497"/>
      <w:bookmarkEnd w:id="498"/>
      <w:bookmarkEnd w:id="499"/>
      <w:bookmarkEnd w:id="500"/>
      <w:bookmarkEnd w:id="50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文件存在错误、遗漏、含混、矛盾、不充分之处或其他缺陷，无论承包人是否根据本款获得了批准，承包人均应自费对前述问题带来的缺陷和工程问题进行改正。第1.13款发包人要求的错误导致承包人文件错误、遗漏、含混、矛盾、不充分或其他缺陷的除外。</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502" w:name="_Toc184635102"/>
      <w:bookmarkStart w:id="503" w:name="_Toc300835085"/>
      <w:bookmarkStart w:id="504" w:name="_Toc476860405"/>
      <w:bookmarkStart w:id="505" w:name="_Toc410559388"/>
      <w:bookmarkStart w:id="506" w:name="_Toc273325847"/>
      <w:bookmarkStart w:id="507" w:name="_Toc4399"/>
      <w:bookmarkStart w:id="508" w:name="_Toc411736470"/>
      <w:bookmarkStart w:id="509" w:name="_Toc19721"/>
      <w:bookmarkStart w:id="510" w:name="_Toc247527687"/>
      <w:bookmarkStart w:id="511" w:name="_Toc247514086"/>
      <w:bookmarkStart w:id="512" w:name="_Toc411736194"/>
      <w:bookmarkStart w:id="513" w:name="_Toc147856195"/>
      <w:r>
        <w:rPr>
          <w:rStyle w:val="114"/>
          <w:rFonts w:hint="eastAsia"/>
          <w:bCs/>
          <w:color w:val="000000" w:themeColor="text1"/>
          <w:highlight w:val="none"/>
          <w14:textFill>
            <w14:solidFill>
              <w14:schemeClr w14:val="tx1"/>
            </w14:solidFill>
          </w14:textFill>
        </w:rPr>
        <w:t>6. 材料和工程设备</w:t>
      </w:r>
      <w:bookmarkEnd w:id="502"/>
      <w:bookmarkEnd w:id="503"/>
      <w:bookmarkEnd w:id="504"/>
      <w:bookmarkEnd w:id="505"/>
      <w:bookmarkEnd w:id="506"/>
      <w:bookmarkEnd w:id="507"/>
      <w:bookmarkEnd w:id="508"/>
      <w:bookmarkEnd w:id="509"/>
      <w:bookmarkEnd w:id="510"/>
      <w:bookmarkEnd w:id="511"/>
      <w:bookmarkEnd w:id="512"/>
      <w:bookmarkEnd w:id="513"/>
    </w:p>
    <w:p>
      <w:pPr>
        <w:pStyle w:val="6"/>
        <w:spacing w:before="240" w:after="120" w:line="360" w:lineRule="auto"/>
        <w:rPr>
          <w:color w:val="000000" w:themeColor="text1"/>
          <w:highlight w:val="none"/>
          <w14:textFill>
            <w14:solidFill>
              <w14:schemeClr w14:val="tx1"/>
            </w14:solidFill>
          </w14:textFill>
        </w:rPr>
      </w:pPr>
      <w:bookmarkStart w:id="514" w:name="_Toc411736195"/>
      <w:bookmarkStart w:id="515" w:name="_Toc476860406"/>
      <w:bookmarkStart w:id="516" w:name="_Toc319989596"/>
      <w:bookmarkStart w:id="517" w:name="_Toc410559389"/>
      <w:bookmarkStart w:id="518" w:name="_Toc411736471"/>
      <w:bookmarkStart w:id="519" w:name="_Toc300835086"/>
      <w:bookmarkStart w:id="520" w:name="_Toc247527688"/>
      <w:bookmarkStart w:id="521" w:name="_Toc247514087"/>
      <w:r>
        <w:rPr>
          <w:rFonts w:hint="eastAsia"/>
          <w:color w:val="000000" w:themeColor="text1"/>
          <w:highlight w:val="none"/>
          <w14:textFill>
            <w14:solidFill>
              <w14:schemeClr w14:val="tx1"/>
            </w14:solidFill>
          </w14:textFill>
        </w:rPr>
        <w:t>6.1 承包人提供的材料和工程设备</w:t>
      </w:r>
      <w:bookmarkEnd w:id="514"/>
      <w:bookmarkEnd w:id="515"/>
      <w:bookmarkEnd w:id="516"/>
      <w:bookmarkEnd w:id="517"/>
      <w:bookmarkEnd w:id="518"/>
      <w:bookmarkEnd w:id="519"/>
      <w:bookmarkEnd w:id="520"/>
      <w:bookmarkEnd w:id="52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6.1.1 除专用合同条款另有约定外，承包人提供的材料和工程设备均由承包人负责采购、运输和保管。承包人应对其采购的材料和工程设备负责。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6.1.2 承包人应按专用合同条款的约定，将各项材料和工程设备的供货人及品种、技术要求、规格、数量和供货时间等报送监理人批准。承包人应向监理人提交其负责提供的材料和工程设备的质量证明文件，并满足合同约定的质量标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6.1.3 对承包人提供的材料和工程设备，承包人应会同监理人进行检验和交货验收，查验材料合格证明和产品合格证书，并按合同约定和监理人指示，进行材料的抽样检验和工程设备的检验测试，检验和测试结果应提交监理人，所需费用由承包人承担。</w:t>
      </w:r>
    </w:p>
    <w:p>
      <w:pPr>
        <w:pStyle w:val="6"/>
        <w:spacing w:before="240" w:after="120" w:line="360" w:lineRule="auto"/>
        <w:rPr>
          <w:color w:val="000000" w:themeColor="text1"/>
          <w:highlight w:val="none"/>
          <w14:textFill>
            <w14:solidFill>
              <w14:schemeClr w14:val="tx1"/>
            </w14:solidFill>
          </w14:textFill>
        </w:rPr>
      </w:pPr>
      <w:bookmarkStart w:id="522" w:name="_Toc476860407"/>
      <w:bookmarkStart w:id="523" w:name="_Toc766087884"/>
      <w:bookmarkStart w:id="524" w:name="_Toc300835088"/>
      <w:bookmarkStart w:id="525" w:name="_Toc410559390"/>
      <w:bookmarkStart w:id="526" w:name="_Toc411736472"/>
      <w:bookmarkStart w:id="527" w:name="_Toc411736196"/>
      <w:r>
        <w:rPr>
          <w:rFonts w:hint="eastAsia"/>
          <w:color w:val="000000" w:themeColor="text1"/>
          <w:highlight w:val="none"/>
          <w14:textFill>
            <w14:solidFill>
              <w14:schemeClr w14:val="tx1"/>
            </w14:solidFill>
          </w14:textFill>
        </w:rPr>
        <w:t>6.2 发包人提供的材料和工程设备（B）</w:t>
      </w:r>
      <w:bookmarkEnd w:id="522"/>
      <w:bookmarkEnd w:id="523"/>
      <w:bookmarkEnd w:id="524"/>
      <w:bookmarkEnd w:id="525"/>
      <w:bookmarkEnd w:id="526"/>
      <w:bookmarkEnd w:id="527"/>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发包人不提供材料和工程设备。</w:t>
      </w:r>
    </w:p>
    <w:p>
      <w:pPr>
        <w:pStyle w:val="6"/>
        <w:spacing w:before="240" w:after="120" w:line="360" w:lineRule="auto"/>
        <w:rPr>
          <w:color w:val="000000" w:themeColor="text1"/>
          <w:highlight w:val="none"/>
          <w14:textFill>
            <w14:solidFill>
              <w14:schemeClr w14:val="tx1"/>
            </w14:solidFill>
          </w14:textFill>
        </w:rPr>
      </w:pPr>
      <w:bookmarkStart w:id="528" w:name="_Toc247527690"/>
      <w:bookmarkStart w:id="529" w:name="_Toc247514089"/>
      <w:bookmarkStart w:id="530" w:name="_Toc411736473"/>
      <w:bookmarkStart w:id="531" w:name="_Toc1474602623"/>
      <w:bookmarkStart w:id="532" w:name="_Toc411736197"/>
      <w:bookmarkStart w:id="533" w:name="_Toc476860408"/>
      <w:bookmarkStart w:id="534" w:name="_Toc300835089"/>
      <w:bookmarkStart w:id="535" w:name="_Toc410559391"/>
      <w:r>
        <w:rPr>
          <w:rFonts w:hint="eastAsia"/>
          <w:color w:val="000000" w:themeColor="text1"/>
          <w:highlight w:val="none"/>
          <w14:textFill>
            <w14:solidFill>
              <w14:schemeClr w14:val="tx1"/>
            </w14:solidFill>
          </w14:textFill>
        </w:rPr>
        <w:t>6.3 专用于工程的</w:t>
      </w:r>
      <w:bookmarkEnd w:id="528"/>
      <w:bookmarkEnd w:id="529"/>
      <w:r>
        <w:rPr>
          <w:rFonts w:hint="eastAsia"/>
          <w:color w:val="000000" w:themeColor="text1"/>
          <w:highlight w:val="none"/>
          <w14:textFill>
            <w14:solidFill>
              <w14:schemeClr w14:val="tx1"/>
            </w14:solidFill>
          </w14:textFill>
        </w:rPr>
        <w:t>材料和工程设备</w:t>
      </w:r>
      <w:bookmarkEnd w:id="530"/>
      <w:bookmarkEnd w:id="531"/>
      <w:bookmarkEnd w:id="532"/>
      <w:bookmarkEnd w:id="533"/>
      <w:bookmarkEnd w:id="534"/>
      <w:bookmarkEnd w:id="53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6.3.1 运入施工场地的材料、工程设备，包括备品备件、安装专用工器具与随机资料，必须专用于合同约定范围内的工程，未经监理人同意，承包人不得运出施工场地或挪作他用。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6.3.2 随同工程设备运入施工场地的备品备件、专用工器具与随机资料，应由承包人会同监理人按供货人的装箱单清点后共同封存，未经监理人同意不得启用。承包人因合同工作需要使用上述物品时，应向监理人提出申请。</w:t>
      </w:r>
    </w:p>
    <w:p>
      <w:pPr>
        <w:pStyle w:val="6"/>
        <w:spacing w:before="240" w:after="120" w:line="360" w:lineRule="auto"/>
        <w:rPr>
          <w:color w:val="000000" w:themeColor="text1"/>
          <w:highlight w:val="none"/>
          <w14:textFill>
            <w14:solidFill>
              <w14:schemeClr w14:val="tx1"/>
            </w14:solidFill>
          </w14:textFill>
        </w:rPr>
      </w:pPr>
      <w:bookmarkStart w:id="536" w:name="_Toc410559392"/>
      <w:bookmarkStart w:id="537" w:name="_Toc411736474"/>
      <w:bookmarkStart w:id="538" w:name="_Toc1684998381"/>
      <w:bookmarkStart w:id="539" w:name="_Toc411736198"/>
      <w:bookmarkStart w:id="540" w:name="_Toc476860409"/>
      <w:bookmarkStart w:id="541" w:name="_Toc300835090"/>
      <w:bookmarkStart w:id="542" w:name="_Toc247527691"/>
      <w:bookmarkStart w:id="543" w:name="_Toc247514090"/>
      <w:r>
        <w:rPr>
          <w:rFonts w:hint="eastAsia"/>
          <w:color w:val="000000" w:themeColor="text1"/>
          <w:highlight w:val="none"/>
          <w14:textFill>
            <w14:solidFill>
              <w14:schemeClr w14:val="tx1"/>
            </w14:solidFill>
          </w14:textFill>
        </w:rPr>
        <w:t>6.4 实施方法</w:t>
      </w:r>
      <w:bookmarkEnd w:id="536"/>
      <w:bookmarkEnd w:id="537"/>
      <w:bookmarkEnd w:id="538"/>
      <w:bookmarkEnd w:id="539"/>
      <w:bookmarkEnd w:id="540"/>
      <w:bookmarkEnd w:id="54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承包人对材料的加工、工程设备的采购、制造、安装应当按照法律规定、合同约定以及行业习惯来实施。</w:t>
      </w:r>
    </w:p>
    <w:p>
      <w:pPr>
        <w:pStyle w:val="6"/>
        <w:spacing w:before="240" w:after="120" w:line="360" w:lineRule="auto"/>
        <w:rPr>
          <w:color w:val="000000" w:themeColor="text1"/>
          <w:highlight w:val="none"/>
          <w14:textFill>
            <w14:solidFill>
              <w14:schemeClr w14:val="tx1"/>
            </w14:solidFill>
          </w14:textFill>
        </w:rPr>
      </w:pPr>
      <w:bookmarkStart w:id="544" w:name="_Toc411736475"/>
      <w:bookmarkStart w:id="545" w:name="_Toc476860410"/>
      <w:bookmarkStart w:id="546" w:name="_Toc411736199"/>
      <w:bookmarkStart w:id="547" w:name="_Toc300835091"/>
      <w:bookmarkStart w:id="548" w:name="_Toc900936478"/>
      <w:bookmarkStart w:id="549" w:name="_Toc410559393"/>
      <w:r>
        <w:rPr>
          <w:rFonts w:hint="eastAsia"/>
          <w:color w:val="000000" w:themeColor="text1"/>
          <w:highlight w:val="none"/>
          <w14:textFill>
            <w14:solidFill>
              <w14:schemeClr w14:val="tx1"/>
            </w14:solidFill>
          </w14:textFill>
        </w:rPr>
        <w:t>6.5 禁止使用不合格的材料和工程设备</w:t>
      </w:r>
      <w:bookmarkEnd w:id="542"/>
      <w:bookmarkEnd w:id="543"/>
      <w:bookmarkEnd w:id="544"/>
      <w:bookmarkEnd w:id="545"/>
      <w:bookmarkEnd w:id="546"/>
      <w:bookmarkEnd w:id="547"/>
      <w:bookmarkEnd w:id="548"/>
      <w:bookmarkEnd w:id="54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6.5.1 监理人有权拒绝承包人提供的不合格材料或工程设备，并要求承包人立即进行更换。监理人应在更换后再次进行检查和检验，由此增加的费用和（或）工期延误由承包人承担。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6.5.2 监理人发现承包人使用了不合格的材料和工程设备，应即时发出指示要求承包人立即改正，并禁止在工程中继续使用不合格的材料和工程设备。</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6.5.3 发包人提供的材料或工程设备不符合合同要求的，承包人有权拒绝，并可要求发包人更换，由此增加的费用和（或）工期延误由发包人承担。</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550" w:name="_Toc411736476"/>
      <w:bookmarkStart w:id="551" w:name="_Toc476860411"/>
      <w:bookmarkStart w:id="552" w:name="_Toc410559394"/>
      <w:bookmarkStart w:id="553" w:name="_Toc132190749"/>
      <w:bookmarkStart w:id="554" w:name="_Toc300835092"/>
      <w:bookmarkStart w:id="555" w:name="_Toc19777"/>
      <w:bookmarkStart w:id="556" w:name="_Toc247514091"/>
      <w:bookmarkStart w:id="557" w:name="_Toc411736200"/>
      <w:bookmarkStart w:id="558" w:name="_Toc7141"/>
      <w:bookmarkStart w:id="559" w:name="_Toc247527692"/>
      <w:bookmarkStart w:id="560" w:name="_Toc184635103"/>
      <w:bookmarkStart w:id="561" w:name="_Toc147856196"/>
      <w:r>
        <w:rPr>
          <w:rStyle w:val="114"/>
          <w:rFonts w:hint="eastAsia"/>
          <w:bCs/>
          <w:color w:val="000000" w:themeColor="text1"/>
          <w:highlight w:val="none"/>
          <w14:textFill>
            <w14:solidFill>
              <w14:schemeClr w14:val="tx1"/>
            </w14:solidFill>
          </w14:textFill>
        </w:rPr>
        <w:t>7. 施工设备和临时设施</w:t>
      </w:r>
      <w:bookmarkEnd w:id="550"/>
      <w:bookmarkEnd w:id="551"/>
      <w:bookmarkEnd w:id="552"/>
      <w:bookmarkEnd w:id="553"/>
      <w:bookmarkEnd w:id="554"/>
      <w:bookmarkEnd w:id="555"/>
      <w:bookmarkEnd w:id="556"/>
      <w:bookmarkEnd w:id="557"/>
      <w:bookmarkEnd w:id="558"/>
      <w:bookmarkEnd w:id="559"/>
      <w:bookmarkEnd w:id="560"/>
      <w:bookmarkEnd w:id="561"/>
    </w:p>
    <w:p>
      <w:pPr>
        <w:pStyle w:val="6"/>
        <w:spacing w:before="240" w:after="120" w:line="360" w:lineRule="auto"/>
        <w:rPr>
          <w:color w:val="000000" w:themeColor="text1"/>
          <w:highlight w:val="none"/>
          <w14:textFill>
            <w14:solidFill>
              <w14:schemeClr w14:val="tx1"/>
            </w14:solidFill>
          </w14:textFill>
        </w:rPr>
      </w:pPr>
      <w:bookmarkStart w:id="562" w:name="_Toc476860412"/>
      <w:bookmarkStart w:id="563" w:name="_Toc1231827445"/>
      <w:bookmarkStart w:id="564" w:name="_Toc247514092"/>
      <w:bookmarkStart w:id="565" w:name="_Toc300835093"/>
      <w:bookmarkStart w:id="566" w:name="_Toc247527693"/>
      <w:bookmarkStart w:id="567" w:name="_Toc410559395"/>
      <w:bookmarkStart w:id="568" w:name="_Toc411736477"/>
      <w:bookmarkStart w:id="569" w:name="_Toc411736201"/>
      <w:r>
        <w:rPr>
          <w:rFonts w:hint="eastAsia"/>
          <w:color w:val="000000" w:themeColor="text1"/>
          <w:highlight w:val="none"/>
          <w14:textFill>
            <w14:solidFill>
              <w14:schemeClr w14:val="tx1"/>
            </w14:solidFill>
          </w14:textFill>
        </w:rPr>
        <w:t>7.1 承包人提供的施工设备和临时设施</w:t>
      </w:r>
      <w:bookmarkEnd w:id="562"/>
      <w:bookmarkEnd w:id="563"/>
      <w:bookmarkEnd w:id="564"/>
      <w:bookmarkEnd w:id="565"/>
      <w:bookmarkEnd w:id="566"/>
      <w:bookmarkEnd w:id="567"/>
      <w:bookmarkEnd w:id="568"/>
      <w:bookmarkEnd w:id="56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7.1.1 承包人应按合同进度计划的要求，及时配置施工设备和修建临时设施。进入施工场地的承包人设备需经监理人核查后才能投入使用。承包人更换合同约定的承包人设备的，应报监理人批准。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7.1.2 除专用合同条款另有约定外，承包人应自行承担修建临时设施的费用。需要临时占地的，应由发包人办理申请手续并承担相应费用。</w:t>
      </w:r>
    </w:p>
    <w:p>
      <w:pPr>
        <w:pStyle w:val="6"/>
        <w:spacing w:before="240" w:after="120" w:line="360" w:lineRule="auto"/>
        <w:rPr>
          <w:color w:val="000000" w:themeColor="text1"/>
          <w:highlight w:val="none"/>
          <w14:textFill>
            <w14:solidFill>
              <w14:schemeClr w14:val="tx1"/>
            </w14:solidFill>
          </w14:textFill>
        </w:rPr>
      </w:pPr>
      <w:bookmarkStart w:id="570" w:name="_Toc411736478"/>
      <w:bookmarkStart w:id="571" w:name="_Toc476860413"/>
      <w:bookmarkStart w:id="572" w:name="_Toc411736202"/>
      <w:bookmarkStart w:id="573" w:name="_Toc410559396"/>
      <w:bookmarkStart w:id="574" w:name="_Toc1581511035"/>
      <w:bookmarkStart w:id="575" w:name="_Toc300835095"/>
      <w:r>
        <w:rPr>
          <w:rFonts w:hint="eastAsia"/>
          <w:color w:val="000000" w:themeColor="text1"/>
          <w:highlight w:val="none"/>
          <w14:textFill>
            <w14:solidFill>
              <w14:schemeClr w14:val="tx1"/>
            </w14:solidFill>
          </w14:textFill>
        </w:rPr>
        <w:t>7.2 发包人提供的施工设备和临时设施（B）</w:t>
      </w:r>
      <w:bookmarkEnd w:id="570"/>
      <w:bookmarkEnd w:id="571"/>
      <w:bookmarkEnd w:id="572"/>
      <w:bookmarkEnd w:id="573"/>
      <w:bookmarkEnd w:id="574"/>
      <w:bookmarkEnd w:id="57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发包人不提供施工设备或临时设施。</w:t>
      </w:r>
    </w:p>
    <w:p>
      <w:pPr>
        <w:pStyle w:val="6"/>
        <w:spacing w:before="240" w:after="120" w:line="360" w:lineRule="auto"/>
        <w:rPr>
          <w:color w:val="000000" w:themeColor="text1"/>
          <w:highlight w:val="none"/>
          <w14:textFill>
            <w14:solidFill>
              <w14:schemeClr w14:val="tx1"/>
            </w14:solidFill>
          </w14:textFill>
        </w:rPr>
      </w:pPr>
      <w:bookmarkStart w:id="576" w:name="_Toc411736203"/>
      <w:bookmarkStart w:id="577" w:name="_Toc300835096"/>
      <w:bookmarkStart w:id="578" w:name="_Toc1050866326"/>
      <w:bookmarkStart w:id="579" w:name="_Toc247514094"/>
      <w:bookmarkStart w:id="580" w:name="_Toc476860414"/>
      <w:bookmarkStart w:id="581" w:name="_Toc410559397"/>
      <w:bookmarkStart w:id="582" w:name="_Toc247527695"/>
      <w:bookmarkStart w:id="583" w:name="_Toc411736479"/>
      <w:r>
        <w:rPr>
          <w:rFonts w:hint="eastAsia"/>
          <w:color w:val="000000" w:themeColor="text1"/>
          <w:highlight w:val="none"/>
          <w14:textFill>
            <w14:solidFill>
              <w14:schemeClr w14:val="tx1"/>
            </w14:solidFill>
          </w14:textFill>
        </w:rPr>
        <w:t>7.3 要求承包人增加或更换施工设备</w:t>
      </w:r>
      <w:bookmarkEnd w:id="576"/>
      <w:bookmarkEnd w:id="577"/>
      <w:bookmarkEnd w:id="578"/>
      <w:bookmarkEnd w:id="579"/>
      <w:bookmarkEnd w:id="580"/>
      <w:bookmarkEnd w:id="581"/>
      <w:bookmarkEnd w:id="582"/>
      <w:bookmarkEnd w:id="58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承包人使用的施工设备不能满足合同进度计划和（或）质量标准时，监理人有权要求承包人增加或更换施工设备，承包人应及时增加或更换，由此增加的费用和（或）工期延误由承包人承担。</w:t>
      </w:r>
      <w:bookmarkStart w:id="584" w:name="_Toc247527696"/>
      <w:bookmarkStart w:id="585" w:name="_Toc247514095"/>
      <w:bookmarkStart w:id="586" w:name="_Toc300835097"/>
    </w:p>
    <w:p>
      <w:pPr>
        <w:pStyle w:val="6"/>
        <w:spacing w:before="240" w:after="120" w:line="360" w:lineRule="auto"/>
        <w:rPr>
          <w:color w:val="000000" w:themeColor="text1"/>
          <w:highlight w:val="none"/>
          <w14:textFill>
            <w14:solidFill>
              <w14:schemeClr w14:val="tx1"/>
            </w14:solidFill>
          </w14:textFill>
        </w:rPr>
      </w:pPr>
      <w:bookmarkStart w:id="587" w:name="_Toc476860415"/>
      <w:bookmarkStart w:id="588" w:name="_Toc1004828154"/>
      <w:bookmarkStart w:id="589" w:name="_Toc411736204"/>
      <w:bookmarkStart w:id="590" w:name="_Toc410559398"/>
      <w:bookmarkStart w:id="591" w:name="_Toc411736480"/>
      <w:r>
        <w:rPr>
          <w:rFonts w:hint="eastAsia"/>
          <w:color w:val="000000" w:themeColor="text1"/>
          <w:highlight w:val="none"/>
          <w14:textFill>
            <w14:solidFill>
              <w14:schemeClr w14:val="tx1"/>
            </w14:solidFill>
          </w14:textFill>
        </w:rPr>
        <w:t>7.4 施工设备和临时设施专用于合同工程</w:t>
      </w:r>
      <w:bookmarkEnd w:id="584"/>
      <w:bookmarkEnd w:id="585"/>
      <w:bookmarkEnd w:id="586"/>
      <w:bookmarkEnd w:id="587"/>
      <w:bookmarkEnd w:id="588"/>
      <w:bookmarkEnd w:id="589"/>
      <w:bookmarkEnd w:id="590"/>
      <w:bookmarkEnd w:id="59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7.4.1 除合同另有约定外，运入施工场地的所有施工设备以及在施工场地建设的临时设施应专用于合同工程。未经监理人同意，不得将上述施工设备和临时设施中的任何部分运出施工场地或挪作他用。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7.4.2 经监理人同意，承包人可根据合同进度计划撤走闲置的施工设备。</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592" w:name="_Toc410559399"/>
      <w:bookmarkStart w:id="593" w:name="_Toc247514096"/>
      <w:bookmarkStart w:id="594" w:name="_Toc476860416"/>
      <w:bookmarkStart w:id="595" w:name="_Toc411736205"/>
      <w:bookmarkStart w:id="596" w:name="_Toc32278"/>
      <w:bookmarkStart w:id="597" w:name="_Toc411736481"/>
      <w:bookmarkStart w:id="598" w:name="_Toc300835098"/>
      <w:bookmarkStart w:id="599" w:name="_Toc335384270"/>
      <w:bookmarkStart w:id="600" w:name="_Toc27785"/>
      <w:bookmarkStart w:id="601" w:name="_Toc184635104"/>
      <w:bookmarkStart w:id="602" w:name="_Toc247527697"/>
      <w:bookmarkStart w:id="603" w:name="_Toc147856197"/>
      <w:r>
        <w:rPr>
          <w:rStyle w:val="114"/>
          <w:rFonts w:hint="eastAsia"/>
          <w:bCs/>
          <w:color w:val="000000" w:themeColor="text1"/>
          <w:highlight w:val="none"/>
          <w14:textFill>
            <w14:solidFill>
              <w14:schemeClr w14:val="tx1"/>
            </w14:solidFill>
          </w14:textFill>
        </w:rPr>
        <w:t>8. 交通运输</w:t>
      </w:r>
      <w:bookmarkEnd w:id="592"/>
      <w:bookmarkEnd w:id="593"/>
      <w:bookmarkEnd w:id="594"/>
      <w:bookmarkEnd w:id="595"/>
      <w:bookmarkEnd w:id="596"/>
      <w:bookmarkEnd w:id="597"/>
      <w:bookmarkEnd w:id="598"/>
      <w:bookmarkEnd w:id="599"/>
      <w:bookmarkEnd w:id="600"/>
      <w:bookmarkEnd w:id="601"/>
      <w:bookmarkEnd w:id="602"/>
      <w:bookmarkEnd w:id="603"/>
    </w:p>
    <w:p>
      <w:pPr>
        <w:pStyle w:val="6"/>
        <w:spacing w:before="240" w:after="120" w:line="360" w:lineRule="auto"/>
        <w:rPr>
          <w:color w:val="000000" w:themeColor="text1"/>
          <w:highlight w:val="none"/>
          <w14:textFill>
            <w14:solidFill>
              <w14:schemeClr w14:val="tx1"/>
            </w14:solidFill>
          </w14:textFill>
        </w:rPr>
      </w:pPr>
      <w:bookmarkStart w:id="604" w:name="_Toc410559400"/>
      <w:bookmarkStart w:id="605" w:name="_Toc1806336162"/>
      <w:bookmarkStart w:id="606" w:name="_Toc476860417"/>
      <w:bookmarkStart w:id="607" w:name="_Toc300835100"/>
      <w:bookmarkStart w:id="608" w:name="_Toc411736482"/>
      <w:bookmarkStart w:id="609" w:name="_Toc411736206"/>
      <w:r>
        <w:rPr>
          <w:rFonts w:hint="eastAsia"/>
          <w:color w:val="000000" w:themeColor="text1"/>
          <w:highlight w:val="none"/>
          <w14:textFill>
            <w14:solidFill>
              <w14:schemeClr w14:val="tx1"/>
            </w14:solidFill>
          </w14:textFill>
        </w:rPr>
        <w:t>8.1 道路通行权和场外设施（B）</w:t>
      </w:r>
      <w:bookmarkEnd w:id="604"/>
      <w:bookmarkEnd w:id="605"/>
      <w:bookmarkEnd w:id="606"/>
      <w:bookmarkEnd w:id="607"/>
      <w:bookmarkEnd w:id="608"/>
      <w:bookmarkEnd w:id="60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承包人应根据工程的施工需要，负责办理取得出入施工场地的专用和临时道路的通行权，以及取得为工程建设所需修建场外设施的权利，并承担有关费用。发包人应协助承包人办理上述手续。</w:t>
      </w:r>
    </w:p>
    <w:p>
      <w:pPr>
        <w:pStyle w:val="6"/>
        <w:spacing w:before="240" w:after="120" w:line="360" w:lineRule="auto"/>
        <w:rPr>
          <w:color w:val="000000" w:themeColor="text1"/>
          <w:highlight w:val="none"/>
          <w14:textFill>
            <w14:solidFill>
              <w14:schemeClr w14:val="tx1"/>
            </w14:solidFill>
          </w14:textFill>
        </w:rPr>
      </w:pPr>
      <w:bookmarkStart w:id="610" w:name="_Toc300835101"/>
      <w:bookmarkStart w:id="611" w:name="_Toc115557095"/>
      <w:bookmarkStart w:id="612" w:name="_Toc410559401"/>
      <w:bookmarkStart w:id="613" w:name="_Toc411736483"/>
      <w:bookmarkStart w:id="614" w:name="_Toc411736207"/>
      <w:bookmarkStart w:id="615" w:name="_Toc247527699"/>
      <w:bookmarkStart w:id="616" w:name="_Toc247514098"/>
      <w:bookmarkStart w:id="617" w:name="_Toc476860418"/>
      <w:r>
        <w:rPr>
          <w:rFonts w:hint="eastAsia"/>
          <w:color w:val="000000" w:themeColor="text1"/>
          <w:highlight w:val="none"/>
          <w14:textFill>
            <w14:solidFill>
              <w14:schemeClr w14:val="tx1"/>
            </w14:solidFill>
          </w14:textFill>
        </w:rPr>
        <w:t>8.2 场内施工道路</w:t>
      </w:r>
      <w:bookmarkEnd w:id="610"/>
      <w:bookmarkEnd w:id="611"/>
      <w:bookmarkEnd w:id="612"/>
      <w:bookmarkEnd w:id="613"/>
      <w:bookmarkEnd w:id="614"/>
      <w:bookmarkEnd w:id="615"/>
      <w:bookmarkEnd w:id="616"/>
      <w:bookmarkEnd w:id="617"/>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8.2.1 除专用合同条款另有约定外，承包人应负责修建、维修、养护和管理施工所需的临时道路和交通设施，包括维修、养护和管理发包人提供的道路和交通设施，并承担相应费用。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8.2.2 除专用合同条款另有约定外，承包人修建的临时道路和交通设施应免费提供发包人和监理人为实现合同目的使用。</w:t>
      </w:r>
    </w:p>
    <w:p>
      <w:pPr>
        <w:pStyle w:val="6"/>
        <w:spacing w:before="240" w:after="120" w:line="360" w:lineRule="auto"/>
        <w:rPr>
          <w:color w:val="000000" w:themeColor="text1"/>
          <w:highlight w:val="none"/>
          <w14:textFill>
            <w14:solidFill>
              <w14:schemeClr w14:val="tx1"/>
            </w14:solidFill>
          </w14:textFill>
        </w:rPr>
      </w:pPr>
      <w:bookmarkStart w:id="618" w:name="_Toc411736484"/>
      <w:bookmarkStart w:id="619" w:name="_Toc247514099"/>
      <w:bookmarkStart w:id="620" w:name="_Toc300835102"/>
      <w:bookmarkStart w:id="621" w:name="_Toc476860419"/>
      <w:bookmarkStart w:id="622" w:name="_Toc247527700"/>
      <w:bookmarkStart w:id="623" w:name="_Toc411736208"/>
      <w:bookmarkStart w:id="624" w:name="_Toc410559402"/>
      <w:bookmarkStart w:id="625" w:name="_Toc842878777"/>
      <w:r>
        <w:rPr>
          <w:rFonts w:hint="eastAsia"/>
          <w:color w:val="000000" w:themeColor="text1"/>
          <w:highlight w:val="none"/>
          <w14:textFill>
            <w14:solidFill>
              <w14:schemeClr w14:val="tx1"/>
            </w14:solidFill>
          </w14:textFill>
        </w:rPr>
        <w:t>8.3 场外交通</w:t>
      </w:r>
      <w:bookmarkEnd w:id="618"/>
      <w:bookmarkEnd w:id="619"/>
      <w:bookmarkEnd w:id="620"/>
      <w:bookmarkEnd w:id="621"/>
      <w:bookmarkEnd w:id="622"/>
      <w:bookmarkEnd w:id="623"/>
      <w:bookmarkEnd w:id="624"/>
      <w:bookmarkEnd w:id="62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8.3.1 承包人车辆外出行驶所需的场外公共道路的通行费、养路费和税款等由承包人承担。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8.3.2 承包人应遵守有关交通法规，严格按照道路和桥梁的限制荷重安全行驶，并服从交通管理部门的检查和监督。</w:t>
      </w:r>
    </w:p>
    <w:p>
      <w:pPr>
        <w:pStyle w:val="6"/>
        <w:spacing w:before="240" w:after="120" w:line="360" w:lineRule="auto"/>
        <w:rPr>
          <w:color w:val="000000" w:themeColor="text1"/>
          <w:highlight w:val="none"/>
          <w14:textFill>
            <w14:solidFill>
              <w14:schemeClr w14:val="tx1"/>
            </w14:solidFill>
          </w14:textFill>
        </w:rPr>
      </w:pPr>
      <w:bookmarkStart w:id="626" w:name="_Toc411736485"/>
      <w:bookmarkStart w:id="627" w:name="_Toc247514100"/>
      <w:bookmarkStart w:id="628" w:name="_Toc410559403"/>
      <w:bookmarkStart w:id="629" w:name="_Toc1461469427"/>
      <w:bookmarkStart w:id="630" w:name="_Toc476860420"/>
      <w:bookmarkStart w:id="631" w:name="_Toc247527701"/>
      <w:bookmarkStart w:id="632" w:name="_Toc300835103"/>
      <w:bookmarkStart w:id="633" w:name="_Toc411736209"/>
      <w:r>
        <w:rPr>
          <w:rFonts w:hint="eastAsia"/>
          <w:color w:val="000000" w:themeColor="text1"/>
          <w:highlight w:val="none"/>
          <w14:textFill>
            <w14:solidFill>
              <w14:schemeClr w14:val="tx1"/>
            </w14:solidFill>
          </w14:textFill>
        </w:rPr>
        <w:t>8.4 超大件和超重件的运输</w:t>
      </w:r>
      <w:bookmarkEnd w:id="626"/>
      <w:bookmarkEnd w:id="627"/>
      <w:bookmarkEnd w:id="628"/>
      <w:bookmarkEnd w:id="629"/>
      <w:bookmarkEnd w:id="630"/>
      <w:bookmarkEnd w:id="631"/>
      <w:bookmarkEnd w:id="632"/>
      <w:bookmarkEnd w:id="63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pPr>
        <w:pStyle w:val="6"/>
        <w:spacing w:before="240" w:after="120" w:line="360" w:lineRule="auto"/>
        <w:rPr>
          <w:color w:val="000000" w:themeColor="text1"/>
          <w:highlight w:val="none"/>
          <w14:textFill>
            <w14:solidFill>
              <w14:schemeClr w14:val="tx1"/>
            </w14:solidFill>
          </w14:textFill>
        </w:rPr>
      </w:pPr>
      <w:bookmarkStart w:id="634" w:name="_Toc476860421"/>
      <w:bookmarkStart w:id="635" w:name="_Toc2146188850"/>
      <w:bookmarkStart w:id="636" w:name="_Toc410559404"/>
      <w:bookmarkStart w:id="637" w:name="_Toc300835104"/>
      <w:bookmarkStart w:id="638" w:name="_Toc411736486"/>
      <w:bookmarkStart w:id="639" w:name="_Toc247527702"/>
      <w:bookmarkStart w:id="640" w:name="_Toc411736210"/>
      <w:bookmarkStart w:id="641" w:name="_Toc247514101"/>
      <w:r>
        <w:rPr>
          <w:rFonts w:hint="eastAsia"/>
          <w:color w:val="000000" w:themeColor="text1"/>
          <w:highlight w:val="none"/>
          <w14:textFill>
            <w14:solidFill>
              <w14:schemeClr w14:val="tx1"/>
            </w14:solidFill>
          </w14:textFill>
        </w:rPr>
        <w:t>8.5 道路和桥梁的损坏责任</w:t>
      </w:r>
      <w:bookmarkEnd w:id="634"/>
      <w:bookmarkEnd w:id="635"/>
      <w:bookmarkEnd w:id="636"/>
      <w:bookmarkEnd w:id="637"/>
      <w:bookmarkEnd w:id="638"/>
      <w:bookmarkEnd w:id="639"/>
      <w:bookmarkEnd w:id="640"/>
      <w:bookmarkEnd w:id="64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因承包人运输造成施工场地内外公共道路和桥梁损坏的，由承包人承担修复损坏的全部费用和可能引起的赔偿。</w:t>
      </w:r>
    </w:p>
    <w:p>
      <w:pPr>
        <w:pStyle w:val="6"/>
        <w:spacing w:before="240" w:after="120" w:line="360" w:lineRule="auto"/>
        <w:rPr>
          <w:color w:val="000000" w:themeColor="text1"/>
          <w:highlight w:val="none"/>
          <w14:textFill>
            <w14:solidFill>
              <w14:schemeClr w14:val="tx1"/>
            </w14:solidFill>
          </w14:textFill>
        </w:rPr>
      </w:pPr>
      <w:bookmarkStart w:id="642" w:name="_Toc247514102"/>
      <w:bookmarkStart w:id="643" w:name="_Toc476860422"/>
      <w:bookmarkStart w:id="644" w:name="_Toc410559405"/>
      <w:bookmarkStart w:id="645" w:name="_Toc1860666938"/>
      <w:bookmarkStart w:id="646" w:name="_Toc247527703"/>
      <w:bookmarkStart w:id="647" w:name="_Toc300835105"/>
      <w:bookmarkStart w:id="648" w:name="_Toc411736487"/>
      <w:bookmarkStart w:id="649" w:name="_Toc411736211"/>
      <w:r>
        <w:rPr>
          <w:rFonts w:hint="eastAsia"/>
          <w:color w:val="000000" w:themeColor="text1"/>
          <w:highlight w:val="none"/>
          <w14:textFill>
            <w14:solidFill>
              <w14:schemeClr w14:val="tx1"/>
            </w14:solidFill>
          </w14:textFill>
        </w:rPr>
        <w:t>8.6 水路和航空运输</w:t>
      </w:r>
      <w:bookmarkEnd w:id="642"/>
      <w:bookmarkEnd w:id="643"/>
      <w:bookmarkEnd w:id="644"/>
      <w:bookmarkEnd w:id="645"/>
      <w:bookmarkEnd w:id="646"/>
      <w:bookmarkEnd w:id="647"/>
      <w:bookmarkEnd w:id="648"/>
      <w:bookmarkEnd w:id="64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本条上述各款的内容适用于水路运输和航空运输，其中“道路”一词的涵义包括河道、航线、船闸、机场、码头、堤防以及水路或航空运输中其他相似结构物；“车辆”一词的涵义包括船舶和飞机等。</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650" w:name="_Toc26212"/>
      <w:bookmarkStart w:id="651" w:name="_Toc247514103"/>
      <w:bookmarkStart w:id="652" w:name="_Toc411736488"/>
      <w:bookmarkStart w:id="653" w:name="_Toc476860423"/>
      <w:bookmarkStart w:id="654" w:name="_Toc572359352"/>
      <w:bookmarkStart w:id="655" w:name="_Toc411736212"/>
      <w:bookmarkStart w:id="656" w:name="_Toc184635105"/>
      <w:bookmarkStart w:id="657" w:name="_Toc24491"/>
      <w:bookmarkStart w:id="658" w:name="_Toc410559406"/>
      <w:bookmarkStart w:id="659" w:name="_Toc247527704"/>
      <w:bookmarkStart w:id="660" w:name="_Toc300835106"/>
      <w:bookmarkStart w:id="661" w:name="_Toc147856198"/>
      <w:r>
        <w:rPr>
          <w:rStyle w:val="114"/>
          <w:rFonts w:hint="eastAsia"/>
          <w:bCs/>
          <w:color w:val="000000" w:themeColor="text1"/>
          <w:highlight w:val="none"/>
          <w14:textFill>
            <w14:solidFill>
              <w14:schemeClr w14:val="tx1"/>
            </w14:solidFill>
          </w14:textFill>
        </w:rPr>
        <w:t>9. 测量放线</w:t>
      </w:r>
      <w:bookmarkEnd w:id="650"/>
      <w:bookmarkEnd w:id="651"/>
      <w:bookmarkEnd w:id="652"/>
      <w:bookmarkEnd w:id="653"/>
      <w:bookmarkEnd w:id="654"/>
      <w:bookmarkEnd w:id="655"/>
      <w:bookmarkEnd w:id="656"/>
      <w:bookmarkEnd w:id="657"/>
      <w:bookmarkEnd w:id="658"/>
      <w:bookmarkEnd w:id="659"/>
      <w:bookmarkEnd w:id="660"/>
      <w:bookmarkEnd w:id="661"/>
    </w:p>
    <w:p>
      <w:pPr>
        <w:pStyle w:val="6"/>
        <w:spacing w:before="240" w:after="120" w:line="360" w:lineRule="auto"/>
        <w:rPr>
          <w:color w:val="000000" w:themeColor="text1"/>
          <w:highlight w:val="none"/>
          <w14:textFill>
            <w14:solidFill>
              <w14:schemeClr w14:val="tx1"/>
            </w14:solidFill>
          </w14:textFill>
        </w:rPr>
      </w:pPr>
      <w:bookmarkStart w:id="662" w:name="_Toc247527705"/>
      <w:bookmarkStart w:id="663" w:name="_Toc247514104"/>
      <w:bookmarkStart w:id="664" w:name="_Toc1064374151"/>
      <w:bookmarkStart w:id="665" w:name="_Toc300835107"/>
      <w:bookmarkStart w:id="666" w:name="_Toc411736213"/>
      <w:bookmarkStart w:id="667" w:name="_Toc411736489"/>
      <w:bookmarkStart w:id="668" w:name="_Toc410559407"/>
      <w:bookmarkStart w:id="669" w:name="_Toc476860424"/>
      <w:r>
        <w:rPr>
          <w:rFonts w:hint="eastAsia"/>
          <w:color w:val="000000" w:themeColor="text1"/>
          <w:highlight w:val="none"/>
          <w14:textFill>
            <w14:solidFill>
              <w14:schemeClr w14:val="tx1"/>
            </w14:solidFill>
          </w14:textFill>
        </w:rPr>
        <w:t>9.1 施工控制网</w:t>
      </w:r>
      <w:bookmarkEnd w:id="662"/>
      <w:bookmarkEnd w:id="663"/>
      <w:bookmarkEnd w:id="664"/>
      <w:bookmarkEnd w:id="665"/>
      <w:bookmarkEnd w:id="666"/>
      <w:bookmarkEnd w:id="667"/>
      <w:bookmarkEnd w:id="668"/>
      <w:bookmarkEnd w:id="66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9.1.1 发包人应在专用合同条款约定的期限内，通过监理人向承包人提供测量基准点、基准线和水准点及其书面资料。除专用合同条款另有约定外，承包人应根据国家测绘基准、测绘系统和工程测量技术规范，按上述基准点（线）以及合同工程精度要求，测设施工控制网，并在专用合同条款约定的期限内，将施工控制网资料报送监理人批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9.1.2 承包人应负责管理施工控制网点。施工控制网点丢失或损坏的，承包人应及时修复。承包人应承担施工控制网点的管理与修复费用，并在工程竣工后将施工控制网点移交发包人。</w:t>
      </w:r>
    </w:p>
    <w:p>
      <w:pPr>
        <w:pStyle w:val="6"/>
        <w:spacing w:before="240" w:after="120" w:line="360" w:lineRule="auto"/>
        <w:rPr>
          <w:color w:val="000000" w:themeColor="text1"/>
          <w:highlight w:val="none"/>
          <w14:textFill>
            <w14:solidFill>
              <w14:schemeClr w14:val="tx1"/>
            </w14:solidFill>
          </w14:textFill>
        </w:rPr>
      </w:pPr>
      <w:bookmarkStart w:id="670" w:name="_Toc247527706"/>
      <w:bookmarkStart w:id="671" w:name="_Toc410559408"/>
      <w:bookmarkStart w:id="672" w:name="_Toc247514105"/>
      <w:bookmarkStart w:id="673" w:name="_Toc476860425"/>
      <w:bookmarkStart w:id="674" w:name="_Toc397576347"/>
      <w:bookmarkStart w:id="675" w:name="_Toc300835108"/>
      <w:bookmarkStart w:id="676" w:name="_Toc411736490"/>
      <w:bookmarkStart w:id="677" w:name="_Toc411736214"/>
      <w:r>
        <w:rPr>
          <w:rFonts w:hint="eastAsia"/>
          <w:color w:val="000000" w:themeColor="text1"/>
          <w:highlight w:val="none"/>
          <w14:textFill>
            <w14:solidFill>
              <w14:schemeClr w14:val="tx1"/>
            </w14:solidFill>
          </w14:textFill>
        </w:rPr>
        <w:t>9.2 施工测量</w:t>
      </w:r>
      <w:bookmarkEnd w:id="670"/>
      <w:bookmarkEnd w:id="671"/>
      <w:bookmarkEnd w:id="672"/>
      <w:bookmarkEnd w:id="673"/>
      <w:bookmarkEnd w:id="674"/>
      <w:bookmarkEnd w:id="675"/>
      <w:bookmarkEnd w:id="676"/>
      <w:bookmarkEnd w:id="677"/>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9.2.1 承包人应负责施工过程中的全部施工测量放线工作，并配置合格的人员、仪器、设备和其他物品。</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9.2.2 监理人可以指示承包人进行抽样复测，当复测中发现错误或出现超过合同约定的误差时，承包人应按监理人指示进行修正或补测，并承担相应的复测费用。</w:t>
      </w:r>
    </w:p>
    <w:p>
      <w:pPr>
        <w:pStyle w:val="6"/>
        <w:spacing w:before="240" w:after="120" w:line="360" w:lineRule="auto"/>
        <w:rPr>
          <w:color w:val="000000" w:themeColor="text1"/>
          <w:highlight w:val="none"/>
          <w14:textFill>
            <w14:solidFill>
              <w14:schemeClr w14:val="tx1"/>
            </w14:solidFill>
          </w14:textFill>
        </w:rPr>
      </w:pPr>
      <w:bookmarkStart w:id="678" w:name="_Toc411736215"/>
      <w:bookmarkStart w:id="679" w:name="_Toc410559409"/>
      <w:bookmarkStart w:id="680" w:name="_Toc247527707"/>
      <w:bookmarkStart w:id="681" w:name="_Toc300835109"/>
      <w:bookmarkStart w:id="682" w:name="_Toc247514106"/>
      <w:bookmarkStart w:id="683" w:name="_Toc411736491"/>
      <w:bookmarkStart w:id="684" w:name="_Toc476860426"/>
      <w:bookmarkStart w:id="685" w:name="_Toc1244038212"/>
      <w:r>
        <w:rPr>
          <w:rFonts w:hint="eastAsia"/>
          <w:color w:val="000000" w:themeColor="text1"/>
          <w:highlight w:val="none"/>
          <w14:textFill>
            <w14:solidFill>
              <w14:schemeClr w14:val="tx1"/>
            </w14:solidFill>
          </w14:textFill>
        </w:rPr>
        <w:t>9.3 基准资料错误的责任</w:t>
      </w:r>
      <w:bookmarkEnd w:id="678"/>
      <w:bookmarkEnd w:id="679"/>
      <w:bookmarkEnd w:id="680"/>
      <w:bookmarkEnd w:id="681"/>
      <w:bookmarkEnd w:id="682"/>
      <w:bookmarkEnd w:id="683"/>
      <w:bookmarkEnd w:id="684"/>
      <w:bookmarkEnd w:id="68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对其提供的测量基准点、基准线和水准点及其书面资料的真实性、准确性和完整性负责，对其提供上述基准资料错误导致承包人损失的，发包人应当承担由此增加的费用和（或）工期延误，并向承包人支付合理利润。承包人应在设计或施工中对上述资料的准确性进行核实，发现存在明显错误或疏忽的，应及时通知监理人。</w:t>
      </w:r>
    </w:p>
    <w:p>
      <w:pPr>
        <w:pStyle w:val="6"/>
        <w:spacing w:before="240" w:after="120" w:line="360" w:lineRule="auto"/>
        <w:rPr>
          <w:color w:val="000000" w:themeColor="text1"/>
          <w:highlight w:val="none"/>
          <w14:textFill>
            <w14:solidFill>
              <w14:schemeClr w14:val="tx1"/>
            </w14:solidFill>
          </w14:textFill>
        </w:rPr>
      </w:pPr>
      <w:bookmarkStart w:id="686" w:name="_Toc476860427"/>
      <w:bookmarkStart w:id="687" w:name="_Toc300835110"/>
      <w:bookmarkStart w:id="688" w:name="_Toc410559410"/>
      <w:bookmarkStart w:id="689" w:name="_Toc247514107"/>
      <w:bookmarkStart w:id="690" w:name="_Toc247527708"/>
      <w:bookmarkStart w:id="691" w:name="_Toc411736216"/>
      <w:bookmarkStart w:id="692" w:name="_Toc411736492"/>
      <w:bookmarkStart w:id="693" w:name="_Toc649441892"/>
      <w:r>
        <w:rPr>
          <w:rFonts w:hint="eastAsia"/>
          <w:color w:val="000000" w:themeColor="text1"/>
          <w:highlight w:val="none"/>
          <w14:textFill>
            <w14:solidFill>
              <w14:schemeClr w14:val="tx1"/>
            </w14:solidFill>
          </w14:textFill>
        </w:rPr>
        <w:t>9.4 监理人使用施工控制网</w:t>
      </w:r>
      <w:bookmarkEnd w:id="686"/>
      <w:bookmarkEnd w:id="687"/>
      <w:bookmarkEnd w:id="688"/>
      <w:bookmarkEnd w:id="689"/>
      <w:bookmarkEnd w:id="690"/>
      <w:bookmarkEnd w:id="691"/>
      <w:bookmarkEnd w:id="692"/>
      <w:bookmarkEnd w:id="69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监理人需要使用施工控制网的，承包人应提供必要的协助，发包人不再为此支付费用。</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694" w:name="_Toc1657984790"/>
      <w:bookmarkStart w:id="695" w:name="_Toc247514108"/>
      <w:bookmarkStart w:id="696" w:name="_Toc247527709"/>
      <w:bookmarkStart w:id="697" w:name="_Toc410559411"/>
      <w:bookmarkStart w:id="698" w:name="_Toc411736217"/>
      <w:bookmarkStart w:id="699" w:name="_Toc411736493"/>
      <w:bookmarkStart w:id="700" w:name="_Toc300835111"/>
      <w:bookmarkStart w:id="701" w:name="_Toc28932"/>
      <w:bookmarkStart w:id="702" w:name="_Toc476860428"/>
      <w:bookmarkStart w:id="703" w:name="_Toc20297"/>
      <w:bookmarkStart w:id="704" w:name="_Toc184635106"/>
      <w:bookmarkStart w:id="705" w:name="_Toc147856199"/>
      <w:r>
        <w:rPr>
          <w:rStyle w:val="114"/>
          <w:rFonts w:hint="eastAsia"/>
          <w:bCs/>
          <w:color w:val="000000" w:themeColor="text1"/>
          <w:highlight w:val="none"/>
          <w14:textFill>
            <w14:solidFill>
              <w14:schemeClr w14:val="tx1"/>
            </w14:solidFill>
          </w14:textFill>
        </w:rPr>
        <w:t>10. 安全、治安保卫和环境保护</w:t>
      </w:r>
      <w:bookmarkEnd w:id="694"/>
      <w:bookmarkEnd w:id="695"/>
      <w:bookmarkEnd w:id="696"/>
      <w:bookmarkEnd w:id="697"/>
      <w:bookmarkEnd w:id="698"/>
      <w:bookmarkEnd w:id="699"/>
      <w:bookmarkEnd w:id="700"/>
      <w:bookmarkEnd w:id="701"/>
      <w:bookmarkEnd w:id="702"/>
      <w:bookmarkEnd w:id="703"/>
      <w:bookmarkEnd w:id="704"/>
      <w:bookmarkEnd w:id="705"/>
    </w:p>
    <w:p>
      <w:pPr>
        <w:pStyle w:val="6"/>
        <w:spacing w:before="240" w:after="120" w:line="360" w:lineRule="auto"/>
        <w:rPr>
          <w:color w:val="000000" w:themeColor="text1"/>
          <w:highlight w:val="none"/>
          <w14:textFill>
            <w14:solidFill>
              <w14:schemeClr w14:val="tx1"/>
            </w14:solidFill>
          </w14:textFill>
        </w:rPr>
      </w:pPr>
      <w:bookmarkStart w:id="706" w:name="_Toc411736218"/>
      <w:bookmarkStart w:id="707" w:name="_Toc2562058"/>
      <w:bookmarkStart w:id="708" w:name="_Toc247514109"/>
      <w:bookmarkStart w:id="709" w:name="_Toc476860429"/>
      <w:bookmarkStart w:id="710" w:name="_Toc411736494"/>
      <w:bookmarkStart w:id="711" w:name="_Toc410559412"/>
      <w:bookmarkStart w:id="712" w:name="_Toc300835112"/>
      <w:bookmarkStart w:id="713" w:name="_Toc247527710"/>
      <w:r>
        <w:rPr>
          <w:rFonts w:hint="eastAsia"/>
          <w:color w:val="000000" w:themeColor="text1"/>
          <w:highlight w:val="none"/>
          <w14:textFill>
            <w14:solidFill>
              <w14:schemeClr w14:val="tx1"/>
            </w14:solidFill>
          </w14:textFill>
        </w:rPr>
        <w:t>10.1 发包人的安全责任</w:t>
      </w:r>
      <w:bookmarkEnd w:id="706"/>
      <w:bookmarkEnd w:id="707"/>
      <w:bookmarkEnd w:id="708"/>
      <w:bookmarkEnd w:id="709"/>
      <w:bookmarkEnd w:id="710"/>
      <w:bookmarkEnd w:id="711"/>
      <w:bookmarkEnd w:id="712"/>
      <w:bookmarkEnd w:id="71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10.1.1 发包人应按合同约定履行安全职责，授权监理人按合同约定的安全工作内容监督、检查承包人安全工作的实施，组织承包人和有关单位进行安全检查。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10.1.2 发包人应对其现场机构雇佣的全部人员的工伤事故承担责任，但由于承包人原因造成发包人人员工伤的，应由承包人承担责任。</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10.1.3 发包人应负责赔偿以下各种情况造成的第三者人身伤亡和财产损失：</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（1）工程或工程的任何部分对土地的占用所造成的第三者财产损失；</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（2）由于发包人原因在施工场地及其毗邻地带、履行合同工作中造成的第三者人身伤亡和财产损失。</w:t>
      </w:r>
    </w:p>
    <w:p>
      <w:pPr>
        <w:pStyle w:val="6"/>
        <w:spacing w:before="240" w:after="120" w:line="360" w:lineRule="auto"/>
        <w:rPr>
          <w:color w:val="000000" w:themeColor="text1"/>
          <w:highlight w:val="none"/>
          <w14:textFill>
            <w14:solidFill>
              <w14:schemeClr w14:val="tx1"/>
            </w14:solidFill>
          </w14:textFill>
        </w:rPr>
      </w:pPr>
      <w:bookmarkStart w:id="714" w:name="_Toc247527711"/>
      <w:bookmarkStart w:id="715" w:name="_Toc247514110"/>
      <w:bookmarkStart w:id="716" w:name="_Toc300835113"/>
      <w:bookmarkStart w:id="717" w:name="_Toc411736495"/>
      <w:bookmarkStart w:id="718" w:name="_Toc110835866"/>
      <w:bookmarkStart w:id="719" w:name="_Toc411736219"/>
      <w:bookmarkStart w:id="720" w:name="_Toc476860430"/>
      <w:bookmarkStart w:id="721" w:name="_Toc410559413"/>
      <w:r>
        <w:rPr>
          <w:rFonts w:hint="eastAsia"/>
          <w:color w:val="000000" w:themeColor="text1"/>
          <w:highlight w:val="none"/>
          <w14:textFill>
            <w14:solidFill>
              <w14:schemeClr w14:val="tx1"/>
            </w14:solidFill>
          </w14:textFill>
        </w:rPr>
        <w:t>10.2 承包人的安全责任</w:t>
      </w:r>
      <w:bookmarkEnd w:id="714"/>
      <w:bookmarkEnd w:id="715"/>
      <w:bookmarkEnd w:id="716"/>
      <w:bookmarkEnd w:id="717"/>
      <w:bookmarkEnd w:id="718"/>
      <w:bookmarkEnd w:id="719"/>
      <w:bookmarkEnd w:id="720"/>
      <w:bookmarkEnd w:id="72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10.2.1 承包人应按合同约定履行安全职责，执行监理人有关安全工作的指示，并在专用合同条款约定的期限内，按合同约定的安全工作内容，编制安全措施计划报送监理人批准。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10.2.2 承包人按照合同约定需要进行勘察的，应严格执行操作规程，采取措施保证各类管线、设施和周边建筑物、构筑物的安全。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10.2.3 承包人应当按照法律、法规和工程建设强制性标准进行设计，在设计文件中注明涉及施工安全的重点部位和环节，提出保障施工作业人员和预防安全事故的措施建议，防止因设计不合理导致生产安全事故的发生。</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10.2.4 承包人应加强施工作业安全管理，特别应加强易燃、易爆材料、火工器材、有毒与腐蚀性材料和其他危险品的管理，以及对爆破作业和地下工程施工等危险作业的管理。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10.2.5 承包人应严格按照国家安全标准制定施工安全操作规程，配备必要的安全生产和劳动保护设施，加强对承包人人员的安全教育，并发放安全工作手册和劳动保护用具。</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10.2.6 承包人应按监理人的指示制定应对灾害的紧急预案，报送监理人批准。承包人还应按预案做好安全检查，配置必要的救助物资和器材，切实保护好有关人员的人身和财产安全。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10.2.7 合同约定的安全作业环境及安全施工措施所需费用应遵守有关规定，并包括在相关工作的合同价格中。因采取合同未约定的安全作业环境及安全施工措施增加的费用，由监理人按第3.5 款商定或确定。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10.2.8 承包人应对其履行合同所雇佣的全部人员，包括分包人人员的工伤事故承担责任，但由于发包人原因造成承包人人员工伤事故的，应由发包人承担责任。</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10.2.9 由于承包人原因在施工场地内及其毗邻地带造成的第三者人员伤亡和财产损失，由承包人负责赔偿。</w:t>
      </w:r>
    </w:p>
    <w:p>
      <w:pPr>
        <w:pStyle w:val="6"/>
        <w:spacing w:before="240" w:after="120" w:line="360" w:lineRule="auto"/>
        <w:rPr>
          <w:color w:val="000000" w:themeColor="text1"/>
          <w:highlight w:val="none"/>
          <w14:textFill>
            <w14:solidFill>
              <w14:schemeClr w14:val="tx1"/>
            </w14:solidFill>
          </w14:textFill>
        </w:rPr>
      </w:pPr>
      <w:bookmarkStart w:id="722" w:name="_Toc247514111"/>
      <w:bookmarkStart w:id="723" w:name="_Toc300835114"/>
      <w:bookmarkStart w:id="724" w:name="_Toc410559414"/>
      <w:bookmarkStart w:id="725" w:name="_Toc950077913"/>
      <w:bookmarkStart w:id="726" w:name="_Toc476860431"/>
      <w:bookmarkStart w:id="727" w:name="_Toc247527712"/>
      <w:bookmarkStart w:id="728" w:name="_Toc411736220"/>
      <w:bookmarkStart w:id="729" w:name="_Toc411736496"/>
      <w:r>
        <w:rPr>
          <w:rFonts w:hint="eastAsia"/>
          <w:color w:val="000000" w:themeColor="text1"/>
          <w:highlight w:val="none"/>
          <w14:textFill>
            <w14:solidFill>
              <w14:schemeClr w14:val="tx1"/>
            </w14:solidFill>
          </w14:textFill>
        </w:rPr>
        <w:t>10.3 治安保卫</w:t>
      </w:r>
      <w:bookmarkEnd w:id="722"/>
      <w:bookmarkEnd w:id="723"/>
      <w:bookmarkEnd w:id="724"/>
      <w:bookmarkEnd w:id="725"/>
      <w:bookmarkEnd w:id="726"/>
      <w:bookmarkEnd w:id="727"/>
      <w:bookmarkEnd w:id="728"/>
      <w:bookmarkEnd w:id="72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10.3.1 除合同另有约定外，承包人应与当地公安部门协商，在现场建立治安管理机构或联防组织，统一管理施工场地的治安保卫事项，履行合同工程的治安保卫职责。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10.3.2 发包人和承包人除应协助现场治安管理机构或联防组织维护施工场地的社会治安外，还应做好包括生活区在内的各自管辖区的治安保卫工作。</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10.3.3 除合同另有约定外，承包人应编制施工场地治安管理计划，并制定应对突发治安事件的紧急预案，报监理人批准。自承包人进入施工现场，至发包人接收工程的期间，施工现场发生暴乱、爆炸等恐怖事件，以及群殴、械斗等群体性突发治安事件的，发包人和承包人应立即向当地政府报告。发包人和承包人应积极协助当地有关部门采取措施平息事态，防止事态扩大，尽量减少财产损失和避免人员伤亡。</w:t>
      </w:r>
    </w:p>
    <w:p>
      <w:pPr>
        <w:pStyle w:val="6"/>
        <w:spacing w:before="240" w:after="120" w:line="360" w:lineRule="auto"/>
        <w:rPr>
          <w:color w:val="000000" w:themeColor="text1"/>
          <w:highlight w:val="none"/>
          <w14:textFill>
            <w14:solidFill>
              <w14:schemeClr w14:val="tx1"/>
            </w14:solidFill>
          </w14:textFill>
        </w:rPr>
      </w:pPr>
      <w:bookmarkStart w:id="730" w:name="_Toc411736221"/>
      <w:bookmarkStart w:id="731" w:name="_Toc247527713"/>
      <w:bookmarkStart w:id="732" w:name="_Toc411736497"/>
      <w:bookmarkStart w:id="733" w:name="_Toc300835115"/>
      <w:bookmarkStart w:id="734" w:name="_Toc410559415"/>
      <w:bookmarkStart w:id="735" w:name="_Toc247514112"/>
      <w:bookmarkStart w:id="736" w:name="_Toc476860432"/>
      <w:bookmarkStart w:id="737" w:name="_Toc1418568346"/>
      <w:r>
        <w:rPr>
          <w:rFonts w:hint="eastAsia"/>
          <w:color w:val="000000" w:themeColor="text1"/>
          <w:highlight w:val="none"/>
          <w14:textFill>
            <w14:solidFill>
              <w14:schemeClr w14:val="tx1"/>
            </w14:solidFill>
          </w14:textFill>
        </w:rPr>
        <w:t>10.4 环境保护</w:t>
      </w:r>
      <w:bookmarkEnd w:id="730"/>
      <w:bookmarkEnd w:id="731"/>
      <w:bookmarkEnd w:id="732"/>
      <w:bookmarkEnd w:id="733"/>
      <w:bookmarkEnd w:id="734"/>
      <w:bookmarkEnd w:id="735"/>
      <w:bookmarkEnd w:id="736"/>
      <w:bookmarkEnd w:id="737"/>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10.4.1 承包人在履行合同过程中，应遵守有关环境保护的法律，履行合同约定的环境保护义务，并对违反法律和合同约定义务所造成的环境破坏、人身伤害和财产损失负责。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10.4.2 承包人应按合同约定的环保工作内容，编制环保措施计划，报送监理人批准。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10.4.3 承包人应确保施工过程中产生的气体排放物、粉尘、噪声、地面排水及排污等，符合法律规定和发包人要求。</w:t>
      </w:r>
    </w:p>
    <w:p>
      <w:pPr>
        <w:pStyle w:val="6"/>
        <w:spacing w:before="240" w:after="120" w:line="360" w:lineRule="auto"/>
        <w:rPr>
          <w:color w:val="000000" w:themeColor="text1"/>
          <w:highlight w:val="none"/>
          <w14:textFill>
            <w14:solidFill>
              <w14:schemeClr w14:val="tx1"/>
            </w14:solidFill>
          </w14:textFill>
        </w:rPr>
      </w:pPr>
      <w:bookmarkStart w:id="738" w:name="_Toc411736498"/>
      <w:bookmarkStart w:id="739" w:name="_Toc247527714"/>
      <w:bookmarkStart w:id="740" w:name="_Toc476860433"/>
      <w:bookmarkStart w:id="741" w:name="_Toc514742228"/>
      <w:bookmarkStart w:id="742" w:name="_Toc247514113"/>
      <w:bookmarkStart w:id="743" w:name="_Toc410559416"/>
      <w:bookmarkStart w:id="744" w:name="_Toc411736222"/>
      <w:bookmarkStart w:id="745" w:name="_Toc300835116"/>
      <w:r>
        <w:rPr>
          <w:rFonts w:hint="eastAsia"/>
          <w:color w:val="000000" w:themeColor="text1"/>
          <w:highlight w:val="none"/>
          <w14:textFill>
            <w14:solidFill>
              <w14:schemeClr w14:val="tx1"/>
            </w14:solidFill>
          </w14:textFill>
        </w:rPr>
        <w:t>10.5 事故处理</w:t>
      </w:r>
      <w:bookmarkEnd w:id="738"/>
      <w:bookmarkEnd w:id="739"/>
      <w:bookmarkEnd w:id="740"/>
      <w:bookmarkEnd w:id="741"/>
      <w:bookmarkEnd w:id="742"/>
      <w:bookmarkEnd w:id="743"/>
      <w:bookmarkEnd w:id="744"/>
      <w:bookmarkEnd w:id="74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履行过程中发生事故的，承包人应立即通知监理人，监理人应立即通知发包人。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746" w:name="_Toc411736223"/>
      <w:bookmarkStart w:id="747" w:name="_Toc476860434"/>
      <w:bookmarkStart w:id="748" w:name="_Toc410559417"/>
      <w:bookmarkStart w:id="749" w:name="_Toc247514114"/>
      <w:bookmarkStart w:id="750" w:name="_Toc9137"/>
      <w:bookmarkStart w:id="751" w:name="_Toc300835117"/>
      <w:bookmarkStart w:id="752" w:name="_Toc184635108"/>
      <w:bookmarkStart w:id="753" w:name="_Toc247527715"/>
      <w:bookmarkStart w:id="754" w:name="_Toc1208495880"/>
      <w:bookmarkStart w:id="755" w:name="_Toc993"/>
      <w:bookmarkStart w:id="756" w:name="_Toc411736499"/>
      <w:bookmarkStart w:id="757" w:name="_Toc147856200"/>
      <w:r>
        <w:rPr>
          <w:rStyle w:val="114"/>
          <w:rFonts w:hint="eastAsia"/>
          <w:bCs/>
          <w:color w:val="000000" w:themeColor="text1"/>
          <w:highlight w:val="none"/>
          <w14:textFill>
            <w14:solidFill>
              <w14:schemeClr w14:val="tx1"/>
            </w14:solidFill>
          </w14:textFill>
        </w:rPr>
        <w:t>11. 开始工作和合同完工</w:t>
      </w:r>
      <w:bookmarkEnd w:id="746"/>
      <w:bookmarkEnd w:id="747"/>
      <w:bookmarkEnd w:id="748"/>
      <w:bookmarkEnd w:id="749"/>
      <w:bookmarkEnd w:id="750"/>
      <w:bookmarkEnd w:id="751"/>
      <w:bookmarkEnd w:id="752"/>
      <w:bookmarkEnd w:id="753"/>
      <w:bookmarkEnd w:id="754"/>
      <w:bookmarkEnd w:id="755"/>
      <w:bookmarkEnd w:id="756"/>
      <w:bookmarkEnd w:id="757"/>
    </w:p>
    <w:p>
      <w:pPr>
        <w:pStyle w:val="6"/>
        <w:spacing w:before="240" w:after="120" w:line="360" w:lineRule="auto"/>
        <w:rPr>
          <w:color w:val="000000" w:themeColor="text1"/>
          <w:highlight w:val="none"/>
          <w14:textFill>
            <w14:solidFill>
              <w14:schemeClr w14:val="tx1"/>
            </w14:solidFill>
          </w14:textFill>
        </w:rPr>
      </w:pPr>
      <w:bookmarkStart w:id="758" w:name="_Toc247527716"/>
      <w:bookmarkStart w:id="759" w:name="_Toc411736500"/>
      <w:bookmarkStart w:id="760" w:name="_Toc476860435"/>
      <w:bookmarkStart w:id="761" w:name="_Toc247514115"/>
      <w:bookmarkStart w:id="762" w:name="_Toc411736224"/>
      <w:bookmarkStart w:id="763" w:name="_Toc289921834"/>
      <w:bookmarkStart w:id="764" w:name="_Toc410559418"/>
      <w:bookmarkStart w:id="765" w:name="_Toc300835118"/>
      <w:r>
        <w:rPr>
          <w:rFonts w:hint="eastAsia"/>
          <w:color w:val="000000" w:themeColor="text1"/>
          <w:highlight w:val="none"/>
          <w14:textFill>
            <w14:solidFill>
              <w14:schemeClr w14:val="tx1"/>
            </w14:solidFill>
          </w14:textFill>
        </w:rPr>
        <w:t>11.1 开始工作</w:t>
      </w:r>
      <w:bookmarkEnd w:id="758"/>
      <w:bookmarkEnd w:id="759"/>
      <w:bookmarkEnd w:id="760"/>
      <w:bookmarkEnd w:id="761"/>
      <w:bookmarkEnd w:id="762"/>
      <w:bookmarkEnd w:id="763"/>
      <w:bookmarkEnd w:id="764"/>
      <w:bookmarkEnd w:id="76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符合专用合同条款约定的开始工作的条件的，监理人应提前7天向承包人发出开始工作通知。监理人在发出开始工作通知前应获得发包人同意。工期自开始工作通知中载明的开始工作日期起计算。除专用合同条款另有约定外，因发包人原因造成监理人未能在合同签订之日起90天内发出开始工作通知的，承包人有权提出价格调整要求，或者解除合同。发包人应当承担由此增加的费用和（或）工期延误，并向承包人支付合理利润。</w:t>
      </w:r>
    </w:p>
    <w:p>
      <w:pPr>
        <w:pStyle w:val="6"/>
        <w:spacing w:before="240" w:after="120" w:line="360" w:lineRule="auto"/>
        <w:rPr>
          <w:color w:val="000000" w:themeColor="text1"/>
          <w:highlight w:val="none"/>
          <w14:textFill>
            <w14:solidFill>
              <w14:schemeClr w14:val="tx1"/>
            </w14:solidFill>
          </w14:textFill>
        </w:rPr>
      </w:pPr>
      <w:bookmarkStart w:id="766" w:name="_Toc300835119"/>
      <w:bookmarkStart w:id="767" w:name="_Toc247527717"/>
      <w:bookmarkStart w:id="768" w:name="_Toc411736225"/>
      <w:bookmarkStart w:id="769" w:name="_Toc476860436"/>
      <w:bookmarkStart w:id="770" w:name="_Toc411736501"/>
      <w:bookmarkStart w:id="771" w:name="_Toc75868995"/>
      <w:bookmarkStart w:id="772" w:name="_Toc410559419"/>
      <w:bookmarkStart w:id="773" w:name="_Toc247514116"/>
      <w:r>
        <w:rPr>
          <w:rFonts w:hint="eastAsia"/>
          <w:color w:val="000000" w:themeColor="text1"/>
          <w:highlight w:val="none"/>
          <w14:textFill>
            <w14:solidFill>
              <w14:schemeClr w14:val="tx1"/>
            </w14:solidFill>
          </w14:textFill>
        </w:rPr>
        <w:t xml:space="preserve">11.2 </w:t>
      </w:r>
      <w:r>
        <w:rPr>
          <w:rFonts w:hint="eastAsia"/>
          <w:color w:val="000000" w:themeColor="text1"/>
          <w:highlight w:val="none"/>
          <w:lang w:val="en-US"/>
          <w14:textFill>
            <w14:solidFill>
              <w14:schemeClr w14:val="tx1"/>
            </w14:solidFill>
          </w14:textFill>
        </w:rPr>
        <w:t>合同完</w:t>
      </w:r>
      <w:r>
        <w:rPr>
          <w:rFonts w:hint="eastAsia"/>
          <w:color w:val="000000" w:themeColor="text1"/>
          <w:highlight w:val="none"/>
          <w14:textFill>
            <w14:solidFill>
              <w14:schemeClr w14:val="tx1"/>
            </w14:solidFill>
          </w14:textFill>
        </w:rPr>
        <w:t>工</w:t>
      </w:r>
      <w:bookmarkEnd w:id="766"/>
      <w:bookmarkEnd w:id="767"/>
      <w:bookmarkEnd w:id="768"/>
      <w:bookmarkEnd w:id="769"/>
      <w:bookmarkEnd w:id="770"/>
      <w:bookmarkEnd w:id="771"/>
      <w:bookmarkEnd w:id="772"/>
      <w:bookmarkEnd w:id="77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承包人应在第1.1.4.3 目约定的期限内完成合同工作。实际完工日期按第18.3款约定确定。</w:t>
      </w:r>
    </w:p>
    <w:p>
      <w:pPr>
        <w:pStyle w:val="6"/>
        <w:spacing w:before="240" w:after="120" w:line="360" w:lineRule="auto"/>
        <w:rPr>
          <w:color w:val="000000" w:themeColor="text1"/>
          <w:highlight w:val="none"/>
          <w14:textFill>
            <w14:solidFill>
              <w14:schemeClr w14:val="tx1"/>
            </w14:solidFill>
          </w14:textFill>
        </w:rPr>
      </w:pPr>
      <w:bookmarkStart w:id="774" w:name="_Toc1672396294"/>
      <w:bookmarkStart w:id="775" w:name="_Toc410559420"/>
      <w:bookmarkStart w:id="776" w:name="_Toc247527718"/>
      <w:bookmarkStart w:id="777" w:name="_Toc300835120"/>
      <w:bookmarkStart w:id="778" w:name="_Toc476860437"/>
      <w:bookmarkStart w:id="779" w:name="_Toc247514117"/>
      <w:bookmarkStart w:id="780" w:name="_Toc411736502"/>
      <w:bookmarkStart w:id="781" w:name="_Toc411736226"/>
      <w:r>
        <w:rPr>
          <w:rFonts w:hint="eastAsia"/>
          <w:color w:val="000000" w:themeColor="text1"/>
          <w:highlight w:val="none"/>
          <w14:textFill>
            <w14:solidFill>
              <w14:schemeClr w14:val="tx1"/>
            </w14:solidFill>
          </w14:textFill>
        </w:rPr>
        <w:t>11.3 发包人引起的工期延误</w:t>
      </w:r>
      <w:bookmarkEnd w:id="774"/>
      <w:bookmarkEnd w:id="775"/>
      <w:bookmarkEnd w:id="776"/>
      <w:bookmarkEnd w:id="777"/>
      <w:bookmarkEnd w:id="778"/>
      <w:bookmarkEnd w:id="779"/>
      <w:bookmarkEnd w:id="780"/>
      <w:bookmarkEnd w:id="78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在履行合同过程中，由于发包人的下列原因造成工期延误的，承包人有权要求发包人延长工期和（或）增加费用，并支付合理利润。需要修订合同进度计划的，按照第4.12.2项的约定执行。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（l）变更；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（2）未能按照合同要求的期限对承包人文件进行审查；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 xml:space="preserve">（3）因发包人原因导致的暂停施工； </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（4）未按合同约定及时支付预付款、进度款；</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（5）发包人按第9.3款提供的基准资料错误；</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（6）发包人按第6.2款迟延提供材料、工程设备或变更交货地点的；</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（7）发包人未及时按照“发包人要求”履行相关义务；</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（8）发包人造成工期延误的其他原因。</w:t>
      </w:r>
    </w:p>
    <w:p>
      <w:pPr>
        <w:pStyle w:val="6"/>
        <w:spacing w:before="240" w:after="120" w:line="360" w:lineRule="auto"/>
        <w:rPr>
          <w:color w:val="000000" w:themeColor="text1"/>
          <w:highlight w:val="none"/>
          <w14:textFill>
            <w14:solidFill>
              <w14:schemeClr w14:val="tx1"/>
            </w14:solidFill>
          </w14:textFill>
        </w:rPr>
      </w:pPr>
      <w:bookmarkStart w:id="782" w:name="_Toc247514118"/>
      <w:bookmarkStart w:id="783" w:name="_Toc300835121"/>
      <w:bookmarkStart w:id="784" w:name="_Toc411736503"/>
      <w:bookmarkStart w:id="785" w:name="_Toc476860438"/>
      <w:bookmarkStart w:id="786" w:name="_Toc247527719"/>
      <w:bookmarkStart w:id="787" w:name="_Toc1698541322"/>
      <w:bookmarkStart w:id="788" w:name="_Toc410559421"/>
      <w:bookmarkStart w:id="789" w:name="_Toc411736227"/>
      <w:r>
        <w:rPr>
          <w:rFonts w:hint="eastAsia"/>
          <w:color w:val="000000" w:themeColor="text1"/>
          <w:highlight w:val="none"/>
          <w14:textFill>
            <w14:solidFill>
              <w14:schemeClr w14:val="tx1"/>
            </w14:solidFill>
          </w14:textFill>
        </w:rPr>
        <w:t>11.4 异常恶劣的气候条件</w:t>
      </w:r>
      <w:bookmarkEnd w:id="782"/>
      <w:bookmarkEnd w:id="783"/>
      <w:bookmarkEnd w:id="784"/>
      <w:bookmarkEnd w:id="785"/>
      <w:bookmarkEnd w:id="786"/>
      <w:bookmarkEnd w:id="787"/>
      <w:bookmarkEnd w:id="788"/>
      <w:bookmarkEnd w:id="78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由于出现专用合同条款规定的异常恶劣气候的条件导致工期延误的，承包人有权要求发包人延长工期和（或）增加费用。</w:t>
      </w:r>
    </w:p>
    <w:p>
      <w:pPr>
        <w:pStyle w:val="6"/>
        <w:spacing w:before="240" w:after="120" w:line="360" w:lineRule="auto"/>
        <w:rPr>
          <w:color w:val="000000" w:themeColor="text1"/>
          <w:highlight w:val="none"/>
          <w14:textFill>
            <w14:solidFill>
              <w14:schemeClr w14:val="tx1"/>
            </w14:solidFill>
          </w14:textFill>
        </w:rPr>
      </w:pPr>
      <w:bookmarkStart w:id="790" w:name="_Toc476860439"/>
      <w:bookmarkStart w:id="791" w:name="_Toc411736504"/>
      <w:bookmarkStart w:id="792" w:name="_Toc300835122"/>
      <w:bookmarkStart w:id="793" w:name="_Toc410559422"/>
      <w:bookmarkStart w:id="794" w:name="_Toc883879283"/>
      <w:bookmarkStart w:id="795" w:name="_Toc411736228"/>
      <w:bookmarkStart w:id="796" w:name="_Toc247514119"/>
      <w:bookmarkStart w:id="797" w:name="_Toc247527720"/>
      <w:r>
        <w:rPr>
          <w:rFonts w:hint="eastAsia"/>
          <w:color w:val="000000" w:themeColor="text1"/>
          <w:highlight w:val="none"/>
          <w14:textFill>
            <w14:solidFill>
              <w14:schemeClr w14:val="tx1"/>
            </w14:solidFill>
          </w14:textFill>
        </w:rPr>
        <w:t>11.5 承包人引起的工期延误</w:t>
      </w:r>
      <w:bookmarkEnd w:id="790"/>
      <w:bookmarkEnd w:id="791"/>
      <w:bookmarkEnd w:id="792"/>
      <w:bookmarkEnd w:id="793"/>
      <w:bookmarkEnd w:id="794"/>
      <w:bookmarkEnd w:id="795"/>
      <w:bookmarkEnd w:id="796"/>
      <w:bookmarkEnd w:id="797"/>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由于承包人原因，未能按合同进度计划完成工作，或监理人认为承包人工作进度不能满足合同工期要求的，承包人应采取措施加快进度，并承担加快进度所增加的费用。由于承包人原因造成工期延误，承包人应支付逾期竣工违约金。逾期竣工违约金的计算方法和最高限额在专用合同条款中约定。承包人支付逾期竣工违约金，不免除承包人完成工作及修补缺陷的义务。</w:t>
      </w:r>
    </w:p>
    <w:p>
      <w:pPr>
        <w:pStyle w:val="6"/>
        <w:spacing w:before="240" w:after="120" w:line="360" w:lineRule="auto"/>
        <w:rPr>
          <w:color w:val="000000" w:themeColor="text1"/>
          <w:highlight w:val="none"/>
          <w14:textFill>
            <w14:solidFill>
              <w14:schemeClr w14:val="tx1"/>
            </w14:solidFill>
          </w14:textFill>
        </w:rPr>
      </w:pPr>
      <w:bookmarkStart w:id="798" w:name="_Toc247514120"/>
      <w:bookmarkStart w:id="799" w:name="_Toc300835123"/>
      <w:bookmarkStart w:id="800" w:name="_Toc1214723082"/>
      <w:bookmarkStart w:id="801" w:name="_Toc476860440"/>
      <w:bookmarkStart w:id="802" w:name="_Toc247527721"/>
      <w:bookmarkStart w:id="803" w:name="_Toc411736229"/>
      <w:bookmarkStart w:id="804" w:name="_Toc411736505"/>
      <w:bookmarkStart w:id="805" w:name="_Toc410559423"/>
      <w:r>
        <w:rPr>
          <w:rFonts w:hint="eastAsia"/>
          <w:color w:val="000000" w:themeColor="text1"/>
          <w:highlight w:val="none"/>
          <w14:textFill>
            <w14:solidFill>
              <w14:schemeClr w14:val="tx1"/>
            </w14:solidFill>
          </w14:textFill>
        </w:rPr>
        <w:t>11.6 工期提前</w:t>
      </w:r>
      <w:bookmarkEnd w:id="798"/>
      <w:bookmarkEnd w:id="799"/>
      <w:bookmarkEnd w:id="800"/>
      <w:bookmarkEnd w:id="801"/>
      <w:bookmarkEnd w:id="802"/>
      <w:bookmarkEnd w:id="803"/>
      <w:bookmarkEnd w:id="804"/>
      <w:bookmarkEnd w:id="80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要求承包人提前竣工，或承包人提出提前竣工的建议能够给发包人带来效益的，应由监理人与承包人共同协商采取加快工程进度的措施和修订合同进度计划。发包人应承担承包人由此增加的费用，并向承包人支付专用合同条款约定的相应奖金。</w:t>
      </w:r>
    </w:p>
    <w:p>
      <w:pPr>
        <w:pStyle w:val="6"/>
        <w:spacing w:before="240" w:after="120" w:line="360" w:lineRule="auto"/>
        <w:rPr>
          <w:color w:val="000000" w:themeColor="text1"/>
          <w:highlight w:val="none"/>
          <w14:textFill>
            <w14:solidFill>
              <w14:schemeClr w14:val="tx1"/>
            </w14:solidFill>
          </w14:textFill>
        </w:rPr>
      </w:pPr>
      <w:bookmarkStart w:id="806" w:name="_Toc300835124"/>
      <w:bookmarkStart w:id="807" w:name="_Toc411736230"/>
      <w:bookmarkStart w:id="808" w:name="_Toc411736506"/>
      <w:bookmarkStart w:id="809" w:name="_Toc410559424"/>
      <w:bookmarkStart w:id="810" w:name="_Toc476860441"/>
      <w:bookmarkStart w:id="811" w:name="_Toc1871290792"/>
      <w:r>
        <w:rPr>
          <w:rFonts w:hint="eastAsia"/>
          <w:color w:val="000000" w:themeColor="text1"/>
          <w:highlight w:val="none"/>
          <w14:textFill>
            <w14:solidFill>
              <w14:schemeClr w14:val="tx1"/>
            </w14:solidFill>
          </w14:textFill>
        </w:rPr>
        <w:t>11.7 行政审批迟延</w:t>
      </w:r>
      <w:bookmarkEnd w:id="806"/>
      <w:bookmarkEnd w:id="807"/>
      <w:bookmarkEnd w:id="808"/>
      <w:bookmarkEnd w:id="809"/>
      <w:bookmarkEnd w:id="810"/>
      <w:bookmarkEnd w:id="81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合同约定范围内的工作需国家有关部门审批的，发包人和（或）承包人应按照合同约定的职责分工完成行政审批报送。因国家有关部门审批迟延造成费用增加和（或）工期延误的，由发包人承担。</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812" w:name="_Toc184635109"/>
      <w:bookmarkStart w:id="813" w:name="_Toc8879"/>
      <w:bookmarkStart w:id="814" w:name="_Toc411736231"/>
      <w:bookmarkStart w:id="815" w:name="_Toc476860442"/>
      <w:bookmarkStart w:id="816" w:name="_Toc247514121"/>
      <w:bookmarkStart w:id="817" w:name="_Toc886330829"/>
      <w:bookmarkStart w:id="818" w:name="_Toc23090"/>
      <w:bookmarkStart w:id="819" w:name="_Toc247527722"/>
      <w:bookmarkStart w:id="820" w:name="_Toc410559425"/>
      <w:bookmarkStart w:id="821" w:name="_Toc300835125"/>
      <w:bookmarkStart w:id="822" w:name="_Toc411736507"/>
      <w:bookmarkStart w:id="823" w:name="_Toc147856201"/>
      <w:r>
        <w:rPr>
          <w:rStyle w:val="114"/>
          <w:rFonts w:hint="eastAsia"/>
          <w:bCs w:val="0"/>
          <w:color w:val="000000" w:themeColor="text1"/>
          <w:highlight w:val="none"/>
          <w14:textFill>
            <w14:solidFill>
              <w14:schemeClr w14:val="tx1"/>
            </w14:solidFill>
          </w14:textFill>
        </w:rPr>
        <w:t>12. 暂停工作</w:t>
      </w:r>
      <w:bookmarkEnd w:id="812"/>
      <w:bookmarkEnd w:id="813"/>
      <w:bookmarkEnd w:id="814"/>
      <w:bookmarkEnd w:id="815"/>
      <w:bookmarkEnd w:id="816"/>
      <w:bookmarkEnd w:id="817"/>
      <w:bookmarkEnd w:id="818"/>
      <w:bookmarkEnd w:id="819"/>
      <w:bookmarkEnd w:id="820"/>
      <w:bookmarkEnd w:id="821"/>
      <w:bookmarkEnd w:id="822"/>
      <w:bookmarkEnd w:id="823"/>
    </w:p>
    <w:p>
      <w:pPr>
        <w:pStyle w:val="6"/>
        <w:spacing w:before="240" w:after="120" w:line="360" w:lineRule="auto"/>
        <w:rPr>
          <w:color w:val="000000" w:themeColor="text1"/>
          <w:highlight w:val="none"/>
          <w14:textFill>
            <w14:solidFill>
              <w14:schemeClr w14:val="tx1"/>
            </w14:solidFill>
          </w14:textFill>
        </w:rPr>
      </w:pPr>
      <w:bookmarkStart w:id="824" w:name="_Toc1615667411"/>
      <w:bookmarkStart w:id="825" w:name="_Toc410559426"/>
      <w:bookmarkStart w:id="826" w:name="_Toc300835126"/>
      <w:bookmarkStart w:id="827" w:name="_Toc411736232"/>
      <w:bookmarkStart w:id="828" w:name="_Toc476860443"/>
      <w:bookmarkStart w:id="829" w:name="_Toc411736508"/>
      <w:bookmarkStart w:id="830" w:name="_Toc247514127"/>
      <w:bookmarkStart w:id="831" w:name="_Toc247527728"/>
      <w:bookmarkStart w:id="832" w:name="_Toc184635110"/>
      <w:r>
        <w:rPr>
          <w:rFonts w:hint="eastAsia"/>
          <w:color w:val="000000" w:themeColor="text1"/>
          <w:highlight w:val="none"/>
          <w14:textFill>
            <w14:solidFill>
              <w14:schemeClr w14:val="tx1"/>
            </w14:solidFill>
          </w14:textFill>
        </w:rPr>
        <w:t>12.1 由发包人暂停工作</w:t>
      </w:r>
      <w:bookmarkEnd w:id="824"/>
      <w:bookmarkEnd w:id="825"/>
      <w:bookmarkEnd w:id="826"/>
      <w:bookmarkEnd w:id="827"/>
      <w:bookmarkEnd w:id="828"/>
      <w:bookmarkEnd w:id="82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12.1.1 发包人认为必要时，可通过监理人向承包人发出暂停工作的指示，承包人应按监理人指示暂停工作。由于发包人原因引起的暂停工作造成工期延误的，承包人有权要求发包人延长工期和（或）增加费用，并支付合理利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12.1.2 由于承包人下列原因造成发包人暂停工作的，由此造成费用的增加和（或）工期延误由承包人承担：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（1）承包人违约；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（2）承包人擅自暂停工作；</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（3）合同约定由承包人承担责任的其他暂停工作。</w:t>
      </w:r>
    </w:p>
    <w:p>
      <w:pPr>
        <w:pStyle w:val="6"/>
        <w:spacing w:before="240" w:after="120" w:line="360" w:lineRule="auto"/>
        <w:rPr>
          <w:color w:val="000000" w:themeColor="text1"/>
          <w:highlight w:val="none"/>
          <w14:textFill>
            <w14:solidFill>
              <w14:schemeClr w14:val="tx1"/>
            </w14:solidFill>
          </w14:textFill>
        </w:rPr>
      </w:pPr>
      <w:bookmarkStart w:id="833" w:name="_Toc410559427"/>
      <w:bookmarkStart w:id="834" w:name="_Toc300835127"/>
      <w:bookmarkStart w:id="835" w:name="_Toc411736233"/>
      <w:bookmarkStart w:id="836" w:name="_Toc411736509"/>
      <w:bookmarkStart w:id="837" w:name="_Toc1738944009"/>
      <w:bookmarkStart w:id="838" w:name="_Toc476860444"/>
      <w:r>
        <w:rPr>
          <w:rFonts w:hint="eastAsia"/>
          <w:color w:val="000000" w:themeColor="text1"/>
          <w:highlight w:val="none"/>
          <w14:textFill>
            <w14:solidFill>
              <w14:schemeClr w14:val="tx1"/>
            </w14:solidFill>
          </w14:textFill>
        </w:rPr>
        <w:t>12.2 由承包人暂停工作</w:t>
      </w:r>
      <w:bookmarkEnd w:id="833"/>
      <w:bookmarkEnd w:id="834"/>
      <w:bookmarkEnd w:id="835"/>
      <w:bookmarkEnd w:id="836"/>
      <w:bookmarkEnd w:id="837"/>
      <w:bookmarkEnd w:id="83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12.2.1 合同履行过程中发生下列情形之一的，承包人可向发包人发出通知，要求发包人采取有效措施予以纠正。发包人收到承包人通知后的28天内仍不履行合同义务，承包人有权暂停施工，并通知监理人，发包人应承担由此增加的费用和（或）工期延误责任，并支付承包人合理利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（1）发包人未能按合同约定支付价款，或拖延、拒绝批准付款申请和支付证书，导致付款延误的；</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（2）监理人无正当理由没有在约定期限内发出复工指示，导致承包人无法复工的；</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（3）发包人无法继续履行或明确表示不履行或实质上已停止履行合同的；</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（4）发包人不履行合同约定其他义务的。</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12.2.2 由于发包人的原因发生暂停施工的紧急情况，且监理人未及时下达暂停工作指示的，承包人可先暂停施工，并及时向监理人提出暂停工作的书面请求。监理人应在收到书面请求后的24小时内予以答复，逾期未答复的，视为同意承包人的暂停工作请求。</w:t>
      </w:r>
    </w:p>
    <w:p>
      <w:pPr>
        <w:pStyle w:val="6"/>
        <w:spacing w:before="240" w:after="120" w:line="360" w:lineRule="auto"/>
        <w:rPr>
          <w:color w:val="000000" w:themeColor="text1"/>
          <w:highlight w:val="none"/>
          <w14:textFill>
            <w14:solidFill>
              <w14:schemeClr w14:val="tx1"/>
            </w14:solidFill>
          </w14:textFill>
        </w:rPr>
      </w:pPr>
      <w:bookmarkStart w:id="839" w:name="_Toc411736234"/>
      <w:bookmarkStart w:id="840" w:name="_Toc411736510"/>
      <w:bookmarkStart w:id="841" w:name="_Toc300835128"/>
      <w:bookmarkStart w:id="842" w:name="_Toc1327007240"/>
      <w:bookmarkStart w:id="843" w:name="_Toc410559428"/>
      <w:bookmarkStart w:id="844" w:name="_Toc476860445"/>
      <w:r>
        <w:rPr>
          <w:rFonts w:hint="eastAsia"/>
          <w:color w:val="000000" w:themeColor="text1"/>
          <w:highlight w:val="none"/>
          <w14:textFill>
            <w14:solidFill>
              <w14:schemeClr w14:val="tx1"/>
            </w14:solidFill>
          </w14:textFill>
        </w:rPr>
        <w:t>12.3 暂停工作后的照管</w:t>
      </w:r>
      <w:bookmarkEnd w:id="839"/>
      <w:bookmarkEnd w:id="840"/>
      <w:bookmarkEnd w:id="841"/>
      <w:bookmarkEnd w:id="842"/>
      <w:bookmarkEnd w:id="843"/>
      <w:bookmarkEnd w:id="84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不论由于何种原因引起暂停工作的，暂停工作期间，承包人应负责妥善保护工程并提供安全保障，由此增加的费用由责任方承担。</w:t>
      </w:r>
    </w:p>
    <w:p>
      <w:pPr>
        <w:pStyle w:val="6"/>
        <w:spacing w:before="240" w:after="120" w:line="360" w:lineRule="auto"/>
        <w:rPr>
          <w:color w:val="000000" w:themeColor="text1"/>
          <w:highlight w:val="none"/>
          <w14:textFill>
            <w14:solidFill>
              <w14:schemeClr w14:val="tx1"/>
            </w14:solidFill>
          </w14:textFill>
        </w:rPr>
      </w:pPr>
      <w:bookmarkStart w:id="845" w:name="_Toc300835129"/>
      <w:bookmarkStart w:id="846" w:name="_Toc1393008585"/>
      <w:bookmarkStart w:id="847" w:name="_Toc410559429"/>
      <w:bookmarkStart w:id="848" w:name="_Toc411736511"/>
      <w:bookmarkStart w:id="849" w:name="_Toc476860446"/>
      <w:bookmarkStart w:id="850" w:name="_Toc411736235"/>
      <w:r>
        <w:rPr>
          <w:rFonts w:hint="eastAsia"/>
          <w:color w:val="000000" w:themeColor="text1"/>
          <w:highlight w:val="none"/>
          <w14:textFill>
            <w14:solidFill>
              <w14:schemeClr w14:val="tx1"/>
            </w14:solidFill>
          </w14:textFill>
        </w:rPr>
        <w:t>12.4 暂停工作后的复工</w:t>
      </w:r>
      <w:bookmarkEnd w:id="845"/>
      <w:bookmarkEnd w:id="846"/>
      <w:bookmarkEnd w:id="847"/>
      <w:bookmarkEnd w:id="848"/>
      <w:bookmarkEnd w:id="849"/>
      <w:bookmarkEnd w:id="85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12.4.1暂停工作后，监理人应与发包人和承包人协商，采取有效措施积极消除暂停工作的影响。当工程具备复工条件时，监理人应立即向承包人发出复工通知。承包人收到复工通知后，应在监理人指定的期限内复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12.4.2承包人无故拖延和拒绝复工的，由此增加的费用和工期延误由承包人承担；因发包人原因无法按时复工的，承包人有权要求发包人延长工期和（或）增加费用，并支付合理利润。</w:t>
      </w:r>
    </w:p>
    <w:p>
      <w:pPr>
        <w:pStyle w:val="6"/>
        <w:spacing w:before="240" w:after="120" w:line="360" w:lineRule="auto"/>
        <w:rPr>
          <w:color w:val="000000" w:themeColor="text1"/>
          <w:highlight w:val="none"/>
          <w14:textFill>
            <w14:solidFill>
              <w14:schemeClr w14:val="tx1"/>
            </w14:solidFill>
          </w14:textFill>
        </w:rPr>
      </w:pPr>
      <w:bookmarkStart w:id="851" w:name="_Toc428568501"/>
      <w:bookmarkStart w:id="852" w:name="_Toc411736512"/>
      <w:bookmarkStart w:id="853" w:name="_Toc300835130"/>
      <w:bookmarkStart w:id="854" w:name="_Toc410559430"/>
      <w:bookmarkStart w:id="855" w:name="_Toc411736236"/>
      <w:bookmarkStart w:id="856" w:name="_Toc476860447"/>
      <w:r>
        <w:rPr>
          <w:rFonts w:hint="eastAsia"/>
          <w:color w:val="000000" w:themeColor="text1"/>
          <w:highlight w:val="none"/>
          <w14:textFill>
            <w14:solidFill>
              <w14:schemeClr w14:val="tx1"/>
            </w14:solidFill>
          </w14:textFill>
        </w:rPr>
        <w:t>12.5 暂停工作56天以上</w:t>
      </w:r>
      <w:bookmarkEnd w:id="851"/>
      <w:bookmarkEnd w:id="852"/>
      <w:bookmarkEnd w:id="853"/>
      <w:bookmarkEnd w:id="854"/>
      <w:bookmarkEnd w:id="855"/>
      <w:bookmarkEnd w:id="85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12.5.1监理人发出暂停工作指示后56 天内未向承包人发出复工通知的，除该项暂停由于承包人违约造成之外，承包人可向监理人提交书面通知，要求监理人在收到书面通知后28天内准许已暂停工作的全部或部分继续工作。如监理人逾期不予批准，则承包人可以通知监理人，将工程受影响的部分按第15条的约定作为可取消工作的变更处理。暂停工作影响到整个工程的，视为发包人违约，应按第12.2.1项的约定执行，同时承包人有权解除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12.5.2由于承包人原因引起暂停工作的，如承包人在收到监理人暂停工作指示后56 天内不采取有效的复工措施，造成工期延误的，视为承包人违约，应按第12.1.2 项的约定执行。</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857" w:name="_Toc410559431"/>
      <w:bookmarkStart w:id="858" w:name="_Toc290644269"/>
      <w:bookmarkStart w:id="859" w:name="_Toc29987"/>
      <w:bookmarkStart w:id="860" w:name="_Toc411736513"/>
      <w:bookmarkStart w:id="861" w:name="_Toc476860448"/>
      <w:bookmarkStart w:id="862" w:name="_Toc16150"/>
      <w:bookmarkStart w:id="863" w:name="_Toc411736237"/>
      <w:bookmarkStart w:id="864" w:name="_Toc300835131"/>
      <w:bookmarkStart w:id="865" w:name="_Toc147856202"/>
      <w:r>
        <w:rPr>
          <w:rStyle w:val="114"/>
          <w:rFonts w:hint="eastAsia"/>
          <w:bCs w:val="0"/>
          <w:color w:val="000000" w:themeColor="text1"/>
          <w:highlight w:val="none"/>
          <w14:textFill>
            <w14:solidFill>
              <w14:schemeClr w14:val="tx1"/>
            </w14:solidFill>
          </w14:textFill>
        </w:rPr>
        <w:t>13. 工程质量</w:t>
      </w:r>
      <w:bookmarkEnd w:id="830"/>
      <w:bookmarkEnd w:id="831"/>
      <w:bookmarkEnd w:id="832"/>
      <w:bookmarkEnd w:id="857"/>
      <w:bookmarkEnd w:id="858"/>
      <w:bookmarkEnd w:id="859"/>
      <w:bookmarkEnd w:id="860"/>
      <w:bookmarkEnd w:id="861"/>
      <w:bookmarkEnd w:id="862"/>
      <w:bookmarkEnd w:id="863"/>
      <w:bookmarkEnd w:id="864"/>
      <w:bookmarkEnd w:id="865"/>
    </w:p>
    <w:p>
      <w:pPr>
        <w:pStyle w:val="6"/>
        <w:spacing w:before="240" w:after="120" w:line="360" w:lineRule="auto"/>
        <w:rPr>
          <w:color w:val="000000" w:themeColor="text1"/>
          <w:highlight w:val="none"/>
          <w14:textFill>
            <w14:solidFill>
              <w14:schemeClr w14:val="tx1"/>
            </w14:solidFill>
          </w14:textFill>
        </w:rPr>
      </w:pPr>
      <w:bookmarkStart w:id="866" w:name="_Toc410559432"/>
      <w:bookmarkStart w:id="867" w:name="_Toc247527729"/>
      <w:bookmarkStart w:id="868" w:name="_Toc300835132"/>
      <w:bookmarkStart w:id="869" w:name="_Toc411736238"/>
      <w:bookmarkStart w:id="870" w:name="_Toc1480415805"/>
      <w:bookmarkStart w:id="871" w:name="_Toc411736514"/>
      <w:bookmarkStart w:id="872" w:name="_Toc476860449"/>
      <w:bookmarkStart w:id="873" w:name="_Toc247514128"/>
      <w:r>
        <w:rPr>
          <w:rFonts w:hint="eastAsia"/>
          <w:color w:val="000000" w:themeColor="text1"/>
          <w:highlight w:val="none"/>
          <w14:textFill>
            <w14:solidFill>
              <w14:schemeClr w14:val="tx1"/>
            </w14:solidFill>
          </w14:textFill>
        </w:rPr>
        <w:t>13.1 工程质量要求</w:t>
      </w:r>
      <w:bookmarkEnd w:id="866"/>
      <w:bookmarkEnd w:id="867"/>
      <w:bookmarkEnd w:id="868"/>
      <w:bookmarkEnd w:id="869"/>
      <w:bookmarkEnd w:id="870"/>
      <w:bookmarkEnd w:id="871"/>
      <w:bookmarkEnd w:id="872"/>
      <w:bookmarkEnd w:id="87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13.1.1 工程质量验收按法律规定和合同约定的验收标准执行。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13.1.2 因承包人原因造成工程质量不符合法律的规定和合同约定的，监理人有权要求承包人返工直至符合合同要求为止，由此造成的费用增加和（或）工期延误由承包人承担。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13.1.3 因发包人原因造成工程质量达不到合同约定验收标准的，发包人应承担由于承包人返工造成的费用增加和（或）工期延误，并支付承包人合理利润。</w:t>
      </w:r>
    </w:p>
    <w:p>
      <w:pPr>
        <w:pStyle w:val="6"/>
        <w:spacing w:before="240" w:after="120" w:line="360" w:lineRule="auto"/>
        <w:rPr>
          <w:color w:val="000000" w:themeColor="text1"/>
          <w:highlight w:val="none"/>
          <w14:textFill>
            <w14:solidFill>
              <w14:schemeClr w14:val="tx1"/>
            </w14:solidFill>
          </w14:textFill>
        </w:rPr>
      </w:pPr>
      <w:bookmarkStart w:id="874" w:name="_Toc476860450"/>
      <w:bookmarkStart w:id="875" w:name="_Toc247514130"/>
      <w:bookmarkStart w:id="876" w:name="_Toc411736515"/>
      <w:bookmarkStart w:id="877" w:name="_Toc411736239"/>
      <w:bookmarkStart w:id="878" w:name="_Toc247527731"/>
      <w:bookmarkStart w:id="879" w:name="_Toc300835133"/>
      <w:bookmarkStart w:id="880" w:name="_Toc410559433"/>
      <w:bookmarkStart w:id="881" w:name="_Toc602900493"/>
      <w:r>
        <w:rPr>
          <w:rFonts w:hint="eastAsia"/>
          <w:color w:val="000000" w:themeColor="text1"/>
          <w:highlight w:val="none"/>
          <w14:textFill>
            <w14:solidFill>
              <w14:schemeClr w14:val="tx1"/>
            </w14:solidFill>
          </w14:textFill>
        </w:rPr>
        <w:t>13.2 承包人的质量检查</w:t>
      </w:r>
      <w:bookmarkEnd w:id="874"/>
      <w:bookmarkEnd w:id="875"/>
      <w:bookmarkEnd w:id="876"/>
      <w:bookmarkEnd w:id="877"/>
      <w:bookmarkEnd w:id="878"/>
      <w:bookmarkEnd w:id="879"/>
      <w:bookmarkEnd w:id="880"/>
      <w:bookmarkEnd w:id="88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承包人应按合同约定对设计、材料、工程设备以及全部工程内容及其施工工艺进行全过程的质量检查和检验，并作详细记录，编制工程质量报表，报送监理人审查。</w:t>
      </w:r>
    </w:p>
    <w:p>
      <w:pPr>
        <w:pStyle w:val="6"/>
        <w:spacing w:before="240" w:after="120" w:line="360" w:lineRule="auto"/>
        <w:rPr>
          <w:color w:val="000000" w:themeColor="text1"/>
          <w:highlight w:val="none"/>
          <w14:textFill>
            <w14:solidFill>
              <w14:schemeClr w14:val="tx1"/>
            </w14:solidFill>
          </w14:textFill>
        </w:rPr>
      </w:pPr>
      <w:bookmarkStart w:id="882" w:name="_Toc300835134"/>
      <w:bookmarkStart w:id="883" w:name="_Toc476860451"/>
      <w:bookmarkStart w:id="884" w:name="_Toc411736240"/>
      <w:bookmarkStart w:id="885" w:name="_Toc1120739305"/>
      <w:bookmarkStart w:id="886" w:name="_Toc247527732"/>
      <w:bookmarkStart w:id="887" w:name="_Toc410559434"/>
      <w:bookmarkStart w:id="888" w:name="_Toc411736516"/>
      <w:bookmarkStart w:id="889" w:name="_Toc247514131"/>
      <w:r>
        <w:rPr>
          <w:rFonts w:hint="eastAsia"/>
          <w:color w:val="000000" w:themeColor="text1"/>
          <w:highlight w:val="none"/>
          <w14:textFill>
            <w14:solidFill>
              <w14:schemeClr w14:val="tx1"/>
            </w14:solidFill>
          </w14:textFill>
        </w:rPr>
        <w:t>13.3 监理人的质量检查</w:t>
      </w:r>
      <w:bookmarkEnd w:id="882"/>
      <w:bookmarkEnd w:id="883"/>
      <w:bookmarkEnd w:id="884"/>
      <w:bookmarkEnd w:id="885"/>
      <w:bookmarkEnd w:id="886"/>
      <w:bookmarkEnd w:id="887"/>
      <w:bookmarkEnd w:id="888"/>
      <w:bookmarkEnd w:id="88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有权对全部工程内容及其施工工艺、材料和工程设备进行检查和检验。承包人应为监理人的检查和检验提供方便，包括监理人到施工场地，或制造、加工地点，或合同约定的其他地方进行察看和查阅施工原始记录。承包人还应按监理人指示，进行施工场地取样试验、工程复核测量和设备性能检测，提供试验样品、提交试验报告和测量成果以及监理人要求进行的其他工作。监理人的检查和检验，不免除承包人按合同约定应负的责任。</w:t>
      </w:r>
    </w:p>
    <w:p>
      <w:pPr>
        <w:pStyle w:val="6"/>
        <w:spacing w:before="240" w:after="120" w:line="360" w:lineRule="auto"/>
        <w:rPr>
          <w:color w:val="000000" w:themeColor="text1"/>
          <w:highlight w:val="none"/>
          <w14:textFill>
            <w14:solidFill>
              <w14:schemeClr w14:val="tx1"/>
            </w14:solidFill>
          </w14:textFill>
        </w:rPr>
      </w:pPr>
      <w:bookmarkStart w:id="890" w:name="_Toc411736241"/>
      <w:bookmarkStart w:id="891" w:name="_Toc411736517"/>
      <w:bookmarkStart w:id="892" w:name="_Toc410559435"/>
      <w:bookmarkStart w:id="893" w:name="_Toc686431298"/>
      <w:bookmarkStart w:id="894" w:name="_Toc247514132"/>
      <w:bookmarkStart w:id="895" w:name="_Toc247527733"/>
      <w:bookmarkStart w:id="896" w:name="_Toc476860452"/>
      <w:bookmarkStart w:id="897" w:name="_Toc300835135"/>
      <w:r>
        <w:rPr>
          <w:rFonts w:hint="eastAsia"/>
          <w:color w:val="000000" w:themeColor="text1"/>
          <w:highlight w:val="none"/>
          <w14:textFill>
            <w14:solidFill>
              <w14:schemeClr w14:val="tx1"/>
            </w14:solidFill>
          </w14:textFill>
        </w:rPr>
        <w:t>13.4 工程隐蔽部位覆盖前的检查</w:t>
      </w:r>
      <w:bookmarkEnd w:id="890"/>
      <w:bookmarkEnd w:id="891"/>
      <w:bookmarkEnd w:id="892"/>
      <w:bookmarkEnd w:id="893"/>
      <w:bookmarkEnd w:id="894"/>
      <w:bookmarkEnd w:id="895"/>
      <w:bookmarkEnd w:id="896"/>
      <w:bookmarkEnd w:id="897"/>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13.4.1 通知监理人检查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经承包人自检确认的工程隐蔽部位具备覆盖条件后，承包人应通知监理人在约定的期限内检查。承包人的通知应附有自检记录和必要的检查资料。监理人应按时到场检查。经监理人检查确认质量符合隐蔽要求，并在检查记录上签字后，承包人才能进行覆盖。监理人检查确认质量不合格的，承包人应在监理人指示的时间内修整返工后，由监理人重新检查。</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13.4.2 监理人未到场检查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监理人未按第13.4.l 项约定的时间进行检查的，除监理人另有指示外，承包人可自行完成覆盖工作，并作相应记录报送监理人，监理人应签字确认。监理人事后对检查记录有疑问的，可按第13.4.3 项的约定重新检查。</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13.4.3 监理人重新检查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承包人按第13.4.1 项或第13.4.2 项覆盖工程隐蔽部位后，监理人对质量有疑问的，可要求承包人对已覆盖的部位进行钻孔探测或揭开重新检验，承包人应遵照执行，并在检验后重新覆盖恢复原状。经检验证明工程质量符合合同要求的，由发包人承担由此增加的费用和（或）工期延误，并支付承包人合理利润；经检验证明工程质量不符合合同要求的，由此增加的费用和（或）工期延误由承包人承担。</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13.4.4 承包人私自覆盖</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承包人未通知监理人到场检查，私自将工程隐蔽部位覆盖的，监理人有权指示承包人钻孔探测或揭开检查，由此增加的费用和（或）工期延误由承包人承担。</w:t>
      </w:r>
    </w:p>
    <w:p>
      <w:pPr>
        <w:pStyle w:val="6"/>
        <w:spacing w:before="240" w:after="120" w:line="360" w:lineRule="auto"/>
        <w:rPr>
          <w:color w:val="000000" w:themeColor="text1"/>
          <w:highlight w:val="none"/>
          <w14:textFill>
            <w14:solidFill>
              <w14:schemeClr w14:val="tx1"/>
            </w14:solidFill>
          </w14:textFill>
        </w:rPr>
      </w:pPr>
      <w:bookmarkStart w:id="898" w:name="_Toc476860453"/>
      <w:bookmarkStart w:id="899" w:name="_Toc247514133"/>
      <w:bookmarkStart w:id="900" w:name="_Toc300835136"/>
      <w:bookmarkStart w:id="901" w:name="_Toc568673802"/>
      <w:bookmarkStart w:id="902" w:name="_Toc410559436"/>
      <w:bookmarkStart w:id="903" w:name="_Toc411736518"/>
      <w:bookmarkStart w:id="904" w:name="_Toc247527734"/>
      <w:bookmarkStart w:id="905" w:name="_Toc411736242"/>
      <w:r>
        <w:rPr>
          <w:rFonts w:hint="eastAsia"/>
          <w:color w:val="000000" w:themeColor="text1"/>
          <w:highlight w:val="none"/>
          <w14:textFill>
            <w14:solidFill>
              <w14:schemeClr w14:val="tx1"/>
            </w14:solidFill>
          </w14:textFill>
        </w:rPr>
        <w:t>13.5 清除不合格工程</w:t>
      </w:r>
      <w:bookmarkEnd w:id="898"/>
      <w:bookmarkEnd w:id="899"/>
      <w:bookmarkEnd w:id="900"/>
      <w:bookmarkEnd w:id="901"/>
      <w:bookmarkEnd w:id="902"/>
      <w:bookmarkEnd w:id="903"/>
      <w:bookmarkEnd w:id="904"/>
      <w:bookmarkEnd w:id="90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13.5.1 因承包人设计失误，使用不合格材料、工程设备，或采用不适当的施工工艺，或施工不当，造成工程不合格的，监理人可以随时发出指示，要求承包人立即采取措施进行补救，直至达到合同要求的质量标准，由此增加的费用和（或）工期延误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13.5.2 由于发包人提供的材料或工程设备不合格造成的工程不合格，需要承包人采取措施补救的，发包人应承担由此增加的费用和（或）工期延误，并支付承包人合理利润。</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906" w:name="_Toc17005"/>
      <w:bookmarkStart w:id="907" w:name="_Toc411736243"/>
      <w:bookmarkStart w:id="908" w:name="_Toc1398361064"/>
      <w:bookmarkStart w:id="909" w:name="_Toc300835137"/>
      <w:bookmarkStart w:id="910" w:name="_Toc7184"/>
      <w:bookmarkStart w:id="911" w:name="_Toc476860454"/>
      <w:bookmarkStart w:id="912" w:name="_Toc247527735"/>
      <w:bookmarkStart w:id="913" w:name="_Toc184635111"/>
      <w:bookmarkStart w:id="914" w:name="_Toc247514134"/>
      <w:bookmarkStart w:id="915" w:name="_Toc411736519"/>
      <w:bookmarkStart w:id="916" w:name="_Toc410559437"/>
      <w:bookmarkStart w:id="917" w:name="_Toc147856203"/>
      <w:r>
        <w:rPr>
          <w:rStyle w:val="114"/>
          <w:rFonts w:hint="eastAsia"/>
          <w:bCs w:val="0"/>
          <w:color w:val="000000" w:themeColor="text1"/>
          <w:highlight w:val="none"/>
          <w14:textFill>
            <w14:solidFill>
              <w14:schemeClr w14:val="tx1"/>
            </w14:solidFill>
          </w14:textFill>
        </w:rPr>
        <w:t>14. 试验和检验</w:t>
      </w:r>
      <w:bookmarkEnd w:id="906"/>
      <w:bookmarkEnd w:id="907"/>
      <w:bookmarkEnd w:id="908"/>
      <w:bookmarkEnd w:id="909"/>
      <w:bookmarkEnd w:id="910"/>
      <w:bookmarkEnd w:id="911"/>
      <w:bookmarkEnd w:id="912"/>
      <w:bookmarkEnd w:id="913"/>
      <w:bookmarkEnd w:id="914"/>
      <w:bookmarkEnd w:id="915"/>
      <w:bookmarkEnd w:id="916"/>
      <w:bookmarkEnd w:id="917"/>
    </w:p>
    <w:p>
      <w:pPr>
        <w:pStyle w:val="6"/>
        <w:spacing w:before="240" w:after="120" w:line="360" w:lineRule="auto"/>
        <w:rPr>
          <w:color w:val="000000" w:themeColor="text1"/>
          <w:highlight w:val="none"/>
          <w14:textFill>
            <w14:solidFill>
              <w14:schemeClr w14:val="tx1"/>
            </w14:solidFill>
          </w14:textFill>
        </w:rPr>
      </w:pPr>
      <w:bookmarkStart w:id="918" w:name="_Toc247514135"/>
      <w:bookmarkStart w:id="919" w:name="_Toc247527736"/>
      <w:bookmarkStart w:id="920" w:name="_Toc411736244"/>
      <w:bookmarkStart w:id="921" w:name="_Toc193369880"/>
      <w:bookmarkStart w:id="922" w:name="_Toc300835138"/>
      <w:bookmarkStart w:id="923" w:name="_Toc410559438"/>
      <w:bookmarkStart w:id="924" w:name="_Toc411736520"/>
      <w:bookmarkStart w:id="925" w:name="_Toc476860455"/>
      <w:r>
        <w:rPr>
          <w:rFonts w:hint="eastAsia"/>
          <w:color w:val="000000" w:themeColor="text1"/>
          <w:highlight w:val="none"/>
          <w14:textFill>
            <w14:solidFill>
              <w14:schemeClr w14:val="tx1"/>
            </w14:solidFill>
          </w14:textFill>
        </w:rPr>
        <w:t>14.1 材料、工程设备和工程的试验和检验</w:t>
      </w:r>
      <w:bookmarkEnd w:id="918"/>
      <w:bookmarkEnd w:id="919"/>
      <w:bookmarkEnd w:id="920"/>
      <w:bookmarkEnd w:id="921"/>
      <w:bookmarkEnd w:id="922"/>
      <w:bookmarkEnd w:id="923"/>
      <w:bookmarkEnd w:id="924"/>
      <w:bookmarkEnd w:id="92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14.1.1 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14.1.2 监理人未按合同约定派员参加试验和检验的，除监理人另有指示外，承包人可自行试验和检验，并应立即将试验和检验结果报送监理人，监理人应签字确认。</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14.1.3 监理人对承包人的试验和检验结果有疑问的，或为查清承包人试验和检验成果的可靠性要求承包人重新试验和检验的，可按合同约定由监理人与承包人共同进行。重新试验和检验的结果证明该项材料、工程设备或工程的质量不符合合同要求的，由此增加的费用和（或）工期延误由承包人承担；重新试验和检验结果证明该项材料、工程设备和工程符合合同要求，由发包人承担由此增加的费用和（或）工期延误，并支付承包人合理利润。</w:t>
      </w:r>
    </w:p>
    <w:p>
      <w:pPr>
        <w:pStyle w:val="6"/>
        <w:spacing w:before="240" w:after="120" w:line="360" w:lineRule="auto"/>
        <w:rPr>
          <w:color w:val="000000" w:themeColor="text1"/>
          <w:highlight w:val="none"/>
          <w14:textFill>
            <w14:solidFill>
              <w14:schemeClr w14:val="tx1"/>
            </w14:solidFill>
          </w14:textFill>
        </w:rPr>
      </w:pPr>
      <w:bookmarkStart w:id="926" w:name="_Toc247514136"/>
      <w:bookmarkStart w:id="927" w:name="_Toc411736245"/>
      <w:bookmarkStart w:id="928" w:name="_Toc411736521"/>
      <w:bookmarkStart w:id="929" w:name="_Toc300835139"/>
      <w:bookmarkStart w:id="930" w:name="_Toc410559439"/>
      <w:bookmarkStart w:id="931" w:name="_Toc824815249"/>
      <w:bookmarkStart w:id="932" w:name="_Toc247527737"/>
      <w:bookmarkStart w:id="933" w:name="_Toc476860456"/>
      <w:r>
        <w:rPr>
          <w:rFonts w:hint="eastAsia"/>
          <w:color w:val="000000" w:themeColor="text1"/>
          <w:highlight w:val="none"/>
          <w14:textFill>
            <w14:solidFill>
              <w14:schemeClr w14:val="tx1"/>
            </w14:solidFill>
          </w14:textFill>
        </w:rPr>
        <w:t>14.2 现场材料试验</w:t>
      </w:r>
      <w:bookmarkEnd w:id="926"/>
      <w:bookmarkEnd w:id="927"/>
      <w:bookmarkEnd w:id="928"/>
      <w:bookmarkEnd w:id="929"/>
      <w:bookmarkEnd w:id="930"/>
      <w:bookmarkEnd w:id="931"/>
      <w:bookmarkEnd w:id="932"/>
      <w:bookmarkEnd w:id="933"/>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14.2.1 承包人根据合同约定或监理人指示进行的现场材料试验，应由承包人提供试验场所、试验人员、试验设备器材以及其他必要的试验条件。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14.2.2 监理人在必要时可以使用承包人的试验场所、试验设备器材以及其他试验条件，进行以工程质量检查为目的的复核性材料试验，承包人应予以协助。</w:t>
      </w:r>
    </w:p>
    <w:p>
      <w:pPr>
        <w:pStyle w:val="6"/>
        <w:spacing w:before="240" w:after="120" w:line="360" w:lineRule="auto"/>
        <w:rPr>
          <w:color w:val="000000" w:themeColor="text1"/>
          <w:highlight w:val="none"/>
          <w14:textFill>
            <w14:solidFill>
              <w14:schemeClr w14:val="tx1"/>
            </w14:solidFill>
          </w14:textFill>
        </w:rPr>
      </w:pPr>
      <w:bookmarkStart w:id="934" w:name="_Toc411736522"/>
      <w:bookmarkStart w:id="935" w:name="_Toc247527738"/>
      <w:bookmarkStart w:id="936" w:name="_Toc410559440"/>
      <w:bookmarkStart w:id="937" w:name="_Toc476860457"/>
      <w:bookmarkStart w:id="938" w:name="_Toc662948558"/>
      <w:bookmarkStart w:id="939" w:name="_Toc411736246"/>
      <w:bookmarkStart w:id="940" w:name="_Toc247514137"/>
      <w:bookmarkStart w:id="941" w:name="_Toc300835140"/>
      <w:r>
        <w:rPr>
          <w:rFonts w:hint="eastAsia"/>
          <w:color w:val="000000" w:themeColor="text1"/>
          <w:highlight w:val="none"/>
          <w14:textFill>
            <w14:solidFill>
              <w14:schemeClr w14:val="tx1"/>
            </w14:solidFill>
          </w14:textFill>
        </w:rPr>
        <w:t>14.3 现场工艺试验</w:t>
      </w:r>
      <w:bookmarkEnd w:id="934"/>
      <w:bookmarkEnd w:id="935"/>
      <w:bookmarkEnd w:id="936"/>
      <w:bookmarkEnd w:id="937"/>
      <w:bookmarkEnd w:id="938"/>
      <w:bookmarkEnd w:id="939"/>
      <w:bookmarkEnd w:id="940"/>
      <w:bookmarkEnd w:id="94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承包人应按合同约定或监理人指示进行现场工艺试验。对大型的现场工艺试验，监理人认为必要时，应由承包人根据监理人提出的工艺试验要求，编制工艺试验措施计划，报送监理人批准。</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942" w:name="_Toc300835141"/>
      <w:bookmarkStart w:id="943" w:name="_Toc476860458"/>
      <w:bookmarkStart w:id="944" w:name="_Toc411736523"/>
      <w:bookmarkStart w:id="945" w:name="_Toc180"/>
      <w:bookmarkStart w:id="946" w:name="_Toc411736247"/>
      <w:bookmarkStart w:id="947" w:name="_Toc3003"/>
      <w:bookmarkStart w:id="948" w:name="_Toc247527739"/>
      <w:bookmarkStart w:id="949" w:name="_Toc184635112"/>
      <w:bookmarkStart w:id="950" w:name="_Toc410559441"/>
      <w:bookmarkStart w:id="951" w:name="_Toc1031253670"/>
      <w:bookmarkStart w:id="952" w:name="_Toc247514138"/>
      <w:bookmarkStart w:id="953" w:name="_Toc147856204"/>
      <w:r>
        <w:rPr>
          <w:rStyle w:val="114"/>
          <w:rFonts w:hint="eastAsia"/>
          <w:bCs w:val="0"/>
          <w:color w:val="000000" w:themeColor="text1"/>
          <w:highlight w:val="none"/>
          <w14:textFill>
            <w14:solidFill>
              <w14:schemeClr w14:val="tx1"/>
            </w14:solidFill>
          </w14:textFill>
        </w:rPr>
        <w:t>15. 变更</w:t>
      </w:r>
      <w:bookmarkEnd w:id="942"/>
      <w:bookmarkEnd w:id="943"/>
      <w:bookmarkEnd w:id="944"/>
      <w:bookmarkEnd w:id="945"/>
      <w:bookmarkEnd w:id="946"/>
      <w:bookmarkEnd w:id="947"/>
      <w:bookmarkEnd w:id="948"/>
      <w:bookmarkEnd w:id="949"/>
      <w:bookmarkEnd w:id="950"/>
      <w:bookmarkEnd w:id="951"/>
      <w:bookmarkEnd w:id="952"/>
      <w:bookmarkEnd w:id="953"/>
      <w:bookmarkStart w:id="954" w:name="_Toc247527740"/>
      <w:bookmarkStart w:id="955" w:name="_Toc247514139"/>
    </w:p>
    <w:p>
      <w:pPr>
        <w:pStyle w:val="6"/>
        <w:spacing w:before="240" w:after="120" w:line="360" w:lineRule="auto"/>
        <w:rPr>
          <w:color w:val="000000" w:themeColor="text1"/>
          <w:highlight w:val="none"/>
          <w14:textFill>
            <w14:solidFill>
              <w14:schemeClr w14:val="tx1"/>
            </w14:solidFill>
          </w14:textFill>
        </w:rPr>
      </w:pPr>
      <w:bookmarkStart w:id="956" w:name="_Toc476860459"/>
      <w:bookmarkStart w:id="957" w:name="_Toc411736248"/>
      <w:bookmarkStart w:id="958" w:name="_Toc411736524"/>
      <w:bookmarkStart w:id="959" w:name="_Toc2087400400"/>
      <w:bookmarkStart w:id="960" w:name="_Toc300835142"/>
      <w:bookmarkStart w:id="961" w:name="_Toc410559442"/>
      <w:r>
        <w:rPr>
          <w:rFonts w:hint="eastAsia"/>
          <w:color w:val="000000" w:themeColor="text1"/>
          <w:highlight w:val="none"/>
          <w14:textFill>
            <w14:solidFill>
              <w14:schemeClr w14:val="tx1"/>
            </w14:solidFill>
          </w14:textFill>
        </w:rPr>
        <w:t>15.1 变更权</w:t>
      </w:r>
      <w:bookmarkEnd w:id="954"/>
      <w:bookmarkEnd w:id="955"/>
      <w:bookmarkEnd w:id="956"/>
      <w:bookmarkEnd w:id="957"/>
      <w:bookmarkEnd w:id="958"/>
      <w:bookmarkEnd w:id="959"/>
      <w:bookmarkEnd w:id="960"/>
      <w:bookmarkEnd w:id="961"/>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在履行合同过程中，经发包人同意，监理人可按第15.3 款约定的变更程序向承包人作出有关发包人要求改变的变更指示，承包人应遵照执行。变更应在相应内容实施前提出，否则发包人应承担承包人损失。没有监理人的变更指示，承包人不得擅自变更。</w:t>
      </w:r>
    </w:p>
    <w:p>
      <w:pPr>
        <w:pStyle w:val="6"/>
        <w:spacing w:before="240" w:after="120" w:line="360" w:lineRule="auto"/>
        <w:rPr>
          <w:color w:val="000000" w:themeColor="text1"/>
          <w:highlight w:val="none"/>
          <w14:textFill>
            <w14:solidFill>
              <w14:schemeClr w14:val="tx1"/>
            </w14:solidFill>
          </w14:textFill>
        </w:rPr>
      </w:pPr>
      <w:bookmarkStart w:id="962" w:name="_Toc411736249"/>
      <w:bookmarkStart w:id="963" w:name="_Toc247514140"/>
      <w:bookmarkStart w:id="964" w:name="_Toc476860460"/>
      <w:bookmarkStart w:id="965" w:name="_Toc247527741"/>
      <w:bookmarkStart w:id="966" w:name="_Toc411736525"/>
      <w:bookmarkStart w:id="967" w:name="_Toc1645665408"/>
      <w:bookmarkStart w:id="968" w:name="_Toc300835143"/>
      <w:bookmarkStart w:id="969" w:name="_Toc410559443"/>
      <w:r>
        <w:rPr>
          <w:rFonts w:hint="eastAsia"/>
          <w:color w:val="000000" w:themeColor="text1"/>
          <w:highlight w:val="none"/>
          <w14:textFill>
            <w14:solidFill>
              <w14:schemeClr w14:val="tx1"/>
            </w14:solidFill>
          </w14:textFill>
        </w:rPr>
        <w:t>15.2 承包人的合理化建议</w:t>
      </w:r>
      <w:bookmarkEnd w:id="962"/>
      <w:bookmarkEnd w:id="963"/>
      <w:bookmarkEnd w:id="964"/>
      <w:bookmarkEnd w:id="965"/>
      <w:bookmarkEnd w:id="966"/>
      <w:bookmarkEnd w:id="967"/>
      <w:bookmarkEnd w:id="968"/>
      <w:bookmarkEnd w:id="969"/>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15.2.1 在履行合同过程中，承包人对发包人要求的合理化建议，均应以书面形式提交监理人。合理化建议书的内容应包括建议工作的详细说明、进度计划和效益以及与其他工作的协调等，并附必要的设计文件。监理人应与发包人协商是否采纳建议。建议被采纳并构成变更的，应按第15.3款约定向承包人发出变更指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15.2.2 承包人提出的合理化建议降低了合同价格、缩短了工期或者提高了工程经济效益的，发包人可按国家有关规定在专用合同条款中约定给予奖励。</w:t>
      </w:r>
    </w:p>
    <w:p>
      <w:pPr>
        <w:pStyle w:val="6"/>
        <w:spacing w:before="240" w:after="120" w:line="360" w:lineRule="auto"/>
        <w:rPr>
          <w:color w:val="000000" w:themeColor="text1"/>
          <w:highlight w:val="none"/>
          <w14:textFill>
            <w14:solidFill>
              <w14:schemeClr w14:val="tx1"/>
            </w14:solidFill>
          </w14:textFill>
        </w:rPr>
      </w:pPr>
      <w:bookmarkStart w:id="970" w:name="_Toc300835144"/>
      <w:bookmarkStart w:id="971" w:name="_Toc476860461"/>
      <w:bookmarkStart w:id="972" w:name="_Toc410559444"/>
      <w:bookmarkStart w:id="973" w:name="_Toc247514141"/>
      <w:bookmarkStart w:id="974" w:name="_Toc247527742"/>
      <w:bookmarkStart w:id="975" w:name="_Toc411736526"/>
      <w:bookmarkStart w:id="976" w:name="_Toc1256622543"/>
      <w:bookmarkStart w:id="977" w:name="_Toc411736250"/>
      <w:r>
        <w:rPr>
          <w:rFonts w:hint="eastAsia"/>
          <w:color w:val="000000" w:themeColor="text1"/>
          <w:highlight w:val="none"/>
          <w14:textFill>
            <w14:solidFill>
              <w14:schemeClr w14:val="tx1"/>
            </w14:solidFill>
          </w14:textFill>
        </w:rPr>
        <w:t>15.3 变更程序</w:t>
      </w:r>
      <w:bookmarkEnd w:id="970"/>
      <w:bookmarkEnd w:id="971"/>
      <w:bookmarkEnd w:id="972"/>
      <w:bookmarkEnd w:id="973"/>
      <w:bookmarkEnd w:id="974"/>
      <w:bookmarkEnd w:id="975"/>
      <w:bookmarkEnd w:id="976"/>
      <w:bookmarkEnd w:id="977"/>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15.3.1 变更的提出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在合同履行过程中，监理人可向承包人发出变更意向书。变更意向书应说明变更的具体内容和发包人对变更的时间要求，并附必要的相关资料。变更意向书应要求承包人提交包括拟实施变更工作的设计和计划、措施和竣工时间等内容的实施方案。发包人同意承包人根据变更意向书要求提交的变更实施方案的，由监理人按第15.3.3 项约定发出变更指示。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收到监理人按合同约定发出的文件，经检查认为其中存在对发包人要求变更情形的，可向监理人提出书面变更建议。变更建议应阐明要求变更的依据，以及实施该变更工作对合同价款和工期的影响，并附必要的图纸和说明。监理人收到承包人书面建议后，应与发包人共同研究，确认存在变更的，应在收到承包人书面建议后的14 天内作出变更指示。经研究后不同意作为变更的，应由监理人书面答复承包人。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（3）承包人收到监理人的变更意向书后认为难以实施此项变更的，应立即通知监理人，说明原因并附详细依据。监理人与承包人和发包人协商后确定撤销、改变或不改变原变更意向书。</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15.3.2 变更估价</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监理人应按照第3.5款商定或确定变更价格。变更价格应包括合理的利润，并应考虑承包人根据第15.2款提出的合理化建议。</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15.3.3 变更指示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（1）变更指示只能由监理人发出。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（2）变更指示应说明变更的目的、范围、变更内容以及变更的工程量及其进度和技术要求，并附有关图纸和文件。承包人收到变更指示后，应按变更指示进行变更工作。</w:t>
      </w:r>
    </w:p>
    <w:p>
      <w:pPr>
        <w:pStyle w:val="6"/>
        <w:spacing w:before="240" w:after="120" w:line="360" w:lineRule="auto"/>
        <w:rPr>
          <w:color w:val="000000" w:themeColor="text1"/>
          <w:highlight w:val="none"/>
          <w14:textFill>
            <w14:solidFill>
              <w14:schemeClr w14:val="tx1"/>
            </w14:solidFill>
          </w14:textFill>
        </w:rPr>
      </w:pPr>
      <w:bookmarkStart w:id="978" w:name="_Toc300835145"/>
      <w:bookmarkStart w:id="979" w:name="_Toc476860462"/>
      <w:bookmarkStart w:id="980" w:name="_Toc411736251"/>
      <w:bookmarkStart w:id="981" w:name="_Toc410559445"/>
      <w:bookmarkStart w:id="982" w:name="_Toc247527743"/>
      <w:bookmarkStart w:id="983" w:name="_Toc247514142"/>
      <w:bookmarkStart w:id="984" w:name="_Toc1700895603"/>
      <w:bookmarkStart w:id="985" w:name="_Toc411736527"/>
      <w:r>
        <w:rPr>
          <w:rFonts w:hint="eastAsia"/>
          <w:color w:val="000000" w:themeColor="text1"/>
          <w:highlight w:val="none"/>
          <w14:textFill>
            <w14:solidFill>
              <w14:schemeClr w14:val="tx1"/>
            </w14:solidFill>
          </w14:textFill>
        </w:rPr>
        <w:t>15.4 暂列金额</w:t>
      </w:r>
      <w:bookmarkEnd w:id="978"/>
      <w:bookmarkEnd w:id="979"/>
      <w:bookmarkEnd w:id="980"/>
      <w:bookmarkEnd w:id="981"/>
      <w:bookmarkEnd w:id="982"/>
      <w:bookmarkEnd w:id="983"/>
      <w:bookmarkEnd w:id="984"/>
      <w:bookmarkEnd w:id="98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经发包人同意，承包人可使用暂列金额，但应按照第15.6款规定的程序进行，并对合同价格进行相应调整。</w:t>
      </w:r>
    </w:p>
    <w:p>
      <w:pPr>
        <w:pStyle w:val="6"/>
        <w:spacing w:before="240" w:after="120" w:line="360" w:lineRule="auto"/>
        <w:rPr>
          <w:color w:val="000000" w:themeColor="text1"/>
          <w:highlight w:val="none"/>
          <w14:textFill>
            <w14:solidFill>
              <w14:schemeClr w14:val="tx1"/>
            </w14:solidFill>
          </w14:textFill>
        </w:rPr>
      </w:pPr>
      <w:bookmarkStart w:id="986" w:name="_Toc411736528"/>
      <w:bookmarkStart w:id="987" w:name="_Toc410559446"/>
      <w:bookmarkStart w:id="988" w:name="_Toc476860463"/>
      <w:bookmarkStart w:id="989" w:name="_Toc411736252"/>
      <w:bookmarkStart w:id="990" w:name="_Toc1797574404"/>
      <w:r>
        <w:rPr>
          <w:rFonts w:hint="eastAsia"/>
          <w:color w:val="000000" w:themeColor="text1"/>
          <w:highlight w:val="none"/>
          <w14:textFill>
            <w14:solidFill>
              <w14:schemeClr w14:val="tx1"/>
            </w14:solidFill>
          </w14:textFill>
        </w:rPr>
        <w:t>15.5 计日工（A）</w:t>
      </w:r>
      <w:bookmarkEnd w:id="986"/>
      <w:bookmarkEnd w:id="987"/>
      <w:bookmarkEnd w:id="988"/>
      <w:bookmarkEnd w:id="989"/>
      <w:bookmarkEnd w:id="99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15.5.1 发包人认为有必要时，由监理人通知承包人以计日工方式实施变更的零星工作。其价款按列入合同中的计日工计价子目及其单价进行计算。</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15.5.2 采用计日工计价的任何一项变更工作，应从暂列金额中支付，承包人应在该项变更的实施过程中，每天提交以下报表和有关凭证报送监理人批准：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（1）工作名称、内容和数量；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（2）投入该工作所有人员的姓名、专业/工种、级别和耗用工时；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（3）投入该工作的材料类别和数量；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（4）投入该工作的施工设备型号、台数和耗用台时；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（5）监理人要求提交的其他资料和凭证。</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15.5.3 计日工由承包人汇总后，按第17.3.3 项的约定列入进度付款申请单，由监理人复核并经发包人同意后列入进度付款。</w:t>
      </w:r>
    </w:p>
    <w:p>
      <w:pPr>
        <w:pStyle w:val="6"/>
        <w:spacing w:before="240" w:after="120" w:line="360" w:lineRule="auto"/>
        <w:rPr>
          <w:color w:val="000000" w:themeColor="text1"/>
          <w:highlight w:val="none"/>
          <w14:textFill>
            <w14:solidFill>
              <w14:schemeClr w14:val="tx1"/>
            </w14:solidFill>
          </w14:textFill>
        </w:rPr>
      </w:pPr>
      <w:bookmarkStart w:id="991" w:name="_Toc410559447"/>
      <w:bookmarkStart w:id="992" w:name="_Toc411736253"/>
      <w:bookmarkStart w:id="993" w:name="_Toc476860464"/>
      <w:bookmarkStart w:id="994" w:name="_Toc411736529"/>
      <w:bookmarkStart w:id="995" w:name="_Toc1033062032"/>
      <w:r>
        <w:rPr>
          <w:rFonts w:hint="eastAsia"/>
          <w:color w:val="000000" w:themeColor="text1"/>
          <w:highlight w:val="none"/>
          <w14:textFill>
            <w14:solidFill>
              <w14:schemeClr w14:val="tx1"/>
            </w14:solidFill>
          </w14:textFill>
        </w:rPr>
        <w:t>15.6 暂估价（B）</w:t>
      </w:r>
      <w:bookmarkEnd w:id="991"/>
      <w:bookmarkEnd w:id="992"/>
      <w:bookmarkEnd w:id="993"/>
      <w:bookmarkEnd w:id="994"/>
      <w:bookmarkEnd w:id="995"/>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签约合同价包括暂估价的，按合同约定进行支付。</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996" w:name="_Toc268285829"/>
      <w:bookmarkStart w:id="997" w:name="_Toc27731"/>
      <w:bookmarkStart w:id="998" w:name="_Toc184635113"/>
      <w:bookmarkStart w:id="999" w:name="_Toc247514143"/>
      <w:bookmarkStart w:id="1000" w:name="_Toc14120"/>
      <w:bookmarkStart w:id="1001" w:name="_Toc411736254"/>
      <w:bookmarkStart w:id="1002" w:name="_Toc411736530"/>
      <w:bookmarkStart w:id="1003" w:name="_Toc247527744"/>
      <w:bookmarkStart w:id="1004" w:name="_Toc300835146"/>
      <w:bookmarkStart w:id="1005" w:name="_Toc476860465"/>
      <w:bookmarkStart w:id="1006" w:name="_Toc410559448"/>
      <w:bookmarkStart w:id="1007" w:name="_Toc147856205"/>
      <w:r>
        <w:rPr>
          <w:rStyle w:val="114"/>
          <w:rFonts w:hint="eastAsia"/>
          <w:bCs w:val="0"/>
          <w:color w:val="000000" w:themeColor="text1"/>
          <w:highlight w:val="none"/>
          <w14:textFill>
            <w14:solidFill>
              <w14:schemeClr w14:val="tx1"/>
            </w14:solidFill>
          </w14:textFill>
        </w:rPr>
        <w:t>16. 价格调整</w:t>
      </w:r>
      <w:bookmarkEnd w:id="996"/>
      <w:bookmarkEnd w:id="997"/>
      <w:bookmarkEnd w:id="998"/>
      <w:bookmarkEnd w:id="999"/>
      <w:bookmarkEnd w:id="1000"/>
      <w:bookmarkEnd w:id="1001"/>
      <w:bookmarkEnd w:id="1002"/>
      <w:bookmarkEnd w:id="1003"/>
      <w:bookmarkEnd w:id="1004"/>
      <w:bookmarkEnd w:id="1005"/>
      <w:bookmarkEnd w:id="1006"/>
      <w:bookmarkEnd w:id="1007"/>
    </w:p>
    <w:p>
      <w:pPr>
        <w:pStyle w:val="6"/>
        <w:spacing w:before="240" w:after="120" w:line="360" w:lineRule="auto"/>
        <w:rPr>
          <w:color w:val="000000" w:themeColor="text1"/>
          <w:highlight w:val="none"/>
          <w14:textFill>
            <w14:solidFill>
              <w14:schemeClr w14:val="tx1"/>
            </w14:solidFill>
          </w14:textFill>
        </w:rPr>
      </w:pPr>
      <w:bookmarkStart w:id="1008" w:name="_Toc265955482"/>
      <w:bookmarkStart w:id="1009" w:name="_Toc411736255"/>
      <w:bookmarkStart w:id="1010" w:name="_Toc410559449"/>
      <w:bookmarkStart w:id="1011" w:name="_Toc1511752950"/>
      <w:bookmarkStart w:id="1012" w:name="_Toc476860466"/>
      <w:bookmarkStart w:id="1013" w:name="_Toc411736531"/>
      <w:bookmarkStart w:id="1014" w:name="_Toc300835148"/>
      <w:r>
        <w:rPr>
          <w:rFonts w:hint="eastAsia"/>
          <w:color w:val="000000" w:themeColor="text1"/>
          <w:highlight w:val="none"/>
          <w14:textFill>
            <w14:solidFill>
              <w14:schemeClr w14:val="tx1"/>
            </w14:solidFill>
          </w14:textFill>
        </w:rPr>
        <w:t>16.1 物价波动引起的调整</w:t>
      </w:r>
      <w:bookmarkEnd w:id="1008"/>
      <w:r>
        <w:rPr>
          <w:rFonts w:hint="eastAsia"/>
          <w:color w:val="000000" w:themeColor="text1"/>
          <w:highlight w:val="none"/>
          <w14:textFill>
            <w14:solidFill>
              <w14:schemeClr w14:val="tx1"/>
            </w14:solidFill>
          </w14:textFill>
        </w:rPr>
        <w:t>（B）</w:t>
      </w:r>
      <w:bookmarkEnd w:id="1009"/>
      <w:bookmarkEnd w:id="1010"/>
      <w:bookmarkEnd w:id="1011"/>
      <w:bookmarkEnd w:id="1012"/>
      <w:bookmarkEnd w:id="1013"/>
      <w:bookmarkEnd w:id="101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除法律规定或专用合同条款另有约定外，合同价格不因物价波动进行调整。</w:t>
      </w:r>
    </w:p>
    <w:p>
      <w:pPr>
        <w:pStyle w:val="6"/>
        <w:spacing w:before="240" w:after="120" w:line="360" w:lineRule="auto"/>
        <w:rPr>
          <w:color w:val="000000" w:themeColor="text1"/>
          <w:highlight w:val="none"/>
          <w14:textFill>
            <w14:solidFill>
              <w14:schemeClr w14:val="tx1"/>
            </w14:solidFill>
          </w14:textFill>
        </w:rPr>
      </w:pPr>
      <w:bookmarkStart w:id="1015" w:name="_Toc410559450"/>
      <w:bookmarkStart w:id="1016" w:name="_Toc411736256"/>
      <w:bookmarkStart w:id="1017" w:name="_Toc476860467"/>
      <w:bookmarkStart w:id="1018" w:name="_Toc300835149"/>
      <w:bookmarkStart w:id="1019" w:name="_Toc247514145"/>
      <w:bookmarkStart w:id="1020" w:name="_Toc247527746"/>
      <w:bookmarkStart w:id="1021" w:name="_Toc411736532"/>
      <w:bookmarkStart w:id="1022" w:name="_Toc1152802993"/>
      <w:r>
        <w:rPr>
          <w:rFonts w:hint="eastAsia"/>
          <w:color w:val="000000" w:themeColor="text1"/>
          <w:highlight w:val="none"/>
          <w14:textFill>
            <w14:solidFill>
              <w14:schemeClr w14:val="tx1"/>
            </w14:solidFill>
          </w14:textFill>
        </w:rPr>
        <w:t>16.2 法律变化引起的调整</w:t>
      </w:r>
      <w:bookmarkEnd w:id="1015"/>
      <w:bookmarkEnd w:id="1016"/>
      <w:bookmarkEnd w:id="1017"/>
      <w:bookmarkEnd w:id="1018"/>
      <w:bookmarkEnd w:id="1019"/>
      <w:bookmarkEnd w:id="1020"/>
      <w:bookmarkEnd w:id="1021"/>
      <w:bookmarkEnd w:id="102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在基准日后，因法律变化导致承包人在合同履行中所需费用发生除第16.1 款约定以外的增减时，监理人应根据法律、国家或省、自治区、直辖市有关部门的规定，按第3.5 款商定或确定需调整的合同价格。</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023" w:name="_Toc476860468"/>
      <w:bookmarkStart w:id="1024" w:name="_Toc25843"/>
      <w:bookmarkStart w:id="1025" w:name="_Toc410559451"/>
      <w:bookmarkStart w:id="1026" w:name="_Toc411736257"/>
      <w:bookmarkStart w:id="1027" w:name="_Toc300835150"/>
      <w:bookmarkStart w:id="1028" w:name="_Toc8543"/>
      <w:bookmarkStart w:id="1029" w:name="_Toc184635114"/>
      <w:bookmarkStart w:id="1030" w:name="_Toc562440117"/>
      <w:bookmarkStart w:id="1031" w:name="_Toc247527747"/>
      <w:bookmarkStart w:id="1032" w:name="_Toc247514146"/>
      <w:bookmarkStart w:id="1033" w:name="_Toc411736533"/>
      <w:bookmarkStart w:id="1034" w:name="_Toc147856206"/>
      <w:r>
        <w:rPr>
          <w:rStyle w:val="114"/>
          <w:rFonts w:hint="eastAsia"/>
          <w:bCs w:val="0"/>
          <w:color w:val="000000" w:themeColor="text1"/>
          <w:highlight w:val="none"/>
          <w14:textFill>
            <w14:solidFill>
              <w14:schemeClr w14:val="tx1"/>
            </w14:solidFill>
          </w14:textFill>
        </w:rPr>
        <w:t>17. 合同价格与支付</w:t>
      </w:r>
      <w:bookmarkEnd w:id="1023"/>
      <w:bookmarkEnd w:id="1024"/>
      <w:bookmarkEnd w:id="1025"/>
      <w:bookmarkEnd w:id="1026"/>
      <w:bookmarkEnd w:id="1027"/>
      <w:bookmarkEnd w:id="1028"/>
      <w:bookmarkEnd w:id="1029"/>
      <w:bookmarkEnd w:id="1030"/>
      <w:bookmarkEnd w:id="1031"/>
      <w:bookmarkEnd w:id="1032"/>
      <w:bookmarkEnd w:id="1033"/>
      <w:bookmarkEnd w:id="1034"/>
    </w:p>
    <w:p>
      <w:pPr>
        <w:pStyle w:val="6"/>
        <w:spacing w:before="240" w:after="120" w:line="360" w:lineRule="auto"/>
        <w:rPr>
          <w:color w:val="000000" w:themeColor="text1"/>
          <w:highlight w:val="none"/>
          <w:lang w:val="en-US"/>
          <w14:textFill>
            <w14:solidFill>
              <w14:schemeClr w14:val="tx1"/>
            </w14:solidFill>
          </w14:textFill>
        </w:rPr>
      </w:pPr>
      <w:bookmarkStart w:id="1035" w:name="_Toc410559452"/>
      <w:bookmarkStart w:id="1036" w:name="_Toc247527748"/>
      <w:bookmarkStart w:id="1037" w:name="_Toc1855515972"/>
      <w:bookmarkStart w:id="1038" w:name="_Toc300835151"/>
      <w:bookmarkStart w:id="1039" w:name="_Toc411736258"/>
      <w:bookmarkStart w:id="1040" w:name="_Toc247514147"/>
      <w:bookmarkStart w:id="1041" w:name="_Toc476860469"/>
      <w:bookmarkStart w:id="1042" w:name="_Toc411736534"/>
      <w:r>
        <w:rPr>
          <w:rFonts w:hint="eastAsia"/>
          <w:color w:val="000000" w:themeColor="text1"/>
          <w:highlight w:val="none"/>
          <w:lang w:val="en-US"/>
          <w14:textFill>
            <w14:solidFill>
              <w14:schemeClr w14:val="tx1"/>
            </w14:solidFill>
          </w14:textFill>
        </w:rPr>
        <w:t xml:space="preserve">17.1 </w:t>
      </w:r>
      <w:r>
        <w:rPr>
          <w:rFonts w:hint="eastAsia"/>
          <w:color w:val="000000" w:themeColor="text1"/>
          <w:highlight w:val="none"/>
          <w14:textFill>
            <w14:solidFill>
              <w14:schemeClr w14:val="tx1"/>
            </w14:solidFill>
          </w14:textFill>
        </w:rPr>
        <w:t>合同价格</w:t>
      </w:r>
      <w:bookmarkEnd w:id="1035"/>
      <w:bookmarkEnd w:id="1036"/>
      <w:bookmarkEnd w:id="1037"/>
      <w:bookmarkEnd w:id="1038"/>
      <w:bookmarkEnd w:id="1039"/>
      <w:bookmarkEnd w:id="1040"/>
      <w:bookmarkEnd w:id="1041"/>
      <w:bookmarkEnd w:id="104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（1）合同价格包括签约合同价以及按照合同约定进行的调整；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（2）合同价格包括承包人依据法律规定或合同约定应支付的规费和税金；</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价格清单列出的任何数量仅为估算的工作量，不得将其视为要求承包人实施的工程的实际或准确的工作量。在价格清单中列出的任何工作量和价格数据应仅限用于变更和支付的参考资料，而不能用于其他目的。</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合同约定工程的某部分按照实际完成的工程量进行支付的，应按照专用合同条款的约定进行计量和估价，并据此调整合同价格。</w:t>
      </w:r>
    </w:p>
    <w:p>
      <w:pPr>
        <w:pStyle w:val="6"/>
        <w:spacing w:before="240" w:after="120" w:line="360" w:lineRule="auto"/>
        <w:rPr>
          <w:color w:val="000000" w:themeColor="text1"/>
          <w:highlight w:val="none"/>
          <w:lang w:val="en-US"/>
          <w14:textFill>
            <w14:solidFill>
              <w14:schemeClr w14:val="tx1"/>
            </w14:solidFill>
          </w14:textFill>
        </w:rPr>
      </w:pPr>
      <w:bookmarkStart w:id="1043" w:name="_Toc2046903317"/>
      <w:bookmarkStart w:id="1044" w:name="_Toc411736259"/>
      <w:bookmarkStart w:id="1045" w:name="_Toc300835152"/>
      <w:bookmarkStart w:id="1046" w:name="_Toc247527749"/>
      <w:bookmarkStart w:id="1047" w:name="_Toc476860470"/>
      <w:bookmarkStart w:id="1048" w:name="_Toc247514148"/>
      <w:bookmarkStart w:id="1049" w:name="_Toc411736535"/>
      <w:bookmarkStart w:id="1050" w:name="_Toc410559453"/>
      <w:r>
        <w:rPr>
          <w:color w:val="000000" w:themeColor="text1"/>
          <w:highlight w:val="none"/>
          <w:lang w:val="en-US"/>
          <w14:textFill>
            <w14:solidFill>
              <w14:schemeClr w14:val="tx1"/>
            </w14:solidFill>
          </w14:textFill>
        </w:rPr>
        <w:t xml:space="preserve">17.2 </w:t>
      </w:r>
      <w:r>
        <w:rPr>
          <w:rFonts w:hint="eastAsia"/>
          <w:color w:val="000000" w:themeColor="text1"/>
          <w:highlight w:val="none"/>
          <w:lang w:val="en-US"/>
          <w14:textFill>
            <w14:solidFill>
              <w14:schemeClr w14:val="tx1"/>
            </w14:solidFill>
          </w14:textFill>
        </w:rPr>
        <w:t>预付款</w:t>
      </w:r>
      <w:bookmarkEnd w:id="1043"/>
      <w:bookmarkEnd w:id="1044"/>
      <w:bookmarkEnd w:id="1045"/>
      <w:bookmarkEnd w:id="1046"/>
      <w:bookmarkEnd w:id="1047"/>
      <w:bookmarkEnd w:id="1048"/>
      <w:bookmarkEnd w:id="1049"/>
      <w:bookmarkEnd w:id="1050"/>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17.2.1 预付款</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预付款用于承包人为合同工程的设计和工程实施购置材料、工程设备、施工设备、修建临时设施以及组织施工队伍进场等。预付款的额度和支付在专用合同条款中约定。预付款必须专用于合同工作。</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17.2.2 预付款保函</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除专用合同条款另有约定外，承包人应在收到预付款的同时向发包人提交预付款保函，预付款保函的担保金额应与预付款金额相同。保函的担保金额可根据预付款扣回的金额相应递减。</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17.2.3 预付款的扣回与还清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预付款在进度付款中扣回，扣回办法在专用合同条款中约定。在颁发工程接收证书前，由于不可抗力或其他原因解除合同时，预付款尚未扣清的，尚未扣清的预付款余额应作为承包人的到期应付款。</w:t>
      </w:r>
    </w:p>
    <w:p>
      <w:pPr>
        <w:pStyle w:val="6"/>
        <w:spacing w:before="240" w:after="120" w:line="360" w:lineRule="auto"/>
        <w:rPr>
          <w:color w:val="000000" w:themeColor="text1"/>
          <w:highlight w:val="none"/>
          <w:lang w:val="en-US"/>
          <w14:textFill>
            <w14:solidFill>
              <w14:schemeClr w14:val="tx1"/>
            </w14:solidFill>
          </w14:textFill>
        </w:rPr>
      </w:pPr>
      <w:bookmarkStart w:id="1051" w:name="_Toc476860471"/>
      <w:bookmarkStart w:id="1052" w:name="_Toc411736536"/>
      <w:bookmarkStart w:id="1053" w:name="_Toc247527750"/>
      <w:bookmarkStart w:id="1054" w:name="_Toc300835153"/>
      <w:bookmarkStart w:id="1055" w:name="_Toc410559454"/>
      <w:bookmarkStart w:id="1056" w:name="_Toc247514149"/>
      <w:bookmarkStart w:id="1057" w:name="_Toc1763507526"/>
      <w:bookmarkStart w:id="1058" w:name="_Toc411736260"/>
      <w:r>
        <w:rPr>
          <w:color w:val="000000" w:themeColor="text1"/>
          <w:highlight w:val="none"/>
          <w:lang w:val="en-US"/>
          <w14:textFill>
            <w14:solidFill>
              <w14:schemeClr w14:val="tx1"/>
            </w14:solidFill>
          </w14:textFill>
        </w:rPr>
        <w:t xml:space="preserve">17.3 </w:t>
      </w:r>
      <w:r>
        <w:rPr>
          <w:rFonts w:hint="eastAsia"/>
          <w:color w:val="000000" w:themeColor="text1"/>
          <w:highlight w:val="none"/>
          <w:lang w:val="en-US"/>
          <w14:textFill>
            <w14:solidFill>
              <w14:schemeClr w14:val="tx1"/>
            </w14:solidFill>
          </w14:textFill>
        </w:rPr>
        <w:t>工程进度付款</w:t>
      </w:r>
      <w:bookmarkEnd w:id="1051"/>
      <w:bookmarkEnd w:id="1052"/>
      <w:bookmarkEnd w:id="1053"/>
      <w:bookmarkEnd w:id="1054"/>
      <w:bookmarkEnd w:id="1055"/>
      <w:bookmarkEnd w:id="1056"/>
      <w:bookmarkEnd w:id="1057"/>
      <w:bookmarkEnd w:id="1058"/>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17.3.1 付款时间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除专用合同条款另有约定外，工程进度付款按月支付。</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17.3.2 支付分解表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除专用合同条款另有约定外，承包人应根据价格清单的价格构成、费用性质、计划发生时间和相应工作量等因素，按照以下分类和分解原则，结合第4.12.1项约定的合同进度计划，汇总形成月度支付分解报告。</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 xml:space="preserve">（1）勘察设计费。按照提供勘察设计阶段性成果文件的时间、对应的工作量进行分解。 </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（2）材料和工程设备费。分别按订立采购合同、进场验收合格、安装就位、工程竣工等阶段和专用条款约定的比例进行分解。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（3）技术服务培训费。按照价格清单中的单价，结合第4.12.1项约定的合同进度计划对应的工作量进行分解。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（4）其他工程价款。除第17.1款约定按已完成工程量计量支付的工程价款外，按照价格清单中的价格，结合第4.12.1项约定的合同进度计划拟完成的工程量或者比例进行分解。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当在收到经监理人批复的合同进度计划后7天内，将支付分解报告以及形成支付分解报告的支持性资料报监理人审批，监理人应当在收到承包人报送的支付分解报告后7天内给予批复或提出修改意见，经监理人批准的支付分解报告为有合同约束力的支付分解表。合同进度计划进行了修订的，应相应修改支付分解表，并按本目规定报监理人批复。</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17.3.3 进度付款申请单</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承包人应在每笔进度款支付前，按监理人批准的格式和专用合同条款约定的份数，向监理人提交进度付款申请单，并附相应的支持性证明文件。除合同另有约定外，进度付款申请单应包括下列内容：</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（1）当期应支付金额总额，以及截至当期期末累计应支付金额总额、已支付的进度付款金额总额；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（2）当期根据支付分解表应支付金额，以及截至当期期末累计应支付金额；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（3）当期根据第17.1款约定计量的已实施工程应支付金额，以及截至当期期末累计应支付金额；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（4）当期根据第15条应增加和扣减的变更金额，以及截至当期期末累计变更金额；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（5）当期根据第23 条应增加和扣减的索赔金额，以及截至当期期末累计索赔金额；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（6）当期根据第17.2 款约定应支付的预付款和扣减的返还预付款金额，以及截至当期期末累计返还预付款金额；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（7）当期根据第17.4.1 项约定应扣减的质量保证金金额，以及截至当期期末累计扣减的质量保证金金额；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（8）当期根据合同应增加和扣减的其他金额，以及截至当期期末累计增加和扣减的金额。</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17.3.4 进度付款证书和支付时间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监理人在收到承包人进度付款申请单以及相应的支持性证明文件后的14天内完成审核，提出发包人到期应支付给承包人的金额以及相应的支持性材料，经发包人审批同意后，由监理人向承包人出具经发包人签认的进度付款证书。监理人未能在前述时间完成审核的，视为监理人同意承包人进度付款申请。监理人有权核减承包人未能按照合同要求履行任何工作或义务的相应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（2）发包人最迟应在监理人收到进度付款申请单后的28 天内，将进度应付款支付给承包人。发包人未能在前述时间内完成审批或不予答复的，视为发包人同意进度付款申请。发包人不按期支付的，按专用合同条款的约定支付逾期付款违约金。</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（3）监理人出具进度付款证书，不应视为监理人已同意、批准或接受了承包人完成的该部分工作。</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（4）进度付款涉及政府投资资金的，按照国库集中支付等国家相关规定和专用合同条款的约定执行。</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17.3.5 工程进度付款的修正</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在对以往历次已签发的进度付款证书进行汇总和复核中发现错、漏或重复的，监理人有权予以修正，承包人也有权提出修正申请。经监理人、承包人复核同意的修正，应在本次进度付款中支付或扣除。</w:t>
      </w:r>
    </w:p>
    <w:p>
      <w:pPr>
        <w:pStyle w:val="6"/>
        <w:spacing w:before="240" w:after="120" w:line="360" w:lineRule="auto"/>
        <w:rPr>
          <w:color w:val="000000" w:themeColor="text1"/>
          <w:highlight w:val="none"/>
          <w:lang w:val="en-US"/>
          <w14:textFill>
            <w14:solidFill>
              <w14:schemeClr w14:val="tx1"/>
            </w14:solidFill>
          </w14:textFill>
        </w:rPr>
      </w:pPr>
      <w:bookmarkStart w:id="1059" w:name="_Toc411736537"/>
      <w:bookmarkStart w:id="1060" w:name="_Toc411736261"/>
      <w:bookmarkStart w:id="1061" w:name="_Toc410559455"/>
      <w:bookmarkStart w:id="1062" w:name="_Toc1849177235"/>
      <w:bookmarkStart w:id="1063" w:name="_Toc247514150"/>
      <w:bookmarkStart w:id="1064" w:name="_Toc476860472"/>
      <w:bookmarkStart w:id="1065" w:name="_Toc300835154"/>
      <w:bookmarkStart w:id="1066" w:name="_Toc247527751"/>
      <w:r>
        <w:rPr>
          <w:color w:val="000000" w:themeColor="text1"/>
          <w:highlight w:val="none"/>
          <w:lang w:val="en-US"/>
          <w14:textFill>
            <w14:solidFill>
              <w14:schemeClr w14:val="tx1"/>
            </w14:solidFill>
          </w14:textFill>
        </w:rPr>
        <w:t xml:space="preserve">17.4 </w:t>
      </w:r>
      <w:r>
        <w:rPr>
          <w:rFonts w:hint="eastAsia"/>
          <w:color w:val="000000" w:themeColor="text1"/>
          <w:highlight w:val="none"/>
          <w:lang w:val="en-US"/>
          <w14:textFill>
            <w14:solidFill>
              <w14:schemeClr w14:val="tx1"/>
            </w14:solidFill>
          </w14:textFill>
        </w:rPr>
        <w:t>质量保证金</w:t>
      </w:r>
      <w:bookmarkEnd w:id="1059"/>
      <w:bookmarkEnd w:id="1060"/>
      <w:bookmarkEnd w:id="1061"/>
      <w:bookmarkEnd w:id="1062"/>
      <w:bookmarkEnd w:id="1063"/>
      <w:bookmarkEnd w:id="1064"/>
      <w:bookmarkEnd w:id="1065"/>
      <w:bookmarkEnd w:id="106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17.4.1 监理人应从发包人的每笔进度付款中，按专用合同条款的约定扣留质量保证金，直至扣留的质量保证金总额达到专用合同条款约定的金额或比例为止。质量保证金的计算额度不包括预付款的支付、扣回以及价格调整的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17.4.2 在第1.1.4.5 目约定的缺陷责任期满时，承包人向发包人申请到期应返还承包人剩余的质量保证金，发包人应在14天内会同承包人按照合同约定的内容核实承包人是否完成缺陷责任。如无异议，发包人应当在核实后将剩余质量保证金返还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17.4.3 在第1.1.4.5 目约定的缺陷责任期满时，承包人没有完成缺陷责任的，发包人有权扣留与未履行责任剩余工作所需金额相应的质量保证金余额，并有权根据第19.3 款约定要求延长缺陷责任期，直至完成剩余工作为止。</w:t>
      </w:r>
    </w:p>
    <w:p>
      <w:pPr>
        <w:pStyle w:val="6"/>
        <w:spacing w:before="240" w:after="120" w:line="360" w:lineRule="auto"/>
        <w:rPr>
          <w:color w:val="000000" w:themeColor="text1"/>
          <w:highlight w:val="none"/>
          <w:lang w:val="en-US"/>
          <w14:textFill>
            <w14:solidFill>
              <w14:schemeClr w14:val="tx1"/>
            </w14:solidFill>
          </w14:textFill>
        </w:rPr>
      </w:pPr>
      <w:bookmarkStart w:id="1067" w:name="_Toc738449261"/>
      <w:bookmarkStart w:id="1068" w:name="_Toc476860473"/>
      <w:bookmarkStart w:id="1069" w:name="_Toc300835155"/>
      <w:bookmarkStart w:id="1070" w:name="_Toc411736262"/>
      <w:bookmarkStart w:id="1071" w:name="_Toc411736538"/>
      <w:bookmarkStart w:id="1072" w:name="_Toc247514151"/>
      <w:bookmarkStart w:id="1073" w:name="_Toc247527752"/>
      <w:bookmarkStart w:id="1074" w:name="_Toc410559456"/>
      <w:r>
        <w:rPr>
          <w:color w:val="000000" w:themeColor="text1"/>
          <w:highlight w:val="none"/>
          <w:lang w:val="en-US"/>
          <w14:textFill>
            <w14:solidFill>
              <w14:schemeClr w14:val="tx1"/>
            </w14:solidFill>
          </w14:textFill>
        </w:rPr>
        <w:t xml:space="preserve">17.5 </w:t>
      </w:r>
      <w:r>
        <w:rPr>
          <w:rFonts w:hint="eastAsia"/>
          <w:color w:val="000000" w:themeColor="text1"/>
          <w:highlight w:val="none"/>
          <w:lang w:val="en-US"/>
          <w14:textFill>
            <w14:solidFill>
              <w14:schemeClr w14:val="tx1"/>
            </w14:solidFill>
          </w14:textFill>
        </w:rPr>
        <w:t>竣工结算</w:t>
      </w:r>
      <w:bookmarkEnd w:id="1067"/>
      <w:bookmarkEnd w:id="1068"/>
      <w:bookmarkEnd w:id="1069"/>
      <w:bookmarkEnd w:id="1070"/>
      <w:bookmarkEnd w:id="1071"/>
      <w:bookmarkEnd w:id="1072"/>
      <w:bookmarkEnd w:id="1073"/>
      <w:bookmarkEnd w:id="1074"/>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17.5.1 竣工付款申请单</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工程接收证书颁发后，承包人应按专用合同条款约定的份数和期限向监理人提交竣工付款申请单，并提供相关证明材料。除专用合同条款另有约定外，竣工付款申请单应包括下列内容：竣工结算合同总价、发包人已支付承包人的工程价款、应扣留的质量保证金、应支付的竣工付款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（2）监理人对竣工付款申请单有异议的，有权要求承包人进行修正和提供补充资料。经监理人和承包人协商后，由承包人向监理人提交修正后的竣工付款申请单。</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17.5.2 竣工付款证书及支付时间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监理人在收到承包人提交的竣工付款申请单后的14天内完成核查，提出发包人到期应支付给承包人的价款送发包人审核并抄送承包人。发包人应在收到后14天内审核完毕，由监理人向承包人出具经发包人签认的竣工付款证书。监理人未在约定时间内核查，又未提出具体意见的，视为承包人提交的竣工付款申请单已经监理人核查同意；发包人未在约定时间内审核又未提出具体意见的，监理人提出发包人到期应支付给承包人的价款视为已经发包人同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（2）发包人应在监理人出具竣工付款证书后的14 天内，将应支付款支付给承包人。发包人不按期支付的，按第17.3.4（2）目的约定，将逾期付款违约金支付给承包人。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（3）承包人对发包人签认的竣工付款证书有异议的，发包人可出具竣工付款申请单中承包人已同意部分的临时付款证书。存在争议的部分，按第24条的约定执行。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（4）竣工付款涉及政府投资资金的，按第17.3.4（4）目的约定执行。</w:t>
      </w:r>
    </w:p>
    <w:p>
      <w:pPr>
        <w:pStyle w:val="6"/>
        <w:spacing w:before="240" w:after="120" w:line="360" w:lineRule="auto"/>
        <w:rPr>
          <w:color w:val="000000" w:themeColor="text1"/>
          <w:highlight w:val="none"/>
          <w:lang w:val="en-US"/>
          <w14:textFill>
            <w14:solidFill>
              <w14:schemeClr w14:val="tx1"/>
            </w14:solidFill>
          </w14:textFill>
        </w:rPr>
      </w:pPr>
      <w:bookmarkStart w:id="1075" w:name="_Toc247514152"/>
      <w:bookmarkStart w:id="1076" w:name="_Toc300835156"/>
      <w:bookmarkStart w:id="1077" w:name="_Toc411736263"/>
      <w:bookmarkStart w:id="1078" w:name="_Toc410559457"/>
      <w:bookmarkStart w:id="1079" w:name="_Toc476860474"/>
      <w:bookmarkStart w:id="1080" w:name="_Toc411736539"/>
      <w:bookmarkStart w:id="1081" w:name="_Toc808733614"/>
      <w:bookmarkStart w:id="1082" w:name="_Toc247527753"/>
      <w:r>
        <w:rPr>
          <w:color w:val="000000" w:themeColor="text1"/>
          <w:highlight w:val="none"/>
          <w:lang w:val="en-US"/>
          <w14:textFill>
            <w14:solidFill>
              <w14:schemeClr w14:val="tx1"/>
            </w14:solidFill>
          </w14:textFill>
        </w:rPr>
        <w:t xml:space="preserve">17.6 </w:t>
      </w:r>
      <w:r>
        <w:rPr>
          <w:rFonts w:hint="eastAsia"/>
          <w:color w:val="000000" w:themeColor="text1"/>
          <w:highlight w:val="none"/>
          <w:lang w:val="en-US"/>
          <w14:textFill>
            <w14:solidFill>
              <w14:schemeClr w14:val="tx1"/>
            </w14:solidFill>
          </w14:textFill>
        </w:rPr>
        <w:t>最终结清</w:t>
      </w:r>
      <w:bookmarkEnd w:id="1075"/>
      <w:bookmarkEnd w:id="1076"/>
      <w:bookmarkEnd w:id="1077"/>
      <w:bookmarkEnd w:id="1078"/>
      <w:bookmarkEnd w:id="1079"/>
      <w:bookmarkEnd w:id="1080"/>
      <w:bookmarkEnd w:id="1081"/>
      <w:bookmarkEnd w:id="1082"/>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17.6.1 最终结清申请单</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（1）缺陷责任期终止证书签发后，承包人可按专用合同条款约定的份数和期限向监理人提交最终结清申请单，并提供相关证明材料。</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（2）发包人对最终结清申请单内容有异议的，有权要求承包人进行修正和提供补充资料，由承包人向监理人提交修正后的最终结清申请单。</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17.6.2 最终结清证书和支付时间</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监理人收到承包人提交的最终结清申请单后的14天内，提出发包人应支付给承包人的价款送发包人审核并抄送承包人。发包人应在收到后14天内审核完毕，由监理人向承包人出具经发包人签认的最终结清证书。监理人未在约定时间内核查，又未提出具体意见的，视为承包人提交的最终结清申请已经监理人核查同意；发包人未在约定时间内审核又未提出具体意见的，监理人提出应支付给承包人的价款视为已经发包人同意。</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（2）发包人应在监理人出具最终结清证书后的14 天内，将应支付款支付给承包人。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发包人不按期支付的，按第17.3.4（2）目的约定，将逾期付款违约金支付给承包人。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（3）承包人对发包人签认的最终结清证书有异议的，按第24条的约定执行。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（4）最终结清付款涉及政府投资资金的，按第17.3.4（4）目的约定执行。</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083" w:name="_Toc411736264"/>
      <w:bookmarkStart w:id="1084" w:name="_Toc300835157"/>
      <w:bookmarkStart w:id="1085" w:name="_Toc247527754"/>
      <w:bookmarkStart w:id="1086" w:name="_Toc410559458"/>
      <w:bookmarkStart w:id="1087" w:name="_Toc28751"/>
      <w:bookmarkStart w:id="1088" w:name="_Toc411736540"/>
      <w:bookmarkStart w:id="1089" w:name="_Toc476860475"/>
      <w:bookmarkStart w:id="1090" w:name="_Toc21937"/>
      <w:bookmarkStart w:id="1091" w:name="_Toc247514153"/>
      <w:bookmarkStart w:id="1092" w:name="_Toc184635115"/>
      <w:bookmarkStart w:id="1093" w:name="_Toc961848635"/>
      <w:bookmarkStart w:id="1094" w:name="_Toc147856207"/>
      <w:r>
        <w:rPr>
          <w:rStyle w:val="114"/>
          <w:rFonts w:hint="eastAsia"/>
          <w:bCs w:val="0"/>
          <w:color w:val="000000" w:themeColor="text1"/>
          <w:highlight w:val="none"/>
          <w14:textFill>
            <w14:solidFill>
              <w14:schemeClr w14:val="tx1"/>
            </w14:solidFill>
          </w14:textFill>
        </w:rPr>
        <w:t>18. 竣工试验和竣工验收</w:t>
      </w:r>
      <w:bookmarkEnd w:id="1083"/>
      <w:bookmarkEnd w:id="1084"/>
      <w:bookmarkEnd w:id="1085"/>
      <w:bookmarkEnd w:id="1086"/>
      <w:bookmarkEnd w:id="1087"/>
      <w:bookmarkEnd w:id="1088"/>
      <w:bookmarkEnd w:id="1089"/>
      <w:bookmarkEnd w:id="1090"/>
      <w:bookmarkEnd w:id="1091"/>
      <w:bookmarkEnd w:id="1092"/>
      <w:bookmarkEnd w:id="1093"/>
      <w:bookmarkEnd w:id="1094"/>
    </w:p>
    <w:p>
      <w:pPr>
        <w:pStyle w:val="6"/>
        <w:spacing w:before="240" w:after="120" w:line="360" w:lineRule="auto"/>
        <w:rPr>
          <w:color w:val="000000" w:themeColor="text1"/>
          <w:highlight w:val="none"/>
          <w14:textFill>
            <w14:solidFill>
              <w14:schemeClr w14:val="tx1"/>
            </w14:solidFill>
          </w14:textFill>
        </w:rPr>
      </w:pPr>
      <w:bookmarkStart w:id="1095" w:name="_Toc300835158"/>
      <w:bookmarkStart w:id="1096" w:name="_Toc411736265"/>
      <w:bookmarkStart w:id="1097" w:name="_Toc476860476"/>
      <w:bookmarkStart w:id="1098" w:name="_Toc410559459"/>
      <w:bookmarkStart w:id="1099" w:name="_Toc1680597476"/>
      <w:bookmarkStart w:id="1100" w:name="_Toc411736541"/>
      <w:bookmarkStart w:id="1101" w:name="_Toc247514154"/>
      <w:bookmarkStart w:id="1102" w:name="_Toc247527755"/>
      <w:r>
        <w:rPr>
          <w:rFonts w:hint="eastAsia"/>
          <w:color w:val="000000" w:themeColor="text1"/>
          <w:highlight w:val="none"/>
          <w14:textFill>
            <w14:solidFill>
              <w14:schemeClr w14:val="tx1"/>
            </w14:solidFill>
          </w14:textFill>
        </w:rPr>
        <w:t>18.1 竣工试验</w:t>
      </w:r>
      <w:bookmarkEnd w:id="1095"/>
      <w:bookmarkEnd w:id="1096"/>
      <w:bookmarkEnd w:id="1097"/>
      <w:bookmarkEnd w:id="1098"/>
      <w:bookmarkEnd w:id="1099"/>
      <w:bookmarkEnd w:id="110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18.1.1承包人按照第5.5款和第5.6款提交文件后，进行竣工试验。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18.1.2承包人应提前21天将可以开始进行竣工试验的日期通知监理人，监理人应在该日期后14天内，确定竣工试验具体时间。除专用合同条款中另有约定外，竣工试验应按下述顺序进行：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（1）第一阶段，承包人进行适当的检查和功能性试验，保证每一项工程设备都满足合同要求，并能安全地进入下一阶段试验；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（2）第二阶段，承包人进行试验，保证工程或区段工程满足合同要求，在所有可利用的操作条件下安全运行；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（3）第三阶段，当工程能安全运行时，承包人应通知监理人，可以进行其他竣工试验，包括各种性能测试，以证明工程符合发包人要求中列明的性能保证指标。</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18.1.3 承包人应按合同约定进行工程及工程设备试运行。试运行所需人员、设备、材料、燃料、电力、消耗品、工具等必要的条件以及试运行费用等由专用合同条款规定。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18.1.4 某项竣工试验未能通过的，承包人应按照监理人的指示限期改正，并承担合同约定的相应责任。</w:t>
      </w:r>
    </w:p>
    <w:bookmarkEnd w:id="1101"/>
    <w:bookmarkEnd w:id="1102"/>
    <w:p>
      <w:pPr>
        <w:pStyle w:val="6"/>
        <w:spacing w:before="240" w:after="120" w:line="360" w:lineRule="auto"/>
        <w:rPr>
          <w:color w:val="000000" w:themeColor="text1"/>
          <w:highlight w:val="none"/>
          <w14:textFill>
            <w14:solidFill>
              <w14:schemeClr w14:val="tx1"/>
            </w14:solidFill>
          </w14:textFill>
        </w:rPr>
      </w:pPr>
      <w:bookmarkStart w:id="1103" w:name="_Toc476860477"/>
      <w:bookmarkStart w:id="1104" w:name="_Toc411736266"/>
      <w:bookmarkStart w:id="1105" w:name="_Toc2096853788"/>
      <w:bookmarkStart w:id="1106" w:name="_Toc247514159"/>
      <w:bookmarkStart w:id="1107" w:name="_Toc410559460"/>
      <w:bookmarkStart w:id="1108" w:name="_Toc411736542"/>
      <w:bookmarkStart w:id="1109" w:name="_Toc300835159"/>
      <w:bookmarkStart w:id="1110" w:name="_Toc247527760"/>
      <w:r>
        <w:rPr>
          <w:rFonts w:hint="eastAsia"/>
          <w:color w:val="000000" w:themeColor="text1"/>
          <w:highlight w:val="none"/>
          <w14:textFill>
            <w14:solidFill>
              <w14:schemeClr w14:val="tx1"/>
            </w14:solidFill>
          </w14:textFill>
        </w:rPr>
        <w:t>18.2 竣工验收申请报告</w:t>
      </w:r>
      <w:bookmarkEnd w:id="1103"/>
      <w:bookmarkEnd w:id="1104"/>
      <w:bookmarkEnd w:id="1105"/>
      <w:bookmarkEnd w:id="1106"/>
      <w:bookmarkEnd w:id="1107"/>
      <w:bookmarkEnd w:id="1108"/>
      <w:bookmarkEnd w:id="1109"/>
      <w:bookmarkEnd w:id="111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当工程具备以下条件时，承包人即可向监理人报送竣工验收申请报告：</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（1）除监理人同意列入缺陷责任期内完成的尾工（甩项）工程和缺陷修补工作外，合同范围内的全部区段工程以及有关工作，包括合同要求的试验和竣工试验均已完成，并符合合同要求；</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（2）已按合同约定的内容和份数备齐了符合要求的竣工文件；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（3）已按监理人的要求编制了在缺陷责任期内完成的尾工（甩项）工程和缺陷修补工作清单以及相应施工计划；</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（4）监理人要求在竣工验收前应完成的其他工作；</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（5）监理人要求提交的竣工验收资料清单。</w:t>
      </w:r>
    </w:p>
    <w:p>
      <w:pPr>
        <w:pStyle w:val="6"/>
        <w:spacing w:before="240" w:after="120" w:line="360" w:lineRule="auto"/>
        <w:rPr>
          <w:color w:val="000000" w:themeColor="text1"/>
          <w:highlight w:val="none"/>
          <w14:textFill>
            <w14:solidFill>
              <w14:schemeClr w14:val="tx1"/>
            </w14:solidFill>
          </w14:textFill>
        </w:rPr>
      </w:pPr>
      <w:bookmarkStart w:id="1111" w:name="_Toc411736267"/>
      <w:bookmarkStart w:id="1112" w:name="_Toc1614967646"/>
      <w:bookmarkStart w:id="1113" w:name="_Toc410559461"/>
      <w:bookmarkStart w:id="1114" w:name="_Toc476860478"/>
      <w:bookmarkStart w:id="1115" w:name="_Toc300835160"/>
      <w:bookmarkStart w:id="1116" w:name="_Toc411736543"/>
      <w:bookmarkStart w:id="1117" w:name="_Toc247527761"/>
      <w:bookmarkStart w:id="1118" w:name="_Toc247514160"/>
      <w:r>
        <w:rPr>
          <w:rFonts w:hint="eastAsia"/>
          <w:color w:val="000000" w:themeColor="text1"/>
          <w:highlight w:val="none"/>
          <w14:textFill>
            <w14:solidFill>
              <w14:schemeClr w14:val="tx1"/>
            </w14:solidFill>
          </w14:textFill>
        </w:rPr>
        <w:t>18.3 竣工验收</w:t>
      </w:r>
      <w:bookmarkEnd w:id="1111"/>
      <w:bookmarkEnd w:id="1112"/>
      <w:bookmarkEnd w:id="1113"/>
      <w:bookmarkEnd w:id="1114"/>
      <w:bookmarkEnd w:id="1115"/>
      <w:bookmarkEnd w:id="1116"/>
      <w:bookmarkEnd w:id="1117"/>
      <w:bookmarkEnd w:id="111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监理人收到承包人按第18.2 款约定提交的竣工验收申请报告后，应审查申请报告的各项内容，并按以下不同情况进行处理。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18.3.1 监理人审查后认为尚不具备竣工验收条件的，应在收到竣工验收申请报告后的28天内通知承包人，指出在颁发接收证书前承包人还需进行的工作内容。承包人完成监理人通知的全部工作内容后，应再次提交竣工验收申请报告，直至监理人同意为止。监理人收到竣工验收申请报告后28天内不予答复的，视为同意承包人的竣工验收申请，并应在收到该竣工验收申请报告后28天内提请发包人进行竣工验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18.3.2 监理人同意承包人提交的竣工验收申请报告的，应在收到该竣工验收申请报告后的28天内提请发包人进行工程验收。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18.3.3 发包人经过验收后同意接受工程的，应在监理人收到竣工验收申请报告后的56天内，由监理人向承包人出具经发包人签认的工程接收证书。发包人验收后同意接收工程但提出整修和完善要求的，限期修好，并缓发工程接收证书。整修和完善工作完成后，监理人复查达到要求的，经发包人同意后，再向承包人出具工程接收证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18.3.4 发包人验收后不同意接收工程的，监理人应按照发包人的验收意见发出指示，要求承包人对不合格工程认真返工重作或进行补救处理，并承担由此产生的费用。承包人在完成不合格工程的返工重作或补救工作后，应重新提交竣工验收申请报告，按第18.3.1 项、第18.3.2 项和第18.3.3 项的约定进行。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18.3.5 除专用合同条款另有约定外，经验收合格工程的实际竣工日期，以提交竣工验收申请报告的日期为准，并在工程接收证书中写明。</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18.3.6 发包人在收到承包人竣工验收申请报告56 天后未进行验收的，视为验收合格，实际竣工日期以提交竣工验收申请报告的日期为准，但发包人由于不可抗力不能进行验收的除外。</w:t>
      </w:r>
    </w:p>
    <w:p>
      <w:pPr>
        <w:pStyle w:val="6"/>
        <w:spacing w:before="240" w:after="120" w:line="360" w:lineRule="auto"/>
        <w:rPr>
          <w:color w:val="000000" w:themeColor="text1"/>
          <w:highlight w:val="none"/>
          <w14:textFill>
            <w14:solidFill>
              <w14:schemeClr w14:val="tx1"/>
            </w14:solidFill>
          </w14:textFill>
        </w:rPr>
      </w:pPr>
      <w:bookmarkStart w:id="1119" w:name="_Toc410559462"/>
      <w:bookmarkStart w:id="1120" w:name="_Toc300835161"/>
      <w:bookmarkStart w:id="1121" w:name="_Toc715411889"/>
      <w:bookmarkStart w:id="1122" w:name="_Toc411736544"/>
      <w:bookmarkStart w:id="1123" w:name="_Toc476860479"/>
      <w:bookmarkStart w:id="1124" w:name="_Toc411736268"/>
      <w:r>
        <w:rPr>
          <w:rFonts w:hint="eastAsia"/>
          <w:color w:val="000000" w:themeColor="text1"/>
          <w:highlight w:val="none"/>
          <w14:textFill>
            <w14:solidFill>
              <w14:schemeClr w14:val="tx1"/>
            </w14:solidFill>
          </w14:textFill>
        </w:rPr>
        <w:t>18.4 国家验收</w:t>
      </w:r>
      <w:bookmarkEnd w:id="1119"/>
      <w:bookmarkEnd w:id="1120"/>
      <w:bookmarkEnd w:id="1121"/>
      <w:bookmarkEnd w:id="1122"/>
      <w:bookmarkEnd w:id="1123"/>
      <w:bookmarkEnd w:id="112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需要进行国家验收的，竣工验收是国家验收的一部分。竣工验收所采用的各项验收和评定标准应符合国家验收标准。发包人和承包人为竣工验收提供的各项竣工验收资料应符合国家验收的要求。</w:t>
      </w:r>
    </w:p>
    <w:p>
      <w:pPr>
        <w:pStyle w:val="6"/>
        <w:spacing w:before="240" w:after="120" w:line="360" w:lineRule="auto"/>
        <w:rPr>
          <w:color w:val="000000" w:themeColor="text1"/>
          <w:highlight w:val="none"/>
          <w14:textFill>
            <w14:solidFill>
              <w14:schemeClr w14:val="tx1"/>
            </w14:solidFill>
          </w14:textFill>
        </w:rPr>
      </w:pPr>
      <w:bookmarkStart w:id="1125" w:name="_Toc300835162"/>
      <w:bookmarkStart w:id="1126" w:name="_Toc410559463"/>
      <w:bookmarkStart w:id="1127" w:name="_Toc166678870"/>
      <w:bookmarkStart w:id="1128" w:name="_Toc247527762"/>
      <w:bookmarkStart w:id="1129" w:name="_Toc411736545"/>
      <w:bookmarkStart w:id="1130" w:name="_Toc476860480"/>
      <w:bookmarkStart w:id="1131" w:name="_Toc411736269"/>
      <w:bookmarkStart w:id="1132" w:name="_Toc247514161"/>
      <w:r>
        <w:rPr>
          <w:rFonts w:hint="eastAsia"/>
          <w:color w:val="000000" w:themeColor="text1"/>
          <w:highlight w:val="none"/>
          <w14:textFill>
            <w14:solidFill>
              <w14:schemeClr w14:val="tx1"/>
            </w14:solidFill>
          </w14:textFill>
        </w:rPr>
        <w:t>18.5 区段工程验收</w:t>
      </w:r>
      <w:bookmarkEnd w:id="1125"/>
      <w:bookmarkEnd w:id="1126"/>
      <w:bookmarkEnd w:id="1127"/>
      <w:bookmarkEnd w:id="1128"/>
      <w:bookmarkEnd w:id="1129"/>
      <w:bookmarkEnd w:id="1130"/>
      <w:bookmarkEnd w:id="1131"/>
      <w:bookmarkEnd w:id="113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18.5.1 发包人根据合同进度计划安排，在全部工程竣工前需要使用已经竣工的区段工程时，或承包人提出经发包人同意时，可进行区段工程验收。验收的程序可参照第18.2款与第18.3 款的约定进行。验收合格后，由监理人向承包人出具经发包人签认的区段工程验收证书。已签发区段工程接收证书的区段工程由发包人负责照管。区段工程的验收成果和结论作为全部工程竣工验收申请报告的附件。</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18.5.2 发包人在全部工程竣工前，使用已接收的区段工程导致承包人费用增加的，发包人应承担由此增加的费用和（或）工期延误，并支付承包人合理利润。</w:t>
      </w:r>
    </w:p>
    <w:p>
      <w:pPr>
        <w:pStyle w:val="6"/>
        <w:spacing w:before="240" w:after="120" w:line="360" w:lineRule="auto"/>
        <w:rPr>
          <w:color w:val="000000" w:themeColor="text1"/>
          <w:highlight w:val="none"/>
          <w14:textFill>
            <w14:solidFill>
              <w14:schemeClr w14:val="tx1"/>
            </w14:solidFill>
          </w14:textFill>
        </w:rPr>
      </w:pPr>
      <w:bookmarkStart w:id="1133" w:name="_Toc411736270"/>
      <w:bookmarkStart w:id="1134" w:name="_Toc410559464"/>
      <w:bookmarkStart w:id="1135" w:name="_Toc247527763"/>
      <w:bookmarkStart w:id="1136" w:name="_Toc247514162"/>
      <w:bookmarkStart w:id="1137" w:name="_Toc476860481"/>
      <w:bookmarkStart w:id="1138" w:name="_Toc300835163"/>
      <w:bookmarkStart w:id="1139" w:name="_Toc411736546"/>
      <w:bookmarkStart w:id="1140" w:name="_Toc1053092402"/>
      <w:r>
        <w:rPr>
          <w:rFonts w:hint="eastAsia"/>
          <w:color w:val="000000" w:themeColor="text1"/>
          <w:highlight w:val="none"/>
          <w14:textFill>
            <w14:solidFill>
              <w14:schemeClr w14:val="tx1"/>
            </w14:solidFill>
          </w14:textFill>
        </w:rPr>
        <w:t>18.6 施工期运行</w:t>
      </w:r>
      <w:bookmarkEnd w:id="1133"/>
      <w:bookmarkEnd w:id="1134"/>
      <w:bookmarkEnd w:id="1135"/>
      <w:bookmarkEnd w:id="1136"/>
      <w:bookmarkEnd w:id="1137"/>
      <w:bookmarkEnd w:id="1138"/>
      <w:bookmarkEnd w:id="1139"/>
      <w:bookmarkEnd w:id="114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18.6.1 施工期运行是指合同工程尚未全部竣工，其中某项或某几项区段工程或工程设备安装已竣工，根据专用合同条款约定，需要投入施工期运行的，经发包人按第18.5 款的约定验收合格，证明能确保安全后，才能在施工期投入运行。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18.6.2 在施工期运行中发现工程或工程设备损坏或存在缺陷的，由承包人按第19.2 款约定进行修复。</w:t>
      </w:r>
    </w:p>
    <w:p>
      <w:pPr>
        <w:pStyle w:val="6"/>
        <w:spacing w:before="240" w:after="120" w:line="360" w:lineRule="auto"/>
        <w:rPr>
          <w:color w:val="000000" w:themeColor="text1"/>
          <w:highlight w:val="none"/>
          <w14:textFill>
            <w14:solidFill>
              <w14:schemeClr w14:val="tx1"/>
            </w14:solidFill>
          </w14:textFill>
        </w:rPr>
      </w:pPr>
      <w:bookmarkStart w:id="1141" w:name="_Toc411736271"/>
      <w:bookmarkStart w:id="1142" w:name="_Toc247514163"/>
      <w:bookmarkStart w:id="1143" w:name="_Toc410559465"/>
      <w:bookmarkStart w:id="1144" w:name="_Toc247527764"/>
      <w:bookmarkStart w:id="1145" w:name="_Toc300835164"/>
      <w:bookmarkStart w:id="1146" w:name="_Toc411736547"/>
      <w:bookmarkStart w:id="1147" w:name="_Toc476860482"/>
      <w:bookmarkStart w:id="1148" w:name="_Toc1911265487"/>
      <w:r>
        <w:rPr>
          <w:rFonts w:hint="eastAsia"/>
          <w:color w:val="000000" w:themeColor="text1"/>
          <w:highlight w:val="none"/>
          <w14:textFill>
            <w14:solidFill>
              <w14:schemeClr w14:val="tx1"/>
            </w14:solidFill>
          </w14:textFill>
        </w:rPr>
        <w:t>18.7 竣工清场</w:t>
      </w:r>
      <w:bookmarkEnd w:id="1141"/>
      <w:bookmarkEnd w:id="1142"/>
      <w:bookmarkEnd w:id="1143"/>
      <w:bookmarkEnd w:id="1144"/>
      <w:bookmarkEnd w:id="1145"/>
      <w:bookmarkEnd w:id="1146"/>
      <w:bookmarkEnd w:id="1147"/>
      <w:bookmarkEnd w:id="114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18.7.1 除合同另有约定外，工程接收证书颁发后，承包人应按以下要求对施工场地进行清理，直至监理人检验合格为止。竣工清场费用由承包人承担。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（1）施工场地内残留的垃圾已全部清除出场；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（2）临时工程已拆除，场地已按合同要求进行清理、平整或复原；</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（3）按合同约定应撤离的承包人设备和剩余的材料，包括废弃的施工设备和材料，已按计划撤离施工场地；</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（4）工程建筑物周边及其附近道路、河道的施工堆积物，已按监理人指示全部清理；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（5）监理人指示的其他场地清理工作已全部完成。</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18.7.2 承包人未按监理人的要求恢复临时占地，或者场地清理未达到合同约定的，发包人有权委托其他人恢复或清理，所发生的金额从拟支付给承包人的款项中扣除。</w:t>
      </w:r>
    </w:p>
    <w:p>
      <w:pPr>
        <w:pStyle w:val="6"/>
        <w:spacing w:before="240" w:after="120" w:line="360" w:lineRule="auto"/>
        <w:rPr>
          <w:color w:val="000000" w:themeColor="text1"/>
          <w:highlight w:val="none"/>
          <w14:textFill>
            <w14:solidFill>
              <w14:schemeClr w14:val="tx1"/>
            </w14:solidFill>
          </w14:textFill>
        </w:rPr>
      </w:pPr>
      <w:bookmarkStart w:id="1149" w:name="_Toc247527765"/>
      <w:bookmarkStart w:id="1150" w:name="_Toc247514164"/>
      <w:bookmarkStart w:id="1151" w:name="_Toc476860483"/>
      <w:bookmarkStart w:id="1152" w:name="_Toc410559466"/>
      <w:bookmarkStart w:id="1153" w:name="_Toc578648183"/>
      <w:bookmarkStart w:id="1154" w:name="_Toc411736272"/>
      <w:bookmarkStart w:id="1155" w:name="_Toc300835165"/>
      <w:bookmarkStart w:id="1156" w:name="_Toc411736548"/>
      <w:r>
        <w:rPr>
          <w:rFonts w:hint="eastAsia"/>
          <w:color w:val="000000" w:themeColor="text1"/>
          <w:highlight w:val="none"/>
          <w14:textFill>
            <w14:solidFill>
              <w14:schemeClr w14:val="tx1"/>
            </w14:solidFill>
          </w14:textFill>
        </w:rPr>
        <w:t>18.8 施工队伍的撤离</w:t>
      </w:r>
      <w:bookmarkEnd w:id="1149"/>
      <w:bookmarkEnd w:id="1150"/>
      <w:bookmarkEnd w:id="1151"/>
      <w:bookmarkEnd w:id="1152"/>
      <w:bookmarkEnd w:id="1153"/>
      <w:bookmarkEnd w:id="1154"/>
      <w:bookmarkEnd w:id="1155"/>
      <w:bookmarkEnd w:id="115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工程接收证书颁发后的56天内，除了经监理人同意需在缺陷责任期内继续工作和使用的人员、施工设备和临时工程外，其余的人员、施工设备和临时工程均应撤离施工场地或拆除。除合同另有约定外，缺陷责任期满时，承包人的人员和施工设备应全部撤离施工场地。</w:t>
      </w:r>
    </w:p>
    <w:p>
      <w:pPr>
        <w:pStyle w:val="6"/>
        <w:spacing w:before="240" w:after="120" w:line="360" w:lineRule="auto"/>
        <w:rPr>
          <w:color w:val="000000" w:themeColor="text1"/>
          <w:highlight w:val="none"/>
          <w14:textFill>
            <w14:solidFill>
              <w14:schemeClr w14:val="tx1"/>
            </w14:solidFill>
          </w14:textFill>
        </w:rPr>
      </w:pPr>
      <w:bookmarkStart w:id="1157" w:name="_Toc411736273"/>
      <w:bookmarkStart w:id="1158" w:name="_Toc476860484"/>
      <w:bookmarkStart w:id="1159" w:name="_Toc300835167"/>
      <w:bookmarkStart w:id="1160" w:name="_Toc410559467"/>
      <w:bookmarkStart w:id="1161" w:name="_Toc1534058065"/>
      <w:bookmarkStart w:id="1162" w:name="_Toc411736549"/>
      <w:r>
        <w:rPr>
          <w:rFonts w:hint="eastAsia"/>
          <w:color w:val="000000" w:themeColor="text1"/>
          <w:highlight w:val="none"/>
          <w14:textFill>
            <w14:solidFill>
              <w14:schemeClr w14:val="tx1"/>
            </w14:solidFill>
          </w14:textFill>
        </w:rPr>
        <w:t>18.9 竣工后试验（B）</w:t>
      </w:r>
      <w:bookmarkEnd w:id="1157"/>
      <w:bookmarkEnd w:id="1158"/>
      <w:bookmarkEnd w:id="1159"/>
      <w:bookmarkEnd w:id="1160"/>
      <w:bookmarkEnd w:id="1161"/>
      <w:bookmarkEnd w:id="116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（1）发包人为竣工后试验提供必要的电力、材料、燃料、发包人人员和工程设备；</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（2）承包人应提供竣工后试验所需要的所有其他设备、仪器，以及有资格和经验的工作人员；</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应在发包人在场的情况下，进行竣工后试验。发包人应提前21天将竣工后试验的日期通知承包人。因承包人原因造成某项竣工后试验未能通过的，承包人应按照合同的约定进行赔偿，或者承包人提出修复建议，按照发包人指示的合理期限内改正，并承担合同约定的相应责任。</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163" w:name="_Toc410559468"/>
      <w:bookmarkStart w:id="1164" w:name="_Toc411736274"/>
      <w:bookmarkStart w:id="1165" w:name="_Toc19657"/>
      <w:bookmarkStart w:id="1166" w:name="_Toc225232573"/>
      <w:bookmarkStart w:id="1167" w:name="_Toc300835168"/>
      <w:bookmarkStart w:id="1168" w:name="_Toc24885"/>
      <w:bookmarkStart w:id="1169" w:name="_Toc184635116"/>
      <w:bookmarkStart w:id="1170" w:name="_Toc247527766"/>
      <w:bookmarkStart w:id="1171" w:name="_Toc411736550"/>
      <w:bookmarkStart w:id="1172" w:name="_Toc247514165"/>
      <w:bookmarkStart w:id="1173" w:name="_Toc476860485"/>
      <w:bookmarkStart w:id="1174" w:name="_Toc147856208"/>
      <w:r>
        <w:rPr>
          <w:rStyle w:val="114"/>
          <w:rFonts w:hint="eastAsia"/>
          <w:bCs w:val="0"/>
          <w:color w:val="000000" w:themeColor="text1"/>
          <w:highlight w:val="none"/>
          <w14:textFill>
            <w14:solidFill>
              <w14:schemeClr w14:val="tx1"/>
            </w14:solidFill>
          </w14:textFill>
        </w:rPr>
        <w:t>19. 缺陷责任与保修责任</w:t>
      </w:r>
      <w:bookmarkEnd w:id="1163"/>
      <w:bookmarkEnd w:id="1164"/>
      <w:bookmarkEnd w:id="1165"/>
      <w:bookmarkEnd w:id="1166"/>
      <w:bookmarkEnd w:id="1167"/>
      <w:bookmarkEnd w:id="1168"/>
      <w:bookmarkEnd w:id="1169"/>
      <w:bookmarkEnd w:id="1170"/>
      <w:bookmarkEnd w:id="1171"/>
      <w:bookmarkEnd w:id="1172"/>
      <w:bookmarkEnd w:id="1173"/>
      <w:bookmarkEnd w:id="1174"/>
    </w:p>
    <w:p>
      <w:pPr>
        <w:pStyle w:val="6"/>
        <w:spacing w:before="240" w:after="120" w:line="360" w:lineRule="auto"/>
        <w:rPr>
          <w:color w:val="000000" w:themeColor="text1"/>
          <w:highlight w:val="none"/>
          <w14:textFill>
            <w14:solidFill>
              <w14:schemeClr w14:val="tx1"/>
            </w14:solidFill>
          </w14:textFill>
        </w:rPr>
      </w:pPr>
      <w:bookmarkStart w:id="1175" w:name="_Toc411736275"/>
      <w:bookmarkStart w:id="1176" w:name="_Toc411736551"/>
      <w:bookmarkStart w:id="1177" w:name="_Toc476860486"/>
      <w:bookmarkStart w:id="1178" w:name="_Toc410559469"/>
      <w:bookmarkStart w:id="1179" w:name="_Toc1617668397"/>
      <w:bookmarkStart w:id="1180" w:name="_Toc247514166"/>
      <w:bookmarkStart w:id="1181" w:name="_Toc247527767"/>
      <w:bookmarkStart w:id="1182" w:name="_Toc300835169"/>
      <w:r>
        <w:rPr>
          <w:rFonts w:hint="eastAsia"/>
          <w:color w:val="000000" w:themeColor="text1"/>
          <w:highlight w:val="none"/>
          <w14:textFill>
            <w14:solidFill>
              <w14:schemeClr w14:val="tx1"/>
            </w14:solidFill>
          </w14:textFill>
        </w:rPr>
        <w:t>19.1 缺陷责任期的起算时间</w:t>
      </w:r>
      <w:bookmarkEnd w:id="1175"/>
      <w:bookmarkEnd w:id="1176"/>
      <w:bookmarkEnd w:id="1177"/>
      <w:bookmarkEnd w:id="1178"/>
      <w:bookmarkEnd w:id="1179"/>
      <w:bookmarkEnd w:id="1180"/>
      <w:bookmarkEnd w:id="1181"/>
      <w:bookmarkEnd w:id="118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缺陷责任期自实际竣工日期起计算。在全部工程竣工验收前，已经发包人提前验收的区段工程或进入施工期运行的工程，其缺陷责任期的起算日期相应提前到相应工程竣工日。</w:t>
      </w:r>
    </w:p>
    <w:p>
      <w:pPr>
        <w:pStyle w:val="6"/>
        <w:spacing w:before="240" w:after="120" w:line="360" w:lineRule="auto"/>
        <w:rPr>
          <w:color w:val="000000" w:themeColor="text1"/>
          <w:highlight w:val="none"/>
          <w14:textFill>
            <w14:solidFill>
              <w14:schemeClr w14:val="tx1"/>
            </w14:solidFill>
          </w14:textFill>
        </w:rPr>
      </w:pPr>
      <w:bookmarkStart w:id="1183" w:name="_Toc410559470"/>
      <w:bookmarkStart w:id="1184" w:name="_Toc411736276"/>
      <w:bookmarkStart w:id="1185" w:name="_Toc247527768"/>
      <w:bookmarkStart w:id="1186" w:name="_Toc476860487"/>
      <w:bookmarkStart w:id="1187" w:name="_Toc411736552"/>
      <w:bookmarkStart w:id="1188" w:name="_Toc1009777359"/>
      <w:bookmarkStart w:id="1189" w:name="_Toc300835170"/>
      <w:bookmarkStart w:id="1190" w:name="_Toc247514167"/>
      <w:r>
        <w:rPr>
          <w:rFonts w:hint="eastAsia"/>
          <w:color w:val="000000" w:themeColor="text1"/>
          <w:highlight w:val="none"/>
          <w14:textFill>
            <w14:solidFill>
              <w14:schemeClr w14:val="tx1"/>
            </w14:solidFill>
          </w14:textFill>
        </w:rPr>
        <w:t>19.2 缺陷责任</w:t>
      </w:r>
      <w:bookmarkEnd w:id="1183"/>
      <w:bookmarkEnd w:id="1184"/>
      <w:bookmarkEnd w:id="1185"/>
      <w:bookmarkEnd w:id="1186"/>
      <w:bookmarkEnd w:id="1187"/>
      <w:bookmarkEnd w:id="1188"/>
      <w:bookmarkEnd w:id="1189"/>
      <w:bookmarkEnd w:id="119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19.2.1 承包人应在缺陷责任期内对已交付使用的工程承担缺陷责任。</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19.2.2 缺陷责任期内，发包人对已接收使用的工程负责日常维护工作。发包人在使用过程中，发现已接收的工程存在新的缺陷或已修复的缺陷部位或部件又遭损坏的，承包人应负责修复，直至检验合格为止。</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19.2.3 监理人和承包人应共同查清缺陷和（或）损坏的原因。经查明属承包人原因造成的，应由承包人承担修复和查验的费用。经查验属发包人原因造成的，发包人应承担修复和查验的费用，并支付承包人合理利润。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19.2.4 承包人不能在合理时间内修复缺陷的，发包人可自行修复或委托其他人修复，所需费用和利润的承担，按第19.2.3 项约定执行。</w:t>
      </w:r>
    </w:p>
    <w:p>
      <w:pPr>
        <w:pStyle w:val="6"/>
        <w:spacing w:before="240" w:after="120" w:line="360" w:lineRule="auto"/>
        <w:rPr>
          <w:color w:val="000000" w:themeColor="text1"/>
          <w:highlight w:val="none"/>
          <w14:textFill>
            <w14:solidFill>
              <w14:schemeClr w14:val="tx1"/>
            </w14:solidFill>
          </w14:textFill>
        </w:rPr>
      </w:pPr>
      <w:bookmarkStart w:id="1191" w:name="_Toc411736277"/>
      <w:bookmarkStart w:id="1192" w:name="_Toc1912294119"/>
      <w:bookmarkStart w:id="1193" w:name="_Toc410559471"/>
      <w:bookmarkStart w:id="1194" w:name="_Toc411736553"/>
      <w:bookmarkStart w:id="1195" w:name="_Toc476860488"/>
      <w:bookmarkStart w:id="1196" w:name="_Toc300835171"/>
      <w:bookmarkStart w:id="1197" w:name="_Toc247527769"/>
      <w:bookmarkStart w:id="1198" w:name="_Toc247514168"/>
      <w:r>
        <w:rPr>
          <w:rFonts w:hint="eastAsia"/>
          <w:color w:val="000000" w:themeColor="text1"/>
          <w:highlight w:val="none"/>
          <w14:textFill>
            <w14:solidFill>
              <w14:schemeClr w14:val="tx1"/>
            </w14:solidFill>
          </w14:textFill>
        </w:rPr>
        <w:t>19.3 缺陷责任期的延长</w:t>
      </w:r>
      <w:bookmarkEnd w:id="1191"/>
      <w:bookmarkEnd w:id="1192"/>
      <w:bookmarkEnd w:id="1193"/>
      <w:bookmarkEnd w:id="1194"/>
      <w:bookmarkEnd w:id="1195"/>
      <w:bookmarkEnd w:id="1196"/>
      <w:bookmarkEnd w:id="1197"/>
      <w:bookmarkEnd w:id="119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由于承包人原因造成某项缺陷或损坏使某项工程或工程设备不能按原定目标使用而需要再次检查、检验和修复的，发包人有权要求承包人相应延长缺陷责任期，但缺陷责任期最长不超过2年。</w:t>
      </w:r>
    </w:p>
    <w:p>
      <w:pPr>
        <w:pStyle w:val="6"/>
        <w:spacing w:before="240" w:after="120" w:line="360" w:lineRule="auto"/>
        <w:rPr>
          <w:color w:val="000000" w:themeColor="text1"/>
          <w:highlight w:val="none"/>
          <w14:textFill>
            <w14:solidFill>
              <w14:schemeClr w14:val="tx1"/>
            </w14:solidFill>
          </w14:textFill>
        </w:rPr>
      </w:pPr>
      <w:bookmarkStart w:id="1199" w:name="_Toc300835172"/>
      <w:bookmarkStart w:id="1200" w:name="_Toc410559472"/>
      <w:bookmarkStart w:id="1201" w:name="_Toc411736554"/>
      <w:bookmarkStart w:id="1202" w:name="_Toc247514169"/>
      <w:bookmarkStart w:id="1203" w:name="_Toc476860489"/>
      <w:bookmarkStart w:id="1204" w:name="_Toc411736278"/>
      <w:bookmarkStart w:id="1205" w:name="_Toc247527770"/>
      <w:bookmarkStart w:id="1206" w:name="_Toc686997031"/>
      <w:r>
        <w:rPr>
          <w:rFonts w:hint="eastAsia"/>
          <w:color w:val="000000" w:themeColor="text1"/>
          <w:highlight w:val="none"/>
          <w14:textFill>
            <w14:solidFill>
              <w14:schemeClr w14:val="tx1"/>
            </w14:solidFill>
          </w14:textFill>
        </w:rPr>
        <w:t>19.4 进一步试验和试运行</w:t>
      </w:r>
      <w:bookmarkEnd w:id="1199"/>
      <w:bookmarkEnd w:id="1200"/>
      <w:bookmarkEnd w:id="1201"/>
      <w:bookmarkEnd w:id="1202"/>
      <w:bookmarkEnd w:id="1203"/>
      <w:bookmarkEnd w:id="1204"/>
      <w:bookmarkEnd w:id="1205"/>
      <w:bookmarkEnd w:id="120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任何一项缺陷或损坏修复后，经检查证明其影响了工程或工程设备的使用性能，承包人应重新进行合同约定的试验和试运行，试验和试运行的全部费用应由责任方承担。</w:t>
      </w:r>
    </w:p>
    <w:p>
      <w:pPr>
        <w:pStyle w:val="6"/>
        <w:spacing w:before="240" w:after="120" w:line="360" w:lineRule="auto"/>
        <w:rPr>
          <w:color w:val="000000" w:themeColor="text1"/>
          <w:highlight w:val="none"/>
          <w14:textFill>
            <w14:solidFill>
              <w14:schemeClr w14:val="tx1"/>
            </w14:solidFill>
          </w14:textFill>
        </w:rPr>
      </w:pPr>
      <w:bookmarkStart w:id="1207" w:name="_Toc410559473"/>
      <w:bookmarkStart w:id="1208" w:name="_Toc300835173"/>
      <w:bookmarkStart w:id="1209" w:name="_Toc247527771"/>
      <w:bookmarkStart w:id="1210" w:name="_Toc1487013745"/>
      <w:bookmarkStart w:id="1211" w:name="_Toc411736279"/>
      <w:bookmarkStart w:id="1212" w:name="_Toc476860490"/>
      <w:bookmarkStart w:id="1213" w:name="_Toc247514170"/>
      <w:bookmarkStart w:id="1214" w:name="_Toc411736555"/>
      <w:r>
        <w:rPr>
          <w:rFonts w:hint="eastAsia"/>
          <w:color w:val="000000" w:themeColor="text1"/>
          <w:highlight w:val="none"/>
          <w14:textFill>
            <w14:solidFill>
              <w14:schemeClr w14:val="tx1"/>
            </w14:solidFill>
          </w14:textFill>
        </w:rPr>
        <w:t>19.5 承包人的进入权</w:t>
      </w:r>
      <w:bookmarkEnd w:id="1207"/>
      <w:bookmarkEnd w:id="1208"/>
      <w:bookmarkEnd w:id="1209"/>
      <w:bookmarkEnd w:id="1210"/>
      <w:bookmarkEnd w:id="1211"/>
      <w:bookmarkEnd w:id="1212"/>
      <w:bookmarkEnd w:id="1213"/>
      <w:bookmarkEnd w:id="121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缺陷责任期内承包人为缺陷修复工作需要，有权进入工程现场，但应遵守发包人的保安和保密规定。</w:t>
      </w:r>
    </w:p>
    <w:p>
      <w:pPr>
        <w:pStyle w:val="6"/>
        <w:spacing w:before="240" w:after="120" w:line="360" w:lineRule="auto"/>
        <w:rPr>
          <w:color w:val="000000" w:themeColor="text1"/>
          <w:highlight w:val="none"/>
          <w14:textFill>
            <w14:solidFill>
              <w14:schemeClr w14:val="tx1"/>
            </w14:solidFill>
          </w14:textFill>
        </w:rPr>
      </w:pPr>
      <w:bookmarkStart w:id="1215" w:name="_Toc247527772"/>
      <w:bookmarkStart w:id="1216" w:name="_Toc411736556"/>
      <w:bookmarkStart w:id="1217" w:name="_Toc300835174"/>
      <w:bookmarkStart w:id="1218" w:name="_Toc476860491"/>
      <w:bookmarkStart w:id="1219" w:name="_Toc410559474"/>
      <w:bookmarkStart w:id="1220" w:name="_Toc1972812076"/>
      <w:bookmarkStart w:id="1221" w:name="_Toc247514171"/>
      <w:bookmarkStart w:id="1222" w:name="_Toc411736280"/>
      <w:r>
        <w:rPr>
          <w:rFonts w:hint="eastAsia"/>
          <w:color w:val="000000" w:themeColor="text1"/>
          <w:highlight w:val="none"/>
          <w14:textFill>
            <w14:solidFill>
              <w14:schemeClr w14:val="tx1"/>
            </w14:solidFill>
          </w14:textFill>
        </w:rPr>
        <w:t>19.6 缺陷责任期终止证书</w:t>
      </w:r>
      <w:bookmarkEnd w:id="1215"/>
      <w:bookmarkEnd w:id="1216"/>
      <w:bookmarkEnd w:id="1217"/>
      <w:bookmarkEnd w:id="1218"/>
      <w:bookmarkEnd w:id="1219"/>
      <w:bookmarkEnd w:id="1220"/>
      <w:bookmarkEnd w:id="1221"/>
      <w:bookmarkEnd w:id="122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在第1.1.4.5目约定的缺陷责任期，包括根据第19.3款延长的期限终止后14天内，由监理人向承包人收到经发包人签认的缺陷责任期终止证书，并申报办理质量保证金支付。</w:t>
      </w:r>
    </w:p>
    <w:p>
      <w:pPr>
        <w:pStyle w:val="6"/>
        <w:spacing w:before="240" w:after="120" w:line="360" w:lineRule="auto"/>
        <w:rPr>
          <w:color w:val="000000" w:themeColor="text1"/>
          <w:highlight w:val="none"/>
          <w14:textFill>
            <w14:solidFill>
              <w14:schemeClr w14:val="tx1"/>
            </w14:solidFill>
          </w14:textFill>
        </w:rPr>
      </w:pPr>
      <w:bookmarkStart w:id="1223" w:name="_Toc300835175"/>
      <w:bookmarkStart w:id="1224" w:name="_Toc247527773"/>
      <w:bookmarkStart w:id="1225" w:name="_Toc2052535299"/>
      <w:bookmarkStart w:id="1226" w:name="_Toc411736557"/>
      <w:bookmarkStart w:id="1227" w:name="_Toc410559475"/>
      <w:bookmarkStart w:id="1228" w:name="_Toc411736281"/>
      <w:bookmarkStart w:id="1229" w:name="_Toc476860492"/>
      <w:bookmarkStart w:id="1230" w:name="_Toc247514172"/>
      <w:r>
        <w:rPr>
          <w:rFonts w:hint="eastAsia"/>
          <w:color w:val="000000" w:themeColor="text1"/>
          <w:highlight w:val="none"/>
          <w14:textFill>
            <w14:solidFill>
              <w14:schemeClr w14:val="tx1"/>
            </w14:solidFill>
          </w14:textFill>
        </w:rPr>
        <w:t>19.7 保修责任</w:t>
      </w:r>
      <w:bookmarkEnd w:id="1223"/>
      <w:bookmarkEnd w:id="1224"/>
      <w:bookmarkEnd w:id="1225"/>
      <w:bookmarkEnd w:id="1226"/>
      <w:bookmarkEnd w:id="1227"/>
      <w:bookmarkEnd w:id="1228"/>
      <w:bookmarkEnd w:id="1229"/>
      <w:bookmarkEnd w:id="123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合同当事人根据有关法律规定，在专用合同条款中约定工程质量保修范围、期限和责任。保修期自实际竣工日期起计算。在全部工程竣工验收前，已经发包人提前验收的区段工程，其保修期的起算日期相应提前。</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231" w:name="_Toc410559476"/>
      <w:bookmarkStart w:id="1232" w:name="_Toc184635117"/>
      <w:bookmarkStart w:id="1233" w:name="_Toc300835176"/>
      <w:bookmarkStart w:id="1234" w:name="_Toc247527774"/>
      <w:bookmarkStart w:id="1235" w:name="_Toc9356"/>
      <w:bookmarkStart w:id="1236" w:name="_Toc15750"/>
      <w:bookmarkStart w:id="1237" w:name="_Toc411736558"/>
      <w:bookmarkStart w:id="1238" w:name="_Toc247514173"/>
      <w:bookmarkStart w:id="1239" w:name="_Toc476860493"/>
      <w:bookmarkStart w:id="1240" w:name="_Toc411736282"/>
      <w:bookmarkStart w:id="1241" w:name="_Toc1930948532"/>
      <w:bookmarkStart w:id="1242" w:name="_Toc147856209"/>
      <w:r>
        <w:rPr>
          <w:rStyle w:val="114"/>
          <w:rFonts w:hint="eastAsia"/>
          <w:bCs w:val="0"/>
          <w:color w:val="000000" w:themeColor="text1"/>
          <w:highlight w:val="none"/>
          <w14:textFill>
            <w14:solidFill>
              <w14:schemeClr w14:val="tx1"/>
            </w14:solidFill>
          </w14:textFill>
        </w:rPr>
        <w:t>20. 保险</w:t>
      </w:r>
      <w:bookmarkEnd w:id="1231"/>
      <w:bookmarkEnd w:id="1232"/>
      <w:bookmarkEnd w:id="1233"/>
      <w:bookmarkEnd w:id="1234"/>
      <w:bookmarkEnd w:id="1235"/>
      <w:bookmarkEnd w:id="1236"/>
      <w:bookmarkEnd w:id="1237"/>
      <w:bookmarkEnd w:id="1238"/>
      <w:bookmarkEnd w:id="1239"/>
      <w:bookmarkEnd w:id="1240"/>
      <w:bookmarkEnd w:id="1241"/>
      <w:bookmarkEnd w:id="1242"/>
    </w:p>
    <w:p>
      <w:pPr>
        <w:pStyle w:val="6"/>
        <w:spacing w:before="240" w:after="120" w:line="360" w:lineRule="auto"/>
        <w:rPr>
          <w:color w:val="000000" w:themeColor="text1"/>
          <w:highlight w:val="none"/>
          <w14:textFill>
            <w14:solidFill>
              <w14:schemeClr w14:val="tx1"/>
            </w14:solidFill>
          </w14:textFill>
        </w:rPr>
      </w:pPr>
      <w:bookmarkStart w:id="1243" w:name="_Toc247527775"/>
      <w:bookmarkStart w:id="1244" w:name="_Toc410559477"/>
      <w:bookmarkStart w:id="1245" w:name="_Toc679103860"/>
      <w:bookmarkStart w:id="1246" w:name="_Toc476860494"/>
      <w:bookmarkStart w:id="1247" w:name="_Toc411736559"/>
      <w:bookmarkStart w:id="1248" w:name="_Toc300835177"/>
      <w:bookmarkStart w:id="1249" w:name="_Toc247514174"/>
      <w:bookmarkStart w:id="1250" w:name="_Toc411736283"/>
      <w:r>
        <w:rPr>
          <w:rFonts w:hint="eastAsia"/>
          <w:color w:val="000000" w:themeColor="text1"/>
          <w:highlight w:val="none"/>
          <w14:textFill>
            <w14:solidFill>
              <w14:schemeClr w14:val="tx1"/>
            </w14:solidFill>
          </w14:textFill>
        </w:rPr>
        <w:t>20.1 设计和工程保险</w:t>
      </w:r>
      <w:bookmarkEnd w:id="1243"/>
      <w:bookmarkEnd w:id="1244"/>
      <w:bookmarkEnd w:id="1245"/>
      <w:bookmarkEnd w:id="1246"/>
      <w:bookmarkEnd w:id="1247"/>
      <w:bookmarkEnd w:id="1248"/>
      <w:bookmarkEnd w:id="1249"/>
      <w:bookmarkEnd w:id="125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20.1.1 承包人按照专用合同条款的约定向双方同意的保险人投保建设工程设计责任险、建筑工程一切险或安装工程一切险等保险。具体的投保险种、保险范围、保险金额、保险费率、保险期限等有关内容应当在专用合同条款中明确约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20.1.2 在缺陷责任期终止证书颁发前，承包人应按照专用合同条款的约定投保第三者责任险。</w:t>
      </w:r>
    </w:p>
    <w:p>
      <w:pPr>
        <w:pStyle w:val="6"/>
        <w:spacing w:before="240" w:after="120" w:line="360" w:lineRule="auto"/>
        <w:rPr>
          <w:color w:val="000000" w:themeColor="text1"/>
          <w:highlight w:val="none"/>
          <w14:textFill>
            <w14:solidFill>
              <w14:schemeClr w14:val="tx1"/>
            </w14:solidFill>
          </w14:textFill>
        </w:rPr>
      </w:pPr>
      <w:bookmarkStart w:id="1251" w:name="_Toc476860495"/>
      <w:bookmarkStart w:id="1252" w:name="_Toc247527776"/>
      <w:bookmarkStart w:id="1253" w:name="_Toc1970474862"/>
      <w:bookmarkStart w:id="1254" w:name="_Toc411736284"/>
      <w:bookmarkStart w:id="1255" w:name="_Toc247514175"/>
      <w:bookmarkStart w:id="1256" w:name="_Toc300835178"/>
      <w:bookmarkStart w:id="1257" w:name="_Toc410559478"/>
      <w:bookmarkStart w:id="1258" w:name="_Toc411736560"/>
      <w:r>
        <w:rPr>
          <w:rFonts w:hint="eastAsia"/>
          <w:color w:val="000000" w:themeColor="text1"/>
          <w:highlight w:val="none"/>
          <w14:textFill>
            <w14:solidFill>
              <w14:schemeClr w14:val="tx1"/>
            </w14:solidFill>
          </w14:textFill>
        </w:rPr>
        <w:t>20.2 工伤保险</w:t>
      </w:r>
      <w:bookmarkEnd w:id="1251"/>
      <w:bookmarkEnd w:id="1252"/>
      <w:bookmarkEnd w:id="1253"/>
      <w:bookmarkEnd w:id="1254"/>
      <w:bookmarkEnd w:id="1255"/>
      <w:bookmarkEnd w:id="1256"/>
      <w:bookmarkEnd w:id="1257"/>
      <w:bookmarkEnd w:id="1258"/>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20.2.1 承包人员工伤保险</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承包人应依照有关法律规定，为其履行合同所雇佣的全部人员投保工伤保险，缴纳工伤保险费，并要求其分包人也投保此项保险。</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20.2.2 发包人员工伤保险</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发包人应依照有关法律规定，为其现场机构雇佣的全部人员投保工伤保险，缴纳工伤保险费，并要求其监理人也进行此项保险。</w:t>
      </w:r>
    </w:p>
    <w:p>
      <w:pPr>
        <w:pStyle w:val="6"/>
        <w:spacing w:before="240" w:after="120" w:line="360" w:lineRule="auto"/>
        <w:rPr>
          <w:color w:val="000000" w:themeColor="text1"/>
          <w:highlight w:val="none"/>
          <w14:textFill>
            <w14:solidFill>
              <w14:schemeClr w14:val="tx1"/>
            </w14:solidFill>
          </w14:textFill>
        </w:rPr>
      </w:pPr>
      <w:bookmarkStart w:id="1259" w:name="_Toc247514176"/>
      <w:bookmarkStart w:id="1260" w:name="_Toc247527777"/>
      <w:bookmarkStart w:id="1261" w:name="_Toc300835179"/>
      <w:bookmarkStart w:id="1262" w:name="_Toc410559479"/>
      <w:bookmarkStart w:id="1263" w:name="_Toc411736561"/>
      <w:bookmarkStart w:id="1264" w:name="_Toc411736285"/>
      <w:bookmarkStart w:id="1265" w:name="_Toc476860496"/>
      <w:bookmarkStart w:id="1266" w:name="_Toc1425685247"/>
      <w:r>
        <w:rPr>
          <w:rFonts w:hint="eastAsia"/>
          <w:color w:val="000000" w:themeColor="text1"/>
          <w:highlight w:val="none"/>
          <w14:textFill>
            <w14:solidFill>
              <w14:schemeClr w14:val="tx1"/>
            </w14:solidFill>
          </w14:textFill>
        </w:rPr>
        <w:t>20.3 人身意外伤害险</w:t>
      </w:r>
      <w:bookmarkEnd w:id="1259"/>
      <w:bookmarkEnd w:id="1260"/>
      <w:bookmarkEnd w:id="1261"/>
      <w:bookmarkEnd w:id="1262"/>
      <w:bookmarkEnd w:id="1263"/>
      <w:bookmarkEnd w:id="1264"/>
      <w:bookmarkEnd w:id="1265"/>
      <w:bookmarkEnd w:id="126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20.3.1 发包人应在整个施工期间为其现场机构雇用的全部人员，投保人身意外伤害险，缴纳保险费，并要求其监理人也进行此项保险。</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20.3.2 承包人应在整个施工期间为其现场机构雇用的全部人员，投保人身意外伤害险，缴纳保险费，并要求其分包人也进行此项保险。</w:t>
      </w:r>
      <w:bookmarkStart w:id="1267" w:name="_Toc247527778"/>
      <w:bookmarkEnd w:id="1267"/>
      <w:bookmarkStart w:id="1268" w:name="_Toc247514177"/>
      <w:bookmarkEnd w:id="1268"/>
    </w:p>
    <w:p>
      <w:pPr>
        <w:pStyle w:val="6"/>
        <w:spacing w:before="240" w:after="120" w:line="360" w:lineRule="auto"/>
        <w:rPr>
          <w:color w:val="000000" w:themeColor="text1"/>
          <w:highlight w:val="none"/>
          <w14:textFill>
            <w14:solidFill>
              <w14:schemeClr w14:val="tx1"/>
            </w14:solidFill>
          </w14:textFill>
        </w:rPr>
      </w:pPr>
      <w:bookmarkStart w:id="1269" w:name="_Toc247514178"/>
      <w:bookmarkStart w:id="1270" w:name="_Toc411736562"/>
      <w:bookmarkStart w:id="1271" w:name="_Toc476860497"/>
      <w:bookmarkStart w:id="1272" w:name="_Toc411736286"/>
      <w:bookmarkStart w:id="1273" w:name="_Toc247527779"/>
      <w:bookmarkStart w:id="1274" w:name="_Toc2016896750"/>
      <w:bookmarkStart w:id="1275" w:name="_Toc300835180"/>
      <w:bookmarkStart w:id="1276" w:name="_Toc410559480"/>
      <w:r>
        <w:rPr>
          <w:rFonts w:hint="eastAsia"/>
          <w:color w:val="000000" w:themeColor="text1"/>
          <w:highlight w:val="none"/>
          <w14:textFill>
            <w14:solidFill>
              <w14:schemeClr w14:val="tx1"/>
            </w14:solidFill>
          </w14:textFill>
        </w:rPr>
        <w:t>20.4 其他保险</w:t>
      </w:r>
      <w:bookmarkEnd w:id="1269"/>
      <w:bookmarkEnd w:id="1270"/>
      <w:bookmarkEnd w:id="1271"/>
      <w:bookmarkEnd w:id="1272"/>
      <w:bookmarkEnd w:id="1273"/>
      <w:bookmarkEnd w:id="1274"/>
      <w:bookmarkEnd w:id="1275"/>
      <w:bookmarkEnd w:id="127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除专用合同条款另有约定外，承包人应为其施工设备、进场的材料和工程设备等办理保险。</w:t>
      </w:r>
    </w:p>
    <w:p>
      <w:pPr>
        <w:pStyle w:val="6"/>
        <w:spacing w:before="240" w:after="120" w:line="360" w:lineRule="auto"/>
        <w:rPr>
          <w:color w:val="000000" w:themeColor="text1"/>
          <w:highlight w:val="none"/>
          <w14:textFill>
            <w14:solidFill>
              <w14:schemeClr w14:val="tx1"/>
            </w14:solidFill>
          </w14:textFill>
        </w:rPr>
      </w:pPr>
      <w:bookmarkStart w:id="1277" w:name="_Toc476860498"/>
      <w:bookmarkStart w:id="1278" w:name="_Toc411736563"/>
      <w:bookmarkStart w:id="1279" w:name="_Toc410559481"/>
      <w:bookmarkStart w:id="1280" w:name="_Toc247514179"/>
      <w:bookmarkStart w:id="1281" w:name="_Toc247527780"/>
      <w:bookmarkStart w:id="1282" w:name="_Toc300835181"/>
      <w:bookmarkStart w:id="1283" w:name="_Toc411736287"/>
      <w:bookmarkStart w:id="1284" w:name="_Toc2101793002"/>
      <w:r>
        <w:rPr>
          <w:rFonts w:hint="eastAsia"/>
          <w:color w:val="000000" w:themeColor="text1"/>
          <w:highlight w:val="none"/>
          <w14:textFill>
            <w14:solidFill>
              <w14:schemeClr w14:val="tx1"/>
            </w14:solidFill>
          </w14:textFill>
        </w:rPr>
        <w:t>20.5 对各项保险的一般要求</w:t>
      </w:r>
      <w:bookmarkEnd w:id="1277"/>
      <w:bookmarkEnd w:id="1278"/>
      <w:bookmarkEnd w:id="1279"/>
      <w:bookmarkEnd w:id="1280"/>
      <w:bookmarkEnd w:id="1281"/>
      <w:bookmarkEnd w:id="1282"/>
      <w:bookmarkEnd w:id="1283"/>
      <w:bookmarkEnd w:id="1284"/>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20.5.1 保险凭证</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承包人应在专用合同条款约定的期限内向发包人提交各项保险生效的证据和保险单副本，保险单必须与专用合同条款约定的条件保持一致。</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20.5.2 保险合同条款的变动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承包人需要变动保险合同条款时，应事先征得发包人同意，并通知监理人。保险人作出变动的，承包人应在收到保险人通知后立即通知发包人和监理人。</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20.5.3 持续保险</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承包人应与保险人保持联系，使保险人能够随时了解工程实施中的变动，并确保按保险合同条款要求持续保险。</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20.5.4 保险金不足的补偿</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保险金不足以补偿损失的，应由承包人和（或）发包人按合同约定负责补偿。</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20.5.5 未按约定投保的补救</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（1）由于负有投保义务的一方当事人未按合同约定办理保险，或未能使保险持续有效的，另一方当事人可代为办理，所需费用由对方当事人承担。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（2）由于负有投保义务的一方当事人未按合同约定办理某项保险，导致受益人未能得到保险人的赔偿，原应从该项保险得到的保险金应由负有投保义务的一方当事人支付。</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20.5.6 报告义务</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当保险事故发生时，投保人应按照保险单规定的条件和期限及时向保险人报告。</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285" w:name="_Toc247527781"/>
      <w:bookmarkStart w:id="1286" w:name="_Toc300835182"/>
      <w:bookmarkStart w:id="1287" w:name="_Toc476860499"/>
      <w:bookmarkStart w:id="1288" w:name="_Toc876475111"/>
      <w:bookmarkStart w:id="1289" w:name="_Toc184635118"/>
      <w:bookmarkStart w:id="1290" w:name="_Toc9142"/>
      <w:bookmarkStart w:id="1291" w:name="_Toc14995"/>
      <w:bookmarkStart w:id="1292" w:name="_Toc411736564"/>
      <w:bookmarkStart w:id="1293" w:name="_Toc411736288"/>
      <w:bookmarkStart w:id="1294" w:name="_Toc410559482"/>
      <w:bookmarkStart w:id="1295" w:name="_Toc247514180"/>
      <w:bookmarkStart w:id="1296" w:name="_Toc147856210"/>
      <w:r>
        <w:rPr>
          <w:rStyle w:val="114"/>
          <w:rFonts w:hint="eastAsia"/>
          <w:bCs w:val="0"/>
          <w:color w:val="000000" w:themeColor="text1"/>
          <w:highlight w:val="none"/>
          <w14:textFill>
            <w14:solidFill>
              <w14:schemeClr w14:val="tx1"/>
            </w14:solidFill>
          </w14:textFill>
        </w:rPr>
        <w:t>21. 不可抗力</w:t>
      </w:r>
      <w:bookmarkEnd w:id="1285"/>
      <w:bookmarkEnd w:id="1286"/>
      <w:bookmarkEnd w:id="1287"/>
      <w:bookmarkEnd w:id="1288"/>
      <w:bookmarkEnd w:id="1289"/>
      <w:bookmarkEnd w:id="1290"/>
      <w:bookmarkEnd w:id="1291"/>
      <w:bookmarkEnd w:id="1292"/>
      <w:bookmarkEnd w:id="1293"/>
      <w:bookmarkEnd w:id="1294"/>
      <w:bookmarkEnd w:id="1295"/>
      <w:bookmarkEnd w:id="1296"/>
    </w:p>
    <w:p>
      <w:pPr>
        <w:pStyle w:val="6"/>
        <w:spacing w:before="240" w:after="120" w:line="360" w:lineRule="auto"/>
        <w:rPr>
          <w:color w:val="000000" w:themeColor="text1"/>
          <w:highlight w:val="none"/>
          <w14:textFill>
            <w14:solidFill>
              <w14:schemeClr w14:val="tx1"/>
            </w14:solidFill>
          </w14:textFill>
        </w:rPr>
      </w:pPr>
      <w:bookmarkStart w:id="1297" w:name="_Toc411736565"/>
      <w:bookmarkStart w:id="1298" w:name="_Toc247514181"/>
      <w:bookmarkStart w:id="1299" w:name="_Toc476860500"/>
      <w:bookmarkStart w:id="1300" w:name="_Toc1326855804"/>
      <w:bookmarkStart w:id="1301" w:name="_Toc300835183"/>
      <w:bookmarkStart w:id="1302" w:name="_Toc411736289"/>
      <w:bookmarkStart w:id="1303" w:name="_Toc247527782"/>
      <w:bookmarkStart w:id="1304" w:name="_Toc410559483"/>
      <w:r>
        <w:rPr>
          <w:rFonts w:hint="eastAsia"/>
          <w:color w:val="000000" w:themeColor="text1"/>
          <w:highlight w:val="none"/>
          <w14:textFill>
            <w14:solidFill>
              <w14:schemeClr w14:val="tx1"/>
            </w14:solidFill>
          </w14:textFill>
        </w:rPr>
        <w:t>21.1 不可抗力的确认</w:t>
      </w:r>
      <w:bookmarkEnd w:id="1297"/>
      <w:bookmarkEnd w:id="1298"/>
      <w:bookmarkEnd w:id="1299"/>
      <w:bookmarkEnd w:id="1300"/>
      <w:bookmarkEnd w:id="1301"/>
      <w:bookmarkEnd w:id="1302"/>
      <w:bookmarkEnd w:id="1303"/>
      <w:bookmarkEnd w:id="130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21.1.1 不可抗力是指承包人和发包人在订立合同时不可预见，在履行合同过程中不可避免发生并不能克服的自然灾害和社会性突发事件，如地震、海啸、瘟疫、水灾、骚乱、暴动、战争和专用合同条款约定的其他情形。</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21.1.2 不可抗力发生后，发包人和承包人应及时认真统计所造成的损失，收集不可抗力造成损失的证据。合同双方对是否属于不可抗力或其损失的意见不一致的，由监理人按第3.5 款商定或确定。发生争议时，按第24条的约定执行。</w:t>
      </w:r>
    </w:p>
    <w:p>
      <w:pPr>
        <w:pStyle w:val="6"/>
        <w:spacing w:before="240" w:after="120" w:line="360" w:lineRule="auto"/>
        <w:rPr>
          <w:color w:val="000000" w:themeColor="text1"/>
          <w:highlight w:val="none"/>
          <w14:textFill>
            <w14:solidFill>
              <w14:schemeClr w14:val="tx1"/>
            </w14:solidFill>
          </w14:textFill>
        </w:rPr>
      </w:pPr>
      <w:bookmarkStart w:id="1305" w:name="_Toc410559484"/>
      <w:bookmarkStart w:id="1306" w:name="_Toc411736566"/>
      <w:bookmarkStart w:id="1307" w:name="_Toc247514182"/>
      <w:bookmarkStart w:id="1308" w:name="_Toc247527783"/>
      <w:bookmarkStart w:id="1309" w:name="_Toc995307380"/>
      <w:bookmarkStart w:id="1310" w:name="_Toc411736290"/>
      <w:bookmarkStart w:id="1311" w:name="_Toc300835184"/>
      <w:bookmarkStart w:id="1312" w:name="_Toc476860501"/>
      <w:r>
        <w:rPr>
          <w:rFonts w:hint="eastAsia"/>
          <w:color w:val="000000" w:themeColor="text1"/>
          <w:highlight w:val="none"/>
          <w14:textFill>
            <w14:solidFill>
              <w14:schemeClr w14:val="tx1"/>
            </w14:solidFill>
          </w14:textFill>
        </w:rPr>
        <w:t>21.2 不可抗力的通知</w:t>
      </w:r>
      <w:bookmarkEnd w:id="1305"/>
      <w:bookmarkEnd w:id="1306"/>
      <w:bookmarkEnd w:id="1307"/>
      <w:bookmarkEnd w:id="1308"/>
      <w:bookmarkEnd w:id="1309"/>
      <w:bookmarkEnd w:id="1310"/>
      <w:bookmarkEnd w:id="1311"/>
      <w:bookmarkEnd w:id="131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21.2.1 合同一方当事人遇到不可抗力事件，使其履行合同义务受到阻碍时，应立即通知合同另一方当事人和监理人，书面说明不可抗力和受阻碍的详细情况，并提供必要的证明。</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21.2.2 如不可抗力持续发生，合同一方当事人应及时向合同另一方当事人和监理人提交中间报告，说明不可抗力和履行合同受阻的情况，并于不可抗力事件结束后28天内提交最终报告及有关资料。</w:t>
      </w:r>
    </w:p>
    <w:p>
      <w:pPr>
        <w:pStyle w:val="6"/>
        <w:spacing w:before="240" w:after="120" w:line="360" w:lineRule="auto"/>
        <w:rPr>
          <w:color w:val="000000" w:themeColor="text1"/>
          <w:highlight w:val="none"/>
          <w14:textFill>
            <w14:solidFill>
              <w14:schemeClr w14:val="tx1"/>
            </w14:solidFill>
          </w14:textFill>
        </w:rPr>
      </w:pPr>
      <w:bookmarkStart w:id="1313" w:name="_Toc411736567"/>
      <w:bookmarkStart w:id="1314" w:name="_Toc300835185"/>
      <w:bookmarkStart w:id="1315" w:name="_Toc411736291"/>
      <w:bookmarkStart w:id="1316" w:name="_Toc247527784"/>
      <w:bookmarkStart w:id="1317" w:name="_Toc476860502"/>
      <w:bookmarkStart w:id="1318" w:name="_Toc247514183"/>
      <w:bookmarkStart w:id="1319" w:name="_Toc1381009177"/>
      <w:bookmarkStart w:id="1320" w:name="_Toc410559485"/>
      <w:r>
        <w:rPr>
          <w:rFonts w:hint="eastAsia"/>
          <w:color w:val="000000" w:themeColor="text1"/>
          <w:highlight w:val="none"/>
          <w14:textFill>
            <w14:solidFill>
              <w14:schemeClr w14:val="tx1"/>
            </w14:solidFill>
          </w14:textFill>
        </w:rPr>
        <w:t>21.3 不可抗力后果及其处理</w:t>
      </w:r>
      <w:bookmarkEnd w:id="1313"/>
      <w:bookmarkEnd w:id="1314"/>
      <w:bookmarkEnd w:id="1315"/>
      <w:bookmarkEnd w:id="1316"/>
      <w:bookmarkEnd w:id="1317"/>
      <w:bookmarkEnd w:id="1318"/>
      <w:bookmarkEnd w:id="1319"/>
      <w:bookmarkEnd w:id="1320"/>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21.3.1 不可抗力造成损害的责任</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除专用合同条款另有约定外，不可抗力导致的人员伤亡、财产损失、费用增加和（或）工期延误等后果，由合同双方按以下原则承担：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（1）永久工程，包括已运至施工场地的材料和工程设备的损害，以及因工程损害造成的第三者人员伤亡和财产损失由发包人承担；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（2）承包人设备的损坏由承包人承担；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（3）发包人和承包人各自承担其人员伤亡和其他财产损失及其相关费用；</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（4）承包人的停工损失由承包人承担，但停工期间应监理人要求照管工程和清理、修复工程的金额由发包人承担；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（5）不能按期竣工的，应合理延长工期，承包人不需支付逾期竣工违约金。发包人要求赶工的，承包人应采取赶工措施，赶工费用由发包人承担。</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21.3.2 延迟履行期间发生的不可抗力</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合同一方当事人延迟履行，在延迟履行期间发生不可抗力的，不免除其责任。</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21.3.3 避免和减少不可抗力损失</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不可抗力发生后，发包人和承包人均应采取措施尽量避免和减少损失的扩大，任何一方没有采取有效措施导致损失扩大的，应对扩大的损失承担责任。</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21.3.4 因不可抗力解除合同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合同一方当事人因不可抗力不能履行合同的，应当及时通知对方解除合同。合同解除后，承包人应按照第22.2.4 项约定撤离施工场地。已经订货的材料、设备由订货方负责退货或解除订货合同，不能退还的货款和因退货、解除订货合同发生的费用，由发包人承担，因未及时退货造成的损失由责任方承担。合同解除后的付款，参照第22.2.3 项约定，由监理人按第3.5 款商定或确定。</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321" w:name="_Toc247527785"/>
      <w:bookmarkStart w:id="1322" w:name="_Toc411736292"/>
      <w:bookmarkStart w:id="1323" w:name="_Toc25404"/>
      <w:bookmarkStart w:id="1324" w:name="_Toc247514184"/>
      <w:bookmarkStart w:id="1325" w:name="_Toc476860503"/>
      <w:bookmarkStart w:id="1326" w:name="_Toc617981063"/>
      <w:bookmarkStart w:id="1327" w:name="_Toc184635119"/>
      <w:bookmarkStart w:id="1328" w:name="_Toc411736568"/>
      <w:bookmarkStart w:id="1329" w:name="_Toc10027"/>
      <w:bookmarkStart w:id="1330" w:name="_Toc300835186"/>
      <w:bookmarkStart w:id="1331" w:name="_Toc410559486"/>
      <w:bookmarkStart w:id="1332" w:name="_Toc147856211"/>
      <w:r>
        <w:rPr>
          <w:rStyle w:val="114"/>
          <w:rFonts w:hint="eastAsia"/>
          <w:bCs w:val="0"/>
          <w:color w:val="000000" w:themeColor="text1"/>
          <w:highlight w:val="none"/>
          <w14:textFill>
            <w14:solidFill>
              <w14:schemeClr w14:val="tx1"/>
            </w14:solidFill>
          </w14:textFill>
        </w:rPr>
        <w:t>22. 违约</w:t>
      </w:r>
      <w:bookmarkEnd w:id="1321"/>
      <w:bookmarkEnd w:id="1322"/>
      <w:bookmarkEnd w:id="1323"/>
      <w:bookmarkEnd w:id="1324"/>
      <w:bookmarkEnd w:id="1325"/>
      <w:bookmarkEnd w:id="1326"/>
      <w:bookmarkEnd w:id="1327"/>
      <w:bookmarkEnd w:id="1328"/>
      <w:bookmarkEnd w:id="1329"/>
      <w:bookmarkEnd w:id="1330"/>
      <w:bookmarkEnd w:id="1331"/>
      <w:bookmarkEnd w:id="1332"/>
    </w:p>
    <w:p>
      <w:pPr>
        <w:pStyle w:val="6"/>
        <w:spacing w:before="240" w:after="120" w:line="360" w:lineRule="auto"/>
        <w:rPr>
          <w:color w:val="000000" w:themeColor="text1"/>
          <w:highlight w:val="none"/>
          <w14:textFill>
            <w14:solidFill>
              <w14:schemeClr w14:val="tx1"/>
            </w14:solidFill>
          </w14:textFill>
        </w:rPr>
      </w:pPr>
      <w:bookmarkStart w:id="1333" w:name="_Toc411736569"/>
      <w:bookmarkStart w:id="1334" w:name="_Toc1176808949"/>
      <w:bookmarkStart w:id="1335" w:name="_Toc247514185"/>
      <w:bookmarkStart w:id="1336" w:name="_Toc411736293"/>
      <w:bookmarkStart w:id="1337" w:name="_Toc247527786"/>
      <w:bookmarkStart w:id="1338" w:name="_Toc476860504"/>
      <w:bookmarkStart w:id="1339" w:name="_Toc410559487"/>
      <w:bookmarkStart w:id="1340" w:name="_Toc300835187"/>
      <w:r>
        <w:rPr>
          <w:rFonts w:hint="eastAsia"/>
          <w:color w:val="000000" w:themeColor="text1"/>
          <w:highlight w:val="none"/>
          <w14:textFill>
            <w14:solidFill>
              <w14:schemeClr w14:val="tx1"/>
            </w14:solidFill>
          </w14:textFill>
        </w:rPr>
        <w:t>22.1 承包人违约</w:t>
      </w:r>
      <w:bookmarkEnd w:id="1333"/>
      <w:bookmarkEnd w:id="1334"/>
      <w:bookmarkEnd w:id="1335"/>
      <w:bookmarkEnd w:id="1336"/>
      <w:bookmarkEnd w:id="1337"/>
      <w:bookmarkEnd w:id="1338"/>
      <w:bookmarkEnd w:id="1339"/>
      <w:bookmarkEnd w:id="1340"/>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22.1.1 承包人违约的情形</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在履行合同过程中发生的下列情况之一的，属承包人违约：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（1）承包人的设计、承包人文件、实施和竣工的工程不符合法律以及合同约定；</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（2）承包人违反第1.8 款或第4.3 款的约定，私自将合同的全部或部分权利转让给其他人，或私自将合同的全部或部分义务转移给其他人；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（3）承包人违反第6.3 款或第7.4 款的约定，未经监理人批准，私自将已按合同约定进入施工场地的施工设备、临时设施或材料撤离施工场地；</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（4）承包人违反第6.5 款的约定使用了不合格材料或工程设备，工程质量达不到标准要求，又拒绝清除不合格工程；</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（5）承包人未能按合同进度计划及时完成合同约定的工作，造成工期延误；</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（6）承包人在缺陷责任期内，未能对工程接收证书所列的缺陷清单的内容或缺陷责任期内发生的缺陷进行修复，而又拒绝按监理人指示再进行修补；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（7）承包人无法继续履行或明确表示不履行或实质上已停止履行合同；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（8）承包人不按合同约定履行义务的其他情况。</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22.1.2 对承包人违约的处理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（1）承包人发生第22.1.1（6）目约定的违约情况时，按照发包人要求中的未能通过竣工/竣工后试验的损害进行赔偿。发生延期的，承包人应承担延期责任。</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（2）承包人发生第22.1.1（8）目约定的违约情况时，发包人可通知承包人立即解除合同，并按第22.1.3项、第22.1.4项、第22.1.5项约定处理。</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发生除第22.1.1（6）目和第22.1.1（8）目约定以外的其他违约情况时，监理人可向承包人发出整改通知，要求其在指定的期限内纠正。除合同条款另有约定外，承包人应承担其违约所引起的费用增加和（或）工期延误。</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22.1.3 因承包人违约解除合同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发出整改通知28天后，承包人仍不纠正违约行为的，发包人有权解除合同并向承包人发出解除合同通知。承包人收到发包人解除合同通知后14天内，承包人应撤离现场，发包人派员进驻施工场地完成现场交接手续，发包人有权另行组织人员或委托其他承包人。发包人因继续完成该工程的需要，有权扣留使用承包人在现场的材料、设备和临时设施。但发包人的这一行动不免除承包人应承担的违约责任，也不影响发包人根据合同约定享有的索赔权利。</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22.1.4 发包人发出合同解除通知后的估价、付款和结清</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（1）承包人收到发包人解除合同通知后28天内，监理人按第3.5 款商定或确定承包人实际完成工作的价值，包括发包人扣留承包人的材料、设备及临时设施和承包人已提供的设计、材料、施工设备、工程设备、临时工程等的价值。</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（2）发包人发出解除合同通知后，发包人有权暂停对承包人的一切付款，查清各项付款和已扣款金额，包括承包人应支付的违约金。</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（3）发包人发出解除合同通知后，发包人有权按第23.4 款的约定向承包人索赔由于解除合同给发包人造成的损失。</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（4）合同双方确认合同价款后，发包人颁发最终结清付款证书，并结清全部合同款项。</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（5）发包人和承包人未能就解除合同后的结清达成一致而形成争议的，按第24条的约定执行。</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22.1.5 协议利益的转让</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因承包人违约解除合同的，发包人有权要求承包人将其为实施合同而签订的材料和设备的订货协议或任何服务协议利益转让给发包人，并在承包人收到解除合同通知后的14天内，依法办理转让手续。发包人有权使用承包人文件和由承包人或以其名义编制的其他设计文件。</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22.1.6 紧急情况下无能力或不愿进行抢救</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工程实施期间或缺陷责任期内发生危及工程安全的事件，监理人通知承包人进行抢救，承包人声明无能力或不愿立即执行的，发包人有权雇佣其他人员进行抢救。此类抢救按合同约定属于承包人义务的，由此发生的金额和（或）工期延误由承包人承担。</w:t>
      </w:r>
    </w:p>
    <w:p>
      <w:pPr>
        <w:pStyle w:val="6"/>
        <w:spacing w:before="240" w:after="120" w:line="360" w:lineRule="auto"/>
        <w:rPr>
          <w:color w:val="000000" w:themeColor="text1"/>
          <w:highlight w:val="none"/>
          <w14:textFill>
            <w14:solidFill>
              <w14:schemeClr w14:val="tx1"/>
            </w14:solidFill>
          </w14:textFill>
        </w:rPr>
      </w:pPr>
      <w:bookmarkStart w:id="1341" w:name="_Toc410559488"/>
      <w:bookmarkStart w:id="1342" w:name="_Toc247514186"/>
      <w:bookmarkStart w:id="1343" w:name="_Toc411736294"/>
      <w:bookmarkStart w:id="1344" w:name="_Toc300835188"/>
      <w:bookmarkStart w:id="1345" w:name="_Toc476860505"/>
      <w:bookmarkStart w:id="1346" w:name="_Toc247527787"/>
      <w:bookmarkStart w:id="1347" w:name="_Toc303616973"/>
      <w:bookmarkStart w:id="1348" w:name="_Toc411736570"/>
      <w:r>
        <w:rPr>
          <w:rFonts w:hint="eastAsia"/>
          <w:color w:val="000000" w:themeColor="text1"/>
          <w:highlight w:val="none"/>
          <w14:textFill>
            <w14:solidFill>
              <w14:schemeClr w14:val="tx1"/>
            </w14:solidFill>
          </w14:textFill>
        </w:rPr>
        <w:t>22.2 发包人违约</w:t>
      </w:r>
      <w:bookmarkEnd w:id="1341"/>
      <w:bookmarkEnd w:id="1342"/>
      <w:bookmarkEnd w:id="1343"/>
      <w:bookmarkEnd w:id="1344"/>
      <w:bookmarkEnd w:id="1345"/>
      <w:bookmarkEnd w:id="1346"/>
      <w:bookmarkEnd w:id="1347"/>
      <w:bookmarkEnd w:id="1348"/>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22.2.1 发包人违约的情形</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在履行合同过程中发生下列情形之一的，属发包人违约：</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（1）发包人未能按合同约定支付价款，或拖延、拒绝批准付款申请和支付凭证，导致付款延误；</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（2）发包人原因造成停工；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（3）监理人无正当理由没有在约定期限内发出复工指示，导致承包人无法复工；</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（4）发包人无法继续履行或明确表示不履行或实质上已停止履行合同；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（5）发包人不履行合同约定其他义务。</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22.2.2 因发包人违约解除合同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（1）发生第22.2.1（4）目的违约情况时，承包人可书面通知发包人解除合同。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（2）承包人按12.2.1项约定暂停施工28天后，发包人仍不纠正违约行为的，承包人可向发包人发出解除合同通知。但承包人的这一行为不免除发包人承担的违约责任，也不影响承包人根据合同约定享有的索赔权利。</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22.2.3 解除合同后的付款</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因发包人违约解除合同的，发包人应在解除合同后28天内向承包人支付下列款项，承包人应在此期限内及时向发包人提交要求支付下列金额的有关资料和凭证：</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（1）承包人发出解除合同通知前所完成工作的价款；</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（2）承包人为该工程施工订购并已付款的材料、工程设备和其他物品的金额。发包人付款后，该材料、工程设备和其他物品归发包人所有；</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（3）承包人为完成工程所发生的，而发包人未支付的金额；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（4）承包人撤离施工场地以及遣散承包人人员的金额；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（5）因解除合同造成的承包人损失；</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（6）按合同约定在承包人发出解除合同通知前应支付给承包人的其他金额。</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发包人应按本项约定支付上述金额并退还质量保证金和履约担保，但有权要求承包人支付应偿还给发包人的各项金额。</w:t>
      </w:r>
    </w:p>
    <w:p>
      <w:pPr>
        <w:pStyle w:val="7"/>
        <w:spacing w:before="120" w:after="120"/>
        <w:ind w:firstLine="482" w:firstLineChars="200"/>
        <w:jc w:val="both"/>
        <w:rPr>
          <w:rStyle w:val="157"/>
          <w:rFonts w:hint="default"/>
          <w:b/>
          <w:bCs/>
          <w:color w:val="000000" w:themeColor="text1"/>
          <w:sz w:val="24"/>
          <w:highlight w:val="none"/>
          <w14:textFill>
            <w14:solidFill>
              <w14:schemeClr w14:val="tx1"/>
            </w14:solidFill>
          </w14:textFill>
        </w:rPr>
      </w:pPr>
      <w:r>
        <w:rPr>
          <w:rStyle w:val="157"/>
          <w:rFonts w:hint="default"/>
          <w:b/>
          <w:bCs/>
          <w:color w:val="000000" w:themeColor="text1"/>
          <w:sz w:val="24"/>
          <w:highlight w:val="none"/>
          <w14:textFill>
            <w14:solidFill>
              <w14:schemeClr w14:val="tx1"/>
            </w14:solidFill>
          </w14:textFill>
        </w:rPr>
        <w:t>22.2.4 解除合同后的承包人撤离</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因发包人违约而解除合同后，承包人应妥善处理正在施工的工程和已购材料、设备的保护和移交工作，并按发包人的要求将承包人设备和人员撤出施工场地。承包人撤出施工场地应遵守第18.7.1 项的约定，发包人应为承包人撤出提供必要条件并办理移交手续。</w:t>
      </w:r>
    </w:p>
    <w:p>
      <w:pPr>
        <w:pStyle w:val="6"/>
        <w:spacing w:before="240" w:after="120" w:line="360" w:lineRule="auto"/>
        <w:rPr>
          <w:color w:val="000000" w:themeColor="text1"/>
          <w:highlight w:val="none"/>
          <w14:textFill>
            <w14:solidFill>
              <w14:schemeClr w14:val="tx1"/>
            </w14:solidFill>
          </w14:textFill>
        </w:rPr>
      </w:pPr>
      <w:bookmarkStart w:id="1349" w:name="_Toc247514187"/>
      <w:bookmarkStart w:id="1350" w:name="_Toc411736571"/>
      <w:bookmarkStart w:id="1351" w:name="_Toc476860506"/>
      <w:bookmarkStart w:id="1352" w:name="_Toc247527788"/>
      <w:bookmarkStart w:id="1353" w:name="_Toc469319939"/>
      <w:bookmarkStart w:id="1354" w:name="_Toc411736295"/>
      <w:bookmarkStart w:id="1355" w:name="_Toc300835189"/>
      <w:bookmarkStart w:id="1356" w:name="_Toc410559489"/>
      <w:r>
        <w:rPr>
          <w:rFonts w:hint="eastAsia"/>
          <w:color w:val="000000" w:themeColor="text1"/>
          <w:highlight w:val="none"/>
          <w14:textFill>
            <w14:solidFill>
              <w14:schemeClr w14:val="tx1"/>
            </w14:solidFill>
          </w14:textFill>
        </w:rPr>
        <w:t>22.3 第三人造成的违约</w:t>
      </w:r>
      <w:bookmarkEnd w:id="1349"/>
      <w:bookmarkEnd w:id="1350"/>
      <w:bookmarkEnd w:id="1351"/>
      <w:bookmarkEnd w:id="1352"/>
      <w:bookmarkEnd w:id="1353"/>
      <w:bookmarkEnd w:id="1354"/>
      <w:bookmarkEnd w:id="1355"/>
      <w:bookmarkEnd w:id="135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在履行合同过程中，一方当事人因第三人的原因造成违约的，应当向对方当事人承担违约责任。一方当事人和第三人之间的纠纷，依照法律规定或者按照约定解决。</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357" w:name="_Toc152779342"/>
      <w:bookmarkStart w:id="1358" w:name="_Toc247527789"/>
      <w:bookmarkStart w:id="1359" w:name="_Toc411736296"/>
      <w:bookmarkStart w:id="1360" w:name="_Toc476860507"/>
      <w:bookmarkStart w:id="1361" w:name="_Toc247514188"/>
      <w:bookmarkStart w:id="1362" w:name="_Toc411736572"/>
      <w:bookmarkStart w:id="1363" w:name="_Toc8441"/>
      <w:bookmarkStart w:id="1364" w:name="_Toc184635120"/>
      <w:bookmarkStart w:id="1365" w:name="_Toc17513"/>
      <w:bookmarkStart w:id="1366" w:name="_Toc300835190"/>
      <w:bookmarkStart w:id="1367" w:name="_Toc410559490"/>
      <w:bookmarkStart w:id="1368" w:name="_Toc147856212"/>
      <w:r>
        <w:rPr>
          <w:rStyle w:val="114"/>
          <w:rFonts w:hint="eastAsia"/>
          <w:bCs w:val="0"/>
          <w:color w:val="000000" w:themeColor="text1"/>
          <w:highlight w:val="none"/>
          <w14:textFill>
            <w14:solidFill>
              <w14:schemeClr w14:val="tx1"/>
            </w14:solidFill>
          </w14:textFill>
        </w:rPr>
        <w:t>23. 索赔</w:t>
      </w:r>
      <w:bookmarkEnd w:id="1357"/>
      <w:bookmarkEnd w:id="1358"/>
      <w:bookmarkEnd w:id="1359"/>
      <w:bookmarkEnd w:id="1360"/>
      <w:bookmarkEnd w:id="1361"/>
      <w:bookmarkEnd w:id="1362"/>
      <w:bookmarkEnd w:id="1363"/>
      <w:bookmarkEnd w:id="1364"/>
      <w:bookmarkEnd w:id="1365"/>
      <w:bookmarkEnd w:id="1366"/>
      <w:bookmarkEnd w:id="1367"/>
      <w:bookmarkEnd w:id="1368"/>
    </w:p>
    <w:p>
      <w:pPr>
        <w:pStyle w:val="6"/>
        <w:spacing w:before="240" w:after="120" w:line="360" w:lineRule="auto"/>
        <w:rPr>
          <w:color w:val="000000" w:themeColor="text1"/>
          <w:highlight w:val="none"/>
          <w14:textFill>
            <w14:solidFill>
              <w14:schemeClr w14:val="tx1"/>
            </w14:solidFill>
          </w14:textFill>
        </w:rPr>
      </w:pPr>
      <w:bookmarkStart w:id="1369" w:name="_Toc1519442829"/>
      <w:bookmarkStart w:id="1370" w:name="_Toc411736573"/>
      <w:bookmarkStart w:id="1371" w:name="_Toc300835191"/>
      <w:bookmarkStart w:id="1372" w:name="_Toc411736297"/>
      <w:bookmarkStart w:id="1373" w:name="_Toc247514189"/>
      <w:bookmarkStart w:id="1374" w:name="_Toc410559491"/>
      <w:bookmarkStart w:id="1375" w:name="_Toc247527790"/>
      <w:bookmarkStart w:id="1376" w:name="_Toc476860508"/>
      <w:r>
        <w:rPr>
          <w:rFonts w:hint="eastAsia"/>
          <w:color w:val="000000" w:themeColor="text1"/>
          <w:highlight w:val="none"/>
          <w14:textFill>
            <w14:solidFill>
              <w14:schemeClr w14:val="tx1"/>
            </w14:solidFill>
          </w14:textFill>
        </w:rPr>
        <w:t>23.1 承包人索赔的提出</w:t>
      </w:r>
      <w:bookmarkEnd w:id="1369"/>
      <w:bookmarkEnd w:id="1370"/>
      <w:bookmarkEnd w:id="1371"/>
      <w:bookmarkEnd w:id="1372"/>
      <w:bookmarkEnd w:id="1373"/>
      <w:bookmarkEnd w:id="1374"/>
      <w:bookmarkEnd w:id="1375"/>
      <w:bookmarkEnd w:id="137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根据合同约定，承包人认为有权得到追加付款和（或）延长工期的，应按以下程序向发包人提出索赔：</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（1）承包人应在知道或应当知道索赔事件发生后28 天内，向监理人递交索赔意向通知书，并说明发生索赔事件的事由。承包人未在前述28天内发出索赔意向通知书的，工期不予顺延，且承包人无权获得追加付款；</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（2）承包人应在发出索赔意向通知书后28天内，向监理人正式递交索赔通知书。索赔通知书应详细说明索赔理由以及要求追加的付款金额和（或）延长的工期，并附必要的记录和证明材料；</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（3）索赔事件具有连续影响的，承包人应按合理时间间隔继续递交延续索赔通知，说明连续影响的实际情况和记录，列出累计的追加付款金额和（或）工期延长天数；</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（4）在索赔事件影响结束后的28 天内，承包人应向监理人递交最终索赔通知书，说明最终要求索赔的追加付款金额和延长的工期，并附必要的记录和证明材料。</w:t>
      </w:r>
    </w:p>
    <w:p>
      <w:pPr>
        <w:pStyle w:val="6"/>
        <w:spacing w:before="240" w:after="120" w:line="360" w:lineRule="auto"/>
        <w:rPr>
          <w:color w:val="000000" w:themeColor="text1"/>
          <w:highlight w:val="none"/>
          <w14:textFill>
            <w14:solidFill>
              <w14:schemeClr w14:val="tx1"/>
            </w14:solidFill>
          </w14:textFill>
        </w:rPr>
      </w:pPr>
      <w:bookmarkStart w:id="1377" w:name="_Toc476860509"/>
      <w:bookmarkStart w:id="1378" w:name="_Toc410559492"/>
      <w:bookmarkStart w:id="1379" w:name="_Toc300835192"/>
      <w:bookmarkStart w:id="1380" w:name="_Toc247527791"/>
      <w:bookmarkStart w:id="1381" w:name="_Toc411736574"/>
      <w:bookmarkStart w:id="1382" w:name="_Toc411736298"/>
      <w:bookmarkStart w:id="1383" w:name="_Toc247514190"/>
      <w:bookmarkStart w:id="1384" w:name="_Toc1547580526"/>
      <w:r>
        <w:rPr>
          <w:rFonts w:hint="eastAsia"/>
          <w:color w:val="000000" w:themeColor="text1"/>
          <w:highlight w:val="none"/>
          <w14:textFill>
            <w14:solidFill>
              <w14:schemeClr w14:val="tx1"/>
            </w14:solidFill>
          </w14:textFill>
        </w:rPr>
        <w:t>23.2 承包人索赔处理程序</w:t>
      </w:r>
      <w:bookmarkEnd w:id="1377"/>
      <w:bookmarkEnd w:id="1378"/>
      <w:bookmarkEnd w:id="1379"/>
      <w:bookmarkEnd w:id="1380"/>
      <w:bookmarkEnd w:id="1381"/>
      <w:bookmarkEnd w:id="1382"/>
      <w:bookmarkEnd w:id="1383"/>
      <w:bookmarkEnd w:id="1384"/>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（1）监理人收到承包人提交的索赔通知书后，应及时审查索赔通知书的内容、查验承包人的记录和证明材料，必要时监理人可要求承包人提交全部原始记录副本。</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（2）监理人应按第3.5 款商定或确定追加的付款和（或）延长的工期，并在收到上述索赔通知书或有关索赔的进一步证明材料后的42天内，将索赔处理结果答复承包人。监理人应当在收到索赔通知书或有关索赔的进一步证明材料后的42天内不予答复的，视为认可索赔。</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（3）承包人接受索赔处理结果的，发包人应在作出索赔处理结果答复后28 天内完成赔付。承包人不接受索赔处理结果的，按第24条的约定执行。</w:t>
      </w:r>
    </w:p>
    <w:p>
      <w:pPr>
        <w:pStyle w:val="6"/>
        <w:spacing w:before="240" w:after="120" w:line="360" w:lineRule="auto"/>
        <w:rPr>
          <w:color w:val="000000" w:themeColor="text1"/>
          <w:highlight w:val="none"/>
          <w14:textFill>
            <w14:solidFill>
              <w14:schemeClr w14:val="tx1"/>
            </w14:solidFill>
          </w14:textFill>
        </w:rPr>
      </w:pPr>
      <w:bookmarkStart w:id="1385" w:name="_Toc411736299"/>
      <w:bookmarkStart w:id="1386" w:name="_Toc476860510"/>
      <w:bookmarkStart w:id="1387" w:name="_Toc411736575"/>
      <w:bookmarkStart w:id="1388" w:name="_Toc300835193"/>
      <w:bookmarkStart w:id="1389" w:name="_Toc410559493"/>
      <w:bookmarkStart w:id="1390" w:name="_Toc2011451665"/>
      <w:bookmarkStart w:id="1391" w:name="_Toc247527792"/>
      <w:bookmarkStart w:id="1392" w:name="_Toc247514191"/>
      <w:r>
        <w:rPr>
          <w:rFonts w:hint="eastAsia"/>
          <w:color w:val="000000" w:themeColor="text1"/>
          <w:highlight w:val="none"/>
          <w14:textFill>
            <w14:solidFill>
              <w14:schemeClr w14:val="tx1"/>
            </w14:solidFill>
          </w14:textFill>
        </w:rPr>
        <w:t>23.3 承包人提出索赔的期限</w:t>
      </w:r>
      <w:bookmarkEnd w:id="1385"/>
      <w:bookmarkEnd w:id="1386"/>
      <w:bookmarkEnd w:id="1387"/>
      <w:bookmarkEnd w:id="1388"/>
      <w:bookmarkEnd w:id="1389"/>
      <w:bookmarkEnd w:id="1390"/>
      <w:bookmarkEnd w:id="1391"/>
      <w:bookmarkEnd w:id="1392"/>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23.3.1 承包人按第17.5 款的约定接受了竣工付款证书后，应被认为已无权再提出在合同工程接收证书颁发前所发生的任何索赔。</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23.3.2 承包人按第17.6 款的约定提交的最终结清申请单中，只限于提出工程接收证书颁发后发生的索赔。提出索赔的期限自接受最终结清证书时终止。</w:t>
      </w:r>
    </w:p>
    <w:p>
      <w:pPr>
        <w:pStyle w:val="6"/>
        <w:spacing w:before="240" w:after="120" w:line="360" w:lineRule="auto"/>
        <w:rPr>
          <w:color w:val="000000" w:themeColor="text1"/>
          <w:highlight w:val="none"/>
          <w14:textFill>
            <w14:solidFill>
              <w14:schemeClr w14:val="tx1"/>
            </w14:solidFill>
          </w14:textFill>
        </w:rPr>
      </w:pPr>
      <w:bookmarkStart w:id="1393" w:name="_Toc780562581"/>
      <w:bookmarkStart w:id="1394" w:name="_Toc476860511"/>
      <w:bookmarkStart w:id="1395" w:name="_Toc247527793"/>
      <w:bookmarkStart w:id="1396" w:name="_Toc410559494"/>
      <w:bookmarkStart w:id="1397" w:name="_Toc247514192"/>
      <w:bookmarkStart w:id="1398" w:name="_Toc300835194"/>
      <w:bookmarkStart w:id="1399" w:name="_Toc411736300"/>
      <w:bookmarkStart w:id="1400" w:name="_Toc411736576"/>
      <w:r>
        <w:rPr>
          <w:rFonts w:hint="eastAsia"/>
          <w:color w:val="000000" w:themeColor="text1"/>
          <w:highlight w:val="none"/>
          <w14:textFill>
            <w14:solidFill>
              <w14:schemeClr w14:val="tx1"/>
            </w14:solidFill>
          </w14:textFill>
        </w:rPr>
        <w:t>23.4 发包人的索赔</w:t>
      </w:r>
      <w:bookmarkEnd w:id="1393"/>
      <w:bookmarkEnd w:id="1394"/>
      <w:bookmarkEnd w:id="1395"/>
      <w:bookmarkEnd w:id="1396"/>
      <w:bookmarkEnd w:id="1397"/>
      <w:bookmarkEnd w:id="1398"/>
      <w:bookmarkEnd w:id="1399"/>
      <w:bookmarkEnd w:id="140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23.4.1 发包人应在知道或应当知道索赔事件发生后28天内，向承包人发出索赔通知，并说明发包人有权扣减的付款和（或）延长缺陷责任期的细节和依据。发包人未在前述28天内发出索赔通知的，丧失要求扣减付款和（或）延长缺陷责任期的权利。发包人提出索赔的期限和要求与第23.3 款的约定相同，要求延长缺陷责任期的通知应在缺陷责任期届满前发出。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23.4.2 发包人按第3.5 款商定或确定发包人从承包人处得到赔付的金额和（或）缺陷责任期的延长期。承包人应付给发包人的金额可从拟支付给承包人的合同价款中扣除，或由承包人以其他方式支付给发包人。</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401" w:name="_Toc410559495"/>
      <w:bookmarkStart w:id="1402" w:name="_Toc247514193"/>
      <w:bookmarkStart w:id="1403" w:name="_Toc184635121"/>
      <w:bookmarkStart w:id="1404" w:name="_Toc247527794"/>
      <w:bookmarkStart w:id="1405" w:name="_Toc300835195"/>
      <w:bookmarkStart w:id="1406" w:name="_Toc6345"/>
      <w:bookmarkStart w:id="1407" w:name="_Toc2085182991"/>
      <w:bookmarkStart w:id="1408" w:name="_Toc22733"/>
      <w:bookmarkStart w:id="1409" w:name="_Toc476860512"/>
      <w:bookmarkStart w:id="1410" w:name="_Toc411736577"/>
      <w:bookmarkStart w:id="1411" w:name="_Toc411736301"/>
      <w:bookmarkStart w:id="1412" w:name="_Toc147856213"/>
      <w:r>
        <w:rPr>
          <w:rStyle w:val="114"/>
          <w:rFonts w:hint="eastAsia"/>
          <w:bCs w:val="0"/>
          <w:color w:val="000000" w:themeColor="text1"/>
          <w:highlight w:val="none"/>
          <w14:textFill>
            <w14:solidFill>
              <w14:schemeClr w14:val="tx1"/>
            </w14:solidFill>
          </w14:textFill>
        </w:rPr>
        <w:t>24. 争议的解决</w:t>
      </w:r>
      <w:bookmarkEnd w:id="1401"/>
      <w:bookmarkEnd w:id="1402"/>
      <w:bookmarkEnd w:id="1403"/>
      <w:bookmarkEnd w:id="1404"/>
      <w:bookmarkEnd w:id="1405"/>
      <w:bookmarkEnd w:id="1406"/>
      <w:bookmarkEnd w:id="1407"/>
      <w:bookmarkEnd w:id="1408"/>
      <w:bookmarkEnd w:id="1409"/>
      <w:bookmarkEnd w:id="1410"/>
      <w:bookmarkEnd w:id="1411"/>
      <w:bookmarkEnd w:id="1412"/>
    </w:p>
    <w:p>
      <w:pPr>
        <w:pStyle w:val="6"/>
        <w:spacing w:before="240" w:after="120" w:line="360" w:lineRule="auto"/>
        <w:rPr>
          <w:color w:val="000000" w:themeColor="text1"/>
          <w:highlight w:val="none"/>
          <w14:textFill>
            <w14:solidFill>
              <w14:schemeClr w14:val="tx1"/>
            </w14:solidFill>
          </w14:textFill>
        </w:rPr>
      </w:pPr>
      <w:bookmarkStart w:id="1413" w:name="_Toc476860513"/>
      <w:bookmarkStart w:id="1414" w:name="_Toc300835196"/>
      <w:bookmarkStart w:id="1415" w:name="_Toc247514194"/>
      <w:bookmarkStart w:id="1416" w:name="_Toc884894344"/>
      <w:bookmarkStart w:id="1417" w:name="_Toc247527795"/>
      <w:bookmarkStart w:id="1418" w:name="_Toc411736578"/>
      <w:bookmarkStart w:id="1419" w:name="_Toc411736302"/>
      <w:bookmarkStart w:id="1420" w:name="_Toc410559496"/>
      <w:r>
        <w:rPr>
          <w:rFonts w:hint="eastAsia"/>
          <w:color w:val="000000" w:themeColor="text1"/>
          <w:highlight w:val="none"/>
          <w14:textFill>
            <w14:solidFill>
              <w14:schemeClr w14:val="tx1"/>
            </w14:solidFill>
          </w14:textFill>
        </w:rPr>
        <w:t>24.1 争议的解决方式</w:t>
      </w:r>
      <w:bookmarkEnd w:id="1413"/>
      <w:bookmarkEnd w:id="1414"/>
      <w:bookmarkEnd w:id="1415"/>
      <w:bookmarkEnd w:id="1416"/>
      <w:bookmarkEnd w:id="1417"/>
      <w:bookmarkEnd w:id="1418"/>
      <w:bookmarkEnd w:id="1419"/>
      <w:bookmarkEnd w:id="1420"/>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和承包人在履行合同中发生争议的，可以友好协商解决或者提请争议评审组评审。合同当事人友好协商解决不成、不愿提请争议评审或者不接受争议评审组意见的，可在专用合同条款中约定下列一种方式解决：</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（1）向约定的仲裁委员会申请仲裁；</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（2）向有管辖权的人民法院提起诉讼。</w:t>
      </w:r>
    </w:p>
    <w:p>
      <w:pPr>
        <w:pStyle w:val="6"/>
        <w:spacing w:before="240" w:after="120" w:line="360" w:lineRule="auto"/>
        <w:rPr>
          <w:color w:val="000000" w:themeColor="text1"/>
          <w:highlight w:val="none"/>
          <w14:textFill>
            <w14:solidFill>
              <w14:schemeClr w14:val="tx1"/>
            </w14:solidFill>
          </w14:textFill>
        </w:rPr>
      </w:pPr>
      <w:bookmarkStart w:id="1421" w:name="_Toc411736303"/>
      <w:bookmarkStart w:id="1422" w:name="_Toc476860514"/>
      <w:bookmarkStart w:id="1423" w:name="_Toc410559497"/>
      <w:bookmarkStart w:id="1424" w:name="_Toc247514195"/>
      <w:bookmarkStart w:id="1425" w:name="_Toc411736579"/>
      <w:bookmarkStart w:id="1426" w:name="_Toc300835197"/>
      <w:bookmarkStart w:id="1427" w:name="_Toc247527796"/>
      <w:bookmarkStart w:id="1428" w:name="_Toc1094984133"/>
      <w:r>
        <w:rPr>
          <w:rFonts w:hint="eastAsia"/>
          <w:color w:val="000000" w:themeColor="text1"/>
          <w:highlight w:val="none"/>
          <w14:textFill>
            <w14:solidFill>
              <w14:schemeClr w14:val="tx1"/>
            </w14:solidFill>
          </w14:textFill>
        </w:rPr>
        <w:t>24.2 友好解决</w:t>
      </w:r>
      <w:bookmarkEnd w:id="1421"/>
      <w:bookmarkEnd w:id="1422"/>
      <w:bookmarkEnd w:id="1423"/>
      <w:bookmarkEnd w:id="1424"/>
      <w:bookmarkEnd w:id="1425"/>
      <w:bookmarkEnd w:id="1426"/>
      <w:bookmarkEnd w:id="1427"/>
      <w:bookmarkEnd w:id="1428"/>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在提请争议评审、仲裁或者诉讼前，以及在争议评审、仲裁或诉讼过程中，发包人和承包人均可共同努力友好协商解决争议。</w:t>
      </w:r>
    </w:p>
    <w:p>
      <w:pPr>
        <w:pStyle w:val="6"/>
        <w:spacing w:before="240" w:after="120" w:line="360" w:lineRule="auto"/>
        <w:rPr>
          <w:color w:val="000000" w:themeColor="text1"/>
          <w:highlight w:val="none"/>
          <w14:textFill>
            <w14:solidFill>
              <w14:schemeClr w14:val="tx1"/>
            </w14:solidFill>
          </w14:textFill>
        </w:rPr>
      </w:pPr>
      <w:bookmarkStart w:id="1429" w:name="_Toc476860515"/>
      <w:bookmarkStart w:id="1430" w:name="_Toc1610952188"/>
      <w:bookmarkStart w:id="1431" w:name="_Toc411736580"/>
      <w:bookmarkStart w:id="1432" w:name="_Toc411736304"/>
      <w:bookmarkStart w:id="1433" w:name="_Toc247514196"/>
      <w:bookmarkStart w:id="1434" w:name="_Toc410559498"/>
      <w:bookmarkStart w:id="1435" w:name="_Toc247527797"/>
      <w:bookmarkStart w:id="1436" w:name="_Toc300835198"/>
      <w:r>
        <w:rPr>
          <w:rFonts w:hint="eastAsia"/>
          <w:color w:val="000000" w:themeColor="text1"/>
          <w:highlight w:val="none"/>
          <w14:textFill>
            <w14:solidFill>
              <w14:schemeClr w14:val="tx1"/>
            </w14:solidFill>
          </w14:textFill>
        </w:rPr>
        <w:t>24.3 争议评审</w:t>
      </w:r>
      <w:bookmarkEnd w:id="1429"/>
      <w:bookmarkEnd w:id="1430"/>
      <w:bookmarkEnd w:id="1431"/>
      <w:bookmarkEnd w:id="1432"/>
      <w:bookmarkEnd w:id="1433"/>
      <w:bookmarkEnd w:id="1434"/>
      <w:bookmarkEnd w:id="1435"/>
      <w:bookmarkEnd w:id="1436"/>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24.3.1 采用争议评审的，发包人和承包人应在开工日后的28天内或在争议发生后，协商成立争议评审组。争议评审组由有合同管理和工程实践经验的专家组成。</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24.3.2 合同双方的争议，应首先由申请人向争议评审组提交一份详细的评审申请报告，并附必要的文件、图纸和证明材料，申请人还应将上述报告的副本同时提交给被申请人和监理人。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24.3.3 被申请人在收到申请人评审申请报告副本后的28 天内，向争议评审组提交一份答辩报告，并附证明材料。被申请人应将答辩报告的副本同时提交给申请人和监理人。</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24.3.4 除专用合同条款另有约定外，争议评审组在收到合同双方报告后的14天内，邀请双方代表和有关人员举行调查会，向双方调查争议细节；必要时争议评审组可要求双方进一步提供补充材料。</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24.3.5 除专用合同条款另有约定外，在调查会结束后的14天内，争议评审组应在不受任何干扰的情况下进行独立、公正的评审，作出书面评审意见，并说明理由。在争议评审期间，争议双方暂按总监理工程师的确定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24.3.6 发包人和承包人接受评审意见的，由监理人根据评审意见拟定执行协议，经争议双方签字后作为合同的补充文件，并遵照执行。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24.3.7 发包人或承包人不接受评审意见，并要求提交仲裁或提起诉讼的，应在收到评审意见后的14 天内将仲裁或起诉意向书面通知另一方，并抄送监理人，但在仲裁或诉讼结束前应暂按总监理工程师的确定执行。</w:t>
      </w: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pPr>
    </w:p>
    <w:p>
      <w:pPr>
        <w:pStyle w:val="48"/>
        <w:spacing w:before="120" w:beforeLines="50" w:after="0" w:line="360" w:lineRule="auto"/>
        <w:ind w:left="0" w:leftChars="0" w:firstLine="420" w:firstLineChars="200"/>
        <w:rPr>
          <w:color w:val="000000" w:themeColor="text1"/>
          <w:sz w:val="21"/>
          <w:szCs w:val="21"/>
          <w:highlight w:val="none"/>
          <w14:textFill>
            <w14:solidFill>
              <w14:schemeClr w14:val="tx1"/>
            </w14:solidFill>
          </w14:textFill>
        </w:rPr>
        <w:sectPr>
          <w:pgSz w:w="11907" w:h="16840"/>
          <w:pgMar w:top="1440" w:right="1440" w:bottom="1440" w:left="1440" w:header="851" w:footer="992" w:gutter="0"/>
          <w:cols w:space="720" w:num="1"/>
          <w:docGrid w:linePitch="312" w:charSpace="0"/>
        </w:sectPr>
      </w:pPr>
    </w:p>
    <w:p>
      <w:pPr>
        <w:pStyle w:val="4"/>
        <w:spacing w:before="156" w:beforeLines="50" w:after="156" w:afterLines="50" w:line="360" w:lineRule="auto"/>
        <w:jc w:val="center"/>
        <w:rPr>
          <w:rFonts w:ascii="宋体" w:hAnsi="宋体" w:eastAsia="宋体"/>
          <w:color w:val="000000" w:themeColor="text1"/>
          <w:highlight w:val="none"/>
          <w14:textFill>
            <w14:solidFill>
              <w14:schemeClr w14:val="tx1"/>
            </w14:solidFill>
          </w14:textFill>
        </w:rPr>
      </w:pPr>
      <w:bookmarkStart w:id="1437" w:name="_Toc411736581"/>
      <w:bookmarkStart w:id="1438" w:name="_Toc476860516"/>
      <w:bookmarkStart w:id="1439" w:name="_Toc28285"/>
      <w:bookmarkStart w:id="1440" w:name="_Toc1947085987"/>
      <w:bookmarkStart w:id="1441" w:name="_Toc411736305"/>
      <w:bookmarkStart w:id="1442" w:name="_Toc21939"/>
      <w:bookmarkStart w:id="1443" w:name="_Toc147856214"/>
      <w:r>
        <w:rPr>
          <w:rFonts w:hint="eastAsia" w:ascii="宋体" w:hAnsi="宋体" w:eastAsia="宋体"/>
          <w:color w:val="000000" w:themeColor="text1"/>
          <w:highlight w:val="none"/>
          <w14:textFill>
            <w14:solidFill>
              <w14:schemeClr w14:val="tx1"/>
            </w14:solidFill>
          </w14:textFill>
        </w:rPr>
        <w:t>第三部分   专用合同条款</w:t>
      </w:r>
      <w:bookmarkEnd w:id="1437"/>
      <w:bookmarkEnd w:id="1438"/>
      <w:bookmarkEnd w:id="1439"/>
      <w:bookmarkEnd w:id="1440"/>
      <w:bookmarkEnd w:id="1441"/>
      <w:bookmarkEnd w:id="1442"/>
      <w:bookmarkEnd w:id="1443"/>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444" w:name="_Toc12105"/>
      <w:bookmarkStart w:id="1445" w:name="_Toc1318370523"/>
      <w:bookmarkStart w:id="1446" w:name="_Toc19348"/>
      <w:bookmarkStart w:id="1447" w:name="_Toc147856215"/>
      <w:r>
        <w:rPr>
          <w:rStyle w:val="114"/>
          <w:rFonts w:hint="eastAsia"/>
          <w:bCs w:val="0"/>
          <w:color w:val="000000" w:themeColor="text1"/>
          <w:highlight w:val="none"/>
          <w14:textFill>
            <w14:solidFill>
              <w14:schemeClr w14:val="tx1"/>
            </w14:solidFill>
          </w14:textFill>
        </w:rPr>
        <w:t>1. 一般约定</w:t>
      </w:r>
      <w:bookmarkEnd w:id="1444"/>
      <w:bookmarkEnd w:id="1445"/>
      <w:bookmarkEnd w:id="1446"/>
      <w:bookmarkEnd w:id="1447"/>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 词语定义</w:t>
      </w:r>
    </w:p>
    <w:p>
      <w:pPr>
        <w:autoSpaceDE w:val="0"/>
        <w:autoSpaceDN w:val="0"/>
        <w:adjustRightInd w:val="0"/>
        <w:spacing w:before="156" w:beforeLines="50" w:after="156" w:afterLines="50" w:line="360" w:lineRule="auto"/>
        <w:ind w:firstLine="422" w:firstLineChars="200"/>
        <w:jc w:val="left"/>
        <w:rPr>
          <w:rFonts w:ascii="宋体" w:hAnsi="宋体"/>
          <w:b/>
          <w:bCs/>
          <w:color w:val="000000" w:themeColor="text1"/>
          <w:kern w:val="0"/>
          <w:szCs w:val="21"/>
          <w:highlight w:val="none"/>
          <w:lang w:eastAsia="zh-Hans"/>
          <w14:textFill>
            <w14:solidFill>
              <w14:schemeClr w14:val="tx1"/>
            </w14:solidFill>
          </w14:textFill>
        </w:rPr>
      </w:pPr>
      <w:r>
        <w:rPr>
          <w:rFonts w:ascii="宋体" w:hAnsi="宋体"/>
          <w:b/>
          <w:bCs/>
          <w:color w:val="000000" w:themeColor="text1"/>
          <w:kern w:val="0"/>
          <w:szCs w:val="21"/>
          <w:highlight w:val="none"/>
          <w14:textFill>
            <w14:solidFill>
              <w14:schemeClr w14:val="tx1"/>
            </w14:solidFill>
          </w14:textFill>
        </w:rPr>
        <w:t xml:space="preserve">1.1.1 </w:t>
      </w:r>
      <w:r>
        <w:rPr>
          <w:rFonts w:hint="eastAsia" w:ascii="宋体" w:hAnsi="宋体"/>
          <w:color w:val="000000" w:themeColor="text1"/>
          <w:kern w:val="0"/>
          <w:szCs w:val="21"/>
          <w:highlight w:val="none"/>
          <w:lang w:eastAsia="zh-Hans"/>
          <w14:textFill>
            <w14:solidFill>
              <w14:schemeClr w14:val="tx1"/>
            </w14:solidFill>
          </w14:textFill>
        </w:rPr>
        <w:t>合同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1.1.1.1 合同文件（或称合同）：指合同协议书、中标通知书、投标函及投标函附录、专用合同条款、通用合同条款、发包人要求、价格清单、招标文件、投标文件，以及其他构成合同组成部分的文件。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1.1.1.4 投标函：本合同特指《投标函》。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1.1.1.7 价格清单：指以补充协议形式修正合同价款时按规定的格式和要求填写并标明价格的清单。</w:t>
      </w:r>
    </w:p>
    <w:p>
      <w:pPr>
        <w:autoSpaceDE w:val="0"/>
        <w:autoSpaceDN w:val="0"/>
        <w:adjustRightInd w:val="0"/>
        <w:spacing w:before="156" w:beforeLines="50" w:after="156" w:afterLines="50" w:line="360" w:lineRule="auto"/>
        <w:ind w:firstLine="420" w:firstLineChars="200"/>
        <w:jc w:val="left"/>
        <w:rPr>
          <w:rFonts w:ascii="宋体" w:hAnsi="宋体"/>
          <w:b/>
          <w:bCs/>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1.1.1.8 承包人建议书：</w:t>
      </w:r>
      <w:r>
        <w:rPr>
          <w:rFonts w:hint="eastAsia" w:ascii="宋体" w:hAnsi="宋体" w:cs="宋体"/>
          <w:color w:val="000000" w:themeColor="text1"/>
          <w:kern w:val="0"/>
          <w:szCs w:val="21"/>
          <w:highlight w:val="none"/>
          <w:u w:val="single"/>
          <w14:textFill>
            <w14:solidFill>
              <w14:schemeClr w14:val="tx1"/>
            </w14:solidFill>
          </w14:textFill>
        </w:rPr>
        <w:t>（本合同不适用）</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2"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b/>
          <w:bCs/>
          <w:color w:val="000000" w:themeColor="text1"/>
          <w:kern w:val="0"/>
          <w:szCs w:val="21"/>
          <w:highlight w:val="none"/>
          <w14:textFill>
            <w14:solidFill>
              <w14:schemeClr w14:val="tx1"/>
            </w14:solidFill>
          </w14:textFill>
        </w:rPr>
        <w:t xml:space="preserve">1.1.2 </w:t>
      </w:r>
      <w:r>
        <w:rPr>
          <w:rFonts w:hint="eastAsia" w:ascii="宋体" w:hAnsi="宋体" w:cs="宋体"/>
          <w:color w:val="000000" w:themeColor="text1"/>
          <w:kern w:val="0"/>
          <w:szCs w:val="21"/>
          <w:highlight w:val="none"/>
          <w14:textFill>
            <w14:solidFill>
              <w14:schemeClr w14:val="tx1"/>
            </w14:solidFill>
          </w14:textFill>
        </w:rPr>
        <w:t>合同当事人和人员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1.1.2.2 发包人：本合同发包人为</w:t>
      </w:r>
      <w:r>
        <w:rPr>
          <w:rFonts w:hint="eastAsia" w:ascii="宋体" w:hAnsi="宋体" w:cs="宋体"/>
          <w:color w:val="000000" w:themeColor="text1"/>
          <w:kern w:val="0"/>
          <w:szCs w:val="21"/>
          <w:highlight w:val="none"/>
          <w:u w:val="single"/>
          <w14:textFill>
            <w14:solidFill>
              <w14:schemeClr w14:val="tx1"/>
            </w14:solidFill>
          </w14:textFill>
        </w:rPr>
        <w:t xml:space="preserve"> 广州南沙交通投资集团有限公司</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1.1.2.3 承包人：本合同承包人为</w:t>
      </w:r>
      <w:r>
        <w:rPr>
          <w:rFonts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1.1.2.4 承包人项目经理：本合同项目经理（项目负责人）为</w:t>
      </w:r>
      <w:r>
        <w:rPr>
          <w:rFonts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。负责项目设计施工总承包全面组织工作。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1.1.2.5 设计负责人：本合同设计负责人为</w:t>
      </w:r>
      <w:r>
        <w:rPr>
          <w:rFonts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。负责项目设计管理工作。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 xml:space="preserve">1.1.2.6 </w:t>
      </w:r>
      <w:r>
        <w:rPr>
          <w:rFonts w:hint="eastAsia" w:ascii="宋体" w:hAnsi="宋体" w:cs="宋体"/>
          <w:color w:val="000000" w:themeColor="text1"/>
          <w:szCs w:val="21"/>
          <w:highlight w:val="none"/>
          <w14:textFill>
            <w14:solidFill>
              <w14:schemeClr w14:val="tx1"/>
            </w14:solidFill>
          </w14:textFill>
        </w:rPr>
        <w:t>施工负责人：本合同施工负责人为</w:t>
      </w:r>
      <w:r>
        <w:rPr>
          <w:rFonts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。负责项目施工管理工作。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1.1.2.7 施工技术负责人：本合同施工技术负责人为</w:t>
      </w:r>
      <w:r>
        <w:rPr>
          <w:rFonts w:ascii="宋体" w:hAnsi="宋体" w:cs="宋体"/>
          <w:color w:val="000000" w:themeColor="text1"/>
          <w:szCs w:val="21"/>
          <w:highlight w:val="none"/>
          <w:u w:val="singl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。负责项目施工技术管理工作。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1.1.2.8 分包人</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经发包人批准的专业工程分包单位。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1.1.2.9 监理人：本合同监理人为</w:t>
      </w:r>
      <w:r>
        <w:rPr>
          <w:rFonts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1.1.2.10 总监理工程师：本合同总监理工程师为</w:t>
      </w:r>
      <w:r>
        <w:rPr>
          <w:rFonts w:ascii="宋体" w:hAnsi="宋体" w:cs="宋体"/>
          <w:color w:val="000000" w:themeColor="text1"/>
          <w:kern w:val="0"/>
          <w:szCs w:val="21"/>
          <w:highlight w:val="none"/>
          <w:u w:val="singl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2"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b/>
          <w:bCs/>
          <w:color w:val="000000" w:themeColor="text1"/>
          <w:kern w:val="0"/>
          <w:szCs w:val="21"/>
          <w:highlight w:val="none"/>
          <w14:textFill>
            <w14:solidFill>
              <w14:schemeClr w14:val="tx1"/>
            </w14:solidFill>
          </w14:textFill>
        </w:rPr>
        <w:t xml:space="preserve">1.1.3 </w:t>
      </w:r>
      <w:r>
        <w:rPr>
          <w:rFonts w:hint="eastAsia" w:ascii="宋体" w:hAnsi="宋体"/>
          <w:bCs/>
          <w:color w:val="000000" w:themeColor="text1"/>
          <w:kern w:val="0"/>
          <w:szCs w:val="21"/>
          <w:highlight w:val="none"/>
          <w14:textFill>
            <w14:solidFill>
              <w14:schemeClr w14:val="tx1"/>
            </w14:solidFill>
          </w14:textFill>
        </w:rPr>
        <w:t>工程和设备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lang w:eastAsia="zh-Hans"/>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1.1.3.4 工程包括：</w:t>
      </w:r>
      <w:r>
        <w:rPr>
          <w:rFonts w:hint="eastAsia" w:ascii="宋体" w:hAnsi="宋体" w:cs="宋体"/>
          <w:color w:val="000000" w:themeColor="text1"/>
          <w:kern w:val="0"/>
          <w:szCs w:val="21"/>
          <w:highlight w:val="none"/>
          <w:u w:val="single"/>
          <w14:textFill>
            <w14:solidFill>
              <w14:schemeClr w14:val="tx1"/>
            </w14:solidFill>
          </w14:textFill>
        </w:rPr>
        <w:t>本合同工程</w:t>
      </w:r>
      <w:r>
        <w:rPr>
          <w:rFonts w:hint="eastAsia" w:ascii="宋体" w:hAnsi="宋体" w:cs="宋体"/>
          <w:color w:val="000000" w:themeColor="text1"/>
          <w:kern w:val="0"/>
          <w:szCs w:val="21"/>
          <w:highlight w:val="none"/>
          <w:lang w:eastAsia="zh-Hans"/>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1.1.3.9 </w:t>
      </w:r>
      <w:r>
        <w:rPr>
          <w:rFonts w:hint="eastAsia" w:ascii="宋体" w:hAnsi="宋体" w:cs="宋体"/>
          <w:color w:val="000000" w:themeColor="text1"/>
          <w:kern w:val="0"/>
          <w:szCs w:val="21"/>
          <w:highlight w:val="none"/>
          <w14:textFill>
            <w14:solidFill>
              <w14:schemeClr w14:val="tx1"/>
            </w14:solidFill>
          </w14:textFill>
        </w:rPr>
        <w:t>作为施工现场组成部分的其他场所包括：</w:t>
      </w:r>
      <w:r>
        <w:rPr>
          <w:rFonts w:hint="eastAsia" w:ascii="宋体" w:hAnsi="宋体" w:cs="宋体"/>
          <w:color w:val="000000" w:themeColor="text1"/>
          <w:kern w:val="0"/>
          <w:szCs w:val="21"/>
          <w:highlight w:val="none"/>
          <w:u w:val="single"/>
          <w14:textFill>
            <w14:solidFill>
              <w14:schemeClr w14:val="tx1"/>
            </w14:solidFill>
          </w14:textFill>
        </w:rPr>
        <w:t>承包人为实施本项目并在项目红线外所搭建的临时设施、构配件加工场等</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1.1.3.10 </w:t>
      </w:r>
      <w:r>
        <w:rPr>
          <w:rFonts w:hint="eastAsia" w:ascii="宋体" w:hAnsi="宋体" w:cs="宋体"/>
          <w:color w:val="000000" w:themeColor="text1"/>
          <w:kern w:val="0"/>
          <w:szCs w:val="21"/>
          <w:highlight w:val="none"/>
          <w14:textFill>
            <w14:solidFill>
              <w14:schemeClr w14:val="tx1"/>
            </w14:solidFill>
          </w14:textFill>
        </w:rPr>
        <w:t>永久占地包括：</w:t>
      </w:r>
      <w:r>
        <w:rPr>
          <w:rFonts w:hint="eastAsia" w:ascii="宋体" w:hAnsi="宋体" w:cs="宋体"/>
          <w:color w:val="000000" w:themeColor="text1"/>
          <w:kern w:val="0"/>
          <w:szCs w:val="21"/>
          <w:highlight w:val="none"/>
          <w:u w:val="single"/>
          <w14:textFill>
            <w14:solidFill>
              <w14:schemeClr w14:val="tx1"/>
            </w14:solidFill>
          </w14:textFill>
        </w:rPr>
        <w:t>本项目建设用地批准书或国有土地使用权证明确的建设用地，以及设计图纸中涉及需要使用的建设用地</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lang w:eastAsia="zh-Hans"/>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1.1.3.11 </w:t>
      </w:r>
      <w:r>
        <w:rPr>
          <w:rFonts w:hint="eastAsia" w:ascii="宋体" w:hAnsi="宋体" w:cs="宋体"/>
          <w:color w:val="000000" w:themeColor="text1"/>
          <w:kern w:val="0"/>
          <w:szCs w:val="21"/>
          <w:highlight w:val="none"/>
          <w14:textFill>
            <w14:solidFill>
              <w14:schemeClr w14:val="tx1"/>
            </w14:solidFill>
          </w14:textFill>
        </w:rPr>
        <w:t>临时占地包括：</w:t>
      </w:r>
      <w:r>
        <w:rPr>
          <w:rFonts w:hint="eastAsia" w:ascii="宋体" w:hAnsi="宋体" w:cs="宋体"/>
          <w:color w:val="000000" w:themeColor="text1"/>
          <w:kern w:val="0"/>
          <w:szCs w:val="21"/>
          <w:highlight w:val="none"/>
          <w:u w:val="single"/>
          <w14:textFill>
            <w14:solidFill>
              <w14:schemeClr w14:val="tx1"/>
            </w14:solidFill>
          </w14:textFill>
        </w:rPr>
        <w:t>承包人为实施本项目需要临时占用的土地</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2"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b/>
          <w:bCs/>
          <w:color w:val="000000" w:themeColor="text1"/>
          <w:kern w:val="0"/>
          <w:szCs w:val="21"/>
          <w:highlight w:val="none"/>
          <w14:textFill>
            <w14:solidFill>
              <w14:schemeClr w14:val="tx1"/>
            </w14:solidFill>
          </w14:textFill>
        </w:rPr>
        <w:t xml:space="preserve">1.1.4 </w:t>
      </w:r>
      <w:r>
        <w:rPr>
          <w:rFonts w:hint="eastAsia" w:ascii="宋体" w:hAnsi="宋体" w:cs="宋体"/>
          <w:color w:val="000000" w:themeColor="text1"/>
          <w:kern w:val="0"/>
          <w:szCs w:val="21"/>
          <w:highlight w:val="none"/>
          <w14:textFill>
            <w14:solidFill>
              <w14:schemeClr w14:val="tx1"/>
            </w14:solidFill>
          </w14:textFill>
        </w:rPr>
        <w:t>日期、检验和竣工</w:t>
      </w:r>
    </w:p>
    <w:p>
      <w:pPr>
        <w:autoSpaceDE w:val="0"/>
        <w:autoSpaceDN w:val="0"/>
        <w:adjustRightInd w:val="0"/>
        <w:spacing w:before="156" w:beforeLines="50" w:after="156" w:afterLines="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1.1.4.5 缺陷责任期：</w:t>
      </w:r>
      <w:r>
        <w:rPr>
          <w:rFonts w:hint="eastAsia" w:ascii="宋体" w:hAnsi="宋体"/>
          <w:color w:val="000000" w:themeColor="text1"/>
          <w:szCs w:val="21"/>
          <w:highlight w:val="none"/>
          <w:u w:val="single"/>
          <w14:textFill>
            <w14:solidFill>
              <w14:schemeClr w14:val="tx1"/>
            </w14:solidFill>
          </w14:textFill>
        </w:rPr>
        <w:t>2年</w:t>
      </w:r>
      <w:r>
        <w:rPr>
          <w:rFonts w:hint="eastAsia" w:ascii="宋体" w:hAnsi="宋体"/>
          <w:color w:val="000000" w:themeColor="text1"/>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1.1.4.6 </w:t>
      </w:r>
      <w:r>
        <w:rPr>
          <w:rFonts w:hint="eastAsia" w:ascii="宋体" w:hAnsi="宋体" w:cs="宋体"/>
          <w:color w:val="000000" w:themeColor="text1"/>
          <w:kern w:val="0"/>
          <w:szCs w:val="21"/>
          <w:highlight w:val="none"/>
          <w14:textFill>
            <w14:solidFill>
              <w14:schemeClr w14:val="tx1"/>
            </w14:solidFill>
          </w14:textFill>
        </w:rPr>
        <w:t>基准日期：</w:t>
      </w:r>
      <w:r>
        <w:rPr>
          <w:rFonts w:hint="eastAsia" w:ascii="宋体" w:hAnsi="宋体" w:cs="宋体"/>
          <w:color w:val="000000" w:themeColor="text1"/>
          <w:kern w:val="0"/>
          <w:szCs w:val="21"/>
          <w:highlight w:val="none"/>
          <w:u w:val="single"/>
          <w14:textFill>
            <w14:solidFill>
              <w14:schemeClr w14:val="tx1"/>
            </w14:solidFill>
          </w14:textFill>
        </w:rPr>
        <w:t>原则上以工程实际开工日期为基准日期（实际开工日期以总监理工程师发出的开工通知或批准的开工报告中载明的开工日期为准）</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2"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b/>
          <w:bCs/>
          <w:color w:val="000000" w:themeColor="text1"/>
          <w:kern w:val="0"/>
          <w:szCs w:val="21"/>
          <w:highlight w:val="none"/>
          <w14:textFill>
            <w14:solidFill>
              <w14:schemeClr w14:val="tx1"/>
            </w14:solidFill>
          </w14:textFill>
        </w:rPr>
        <w:t xml:space="preserve">1.1.5 </w:t>
      </w:r>
      <w:r>
        <w:rPr>
          <w:rFonts w:hint="eastAsia" w:ascii="宋体" w:hAnsi="宋体" w:cs="宋体"/>
          <w:color w:val="000000" w:themeColor="text1"/>
          <w:kern w:val="0"/>
          <w:szCs w:val="21"/>
          <w:highlight w:val="none"/>
          <w14:textFill>
            <w14:solidFill>
              <w14:schemeClr w14:val="tx1"/>
            </w14:solidFill>
          </w14:textFill>
        </w:rPr>
        <w:t>合同价格和费用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1.1.5.4 暂列金额：</w:t>
      </w:r>
      <w:r>
        <w:rPr>
          <w:rFonts w:hint="eastAsia" w:ascii="宋体" w:hAnsi="宋体" w:cs="宋体"/>
          <w:color w:val="000000" w:themeColor="text1"/>
          <w:kern w:val="0"/>
          <w:szCs w:val="21"/>
          <w:highlight w:val="none"/>
          <w:u w:val="single"/>
          <w14:textFill>
            <w14:solidFill>
              <w14:schemeClr w14:val="tx1"/>
            </w14:solidFill>
          </w14:textFill>
        </w:rPr>
        <w:t>本合同不适用</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1.1.5.5 暂估价：</w:t>
      </w:r>
      <w:r>
        <w:rPr>
          <w:rFonts w:hint="eastAsia" w:ascii="宋体" w:hAnsi="宋体" w:cs="宋体"/>
          <w:color w:val="000000" w:themeColor="text1"/>
          <w:kern w:val="0"/>
          <w:szCs w:val="21"/>
          <w:highlight w:val="none"/>
          <w:u w:val="single"/>
          <w14:textFill>
            <w14:solidFill>
              <w14:schemeClr w14:val="tx1"/>
            </w14:solidFill>
          </w14:textFill>
        </w:rPr>
        <w:t>本合同不适用</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1.1.5.6 计日工：</w:t>
      </w:r>
      <w:r>
        <w:rPr>
          <w:rFonts w:hint="eastAsia" w:ascii="宋体" w:hAnsi="宋体" w:cs="宋体"/>
          <w:color w:val="000000" w:themeColor="text1"/>
          <w:kern w:val="0"/>
          <w:szCs w:val="21"/>
          <w:highlight w:val="none"/>
          <w:u w:val="single"/>
          <w14:textFill>
            <w14:solidFill>
              <w14:schemeClr w14:val="tx1"/>
            </w14:solidFill>
          </w14:textFill>
        </w:rPr>
        <w:t>本合同除另有约定外，不采用计日工方式计量及支付</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2" w:firstLineChars="200"/>
        <w:jc w:val="left"/>
        <w:rPr>
          <w:rFonts w:ascii="宋体" w:hAnsi="宋体"/>
          <w:b/>
          <w:bCs/>
          <w:color w:val="000000" w:themeColor="text1"/>
          <w:kern w:val="0"/>
          <w:szCs w:val="21"/>
          <w:highlight w:val="none"/>
          <w14:textFill>
            <w14:solidFill>
              <w14:schemeClr w14:val="tx1"/>
            </w14:solidFill>
          </w14:textFill>
        </w:rPr>
      </w:pPr>
      <w:r>
        <w:rPr>
          <w:rFonts w:hint="eastAsia" w:ascii="宋体" w:hAnsi="宋体"/>
          <w:b/>
          <w:bCs/>
          <w:color w:val="000000" w:themeColor="text1"/>
          <w:kern w:val="0"/>
          <w:szCs w:val="21"/>
          <w:highlight w:val="none"/>
          <w14:textFill>
            <w14:solidFill>
              <w14:schemeClr w14:val="tx1"/>
            </w14:solidFill>
          </w14:textFill>
        </w:rPr>
        <w:t>1.1.6 其他</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1.1.6.3 变更：</w:t>
      </w:r>
      <w:r>
        <w:rPr>
          <w:rFonts w:hint="eastAsia" w:ascii="宋体" w:hAnsi="宋体" w:cs="宋体"/>
          <w:color w:val="000000" w:themeColor="text1"/>
          <w:kern w:val="0"/>
          <w:szCs w:val="21"/>
          <w:highlight w:val="none"/>
          <w:u w:val="single"/>
          <w14:textFill>
            <w14:solidFill>
              <w14:schemeClr w14:val="tx1"/>
            </w14:solidFill>
          </w14:textFill>
        </w:rPr>
        <w:t>本合同的变更均是指在承包人的施工图纸经发包人及政府相关部门批准后，根据第</w:t>
      </w:r>
      <w:r>
        <w:rPr>
          <w:rFonts w:ascii="宋体" w:hAnsi="宋体" w:cs="宋体"/>
          <w:color w:val="000000" w:themeColor="text1"/>
          <w:kern w:val="0"/>
          <w:szCs w:val="21"/>
          <w:highlight w:val="none"/>
          <w:u w:val="single"/>
          <w14:textFill>
            <w14:solidFill>
              <w14:schemeClr w14:val="tx1"/>
            </w14:solidFill>
          </w14:textFill>
        </w:rPr>
        <w:t xml:space="preserve">15 </w:t>
      </w:r>
      <w:r>
        <w:rPr>
          <w:rFonts w:hint="eastAsia" w:ascii="宋体" w:hAnsi="宋体" w:cs="宋体"/>
          <w:color w:val="000000" w:themeColor="text1"/>
          <w:kern w:val="0"/>
          <w:szCs w:val="21"/>
          <w:highlight w:val="none"/>
          <w:u w:val="single"/>
          <w14:textFill>
            <w14:solidFill>
              <w14:schemeClr w14:val="tx1"/>
            </w14:solidFill>
          </w14:textFill>
        </w:rPr>
        <w:t>条的约定，经指示或批准对发包人要求的改变</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after="120" w:line="360" w:lineRule="auto"/>
        <w:ind w:firstLine="118"/>
        <w:rPr>
          <w:color w:val="000000" w:themeColor="text1"/>
          <w:highlight w:val="none"/>
          <w14:textFill>
            <w14:solidFill>
              <w14:schemeClr w14:val="tx1"/>
            </w14:solidFill>
          </w14:textFill>
        </w:rPr>
      </w:pPr>
      <w:bookmarkStart w:id="1448" w:name="_Toc143623679"/>
      <w:bookmarkStart w:id="1449" w:name="_Toc11297"/>
      <w:r>
        <w:rPr>
          <w:color w:val="000000" w:themeColor="text1"/>
          <w:highlight w:val="none"/>
          <w14:textFill>
            <w14:solidFill>
              <w14:schemeClr w14:val="tx1"/>
            </w14:solidFill>
          </w14:textFill>
        </w:rPr>
        <w:t xml:space="preserve">1.3 </w:t>
      </w:r>
      <w:r>
        <w:rPr>
          <w:rFonts w:hint="eastAsia"/>
          <w:color w:val="000000" w:themeColor="text1"/>
          <w:highlight w:val="none"/>
          <w14:textFill>
            <w14:solidFill>
              <w14:schemeClr w14:val="tx1"/>
            </w14:solidFill>
          </w14:textFill>
        </w:rPr>
        <w:t>法律</w:t>
      </w:r>
      <w:bookmarkEnd w:id="1448"/>
      <w:bookmarkEnd w:id="1449"/>
    </w:p>
    <w:p>
      <w:pPr>
        <w:tabs>
          <w:tab w:val="left" w:pos="1134"/>
        </w:tabs>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w:t>
      </w:r>
      <w:r>
        <w:rPr>
          <w:rFonts w:ascii="宋体" w:hAnsi="宋体" w:cs="宋体"/>
          <w:color w:val="000000" w:themeColor="text1"/>
          <w:kern w:val="0"/>
          <w:szCs w:val="21"/>
          <w:highlight w:val="none"/>
          <w14:textFill>
            <w14:solidFill>
              <w14:schemeClr w14:val="tx1"/>
            </w14:solidFill>
          </w14:textFill>
        </w:rPr>
        <w:t>1.3款增加如下内容：</w:t>
      </w:r>
    </w:p>
    <w:p>
      <w:pPr>
        <w:tabs>
          <w:tab w:val="left" w:pos="1134"/>
        </w:tabs>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合同当事人约定适用于合同的其他规范性文件是指：国家、广东省、广州市、南沙区发布的各类现行有效的规范性文件。</w:t>
      </w:r>
    </w:p>
    <w:p>
      <w:pPr>
        <w:autoSpaceDE w:val="0"/>
        <w:autoSpaceDN w:val="0"/>
        <w:adjustRightInd w:val="0"/>
        <w:spacing w:before="156" w:beforeLines="50" w:after="156" w:afterLines="50" w:line="360" w:lineRule="auto"/>
        <w:ind w:firstLine="420" w:firstLineChars="200"/>
        <w:jc w:val="left"/>
        <w:rPr>
          <w:rFonts w:ascii="仿宋" w:hAnsi="仿宋" w:eastAsia="仿宋" w:cs="仿宋"/>
          <w:color w:val="000000" w:themeColor="text1"/>
          <w:sz w:val="24"/>
          <w:szCs w:val="24"/>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双方一致同意通用合同条款增加第</w:t>
      </w:r>
      <w:r>
        <w:rPr>
          <w:rFonts w:ascii="宋体" w:hAnsi="宋体" w:cs="宋体"/>
          <w:color w:val="000000" w:themeColor="text1"/>
          <w:kern w:val="0"/>
          <w:szCs w:val="21"/>
          <w:highlight w:val="none"/>
          <w14:textFill>
            <w14:solidFill>
              <w14:schemeClr w14:val="tx1"/>
            </w14:solidFill>
          </w14:textFill>
        </w:rPr>
        <w:t>1.3.1项：</w:t>
      </w:r>
    </w:p>
    <w:p>
      <w:pPr>
        <w:autoSpaceDE w:val="0"/>
        <w:autoSpaceDN w:val="0"/>
        <w:adjustRightInd w:val="0"/>
        <w:spacing w:before="156" w:beforeLines="50" w:after="156" w:afterLines="50" w:line="360" w:lineRule="auto"/>
        <w:ind w:firstLine="422" w:firstLineChars="200"/>
        <w:jc w:val="left"/>
        <w:rPr>
          <w:rFonts w:ascii="宋体" w:hAnsi="宋体"/>
          <w:b/>
          <w:bCs/>
          <w:color w:val="000000" w:themeColor="text1"/>
          <w:kern w:val="0"/>
          <w:szCs w:val="21"/>
          <w:highlight w:val="none"/>
          <w14:textFill>
            <w14:solidFill>
              <w14:schemeClr w14:val="tx1"/>
            </w14:solidFill>
          </w14:textFill>
        </w:rPr>
      </w:pPr>
      <w:bookmarkStart w:id="1450" w:name="_Toc351203499"/>
      <w:bookmarkStart w:id="1451" w:name="_Toc518053269"/>
      <w:bookmarkStart w:id="1452" w:name="_Toc521180282"/>
      <w:bookmarkStart w:id="1453" w:name="_Toc11083"/>
      <w:bookmarkStart w:id="1454" w:name="_Toc522004890"/>
      <w:bookmarkStart w:id="1455" w:name="_Toc3495832"/>
      <w:bookmarkStart w:id="1456" w:name="_Toc8382"/>
      <w:bookmarkStart w:id="1457" w:name="_Toc15477"/>
      <w:bookmarkStart w:id="1458" w:name="_Toc28379"/>
      <w:bookmarkStart w:id="1459" w:name="_Toc6029"/>
      <w:bookmarkStart w:id="1460" w:name="_Toc22953"/>
      <w:bookmarkStart w:id="1461" w:name="_Toc3495562"/>
      <w:r>
        <w:rPr>
          <w:rFonts w:ascii="宋体" w:hAnsi="宋体"/>
          <w:b/>
          <w:bCs/>
          <w:color w:val="000000" w:themeColor="text1"/>
          <w:kern w:val="0"/>
          <w:szCs w:val="21"/>
          <w:highlight w:val="none"/>
          <w14:textFill>
            <w14:solidFill>
              <w14:schemeClr w14:val="tx1"/>
            </w14:solidFill>
          </w14:textFill>
        </w:rPr>
        <w:t>1.3.1 标准和规范</w:t>
      </w:r>
      <w:bookmarkEnd w:id="1450"/>
      <w:bookmarkEnd w:id="1451"/>
      <w:bookmarkEnd w:id="1452"/>
      <w:bookmarkEnd w:id="1453"/>
      <w:bookmarkEnd w:id="1454"/>
      <w:bookmarkEnd w:id="1455"/>
      <w:bookmarkEnd w:id="1456"/>
      <w:bookmarkEnd w:id="1457"/>
      <w:bookmarkEnd w:id="1458"/>
      <w:bookmarkEnd w:id="1459"/>
      <w:bookmarkEnd w:id="1460"/>
      <w:bookmarkEnd w:id="1461"/>
    </w:p>
    <w:p>
      <w:pPr>
        <w:autoSpaceDE w:val="0"/>
        <w:autoSpaceDN w:val="0"/>
        <w:adjustRightInd w:val="0"/>
        <w:spacing w:line="360" w:lineRule="auto"/>
        <w:ind w:firstLine="420" w:firstLineChars="200"/>
        <w:jc w:val="left"/>
        <w:rPr>
          <w:rFonts w:ascii="宋体" w:hAnsi="宋体" w:cs="仿宋"/>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w:t>
      </w:r>
      <w:r>
        <w:rPr>
          <w:rFonts w:ascii="宋体" w:hAnsi="宋体" w:cs="仿宋"/>
          <w:color w:val="000000" w:themeColor="text1"/>
          <w:kern w:val="0"/>
          <w:szCs w:val="21"/>
          <w:highlight w:val="none"/>
          <w14:textFill>
            <w14:solidFill>
              <w14:schemeClr w14:val="tx1"/>
            </w14:solidFill>
          </w14:textFill>
        </w:rPr>
        <w:t>1）适用于工程的国家标准、行业标准、工程所在地的地方性标准，以及相应的规范、规程等。</w:t>
      </w:r>
    </w:p>
    <w:p>
      <w:pPr>
        <w:autoSpaceDE w:val="0"/>
        <w:autoSpaceDN w:val="0"/>
        <w:adjustRightInd w:val="0"/>
        <w:spacing w:line="360" w:lineRule="auto"/>
        <w:ind w:firstLine="420" w:firstLineChars="200"/>
        <w:jc w:val="left"/>
        <w:rPr>
          <w:rFonts w:ascii="宋体" w:hAnsi="宋体" w:cs="仿宋"/>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w:t>
      </w:r>
      <w:r>
        <w:rPr>
          <w:rFonts w:ascii="宋体" w:hAnsi="宋体" w:cs="仿宋"/>
          <w:color w:val="000000" w:themeColor="text1"/>
          <w:kern w:val="0"/>
          <w:szCs w:val="21"/>
          <w:highlight w:val="none"/>
          <w14:textFill>
            <w14:solidFill>
              <w14:schemeClr w14:val="tx1"/>
            </w14:solidFill>
          </w14:textFill>
        </w:rPr>
        <w:t>2）国家、广东省、广州市及南沙区现行有效的建设项目有关标准、规范及规定。</w:t>
      </w:r>
    </w:p>
    <w:p>
      <w:pPr>
        <w:autoSpaceDE w:val="0"/>
        <w:autoSpaceDN w:val="0"/>
        <w:adjustRightInd w:val="0"/>
        <w:spacing w:line="360" w:lineRule="auto"/>
        <w:ind w:firstLine="420" w:firstLineChars="200"/>
        <w:jc w:val="left"/>
        <w:rPr>
          <w:rFonts w:ascii="宋体" w:hAnsi="宋体" w:cs="仿宋"/>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w:t>
      </w:r>
      <w:r>
        <w:rPr>
          <w:rFonts w:ascii="宋体" w:hAnsi="宋体" w:cs="仿宋"/>
          <w:color w:val="000000" w:themeColor="text1"/>
          <w:kern w:val="0"/>
          <w:szCs w:val="21"/>
          <w:highlight w:val="none"/>
          <w14:textFill>
            <w14:solidFill>
              <w14:schemeClr w14:val="tx1"/>
            </w14:solidFill>
          </w14:textFill>
        </w:rPr>
        <w:t>3）若现行标准、规范不能完全满足本工程施工需要的，由发包人根据本工程的具体情况并参照近期同类项目，组织或聘请专家进行编制、论证并制定配套标准、规范，且经发包人按照有关程序审批后执行。如果承包人需要对</w:t>
      </w:r>
      <w:r>
        <w:rPr>
          <w:rFonts w:hint="eastAsia" w:ascii="宋体" w:hAnsi="宋体" w:cs="仿宋"/>
          <w:color w:val="000000" w:themeColor="text1"/>
          <w:kern w:val="0"/>
          <w:szCs w:val="21"/>
          <w:highlight w:val="none"/>
          <w14:textFill>
            <w14:solidFill>
              <w14:schemeClr w14:val="tx1"/>
            </w14:solidFill>
          </w14:textFill>
        </w:rPr>
        <w:t>实施标准、规范进行研发试验的，或需对施工人员进行特殊培训的，费用已包含在合同价中，发包人不另行支付。</w:t>
      </w:r>
    </w:p>
    <w:p>
      <w:pPr>
        <w:autoSpaceDE w:val="0"/>
        <w:autoSpaceDN w:val="0"/>
        <w:adjustRightInd w:val="0"/>
        <w:spacing w:line="360" w:lineRule="auto"/>
        <w:ind w:firstLine="420" w:firstLineChars="200"/>
        <w:jc w:val="left"/>
        <w:rPr>
          <w:rFonts w:ascii="宋体" w:hAnsi="宋体" w:cs="仿宋"/>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w:t>
      </w:r>
      <w:r>
        <w:rPr>
          <w:rFonts w:ascii="宋体" w:hAnsi="宋体" w:cs="仿宋"/>
          <w:color w:val="000000" w:themeColor="text1"/>
          <w:kern w:val="0"/>
          <w:szCs w:val="21"/>
          <w:highlight w:val="none"/>
          <w14:textFill>
            <w14:solidFill>
              <w14:schemeClr w14:val="tx1"/>
            </w14:solidFill>
          </w14:textFill>
        </w:rPr>
        <w:t>4）发包人要求使用国外标准、规范的，发包人负责提供原文版本和中文译本。</w:t>
      </w:r>
    </w:p>
    <w:p>
      <w:pPr>
        <w:autoSpaceDE w:val="0"/>
        <w:autoSpaceDN w:val="0"/>
        <w:adjustRightInd w:val="0"/>
        <w:spacing w:line="360" w:lineRule="auto"/>
        <w:ind w:firstLine="420" w:firstLineChars="200"/>
        <w:jc w:val="left"/>
        <w:rPr>
          <w:rFonts w:ascii="宋体" w:hAnsi="宋体" w:cs="仿宋"/>
          <w:b/>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w:t>
      </w:r>
      <w:r>
        <w:rPr>
          <w:rFonts w:ascii="宋体" w:hAnsi="宋体" w:cs="仿宋"/>
          <w:color w:val="000000" w:themeColor="text1"/>
          <w:kern w:val="0"/>
          <w:szCs w:val="21"/>
          <w:highlight w:val="none"/>
          <w14:textFill>
            <w14:solidFill>
              <w14:schemeClr w14:val="tx1"/>
            </w14:solidFill>
          </w14:textFill>
        </w:rPr>
        <w:t>5）发包人对工程的技术标准、功能要求高于或严于现行国家、行业或地方标准的，发包人以书面提出。除合同条款另有约定外，应视为承包人在签订合同前已充分预见前述技术标准和功能要求的复杂程度，签约合同价中已包含由此产生的费用。</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 合同文件的优先顺序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合同文件组成及优先顺序：按合同协议书第</w:t>
      </w:r>
      <w:r>
        <w:rPr>
          <w:rFonts w:hint="eastAsia" w:ascii="宋体" w:hAnsi="宋体" w:cs="宋体"/>
          <w:color w:val="000000" w:themeColor="text1"/>
          <w:kern w:val="0"/>
          <w:szCs w:val="21"/>
          <w:highlight w:val="none"/>
          <w:lang w:eastAsia="zh-Hans"/>
          <w14:textFill>
            <w14:solidFill>
              <w14:schemeClr w14:val="tx1"/>
            </w14:solidFill>
          </w14:textFill>
        </w:rPr>
        <w:t>七</w:t>
      </w:r>
      <w:r>
        <w:rPr>
          <w:rFonts w:hint="eastAsia" w:ascii="宋体" w:hAnsi="宋体" w:cs="宋体"/>
          <w:color w:val="000000" w:themeColor="text1"/>
          <w:kern w:val="0"/>
          <w:szCs w:val="21"/>
          <w:highlight w:val="none"/>
          <w14:textFill>
            <w14:solidFill>
              <w14:schemeClr w14:val="tx1"/>
            </w14:solidFill>
          </w14:textFill>
        </w:rPr>
        <w:t>条</w:t>
      </w:r>
      <w:r>
        <w:rPr>
          <w:rFonts w:hint="eastAsia" w:ascii="宋体" w:hAnsi="宋体" w:cs="宋体"/>
          <w:color w:val="000000" w:themeColor="text1"/>
          <w:kern w:val="0"/>
          <w:szCs w:val="21"/>
          <w:highlight w:val="none"/>
          <w:lang w:eastAsia="zh-Hans"/>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组成合同的文件</w:t>
      </w:r>
      <w:r>
        <w:rPr>
          <w:rFonts w:hint="eastAsia" w:ascii="宋体" w:hAnsi="宋体" w:cs="宋体"/>
          <w:color w:val="000000" w:themeColor="text1"/>
          <w:kern w:val="0"/>
          <w:szCs w:val="21"/>
          <w:highlight w:val="none"/>
          <w:lang w:eastAsia="zh-Hans"/>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执行。</w:t>
      </w:r>
    </w:p>
    <w:p>
      <w:pPr>
        <w:pStyle w:val="6"/>
        <w:spacing w:before="240" w:after="120" w:line="360" w:lineRule="auto"/>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 xml:space="preserve">1.6 </w:t>
      </w:r>
      <w:r>
        <w:rPr>
          <w:rFonts w:hint="eastAsia"/>
          <w:color w:val="000000" w:themeColor="text1"/>
          <w:highlight w:val="none"/>
          <w14:textFill>
            <w14:solidFill>
              <w14:schemeClr w14:val="tx1"/>
            </w14:solidFill>
          </w14:textFill>
        </w:rPr>
        <w:t>文件的提供和照管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1.6.1 承包人文件的提供：承包人交付的设计文件、份数及时间约定如下</w:t>
      </w:r>
    </w:p>
    <w:p>
      <w:pPr>
        <w:pStyle w:val="2"/>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（1）承包人交付的勘察设计成果文件、份数及时间要求如下：</w:t>
      </w:r>
    </w:p>
    <w:p>
      <w:pPr>
        <w:pStyle w:val="2"/>
        <w:jc w:val="center"/>
        <w:rPr>
          <w:b/>
          <w:bCs/>
          <w:color w:val="000000" w:themeColor="text1"/>
          <w:sz w:val="24"/>
          <w:szCs w:val="28"/>
          <w:highlight w:val="none"/>
          <w:lang w:eastAsia="zh-Hans"/>
          <w14:textFill>
            <w14:solidFill>
              <w14:schemeClr w14:val="tx1"/>
            </w14:solidFill>
          </w14:textFill>
        </w:rPr>
      </w:pPr>
      <w:r>
        <w:rPr>
          <w:rFonts w:hint="eastAsia"/>
          <w:b/>
          <w:bCs/>
          <w:color w:val="000000" w:themeColor="text1"/>
          <w:sz w:val="24"/>
          <w:szCs w:val="28"/>
          <w:highlight w:val="none"/>
          <w:lang w:eastAsia="zh-Hans"/>
          <w14:textFill>
            <w14:solidFill>
              <w14:schemeClr w14:val="tx1"/>
            </w14:solidFill>
          </w14:textFill>
        </w:rPr>
        <w:t>勘察设计成果文件提交的份数和提交时间要求</w:t>
      </w: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853"/>
        <w:gridCol w:w="4158"/>
        <w:gridCol w:w="1244"/>
        <w:gridCol w:w="968"/>
        <w:gridCol w:w="1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序号</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阶段</w:t>
            </w:r>
          </w:p>
        </w:tc>
        <w:tc>
          <w:tcPr>
            <w:tcW w:w="4158"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资料及文件名称</w:t>
            </w:r>
          </w:p>
        </w:tc>
        <w:tc>
          <w:tcPr>
            <w:tcW w:w="124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提交日期</w:t>
            </w:r>
          </w:p>
        </w:tc>
        <w:tc>
          <w:tcPr>
            <w:tcW w:w="968"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份数</w:t>
            </w:r>
          </w:p>
        </w:tc>
        <w:tc>
          <w:tcPr>
            <w:tcW w:w="135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勘察</w:t>
            </w:r>
          </w:p>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阶段</w:t>
            </w:r>
          </w:p>
        </w:tc>
        <w:tc>
          <w:tcPr>
            <w:tcW w:w="4158" w:type="dxa"/>
            <w:vAlign w:val="center"/>
          </w:tcPr>
          <w:p>
            <w:pPr>
              <w:widowControl/>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勘察成果文件（</w:t>
            </w:r>
            <w:r>
              <w:rPr>
                <w:rFonts w:hint="eastAsia" w:ascii="宋体" w:hAnsi="宋体" w:cs="宋体"/>
                <w:color w:val="000000" w:themeColor="text1"/>
                <w:kern w:val="0"/>
                <w:szCs w:val="21"/>
                <w:highlight w:val="none"/>
                <w:u w:val="single"/>
                <w14:textFill>
                  <w14:solidFill>
                    <w14:schemeClr w14:val="tx1"/>
                  </w14:solidFill>
                </w14:textFill>
              </w:rPr>
              <w:t>含岩土工程勘察、工程测量、工程物探（含管线探测）</w:t>
            </w:r>
            <w:r>
              <w:rPr>
                <w:rFonts w:hint="eastAsia" w:ascii="宋体" w:hAnsi="宋体" w:cs="宋体"/>
                <w:color w:val="000000" w:themeColor="text1"/>
                <w:kern w:val="0"/>
                <w:szCs w:val="21"/>
                <w:highlight w:val="none"/>
                <w:u w:val="single"/>
                <w:lang w:eastAsia="zh-Hans"/>
                <w14:textFill>
                  <w14:solidFill>
                    <w14:schemeClr w14:val="tx1"/>
                  </w14:solidFill>
                </w14:textFill>
              </w:rPr>
              <w:t>及勘察报告</w:t>
            </w:r>
            <w:r>
              <w:rPr>
                <w:rFonts w:hint="eastAsia" w:ascii="宋体" w:hAnsi="宋体" w:cs="宋体"/>
                <w:color w:val="000000" w:themeColor="text1"/>
                <w:kern w:val="0"/>
                <w:szCs w:val="21"/>
                <w:highlight w:val="none"/>
                <w:u w:val="single"/>
                <w14:textFill>
                  <w14:solidFill>
                    <w14:schemeClr w14:val="tx1"/>
                  </w14:solidFill>
                </w14:textFill>
              </w:rPr>
              <w:t>）</w:t>
            </w:r>
          </w:p>
        </w:tc>
        <w:tc>
          <w:tcPr>
            <w:tcW w:w="124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w:t>
            </w:r>
          </w:p>
        </w:tc>
        <w:tc>
          <w:tcPr>
            <w:tcW w:w="968"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初步设计阶段按初步设计成果份数提供，施工图阶段按施工图成果份数提供，或按发包人要求提供</w:t>
            </w:r>
          </w:p>
        </w:tc>
        <w:tc>
          <w:tcPr>
            <w:tcW w:w="135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含可编辑的电子文档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方案设计阶段</w:t>
            </w:r>
          </w:p>
        </w:tc>
        <w:tc>
          <w:tcPr>
            <w:tcW w:w="4158" w:type="dxa"/>
            <w:vAlign w:val="center"/>
          </w:tcPr>
          <w:p>
            <w:pPr>
              <w:widowControl/>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方案设计成果文件</w:t>
            </w:r>
          </w:p>
        </w:tc>
        <w:tc>
          <w:tcPr>
            <w:tcW w:w="124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w:t>
            </w:r>
          </w:p>
        </w:tc>
        <w:tc>
          <w:tcPr>
            <w:tcW w:w="968"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w:t>
            </w:r>
          </w:p>
        </w:tc>
        <w:tc>
          <w:tcPr>
            <w:tcW w:w="1354" w:type="dxa"/>
            <w:vAlign w:val="center"/>
          </w:tcPr>
          <w:p>
            <w:pPr>
              <w:pStyle w:val="22"/>
              <w:jc w:val="center"/>
              <w:rPr>
                <w:rFonts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含可编辑的电子文档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报建</w:t>
            </w:r>
          </w:p>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阶段</w:t>
            </w:r>
          </w:p>
        </w:tc>
        <w:tc>
          <w:tcPr>
            <w:tcW w:w="4158" w:type="dxa"/>
            <w:vAlign w:val="center"/>
          </w:tcPr>
          <w:p>
            <w:pPr>
              <w:widowControl/>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报建相关设计成果文件</w:t>
            </w:r>
          </w:p>
        </w:tc>
        <w:tc>
          <w:tcPr>
            <w:tcW w:w="124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w:t>
            </w:r>
          </w:p>
        </w:tc>
        <w:tc>
          <w:tcPr>
            <w:tcW w:w="968" w:type="dxa"/>
            <w:vAlign w:val="center"/>
          </w:tcPr>
          <w:p>
            <w:pPr>
              <w:jc w:val="center"/>
              <w:rPr>
                <w:rFonts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满足报建需要</w:t>
            </w:r>
          </w:p>
        </w:tc>
        <w:tc>
          <w:tcPr>
            <w:tcW w:w="1354" w:type="dxa"/>
            <w:vAlign w:val="center"/>
          </w:tcPr>
          <w:p>
            <w:pPr>
              <w:jc w:val="center"/>
              <w:rPr>
                <w:rFonts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含可编辑的电子文档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719" w:type="dxa"/>
            <w:vAlign w:val="center"/>
          </w:tcPr>
          <w:p>
            <w:pPr>
              <w:widowControl/>
              <w:jc w:val="center"/>
              <w:rPr>
                <w:rFonts w:ascii="宋体" w:hAnsi="宋体"/>
                <w:snapToGrid w:val="0"/>
                <w:color w:val="000000" w:themeColor="text1"/>
                <w:kern w:val="0"/>
                <w:szCs w:val="21"/>
                <w:highlight w:val="none"/>
                <w14:textFill>
                  <w14:solidFill>
                    <w14:schemeClr w14:val="tx1"/>
                  </w14:solidFill>
                </w14:textFill>
              </w:rPr>
            </w:pPr>
            <w:r>
              <w:rPr>
                <w:rFonts w:hint="eastAsia" w:ascii="宋体" w:hAnsi="宋体"/>
                <w:snapToGrid w:val="0"/>
                <w:color w:val="000000" w:themeColor="text1"/>
                <w:kern w:val="0"/>
                <w:szCs w:val="21"/>
                <w:highlight w:val="none"/>
                <w14:textFill>
                  <w14:solidFill>
                    <w14:schemeClr w14:val="tx1"/>
                  </w14:solidFill>
                </w14:textFill>
              </w:rPr>
              <w:t>4</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初步设计阶段</w:t>
            </w:r>
          </w:p>
        </w:tc>
        <w:tc>
          <w:tcPr>
            <w:tcW w:w="4158" w:type="dxa"/>
            <w:vAlign w:val="center"/>
          </w:tcPr>
          <w:p>
            <w:pPr>
              <w:widowControl/>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初步设计成果文件</w:t>
            </w:r>
            <w:r>
              <w:rPr>
                <w:rFonts w:hint="eastAsia" w:ascii="宋体" w:hAnsi="宋体" w:cs="宋体"/>
                <w:color w:val="000000" w:themeColor="text1"/>
                <w:kern w:val="0"/>
                <w:szCs w:val="21"/>
                <w:highlight w:val="none"/>
                <w:u w:val="single"/>
                <w14:textFill>
                  <w14:solidFill>
                    <w14:schemeClr w14:val="tx1"/>
                  </w14:solidFill>
                </w14:textFill>
              </w:rPr>
              <w:t>（含概算书、设计图纸、安全生产评估报告、社会风险评估报告、征地红线图、报建报批图等，其深度应达到《水利水电工程初步设计报告编制规程》的规定或相关行业设计规范有关初步设计阶段要求的规定</w:t>
            </w:r>
            <w:r>
              <w:rPr>
                <w:rFonts w:hint="eastAsia" w:ascii="宋体" w:hAnsi="宋体" w:cs="宋体"/>
                <w:color w:val="000000" w:themeColor="text1"/>
                <w:kern w:val="0"/>
                <w:szCs w:val="21"/>
                <w:highlight w:val="none"/>
                <w14:textFill>
                  <w14:solidFill>
                    <w14:schemeClr w14:val="tx1"/>
                  </w14:solidFill>
                </w14:textFill>
              </w:rPr>
              <w:t>）</w:t>
            </w:r>
          </w:p>
        </w:tc>
        <w:tc>
          <w:tcPr>
            <w:tcW w:w="124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w:t>
            </w:r>
          </w:p>
        </w:tc>
        <w:tc>
          <w:tcPr>
            <w:tcW w:w="968" w:type="dxa"/>
            <w:vAlign w:val="center"/>
          </w:tcPr>
          <w:p>
            <w:pPr>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16</w:t>
            </w:r>
          </w:p>
        </w:tc>
        <w:tc>
          <w:tcPr>
            <w:tcW w:w="1354" w:type="dxa"/>
            <w:vAlign w:val="center"/>
          </w:tcPr>
          <w:p>
            <w:pPr>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可根据项目进展需要分批提供分批报送，还应提供可编辑的电子文档；</w:t>
            </w:r>
          </w:p>
          <w:p>
            <w:pPr>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含可编辑的电子文档</w:t>
            </w:r>
            <w:r>
              <w:rPr>
                <w:rFonts w:hint="eastAsia" w:ascii="宋体" w:hAnsi="宋体"/>
                <w:color w:val="000000" w:themeColor="text1"/>
                <w:szCs w:val="21"/>
                <w:highlight w:val="none"/>
                <w:lang w:eastAsia="zh-Hans"/>
                <w14:textFill>
                  <w14:solidFill>
                    <w14:schemeClr w14:val="tx1"/>
                  </w14:solidFill>
                </w14:textFill>
              </w:rPr>
              <w:t>，且</w:t>
            </w:r>
            <w:r>
              <w:rPr>
                <w:rFonts w:hint="eastAsia" w:ascii="宋体" w:hAnsi="宋体"/>
                <w:color w:val="000000" w:themeColor="text1"/>
                <w:szCs w:val="21"/>
                <w:highlight w:val="none"/>
                <w14:textFill>
                  <w14:solidFill>
                    <w14:schemeClr w14:val="tx1"/>
                  </w14:solidFill>
                </w14:textFill>
              </w:rPr>
              <w:t>含符合评审要求的软件版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施工图设计阶段</w:t>
            </w:r>
          </w:p>
        </w:tc>
        <w:tc>
          <w:tcPr>
            <w:tcW w:w="4158" w:type="dxa"/>
            <w:vAlign w:val="center"/>
          </w:tcPr>
          <w:p>
            <w:pPr>
              <w:widowControl/>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施工图设计成果文件（</w:t>
            </w:r>
            <w:r>
              <w:rPr>
                <w:rFonts w:hint="eastAsia" w:ascii="宋体" w:hAnsi="宋体" w:cs="宋体"/>
                <w:color w:val="000000" w:themeColor="text1"/>
                <w:kern w:val="0"/>
                <w:szCs w:val="21"/>
                <w:highlight w:val="none"/>
                <w:lang w:eastAsia="zh-Hans"/>
                <w14:textFill>
                  <w14:solidFill>
                    <w14:schemeClr w14:val="tx1"/>
                  </w14:solidFill>
                </w14:textFill>
              </w:rPr>
              <w:t>按施工图审查单位意见修改并审查通过，</w:t>
            </w:r>
            <w:r>
              <w:rPr>
                <w:rFonts w:hint="eastAsia" w:ascii="宋体" w:hAnsi="宋体" w:cs="宋体"/>
                <w:color w:val="000000" w:themeColor="text1"/>
                <w:kern w:val="0"/>
                <w:szCs w:val="21"/>
                <w:highlight w:val="none"/>
                <w14:textFill>
                  <w14:solidFill>
                    <w14:schemeClr w14:val="tx1"/>
                  </w14:solidFill>
                </w14:textFill>
              </w:rPr>
              <w:t>含勘察成果、</w:t>
            </w:r>
            <w:r>
              <w:rPr>
                <w:rFonts w:ascii="宋体" w:hAnsi="宋体" w:cs="宋体"/>
                <w:color w:val="000000" w:themeColor="text1"/>
                <w:kern w:val="0"/>
                <w:szCs w:val="21"/>
                <w:highlight w:val="none"/>
                <w14:textFill>
                  <w14:solidFill>
                    <w14:schemeClr w14:val="tx1"/>
                  </w14:solidFill>
                </w14:textFill>
              </w:rPr>
              <w:t>施工图、</w:t>
            </w:r>
            <w:r>
              <w:rPr>
                <w:rFonts w:hint="eastAsia" w:ascii="宋体" w:hAnsi="宋体" w:cs="宋体"/>
                <w:color w:val="000000" w:themeColor="text1"/>
                <w:kern w:val="0"/>
                <w:szCs w:val="21"/>
                <w:highlight w:val="none"/>
                <w14:textFill>
                  <w14:solidFill>
                    <w14:schemeClr w14:val="tx1"/>
                  </w14:solidFill>
                </w14:textFill>
              </w:rPr>
              <w:t>设计计算书、满足招标和施工使用的技术条款、</w:t>
            </w:r>
            <w:r>
              <w:rPr>
                <w:rFonts w:ascii="宋体" w:hAnsi="宋体" w:cs="宋体"/>
                <w:color w:val="000000" w:themeColor="text1"/>
                <w:kern w:val="0"/>
                <w:szCs w:val="21"/>
                <w:highlight w:val="none"/>
                <w14:textFill>
                  <w14:solidFill>
                    <w14:schemeClr w14:val="tx1"/>
                  </w14:solidFill>
                </w14:textFill>
              </w:rPr>
              <w:t>工程预算</w:t>
            </w:r>
            <w:r>
              <w:rPr>
                <w:rFonts w:hint="eastAsia" w:ascii="宋体" w:hAnsi="宋体" w:cs="宋体"/>
                <w:color w:val="000000" w:themeColor="text1"/>
                <w:kern w:val="0"/>
                <w:szCs w:val="21"/>
                <w:highlight w:val="none"/>
                <w14:textFill>
                  <w14:solidFill>
                    <w14:schemeClr w14:val="tx1"/>
                  </w14:solidFill>
                </w14:textFill>
              </w:rPr>
              <w:t>书</w:t>
            </w:r>
            <w:r>
              <w:rPr>
                <w:rFonts w:ascii="宋体" w:hAnsi="宋体" w:cs="宋体"/>
                <w:color w:val="000000" w:themeColor="text1"/>
                <w:kern w:val="0"/>
                <w:szCs w:val="21"/>
                <w:highlight w:val="none"/>
                <w14:textFill>
                  <w14:solidFill>
                    <w14:schemeClr w14:val="tx1"/>
                  </w14:solidFill>
                </w14:textFill>
              </w:rPr>
              <w:t>、工程量清单</w:t>
            </w:r>
            <w:r>
              <w:rPr>
                <w:rFonts w:hint="eastAsia" w:ascii="宋体" w:hAnsi="宋体" w:cs="宋体"/>
                <w:color w:val="000000" w:themeColor="text1"/>
                <w:kern w:val="0"/>
                <w:szCs w:val="21"/>
                <w:highlight w:val="none"/>
                <w14:textFill>
                  <w14:solidFill>
                    <w14:schemeClr w14:val="tx1"/>
                  </w14:solidFill>
                </w14:textFill>
              </w:rPr>
              <w:t>，关键分部分项工程施工技术要求等），其深度应满足施工要求</w:t>
            </w:r>
          </w:p>
        </w:tc>
        <w:tc>
          <w:tcPr>
            <w:tcW w:w="124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按发包人要求及工程进度需要</w:t>
            </w:r>
          </w:p>
        </w:tc>
        <w:tc>
          <w:tcPr>
            <w:tcW w:w="968" w:type="dxa"/>
            <w:vAlign w:val="center"/>
          </w:tcPr>
          <w:p>
            <w:pPr>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16</w:t>
            </w:r>
          </w:p>
        </w:tc>
        <w:tc>
          <w:tcPr>
            <w:tcW w:w="1354" w:type="dxa"/>
            <w:vAlign w:val="center"/>
          </w:tcPr>
          <w:p>
            <w:pPr>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可根据施工需要分批提供，还应提供可编辑的电子文档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现场服务阶段</w:t>
            </w:r>
          </w:p>
        </w:tc>
        <w:tc>
          <w:tcPr>
            <w:tcW w:w="4158" w:type="dxa"/>
            <w:vAlign w:val="center"/>
          </w:tcPr>
          <w:p>
            <w:pPr>
              <w:widowControl/>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勘察设计变更图纸（勘察设计变更同时提供工程量对比清单，重大勘察设计变更应同时提交概算及计算书）</w:t>
            </w:r>
          </w:p>
        </w:tc>
        <w:tc>
          <w:tcPr>
            <w:tcW w:w="1244" w:type="dxa"/>
            <w:vAlign w:val="center"/>
          </w:tcPr>
          <w:p>
            <w:pPr>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w:t>
            </w:r>
          </w:p>
        </w:tc>
        <w:tc>
          <w:tcPr>
            <w:tcW w:w="968" w:type="dxa"/>
            <w:vAlign w:val="center"/>
          </w:tcPr>
          <w:p>
            <w:pPr>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w:t>
            </w:r>
          </w:p>
        </w:tc>
        <w:tc>
          <w:tcPr>
            <w:tcW w:w="1354" w:type="dxa"/>
            <w:vAlign w:val="center"/>
          </w:tcPr>
          <w:p>
            <w:pPr>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含可编辑的电子文档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竣工</w:t>
            </w:r>
          </w:p>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验收</w:t>
            </w:r>
          </w:p>
        </w:tc>
        <w:tc>
          <w:tcPr>
            <w:tcW w:w="4158" w:type="dxa"/>
            <w:vAlign w:val="center"/>
          </w:tcPr>
          <w:p>
            <w:pPr>
              <w:widowControl/>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竣工图</w:t>
            </w:r>
          </w:p>
        </w:tc>
        <w:tc>
          <w:tcPr>
            <w:tcW w:w="1244" w:type="dxa"/>
            <w:vAlign w:val="center"/>
          </w:tcPr>
          <w:p>
            <w:pPr>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w:t>
            </w:r>
          </w:p>
        </w:tc>
        <w:tc>
          <w:tcPr>
            <w:tcW w:w="968" w:type="dxa"/>
            <w:vAlign w:val="center"/>
          </w:tcPr>
          <w:p>
            <w:pPr>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w:t>
            </w:r>
          </w:p>
        </w:tc>
        <w:tc>
          <w:tcPr>
            <w:tcW w:w="1354" w:type="dxa"/>
            <w:vAlign w:val="center"/>
          </w:tcPr>
          <w:p>
            <w:pPr>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含可编辑的电子文档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19"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w:t>
            </w:r>
          </w:p>
        </w:tc>
        <w:tc>
          <w:tcPr>
            <w:tcW w:w="853"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其他</w:t>
            </w:r>
          </w:p>
        </w:tc>
        <w:tc>
          <w:tcPr>
            <w:tcW w:w="4158" w:type="dxa"/>
            <w:vAlign w:val="center"/>
          </w:tcPr>
          <w:p>
            <w:pPr>
              <w:widowControl/>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1、提供满足甲方要求的若干效果图，供方案说明或宣传使用；</w:t>
            </w:r>
          </w:p>
          <w:p>
            <w:pPr>
              <w:widowControl/>
              <w:jc w:val="left"/>
              <w:rPr>
                <w:rFonts w:ascii="宋体" w:hAnsi="宋体" w:cs="宋体"/>
                <w:color w:val="000000" w:themeColor="text1"/>
                <w:kern w:val="0"/>
                <w:szCs w:val="21"/>
                <w:highlight w:val="none"/>
                <w:lang w:eastAsia="zh-Hans"/>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2、其他设计文件</w:t>
            </w:r>
            <w:r>
              <w:rPr>
                <w:rFonts w:hint="eastAsia" w:ascii="宋体" w:hAnsi="宋体" w:cs="宋体"/>
                <w:color w:val="000000" w:themeColor="text1"/>
                <w:kern w:val="0"/>
                <w:szCs w:val="21"/>
                <w:highlight w:val="none"/>
                <w:lang w:eastAsia="zh-Hans"/>
                <w14:textFill>
                  <w14:solidFill>
                    <w14:schemeClr w14:val="tx1"/>
                  </w14:solidFill>
                </w14:textFill>
              </w:rPr>
              <w:t>（含</w:t>
            </w:r>
            <w:r>
              <w:rPr>
                <w:rFonts w:ascii="宋体" w:hAnsi="宋体" w:cs="宋体"/>
                <w:color w:val="000000" w:themeColor="text1"/>
                <w:kern w:val="0"/>
                <w:szCs w:val="21"/>
                <w:highlight w:val="none"/>
                <w:lang w:eastAsia="zh-Hans"/>
                <w14:textFill>
                  <w14:solidFill>
                    <w14:schemeClr w14:val="tx1"/>
                  </w14:solidFill>
                </w14:textFill>
              </w:rPr>
              <w:t>BIM</w:t>
            </w:r>
            <w:r>
              <w:rPr>
                <w:rFonts w:hint="eastAsia" w:ascii="宋体" w:hAnsi="宋体" w:cs="宋体"/>
                <w:color w:val="000000" w:themeColor="text1"/>
                <w:kern w:val="0"/>
                <w:szCs w:val="21"/>
                <w:highlight w:val="none"/>
                <w:lang w:eastAsia="zh-Hans"/>
                <w14:textFill>
                  <w14:solidFill>
                    <w14:schemeClr w14:val="tx1"/>
                  </w14:solidFill>
                </w14:textFill>
              </w:rPr>
              <w:t>成果文件）（如有）。</w:t>
            </w:r>
          </w:p>
        </w:tc>
        <w:tc>
          <w:tcPr>
            <w:tcW w:w="124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按发包人要求及工程进度需要</w:t>
            </w:r>
          </w:p>
        </w:tc>
        <w:tc>
          <w:tcPr>
            <w:tcW w:w="968"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按发包人要求提交</w:t>
            </w:r>
          </w:p>
        </w:tc>
        <w:tc>
          <w:tcPr>
            <w:tcW w:w="1354" w:type="dxa"/>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含可编辑的电子文档</w:t>
            </w:r>
          </w:p>
        </w:tc>
      </w:tr>
    </w:tbl>
    <w:p>
      <w:pPr>
        <w:pStyle w:val="2"/>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注：①勘察设计单位必须随各阶段勘察设计文件提供勘察设计单位的勘察设计计算书。发包人及发包人委托的审查单位、上级主管部门对勘察设计资料成果、勘察设计文件的审查并不免除勘察设计单位的责任。②上表中所述成果文件电子版含图片、可正常编辑和使用的word、excel、cad、pdf、概预算软件版等形式。</w:t>
      </w:r>
    </w:p>
    <w:p>
      <w:pPr>
        <w:pStyle w:val="2"/>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（2）由承包人提供的文件，包括：</w:t>
      </w:r>
      <w:r>
        <w:rPr>
          <w:rFonts w:hint="eastAsia"/>
          <w:color w:val="000000" w:themeColor="text1"/>
          <w:highlight w:val="none"/>
          <w:u w:val="single"/>
          <w:lang w:eastAsia="zh-Hans"/>
          <w14:textFill>
            <w14:solidFill>
              <w14:schemeClr w14:val="tx1"/>
            </w14:solidFill>
          </w14:textFill>
        </w:rPr>
        <w:t>施工组织设计、专项施工方案、总进度计划、月进度计划、周报、月报、人力、物力计划、各类报表、各类报验资料、各类验收记录、各类施工记录、深化设计图纸、加工图、竣工图等</w:t>
      </w:r>
      <w:r>
        <w:rPr>
          <w:rFonts w:hint="eastAsia"/>
          <w:color w:val="000000" w:themeColor="text1"/>
          <w:highlight w:val="none"/>
          <w:lang w:eastAsia="zh-Hans"/>
          <w14:textFill>
            <w14:solidFill>
              <w14:schemeClr w14:val="tx1"/>
            </w14:solidFill>
          </w14:textFill>
        </w:rPr>
        <w:t>；</w:t>
      </w:r>
    </w:p>
    <w:p>
      <w:pPr>
        <w:pStyle w:val="2"/>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承包人提供的文件的期限为：</w:t>
      </w:r>
      <w:r>
        <w:rPr>
          <w:rFonts w:hint="eastAsia"/>
          <w:color w:val="000000" w:themeColor="text1"/>
          <w:highlight w:val="none"/>
          <w:u w:val="single"/>
          <w:lang w:eastAsia="zh-Hans"/>
          <w14:textFill>
            <w14:solidFill>
              <w14:schemeClr w14:val="tx1"/>
            </w14:solidFill>
          </w14:textFill>
        </w:rPr>
        <w:t>按发包人要求</w:t>
      </w:r>
      <w:r>
        <w:rPr>
          <w:rFonts w:hint="eastAsia"/>
          <w:color w:val="000000" w:themeColor="text1"/>
          <w:highlight w:val="none"/>
          <w:lang w:eastAsia="zh-Hans"/>
          <w14:textFill>
            <w14:solidFill>
              <w14:schemeClr w14:val="tx1"/>
            </w14:solidFill>
          </w14:textFill>
        </w:rPr>
        <w:t>；</w:t>
      </w:r>
    </w:p>
    <w:p>
      <w:pPr>
        <w:pStyle w:val="2"/>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承包人提供的文件的数量为：</w:t>
      </w:r>
      <w:r>
        <w:rPr>
          <w:rFonts w:hint="eastAsia"/>
          <w:color w:val="000000" w:themeColor="text1"/>
          <w:highlight w:val="none"/>
          <w:u w:val="single"/>
          <w:lang w:eastAsia="zh-Hans"/>
          <w14:textFill>
            <w14:solidFill>
              <w14:schemeClr w14:val="tx1"/>
            </w14:solidFill>
          </w14:textFill>
        </w:rPr>
        <w:t>按发包人要求</w:t>
      </w:r>
      <w:r>
        <w:rPr>
          <w:rFonts w:hint="eastAsia"/>
          <w:color w:val="000000" w:themeColor="text1"/>
          <w:highlight w:val="none"/>
          <w:lang w:eastAsia="zh-Hans"/>
          <w14:textFill>
            <w14:solidFill>
              <w14:schemeClr w14:val="tx1"/>
            </w14:solidFill>
          </w14:textFill>
        </w:rPr>
        <w:t>；</w:t>
      </w:r>
    </w:p>
    <w:p>
      <w:pPr>
        <w:pStyle w:val="2"/>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承包人提供的文件的形式为：</w:t>
      </w:r>
      <w:r>
        <w:rPr>
          <w:rFonts w:hint="eastAsia"/>
          <w:color w:val="000000" w:themeColor="text1"/>
          <w:highlight w:val="none"/>
          <w:u w:val="single"/>
          <w:lang w:eastAsia="zh-Hans"/>
          <w14:textFill>
            <w14:solidFill>
              <w14:schemeClr w14:val="tx1"/>
            </w14:solidFill>
          </w14:textFill>
        </w:rPr>
        <w:t>按发包人要求</w:t>
      </w:r>
      <w:r>
        <w:rPr>
          <w:rFonts w:hint="eastAsia"/>
          <w:color w:val="000000" w:themeColor="text1"/>
          <w:highlight w:val="none"/>
          <w:lang w:eastAsia="zh-Hans"/>
          <w14:textFill>
            <w14:solidFill>
              <w14:schemeClr w14:val="tx1"/>
            </w14:solidFill>
          </w14:textFill>
        </w:rPr>
        <w:t>；</w:t>
      </w:r>
    </w:p>
    <w:p>
      <w:pPr>
        <w:pStyle w:val="2"/>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发包人审批承包人文件的期限：</w:t>
      </w:r>
      <w:r>
        <w:rPr>
          <w:rFonts w:hint="eastAsia"/>
          <w:color w:val="000000" w:themeColor="text1"/>
          <w:highlight w:val="none"/>
          <w:u w:val="single"/>
          <w:lang w:eastAsia="zh-Hans"/>
          <w14:textFill>
            <w14:solidFill>
              <w14:schemeClr w14:val="tx1"/>
            </w14:solidFill>
          </w14:textFill>
        </w:rPr>
        <w:t>发包人根据实际情况，在合理时间内进行审批</w:t>
      </w:r>
      <w:r>
        <w:rPr>
          <w:rFonts w:hint="eastAsia"/>
          <w:color w:val="000000" w:themeColor="text1"/>
          <w:highlight w:val="none"/>
          <w:lang w:eastAsia="zh-Hans"/>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1.6.2 发包人提供的文件：发包人提供文件的份数及时间的约定如下：</w:t>
      </w: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45" w:type="dxa"/>
          <w:bottom w:w="0" w:type="dxa"/>
          <w:right w:w="45" w:type="dxa"/>
        </w:tblCellMar>
      </w:tblPr>
      <w:tblGrid>
        <w:gridCol w:w="700"/>
        <w:gridCol w:w="2550"/>
        <w:gridCol w:w="740"/>
        <w:gridCol w:w="1749"/>
        <w:gridCol w:w="3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5" w:type="dxa"/>
            <w:bottom w:w="0" w:type="dxa"/>
            <w:right w:w="45" w:type="dxa"/>
          </w:tblCellMar>
        </w:tblPrEx>
        <w:trPr>
          <w:trHeight w:val="519" w:hRule="atLeast"/>
          <w:jc w:val="center"/>
        </w:trPr>
        <w:tc>
          <w:tcPr>
            <w:tcW w:w="70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序号</w:t>
            </w:r>
          </w:p>
        </w:tc>
        <w:tc>
          <w:tcPr>
            <w:tcW w:w="255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资料及文件名称</w:t>
            </w:r>
          </w:p>
        </w:tc>
        <w:tc>
          <w:tcPr>
            <w:tcW w:w="74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份数</w:t>
            </w:r>
          </w:p>
        </w:tc>
        <w:tc>
          <w:tcPr>
            <w:tcW w:w="1749"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提交日期</w:t>
            </w:r>
          </w:p>
        </w:tc>
        <w:tc>
          <w:tcPr>
            <w:tcW w:w="3399"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有关事宜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5" w:type="dxa"/>
            <w:bottom w:w="0" w:type="dxa"/>
            <w:right w:w="45" w:type="dxa"/>
          </w:tblCellMar>
        </w:tblPrEx>
        <w:trPr>
          <w:trHeight w:val="489" w:hRule="atLeast"/>
          <w:jc w:val="center"/>
        </w:trPr>
        <w:tc>
          <w:tcPr>
            <w:tcW w:w="70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255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前期工作相关文件（包括①项目立项批文；②有关规划用地意见；③勘察设计工作要求。）</w:t>
            </w:r>
          </w:p>
        </w:tc>
        <w:tc>
          <w:tcPr>
            <w:tcW w:w="74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1749"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招标时已提供</w:t>
            </w:r>
          </w:p>
        </w:tc>
        <w:tc>
          <w:tcPr>
            <w:tcW w:w="3399" w:type="dxa"/>
            <w:vAlign w:val="center"/>
          </w:tcPr>
          <w:p>
            <w:pPr>
              <w:contextualSpacing/>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如有补充或修改，根据需要提供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5" w:type="dxa"/>
            <w:bottom w:w="0" w:type="dxa"/>
            <w:right w:w="45" w:type="dxa"/>
          </w:tblCellMar>
        </w:tblPrEx>
        <w:trPr>
          <w:trHeight w:val="496" w:hRule="atLeast"/>
          <w:jc w:val="center"/>
        </w:trPr>
        <w:tc>
          <w:tcPr>
            <w:tcW w:w="70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p>
        </w:tc>
        <w:tc>
          <w:tcPr>
            <w:tcW w:w="255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发包人要求</w:t>
            </w:r>
          </w:p>
        </w:tc>
        <w:tc>
          <w:tcPr>
            <w:tcW w:w="740"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1749" w:type="dxa"/>
            <w:vAlign w:val="center"/>
          </w:tcPr>
          <w:p>
            <w:pPr>
              <w:contextualSpacing/>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设计工作开始前</w:t>
            </w:r>
          </w:p>
        </w:tc>
        <w:tc>
          <w:tcPr>
            <w:tcW w:w="3399" w:type="dxa"/>
            <w:vAlign w:val="center"/>
          </w:tcPr>
          <w:p>
            <w:pPr>
              <w:contextualSpacing/>
              <w:rPr>
                <w:rFonts w:ascii="宋体" w:hAnsi="宋体"/>
                <w:color w:val="000000" w:themeColor="text1"/>
                <w:szCs w:val="21"/>
                <w:highlight w:val="none"/>
                <w14:textFill>
                  <w14:solidFill>
                    <w14:schemeClr w14:val="tx1"/>
                  </w14:solidFill>
                </w14:textFill>
              </w:rPr>
            </w:pPr>
          </w:p>
        </w:tc>
      </w:tr>
    </w:tbl>
    <w:p>
      <w:pPr>
        <w:pStyle w:val="6"/>
        <w:spacing w:before="240" w:after="120"/>
        <w:rPr>
          <w:rFonts w:ascii="宋体" w:hAnsi="宋体" w:eastAsia="宋体" w:cs="宋体"/>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1.7 联络</w:t>
      </w:r>
    </w:p>
    <w:p>
      <w:pPr>
        <w:pStyle w:val="55"/>
        <w:snapToGrid w:val="0"/>
        <w:spacing w:before="156" w:beforeLines="50" w:beforeAutospacing="0" w:after="0" w:afterAutospacing="0" w:line="300" w:lineRule="auto"/>
        <w:ind w:firstLine="48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1.7.1发包人和承包人应当在下述书面函件发出之日起</w:t>
      </w:r>
      <w:r>
        <w:rPr>
          <w:b/>
          <w:bCs/>
          <w:color w:val="000000" w:themeColor="text1"/>
          <w:sz w:val="21"/>
          <w:szCs w:val="21"/>
          <w:highlight w:val="none"/>
          <w14:textFill>
            <w14:solidFill>
              <w14:schemeClr w14:val="tx1"/>
            </w14:solidFill>
          </w14:textFill>
        </w:rPr>
        <w:t>3天</w:t>
      </w:r>
      <w:r>
        <w:rPr>
          <w:rFonts w:hint="eastAsia"/>
          <w:b/>
          <w:bCs/>
          <w:color w:val="000000" w:themeColor="text1"/>
          <w:sz w:val="21"/>
          <w:szCs w:val="21"/>
          <w:highlight w:val="none"/>
          <w14:textFill>
            <w14:solidFill>
              <w14:schemeClr w14:val="tx1"/>
            </w14:solidFill>
          </w14:textFill>
        </w:rPr>
        <w:t>内</w:t>
      </w:r>
      <w:r>
        <w:rPr>
          <w:rFonts w:hint="eastAsia"/>
          <w:color w:val="000000" w:themeColor="text1"/>
          <w:sz w:val="21"/>
          <w:szCs w:val="21"/>
          <w:highlight w:val="none"/>
          <w14:textFill>
            <w14:solidFill>
              <w14:schemeClr w14:val="tx1"/>
            </w14:solidFill>
          </w14:textFill>
        </w:rPr>
        <w:t>将与合同有关的通知、批准、证明、证书、指示、指令、要求、请求、同意、意见、确定和决定等书面函件送达对方当事人。</w:t>
      </w:r>
    </w:p>
    <w:p>
      <w:pPr>
        <w:pStyle w:val="55"/>
        <w:snapToGrid w:val="0"/>
        <w:spacing w:before="156" w:beforeLines="50" w:beforeAutospacing="0" w:after="0" w:afterAutospacing="0" w:line="300" w:lineRule="auto"/>
        <w:ind w:firstLine="48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1.7.2 发包人接收文件的地点：</w:t>
      </w:r>
      <w:r>
        <w:rPr>
          <w:rFonts w:hint="eastAsia"/>
          <w:color w:val="000000" w:themeColor="text1"/>
          <w:sz w:val="21"/>
          <w:szCs w:val="21"/>
          <w:highlight w:val="none"/>
          <w:u w:val="single"/>
          <w14:textFill>
            <w14:solidFill>
              <w14:schemeClr w14:val="tx1"/>
            </w14:solidFill>
          </w14:textFill>
        </w:rPr>
        <w:t>广州市南沙区</w:t>
      </w:r>
      <w:r>
        <w:rPr>
          <w:rFonts w:hint="eastAsia"/>
          <w:color w:val="000000" w:themeColor="text1"/>
          <w:sz w:val="21"/>
          <w:szCs w:val="21"/>
          <w:highlight w:val="none"/>
          <w14:textFill>
            <w14:solidFill>
              <w14:schemeClr w14:val="tx1"/>
            </w14:solidFill>
          </w14:textFill>
        </w:rPr>
        <w:t>；</w:t>
      </w:r>
    </w:p>
    <w:p>
      <w:pPr>
        <w:pStyle w:val="55"/>
        <w:snapToGrid w:val="0"/>
        <w:spacing w:before="156" w:beforeLines="50" w:beforeAutospacing="0" w:after="0" w:afterAutospacing="0" w:line="300" w:lineRule="auto"/>
        <w:ind w:firstLine="112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发包人指定的接收人为：</w:t>
      </w:r>
      <w:r>
        <w:rPr>
          <w:rFonts w:hint="eastAsia"/>
          <w:color w:val="000000" w:themeColor="text1"/>
          <w:sz w:val="21"/>
          <w:szCs w:val="21"/>
          <w:highlight w:val="none"/>
          <w:u w:val="single"/>
          <w14:textFill>
            <w14:solidFill>
              <w14:schemeClr w14:val="tx1"/>
            </w14:solidFill>
          </w14:textFill>
        </w:rPr>
        <w:t></w:t>
      </w:r>
      <w:r>
        <w:rPr>
          <w:color w:val="000000" w:themeColor="text1"/>
          <w:sz w:val="21"/>
          <w:szCs w:val="21"/>
          <w:highlight w:val="none"/>
          <w:u w:val="single"/>
          <w14:textFill>
            <w14:solidFill>
              <w14:schemeClr w14:val="tx1"/>
            </w14:solidFill>
          </w14:textFill>
        </w:rPr>
        <w:t xml:space="preserve">               </w:t>
      </w:r>
      <w:r>
        <w:rPr>
          <w:rFonts w:hint="eastAsia"/>
          <w:color w:val="000000" w:themeColor="text1"/>
          <w:sz w:val="21"/>
          <w:szCs w:val="21"/>
          <w:highlight w:val="none"/>
          <w14:textFill>
            <w14:solidFill>
              <w14:schemeClr w14:val="tx1"/>
            </w14:solidFill>
          </w14:textFill>
        </w:rPr>
        <w:t>。</w:t>
      </w:r>
    </w:p>
    <w:p>
      <w:pPr>
        <w:pStyle w:val="55"/>
        <w:snapToGrid w:val="0"/>
        <w:spacing w:before="156" w:beforeLines="50" w:beforeAutospacing="0" w:after="0" w:afterAutospacing="0" w:line="300" w:lineRule="auto"/>
        <w:ind w:firstLine="112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监理人接收文件的地点：</w:t>
      </w:r>
      <w:r>
        <w:rPr>
          <w:rFonts w:hint="eastAsia"/>
          <w:color w:val="000000" w:themeColor="text1"/>
          <w:sz w:val="21"/>
          <w:szCs w:val="21"/>
          <w:highlight w:val="none"/>
          <w:u w:val="single"/>
          <w14:textFill>
            <w14:solidFill>
              <w14:schemeClr w14:val="tx1"/>
            </w14:solidFill>
          </w14:textFill>
        </w:rPr>
        <w:t>广州市南沙区</w:t>
      </w:r>
      <w:r>
        <w:rPr>
          <w:color w:val="000000" w:themeColor="text1"/>
          <w:sz w:val="21"/>
          <w:szCs w:val="21"/>
          <w:highlight w:val="none"/>
          <w:u w:val="single"/>
          <w14:textFill>
            <w14:solidFill>
              <w14:schemeClr w14:val="tx1"/>
            </w14:solidFill>
          </w14:textFill>
        </w:rPr>
        <w:t xml:space="preserve">       </w:t>
      </w:r>
      <w:r>
        <w:rPr>
          <w:rFonts w:hint="eastAsia"/>
          <w:color w:val="000000" w:themeColor="text1"/>
          <w:sz w:val="21"/>
          <w:szCs w:val="21"/>
          <w:highlight w:val="none"/>
          <w14:textFill>
            <w14:solidFill>
              <w14:schemeClr w14:val="tx1"/>
            </w14:solidFill>
          </w14:textFill>
        </w:rPr>
        <w:t>；</w:t>
      </w:r>
    </w:p>
    <w:p>
      <w:pPr>
        <w:pStyle w:val="55"/>
        <w:snapToGrid w:val="0"/>
        <w:spacing w:before="156" w:beforeLines="50" w:beforeAutospacing="0" w:after="0" w:afterAutospacing="0" w:line="300" w:lineRule="auto"/>
        <w:ind w:firstLine="112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监理人指定的接收人为：</w:t>
      </w:r>
      <w:r>
        <w:rPr>
          <w:rFonts w:hint="eastAsia"/>
          <w:color w:val="000000" w:themeColor="text1"/>
          <w:sz w:val="21"/>
          <w:szCs w:val="21"/>
          <w:highlight w:val="none"/>
          <w:u w:val="single"/>
          <w14:textFill>
            <w14:solidFill>
              <w14:schemeClr w14:val="tx1"/>
            </w14:solidFill>
          </w14:textFill>
        </w:rPr>
        <w:t>按发包人与监理人签订合同中的约定</w:t>
      </w:r>
      <w:r>
        <w:rPr>
          <w:rFonts w:hint="eastAsia"/>
          <w:color w:val="000000" w:themeColor="text1"/>
          <w:sz w:val="21"/>
          <w:szCs w:val="21"/>
          <w:highlight w:val="none"/>
          <w14:textFill>
            <w14:solidFill>
              <w14:schemeClr w14:val="tx1"/>
            </w14:solidFill>
          </w14:textFill>
        </w:rPr>
        <w:t>。</w:t>
      </w:r>
    </w:p>
    <w:p>
      <w:pPr>
        <w:pStyle w:val="55"/>
        <w:snapToGrid w:val="0"/>
        <w:spacing w:before="156" w:beforeLines="50" w:beforeAutospacing="0" w:after="0" w:afterAutospacing="0" w:line="300" w:lineRule="auto"/>
        <w:ind w:firstLine="112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承包人接收文件的地点：</w:t>
      </w:r>
      <w:r>
        <w:rPr>
          <w:rFonts w:hint="eastAsia"/>
          <w:color w:val="000000" w:themeColor="text1"/>
          <w:sz w:val="21"/>
          <w:szCs w:val="21"/>
          <w:highlight w:val="none"/>
          <w:u w:val="single"/>
          <w14:textFill>
            <w14:solidFill>
              <w14:schemeClr w14:val="tx1"/>
            </w14:solidFill>
          </w14:textFill>
        </w:rPr>
        <w:t>广州市南沙区</w:t>
      </w:r>
      <w:r>
        <w:rPr>
          <w:color w:val="000000" w:themeColor="text1"/>
          <w:sz w:val="21"/>
          <w:szCs w:val="21"/>
          <w:highlight w:val="none"/>
          <w:u w:val="single"/>
          <w14:textFill>
            <w14:solidFill>
              <w14:schemeClr w14:val="tx1"/>
            </w14:solidFill>
          </w14:textFill>
        </w:rPr>
        <w:t xml:space="preserve">  </w:t>
      </w:r>
      <w:r>
        <w:rPr>
          <w:rFonts w:hint="eastAsia"/>
          <w:color w:val="000000" w:themeColor="text1"/>
          <w:sz w:val="21"/>
          <w:szCs w:val="21"/>
          <w:highlight w:val="none"/>
          <w14:textFill>
            <w14:solidFill>
              <w14:schemeClr w14:val="tx1"/>
            </w14:solidFill>
          </w14:textFill>
        </w:rPr>
        <w:t>；</w:t>
      </w:r>
    </w:p>
    <w:p>
      <w:pPr>
        <w:pStyle w:val="55"/>
        <w:snapToGrid w:val="0"/>
        <w:spacing w:before="156" w:beforeLines="50" w:beforeAutospacing="0" w:after="0" w:afterAutospacing="0" w:line="300" w:lineRule="auto"/>
        <w:ind w:firstLine="112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承包人指定的接收人为：</w:t>
      </w:r>
      <w:r>
        <w:rPr>
          <w:rFonts w:hint="eastAsia"/>
          <w:color w:val="000000" w:themeColor="text1"/>
          <w:szCs w:val="21"/>
          <w:highlight w:val="none"/>
          <w:u w:val="single"/>
          <w14:textFill>
            <w14:solidFill>
              <w14:schemeClr w14:val="tx1"/>
            </w14:solidFill>
          </w14:textFill>
        </w:rPr>
        <w:t></w:t>
      </w:r>
      <w:r>
        <w:rPr>
          <w:rFonts w:hint="eastAsia"/>
          <w:color w:val="000000" w:themeColor="text1"/>
          <w:sz w:val="21"/>
          <w:szCs w:val="21"/>
          <w:highlight w:val="none"/>
          <w:u w:val="single"/>
          <w14:textFill>
            <w14:solidFill>
              <w14:schemeClr w14:val="tx1"/>
            </w14:solidFill>
          </w14:textFill>
        </w:rPr>
        <w:t>（施工方）、</w:t>
      </w:r>
      <w:r>
        <w:rPr>
          <w:rFonts w:hint="eastAsia"/>
          <w:color w:val="000000" w:themeColor="text1"/>
          <w:szCs w:val="21"/>
          <w:highlight w:val="none"/>
          <w:u w:val="single"/>
          <w14:textFill>
            <w14:solidFill>
              <w14:schemeClr w14:val="tx1"/>
            </w14:solidFill>
          </w14:textFill>
        </w:rPr>
        <w:t></w:t>
      </w:r>
      <w:r>
        <w:rPr>
          <w:color w:val="000000" w:themeColor="text1"/>
          <w:szCs w:val="21"/>
          <w:highlight w:val="none"/>
          <w:u w:val="single"/>
          <w14:textFill>
            <w14:solidFill>
              <w14:schemeClr w14:val="tx1"/>
            </w14:solidFill>
          </w14:textFill>
        </w:rPr>
        <w:t xml:space="preserve"> </w:t>
      </w:r>
      <w:r>
        <w:rPr>
          <w:rFonts w:hint="eastAsia"/>
          <w:color w:val="000000" w:themeColor="text1"/>
          <w:sz w:val="21"/>
          <w:szCs w:val="21"/>
          <w:highlight w:val="none"/>
          <w:u w:val="single"/>
          <w14:textFill>
            <w14:solidFill>
              <w14:schemeClr w14:val="tx1"/>
            </w14:solidFill>
          </w14:textFill>
        </w:rPr>
        <w:t>（设计方）、</w:t>
      </w:r>
      <w:r>
        <w:rPr>
          <w:color w:val="000000" w:themeColor="text1"/>
          <w:szCs w:val="21"/>
          <w:highlight w:val="none"/>
          <w:u w:val="single"/>
          <w14:textFill>
            <w14:solidFill>
              <w14:schemeClr w14:val="tx1"/>
            </w14:solidFill>
          </w14:textFill>
        </w:rPr>
        <w:t xml:space="preserve">     </w:t>
      </w:r>
      <w:r>
        <w:rPr>
          <w:rFonts w:hint="eastAsia"/>
          <w:color w:val="000000" w:themeColor="text1"/>
          <w:sz w:val="21"/>
          <w:szCs w:val="21"/>
          <w:highlight w:val="none"/>
          <w:u w:val="single"/>
          <w14:textFill>
            <w14:solidFill>
              <w14:schemeClr w14:val="tx1"/>
            </w14:solidFill>
          </w14:textFill>
        </w:rPr>
        <w:t>（勘察方）</w:t>
      </w:r>
      <w:r>
        <w:rPr>
          <w:rFonts w:hint="eastAsia"/>
          <w:color w:val="000000" w:themeColor="text1"/>
          <w:sz w:val="21"/>
          <w:szCs w:val="21"/>
          <w:highlight w:val="none"/>
          <w14:textFill>
            <w14:solidFill>
              <w14:schemeClr w14:val="tx1"/>
            </w14:solidFill>
          </w14:textFill>
        </w:rPr>
        <w:t>。</w:t>
      </w:r>
    </w:p>
    <w:p>
      <w:pPr>
        <w:pStyle w:val="55"/>
        <w:autoSpaceDE w:val="0"/>
        <w:autoSpaceDN w:val="0"/>
        <w:adjustRightInd w:val="0"/>
        <w:snapToGrid w:val="0"/>
        <w:spacing w:before="156" w:beforeLines="50" w:beforeAutospacing="0" w:after="156" w:afterLines="50" w:afterAutospacing="0" w:line="300" w:lineRule="auto"/>
        <w:ind w:firstLine="420" w:firstLineChars="200"/>
        <w:rPr>
          <w:color w:val="000000" w:themeColor="text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包人、监理人的发函和答复由承包人项目经理或以上指定接收人签收，送达地点为承包人项目经理部。如承包人拒绝签收，监理人可在签收回执上注明相关情况及原因，并由发包人现场工程师签字证明，并将函件放置于承包人项目经理部即视为送达。</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1.13 发包人要求中的错误（B）</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双方一致同意通用合同条款第1.13款内容不适用于本项目，本款在专用合同条款另行约定如下：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承包人应认真阅读、复核发包人要求，发现错误的，应及时书面通知发包人。承包人未发现发包人要求中存在错误的，承包人自行承担由此导致的费用增加和(或)工期延误，但专用合同条款另有约定的除外。</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462" w:name="_Toc22273"/>
      <w:bookmarkStart w:id="1463" w:name="_Toc14335"/>
      <w:bookmarkStart w:id="1464" w:name="_Toc117110315"/>
      <w:bookmarkStart w:id="1465" w:name="_Toc147856216"/>
      <w:r>
        <w:rPr>
          <w:rStyle w:val="114"/>
          <w:rFonts w:hint="eastAsia"/>
          <w:bCs w:val="0"/>
          <w:color w:val="000000" w:themeColor="text1"/>
          <w:highlight w:val="none"/>
          <w14:textFill>
            <w14:solidFill>
              <w14:schemeClr w14:val="tx1"/>
            </w14:solidFill>
          </w14:textFill>
        </w:rPr>
        <w:t>2.</w:t>
      </w:r>
      <w:r>
        <w:rPr>
          <w:rStyle w:val="114"/>
          <w:bCs w:val="0"/>
          <w:color w:val="000000" w:themeColor="text1"/>
          <w:highlight w:val="none"/>
          <w14:textFill>
            <w14:solidFill>
              <w14:schemeClr w14:val="tx1"/>
            </w14:solidFill>
          </w14:textFill>
        </w:rPr>
        <w:t xml:space="preserve"> </w:t>
      </w:r>
      <w:r>
        <w:rPr>
          <w:rStyle w:val="114"/>
          <w:rFonts w:hint="eastAsia"/>
          <w:bCs w:val="0"/>
          <w:color w:val="000000" w:themeColor="text1"/>
          <w:highlight w:val="none"/>
          <w14:textFill>
            <w14:solidFill>
              <w14:schemeClr w14:val="tx1"/>
            </w14:solidFill>
          </w14:textFill>
        </w:rPr>
        <w:t>发包人义务</w:t>
      </w:r>
      <w:bookmarkEnd w:id="1462"/>
      <w:bookmarkEnd w:id="1463"/>
      <w:bookmarkEnd w:id="1464"/>
      <w:bookmarkEnd w:id="1465"/>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 提供施工场地</w:t>
      </w:r>
    </w:p>
    <w:p>
      <w:pPr>
        <w:autoSpaceDE w:val="0"/>
        <w:autoSpaceDN w:val="0"/>
        <w:adjustRightInd w:val="0"/>
        <w:spacing w:before="156" w:beforeLines="50" w:after="156" w:afterLines="50" w:line="360" w:lineRule="auto"/>
        <w:ind w:firstLine="420" w:firstLineChars="200"/>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2.3.1发包人向承包人移交现场的约定：</w:t>
      </w:r>
      <w:r>
        <w:rPr>
          <w:rFonts w:hint="eastAsia" w:ascii="宋体" w:hAnsi="宋体" w:cs="宋体"/>
          <w:color w:val="000000" w:themeColor="text1"/>
          <w:kern w:val="0"/>
          <w:szCs w:val="21"/>
          <w:highlight w:val="none"/>
          <w:u w:val="single"/>
          <w14:textFill>
            <w14:solidFill>
              <w14:schemeClr w14:val="tx1"/>
            </w14:solidFill>
          </w14:textFill>
        </w:rPr>
        <w:t>项目红线以内范围，由发包人负责提供施工场地。红线以外的房屋、土地等，确属工程需要临时占用的，承包人应承担办理有关临时占用手续等工作及支付所需的一切费用。发包人可以根据实际情况，分期移交施工场地给承包人</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2.3.2发包人提供进场施工条件的约定：</w:t>
      </w:r>
      <w:r>
        <w:rPr>
          <w:rFonts w:hint="eastAsia" w:ascii="宋体" w:hAnsi="宋体" w:cs="宋体"/>
          <w:color w:val="000000" w:themeColor="text1"/>
          <w:kern w:val="0"/>
          <w:szCs w:val="21"/>
          <w:highlight w:val="none"/>
          <w:u w:val="single"/>
          <w14:textFill>
            <w14:solidFill>
              <w14:schemeClr w14:val="tx1"/>
            </w14:solidFill>
          </w14:textFill>
        </w:rPr>
        <w:t>承包人应自行解决施工所需的临时用水、用电。承包人应配合发包人做好场地接收工作。承包人应做好施工场地及周围管线（供水、供电、供气、排水、油管、通讯等）、建筑物（构筑物）、古树名木以及原有道路、桥梁、路灯和通讯设施等临时保护工作，并在有关部门、相关单位实施原地加固保护或迁移工程时予以配合（如有），由此增加的临时保护、现场管理、施工降效等费用是承包人承担的风险，发包人不另行计算费用及支付。在施工过程中，由于承包人原因造成其损伤而引起的责任和损失由承包人承担，相关费用已包含在签约合同价中，发包人不另行计量支付，若承包人不按要求修复或赔偿损失的，则发包人有权另行委托其它单位修复，相关费用从承包人工程款中扣除</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2.3.3发包人提供基础资料的约定：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（1）发包人在投标前向承包人提供下述资料①项目立项批文；②有关规划用地意见；③勘察设计工作要求。上述资料作为招标文件的组成部分，在招标文件发布时提供。</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2）对于施工现场地上、地下管线（包括供水、供电、供气、排水、油管、通讯光缆等）、邻近建筑物（构筑物）、文物保护建筑、古树名木的资料由承包人自行调查、摸查、购买、核实（如承包人在核实过程中认为需要重新物探，由承包人自行负责组织并承担相关费用），并向监理人和发包人提交专项报告，提供基础资料相关费用除国家及各级政府相关法律、法规、规定或合同约定明确要求由发包人承担的行政性收费以外，已包含在签约合同价中，发包人不另行支付，发包人可提供可能的协助和方便。</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2.3.4 </w:t>
      </w:r>
      <w:r>
        <w:rPr>
          <w:rFonts w:hint="eastAsia" w:ascii="宋体" w:hAnsi="宋体" w:cs="宋体"/>
          <w:color w:val="000000" w:themeColor="text1"/>
          <w:kern w:val="0"/>
          <w:szCs w:val="21"/>
          <w:highlight w:val="none"/>
          <w14:textFill>
            <w14:solidFill>
              <w14:schemeClr w14:val="tx1"/>
            </w14:solidFill>
          </w14:textFill>
        </w:rPr>
        <w:t>逾期提供的责任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规划调整、征地拆迁或青苗补偿等原因，发包人未能按合同约定及时向承包人提供施工现场、施工条件、基础资料时，导致影响关键节点工期或关键线路的，经发包人确认后，给予工期顺延。如因工期顺延涉及价格调整的按专用合同条款第16.1条执行，除合同另有约定外由此产生的其他费用发包人不予支付</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 办理证件和批件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对于按规定应由发包人办理各类审批、核准或备案手续，承包人应主动提出使用时间计划并积极协助发包人协调，以便于保证项目工期。</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 支付合同价款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本款双方约定为：发包人按合同约定支付合同价款，发包人无需提供支付担保。</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 其他义务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发包人的其他权利和义务包括如下：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法律规定和（或）合同约定由发包人负责办理的工程建设项目必须履行的各类审批、核准或备案手续，发包人应按时办理。法律规定和（或）合同约定由承包人负责的有关勘察、设计、施工证件和批件，发包人应给予必要的协助。</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（2）发包人应履行合同中约定的合同价格调整、付款、竣工结算义务。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发包人有权按照合同约定和适用法律关于安全、质量、环境保护和职业健康等强制性标准、规范的规定，对承包人的勘察（如有）、设计、施工等实施工作提议、修改和变更，但不得违反国家强制性标准、规范的规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（4）发包人有权根据合同约定，对因承包人原因给发包人带来的任何损失和损害，提出赔偿。</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（5）发包人认为必要时，有权以书面形式发出暂停通知。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承包人在设计-施工进度、设计-施工质量、指派人员、提供服务、协作等方面义务的履行不符合本合同约定时，发包人有追究违约责任、要求赔偿损失、直至解除合同等权利；同时，发包人还有权将承包人存在的上述违约事实公诸于众和向有关部门反映情况。</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（7）在施工开工前，发包人组织设计交底，并协调处理勘察设计施工、监理及咨询等各方面的配合工作。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（8）因规划调整或工程规模、建设标准、功能需求发生重大变化等非承包人原因导致审定的概算超过已批复的可行性研究报告估算总投资的，发包人有权终止合同，将本工程重新招标另行发包。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9</w:t>
      </w:r>
      <w:r>
        <w:rPr>
          <w:rFonts w:hint="eastAsia" w:ascii="宋体" w:hAnsi="宋体" w:cs="宋体"/>
          <w:color w:val="000000" w:themeColor="text1"/>
          <w:kern w:val="0"/>
          <w:szCs w:val="21"/>
          <w:highlight w:val="none"/>
          <w14:textFill>
            <w14:solidFill>
              <w14:schemeClr w14:val="tx1"/>
            </w14:solidFill>
          </w14:textFill>
        </w:rPr>
        <w:t>）发包人有权成立项目品控小组对承包人施工质量及投入项目材料设备选取（品牌、质量）工作进行监督指导，本项目立项业主南沙区水务局作为品控小组成员之一。</w:t>
      </w:r>
    </w:p>
    <w:p>
      <w:pPr>
        <w:pStyle w:val="2"/>
        <w:autoSpaceDE w:val="0"/>
        <w:autoSpaceDN w:val="0"/>
        <w:adjustRightInd w:val="0"/>
        <w:spacing w:before="156" w:beforeLines="50" w:after="156" w:afterLines="50" w:line="360" w:lineRule="auto"/>
        <w:ind w:firstLine="420" w:firstLineChars="20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）因承包人原因导致未实现本项目安全管理目标的，发包人</w:t>
      </w:r>
      <w:r>
        <w:rPr>
          <w:rFonts w:hint="eastAsia" w:ascii="宋体" w:hAnsi="宋体" w:cs="宋体"/>
          <w:color w:val="000000" w:themeColor="text1"/>
          <w:kern w:val="0"/>
          <w:szCs w:val="21"/>
          <w:highlight w:val="none"/>
          <w14:textFill>
            <w14:solidFill>
              <w14:schemeClr w14:val="tx1"/>
            </w14:solidFill>
          </w14:textFill>
        </w:rPr>
        <w:t>有权终止合同，并按合同违约条款要求承包人赔偿相应损失</w:t>
      </w:r>
      <w:r>
        <w:rPr>
          <w:rFonts w:hint="eastAsia"/>
          <w:color w:val="000000" w:themeColor="text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11</w:t>
      </w:r>
      <w:r>
        <w:rPr>
          <w:rFonts w:hint="eastAsia" w:ascii="宋体" w:hAnsi="宋体" w:cs="宋体"/>
          <w:color w:val="000000" w:themeColor="text1"/>
          <w:kern w:val="0"/>
          <w:szCs w:val="21"/>
          <w:highlight w:val="none"/>
          <w14:textFill>
            <w14:solidFill>
              <w14:schemeClr w14:val="tx1"/>
            </w14:solidFill>
          </w14:textFill>
        </w:rPr>
        <w:t>）发包人享有的其他权利和义务。</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466" w:name="_Toc2684"/>
      <w:bookmarkStart w:id="1467" w:name="_Toc21690"/>
      <w:bookmarkStart w:id="1468" w:name="_Toc1178043553"/>
      <w:bookmarkStart w:id="1469" w:name="_Toc147856217"/>
      <w:r>
        <w:rPr>
          <w:rStyle w:val="114"/>
          <w:rFonts w:hint="eastAsia"/>
          <w:bCs w:val="0"/>
          <w:color w:val="000000" w:themeColor="text1"/>
          <w:highlight w:val="none"/>
          <w14:textFill>
            <w14:solidFill>
              <w14:schemeClr w14:val="tx1"/>
            </w14:solidFill>
          </w14:textFill>
        </w:rPr>
        <w:t>3. 监理人</w:t>
      </w:r>
      <w:bookmarkEnd w:id="1466"/>
      <w:bookmarkEnd w:id="1467"/>
      <w:bookmarkEnd w:id="1468"/>
      <w:bookmarkEnd w:id="1469"/>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 监理人的职责和权力</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3.1.1 监理人在行使下列权力前，必须得到发包人的批准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w:t>
      </w:r>
      <w:r>
        <w:rPr>
          <w:rFonts w:ascii="宋体" w:hAnsi="宋体" w:cs="宋体"/>
          <w:color w:val="000000" w:themeColor="text1"/>
          <w:kern w:val="0"/>
          <w:szCs w:val="21"/>
          <w:highlight w:val="none"/>
          <w:u w:val="single"/>
          <w14:textFill>
            <w14:solidFill>
              <w14:schemeClr w14:val="tx1"/>
            </w14:solidFill>
          </w14:textFill>
        </w:rPr>
        <w:t>1）确定延长完工期限；</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w:t>
      </w:r>
      <w:r>
        <w:rPr>
          <w:rFonts w:ascii="宋体" w:hAnsi="宋体" w:cs="宋体"/>
          <w:color w:val="000000" w:themeColor="text1"/>
          <w:kern w:val="0"/>
          <w:szCs w:val="21"/>
          <w:highlight w:val="none"/>
          <w:u w:val="single"/>
          <w14:textFill>
            <w14:solidFill>
              <w14:schemeClr w14:val="tx1"/>
            </w14:solidFill>
          </w14:textFill>
        </w:rPr>
        <w:t>2）作出变更决定；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w:t>
      </w:r>
      <w:r>
        <w:rPr>
          <w:rFonts w:ascii="宋体" w:hAnsi="宋体" w:cs="宋体"/>
          <w:color w:val="000000" w:themeColor="text1"/>
          <w:kern w:val="0"/>
          <w:szCs w:val="21"/>
          <w:highlight w:val="none"/>
          <w:u w:val="single"/>
          <w14:textFill>
            <w14:solidFill>
              <w14:schemeClr w14:val="tx1"/>
            </w14:solidFill>
          </w14:textFill>
        </w:rPr>
        <w:t>3）批准承包人更换施工负责人、设计负责人、主要设计及施工管理及技术人员。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w:t>
      </w:r>
      <w:r>
        <w:rPr>
          <w:rFonts w:ascii="宋体" w:hAnsi="宋体" w:cs="宋体"/>
          <w:color w:val="000000" w:themeColor="text1"/>
          <w:kern w:val="0"/>
          <w:szCs w:val="21"/>
          <w:highlight w:val="none"/>
          <w:u w:val="single"/>
          <w14:textFill>
            <w14:solidFill>
              <w14:schemeClr w14:val="tx1"/>
            </w14:solidFill>
          </w14:textFill>
        </w:rPr>
        <w:t>4）在合同履行期间，发包人有权根据具体情况调整监理人需经发包人批准的权力范围并通知承包人。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尽管有以上规定，但当监理人认为出现了危及生命、工程或毗邻财产等安全的紧急事件时，在不免除合同规定的承包人责任的情况下，监理人可以指示承包人实施为消除或减少这种危险所必须进行的工作，即使没有发包人的事先批准，承包人也应立即遵照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除上述规定以外监理人具体工作职责和权力以该项目监理合同及发包人的监理工作要求为准。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3.1.3监理人根据项目实际需要在施工现场的办公场所、生活场所由承包人提供，相关费用已包含在签约合同价中，发包人不另行支付。</w:t>
      </w:r>
    </w:p>
    <w:p>
      <w:pPr>
        <w:pStyle w:val="6"/>
        <w:spacing w:before="24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 监理人员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双方一致同意通用合同条款第3.3款内容不适用于本项目，本款在专用合同条款另行约定如下：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u w:val="single"/>
          <w14:textFill>
            <w14:solidFill>
              <w14:schemeClr w14:val="tx1"/>
            </w14:solidFill>
          </w14:textFill>
        </w:rPr>
        <w:t>发包人授予监理人对工程实施监理的权利由监理人派驻施工现场的监理人员行使，监理人员包括总监理工程师及监理工程师。监理人应将授权的总监理工程师和监理工程师的姓名及授权范围以书面形式提前通知承包人。更换总监理工程师的，监理人应提前7天书面通知承包人；更换其他监理人员，监理人应提前48小时书面通知承包人</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line="360" w:lineRule="auto"/>
        <w:ind w:firstLine="118"/>
        <w:rPr>
          <w:color w:val="000000" w:themeColor="text1"/>
          <w:highlight w:val="none"/>
          <w14:textFill>
            <w14:solidFill>
              <w14:schemeClr w14:val="tx1"/>
            </w14:solidFill>
          </w14:textFill>
        </w:rPr>
      </w:pPr>
      <w:bookmarkStart w:id="1470" w:name="_Toc5369"/>
      <w:bookmarkStart w:id="1471" w:name="_Toc143623693"/>
      <w:r>
        <w:rPr>
          <w:color w:val="000000" w:themeColor="text1"/>
          <w:highlight w:val="none"/>
          <w14:textFill>
            <w14:solidFill>
              <w14:schemeClr w14:val="tx1"/>
            </w14:solidFill>
          </w14:textFill>
        </w:rPr>
        <w:t xml:space="preserve">3.4 </w:t>
      </w:r>
      <w:r>
        <w:rPr>
          <w:rFonts w:hint="eastAsia"/>
          <w:color w:val="000000" w:themeColor="text1"/>
          <w:highlight w:val="none"/>
          <w14:textFill>
            <w14:solidFill>
              <w14:schemeClr w14:val="tx1"/>
            </w14:solidFill>
          </w14:textFill>
        </w:rPr>
        <w:t>监理人的指示</w:t>
      </w:r>
      <w:bookmarkEnd w:id="1470"/>
      <w:bookmarkEnd w:id="1471"/>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w:t>
      </w:r>
      <w:r>
        <w:rPr>
          <w:rFonts w:ascii="宋体" w:hAnsi="宋体" w:cs="宋体"/>
          <w:color w:val="000000" w:themeColor="text1"/>
          <w:kern w:val="0"/>
          <w:szCs w:val="21"/>
          <w:highlight w:val="none"/>
          <w14:textFill>
            <w14:solidFill>
              <w14:schemeClr w14:val="tx1"/>
            </w14:solidFill>
          </w14:textFill>
        </w:rPr>
        <w:t>3.4款内容不适用于本项目，本款在专用合同条款另行约定如下：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3.4.1监理人应按照发包人的授权发出监理指示。监理人的指示应</w:t>
      </w:r>
      <w:r>
        <w:rPr>
          <w:rFonts w:hint="eastAsia" w:ascii="宋体" w:hAnsi="宋体" w:cs="宋体"/>
          <w:color w:val="000000" w:themeColor="text1"/>
          <w:kern w:val="0"/>
          <w:szCs w:val="21"/>
          <w:highlight w:val="none"/>
          <w14:textFill>
            <w14:solidFill>
              <w14:schemeClr w14:val="tx1"/>
            </w14:solidFill>
          </w14:textFill>
        </w:rPr>
        <w:t>采用书面形式，并经其授权的监理人员签字。紧急情况下，为了保证施工人员的安全或避免工程受损，监理人员可以口头形式发出指示，该指示与书面形式的指示具有同等法律效力，但必须在发出口头指示后</w:t>
      </w:r>
      <w:r>
        <w:rPr>
          <w:rFonts w:ascii="宋体" w:hAnsi="宋体" w:cs="宋体"/>
          <w:color w:val="000000" w:themeColor="text1"/>
          <w:kern w:val="0"/>
          <w:szCs w:val="21"/>
          <w:highlight w:val="none"/>
          <w14:textFill>
            <w14:solidFill>
              <w14:schemeClr w14:val="tx1"/>
            </w14:solidFill>
          </w14:textFill>
        </w:rPr>
        <w:t>24小时内补发书面监理指示，补发的书面监理指示应与口头指示一致。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3.4.2监理人发出的指示应送达承包人项目经理或经项目经理授权接收的人员。因监理人未能按合同约定发出指示、指示延误或发出了错误指示而导致承包人费用增加和（或）工期延误的，</w:t>
      </w:r>
      <w:r>
        <w:rPr>
          <w:rFonts w:hint="eastAsia" w:ascii="宋体" w:hAnsi="宋体" w:cs="宋体"/>
          <w:color w:val="000000" w:themeColor="text1"/>
          <w:kern w:val="0"/>
          <w:szCs w:val="21"/>
          <w:highlight w:val="none"/>
          <w14:textFill>
            <w14:solidFill>
              <w14:schemeClr w14:val="tx1"/>
            </w14:solidFill>
          </w14:textFill>
        </w:rPr>
        <w:t>由发包人按与监理人的委托合同追究其相应责任。总监理工程师不应将第</w:t>
      </w:r>
      <w:r>
        <w:rPr>
          <w:rFonts w:ascii="宋体" w:hAnsi="宋体" w:cs="宋体"/>
          <w:color w:val="000000" w:themeColor="text1"/>
          <w:kern w:val="0"/>
          <w:szCs w:val="21"/>
          <w:highlight w:val="none"/>
          <w14:textFill>
            <w14:solidFill>
              <w14:schemeClr w14:val="tx1"/>
            </w14:solidFill>
          </w14:textFill>
        </w:rPr>
        <w:t>3.5款约定应由总监理工程师作出确定</w:t>
      </w:r>
      <w:r>
        <w:rPr>
          <w:rFonts w:hint="eastAsia" w:ascii="宋体" w:hAnsi="宋体" w:cs="宋体"/>
          <w:color w:val="000000" w:themeColor="text1"/>
          <w:kern w:val="0"/>
          <w:szCs w:val="21"/>
          <w:highlight w:val="none"/>
          <w14:textFill>
            <w14:solidFill>
              <w14:schemeClr w14:val="tx1"/>
            </w14:solidFill>
          </w14:textFill>
        </w:rPr>
        <w:t>的权力授权或委托给其他监理人员。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3.4.3承包人对监理人发出的指示有疑问的，应向监理人提出书面异议，监理人应在48小时内对该指示予以确认、更改或撤销。</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3.4.4监理人对承包人的任何工作、工程或其采用的材料和工程设备未在约定的或合理期限内提出意见的，视为批准，但不免除或减轻承包人对该工作、工程、材料、工程设备等应承担的责任和义务。</w:t>
      </w:r>
    </w:p>
    <w:p>
      <w:pPr>
        <w:pStyle w:val="6"/>
        <w:spacing w:before="240"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3.5 </w:t>
      </w:r>
      <w:r>
        <w:rPr>
          <w:rFonts w:hint="eastAsia"/>
          <w:color w:val="000000" w:themeColor="text1"/>
          <w:highlight w:val="none"/>
          <w14:textFill>
            <w14:solidFill>
              <w14:schemeClr w14:val="tx1"/>
            </w14:solidFill>
          </w14:textFill>
        </w:rPr>
        <w:t>商定或确定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双方一致同意通用合同条款第3.5.2项内容不适用于本项目，本项在专用合同条款另行约定如下：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3.5.2总监理工程师应将确定以书面形式通知发包人和承包人，并附详细依据。合同当事人对总监理工程师的确定没有异议的，按照总监理工程师的确定执行。任何一方合同当事人有异议，按照第24条约定处理。争议解决前，合同当事人暂按总监理工程师的确定执行；争议解决后，争议解决的结果与总监理工程师的确定不一致的，按照争议解决的结果执行，由此造成的损失由责任人承担。</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472" w:name="_Toc1726253578"/>
      <w:bookmarkStart w:id="1473" w:name="_Toc9045"/>
      <w:bookmarkStart w:id="1474" w:name="_Toc1535"/>
      <w:bookmarkStart w:id="1475" w:name="_Toc147856218"/>
      <w:r>
        <w:rPr>
          <w:rStyle w:val="114"/>
          <w:rFonts w:hint="eastAsia"/>
          <w:bCs w:val="0"/>
          <w:color w:val="000000" w:themeColor="text1"/>
          <w:highlight w:val="none"/>
          <w14:textFill>
            <w14:solidFill>
              <w14:schemeClr w14:val="tx1"/>
            </w14:solidFill>
          </w14:textFill>
        </w:rPr>
        <w:t>4. 承包人</w:t>
      </w:r>
      <w:bookmarkEnd w:id="1472"/>
      <w:bookmarkEnd w:id="1473"/>
      <w:bookmarkEnd w:id="1474"/>
      <w:bookmarkEnd w:id="1475"/>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 承包人的一般义务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4.1.10 其他义务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（1）承包人提交的竣工资料的内容：</w:t>
      </w:r>
      <w:r>
        <w:rPr>
          <w:rFonts w:hint="eastAsia" w:ascii="宋体" w:hAnsi="宋体" w:cs="宋体"/>
          <w:color w:val="000000" w:themeColor="text1"/>
          <w:kern w:val="0"/>
          <w:szCs w:val="21"/>
          <w:highlight w:val="none"/>
          <w:u w:val="single"/>
          <w14:textFill>
            <w14:solidFill>
              <w14:schemeClr w14:val="tx1"/>
            </w14:solidFill>
          </w14:textFill>
        </w:rPr>
        <w:t>广州市南沙区城市建设档案有关管理规定和发包人有关整理工程档案的管理规定及要求，在工程施工期间及时收集、汇总、整理、编制竣工档案。</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承包人需要提交的竣工资料套数及竣工资料形式要求：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①竣工文件资料、竣工图档案（原件）各一式四份；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②与本款（1）项内容相同的电子文档档案一式二份；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③声像档案一式二份。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承包人提交的竣工资料的费用承担：</w:t>
      </w:r>
      <w:r>
        <w:rPr>
          <w:rFonts w:hint="eastAsia" w:ascii="宋体" w:hAnsi="宋体" w:cs="宋体"/>
          <w:color w:val="000000" w:themeColor="text1"/>
          <w:kern w:val="0"/>
          <w:szCs w:val="21"/>
          <w:highlight w:val="none"/>
          <w:u w:val="single"/>
          <w14:textFill>
            <w14:solidFill>
              <w14:schemeClr w14:val="tx1"/>
            </w14:solidFill>
          </w14:textFill>
        </w:rPr>
        <w:t>承包人承担</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承包人提交的竣工资料移交时间：</w:t>
      </w:r>
      <w:r>
        <w:rPr>
          <w:rFonts w:hint="eastAsia" w:ascii="宋体" w:hAnsi="宋体" w:cs="宋体"/>
          <w:color w:val="000000" w:themeColor="text1"/>
          <w:kern w:val="0"/>
          <w:szCs w:val="21"/>
          <w:highlight w:val="none"/>
          <w:u w:val="single"/>
          <w14:textFill>
            <w14:solidFill>
              <w14:schemeClr w14:val="tx1"/>
            </w14:solidFill>
          </w14:textFill>
        </w:rPr>
        <w:t>承包人应于工程竣工验收后15天内将竣工档案提交监理人审查。经监理人审查合格后，承包人应及时将竣工档案移交给发包人归档并同时移交有关归档的证明文件。发包人应在收到经审查合格的竣工档案后10天内签署档案验收意见；不合格的，要求承包人限期补正，直至合格为止。</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不按时移交竣工档案，或者移交的竣工档案不完整且在发包人规定的期限内不补充完整的，承包人承担20万元的违约金。同时，并不免除承包人完整移交竣工档案的义务。因承包人的原因致使发包人未能按照国家规定向政府有关部门移交工程竣工档案而受到经济处罚的，由承包人承担全额赔偿责任。</w:t>
      </w:r>
    </w:p>
    <w:p>
      <w:pPr>
        <w:pStyle w:val="540"/>
        <w:spacing w:line="360" w:lineRule="auto"/>
        <w:ind w:left="4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（2）工人工资支付管理：</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应当按照国家及广东省、广州市的有关规定和本合同的有关约定加强其参与本工程建设人员（包括施工人员）实名制的管理，本工程款（包括但不限于预付款、进度款等）均实行工人工资支付实行分账管理，并按时足额发放工人工资。</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①</w:t>
      </w:r>
      <w:r>
        <w:rPr>
          <w:rFonts w:hint="eastAsia" w:ascii="宋体" w:hAnsi="宋体" w:cs="宋体"/>
          <w:color w:val="000000" w:themeColor="text1"/>
          <w:kern w:val="0"/>
          <w:szCs w:val="21"/>
          <w:highlight w:val="none"/>
          <w14:textFill>
            <w14:solidFill>
              <w14:schemeClr w14:val="tx1"/>
            </w14:solidFill>
          </w14:textFill>
        </w:rPr>
        <w:t>承包人应当根据劳动合同约定的施工人员工资标准等内容，按照依法签订的集体合同或劳动合同约定的日期按月支付工资，并不得低于当地最低工资标准。</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②</w:t>
      </w:r>
      <w:r>
        <w:rPr>
          <w:rFonts w:hint="eastAsia" w:ascii="宋体" w:hAnsi="宋体" w:cs="宋体"/>
          <w:color w:val="000000" w:themeColor="text1"/>
          <w:kern w:val="0"/>
          <w:szCs w:val="21"/>
          <w:highlight w:val="none"/>
          <w14:textFill>
            <w14:solidFill>
              <w14:schemeClr w14:val="tx1"/>
            </w14:solidFill>
          </w14:textFill>
        </w:rPr>
        <w:t>承包人应每月编制施工人员工资支付表，如实记录支付时间、支付对象、支付金额等工资支付情况，并于每月底在其现场管理机构办公场所显眼位置公示，接受监督。</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③</w:t>
      </w:r>
      <w:r>
        <w:rPr>
          <w:rFonts w:hint="eastAsia" w:ascii="宋体" w:hAnsi="宋体" w:cs="宋体"/>
          <w:color w:val="000000" w:themeColor="text1"/>
          <w:kern w:val="0"/>
          <w:szCs w:val="21"/>
          <w:highlight w:val="none"/>
          <w14:textFill>
            <w14:solidFill>
              <w14:schemeClr w14:val="tx1"/>
            </w14:solidFill>
          </w14:textFill>
        </w:rPr>
        <w:t>承包人应对其专业分包或劳务分包单位工资支付进行监督，督促其依法支付施工人员工资。</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④</w:t>
      </w:r>
      <w:r>
        <w:rPr>
          <w:rFonts w:hint="eastAsia" w:ascii="宋体" w:hAnsi="宋体" w:cs="宋体"/>
          <w:color w:val="000000" w:themeColor="text1"/>
          <w:kern w:val="0"/>
          <w:szCs w:val="21"/>
          <w:highlight w:val="none"/>
          <w14:textFill>
            <w14:solidFill>
              <w14:schemeClr w14:val="tx1"/>
            </w14:solidFill>
          </w14:textFill>
        </w:rPr>
        <w:t>贯彻落实《住房城乡建设部人力资源 社会保障部关于印发建筑工人实名管理办法（试行）的 通知》（建市〔2019〕18 号）、《广东省建设工程领域工人工资支付专用账户管理办法》（粤人社规〔2018〕14 号）、《广州市住房和城乡建设局关于印发&lt;广州市建筑施工实名制管理办法&gt;的通知》（穗建规字〔2020〕18 号）、《广州市建设领域工人工资支付分账管理实施 细则》（穗建规字〔2020〕37 号）、《关于印发广州市房屋建筑及市政工程实名制和工资支付分账平台化管理 工作方案的通知》（穗建筑〔2018〕183 号）、《广州市住房和城乡建设委员会关于转发&lt;广东省住房和城乡建设厅关于房屋建筑和市政基础设施工程用工实名管理 暂行办法&gt;的通知》（穗建筑〔2018〕981 号）、《广州市南沙区建设领域工人工资支付分账管理实施细则》（穗南建交[2016]1388号文）执行，其他相关细则及附件详见穗南建交[2016]1388号文（如有新规定，则按新规定执行）。</w:t>
      </w:r>
    </w:p>
    <w:p>
      <w:pPr>
        <w:pStyle w:val="540"/>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承包人应将建设项目中工人工资和工程款等其他款项实行分开银行账户管理，在工程所在地商业银行设立“工人工资支付专用账户”专用于支付工人工资。“工人工资支付专用账户”为人民银行规定的单位结算账户，其开户、使用和管理应符合人民银行相关规定。</w:t>
      </w:r>
    </w:p>
    <w:p>
      <w:pPr>
        <w:pStyle w:val="540"/>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承包人签订合同时应同时签订《建设领域工人工资支付专用账户设立、存储、使用协议书》。</w:t>
      </w:r>
    </w:p>
    <w:p>
      <w:pPr>
        <w:pStyle w:val="540"/>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承包人在建设项目动工前，在建设所在地商业银行提交《工人工资支付专用账户开户申请表》及其他开户资料，在南沙区设立“工人工资支付专用账户”。并按南沙区住房和城乡建设局和南沙区人力资源和社会保障局的要求办理相关手续。</w:t>
      </w:r>
    </w:p>
    <w:p>
      <w:pPr>
        <w:pStyle w:val="540"/>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承包人应当在用工之日起15个自然日内为每一个工人办理个人银行账户。在用工之日起1个月内，将工人名册、劳动合同、工资台账等</w:t>
      </w:r>
      <w:r>
        <w:rPr>
          <w:rFonts w:hint="eastAsia"/>
          <w:color w:val="000000" w:themeColor="text1"/>
          <w:highlight w:val="none"/>
          <w:lang w:eastAsia="zh-Hans"/>
          <w14:textFill>
            <w14:solidFill>
              <w14:schemeClr w14:val="tx1"/>
            </w14:solidFill>
          </w14:textFill>
        </w:rPr>
        <w:t>交发包人</w:t>
      </w:r>
      <w:r>
        <w:rPr>
          <w:rFonts w:hint="eastAsia"/>
          <w:color w:val="000000" w:themeColor="text1"/>
          <w:highlight w:val="none"/>
          <w14:textFill>
            <w14:solidFill>
              <w14:schemeClr w14:val="tx1"/>
            </w14:solidFill>
          </w14:textFill>
        </w:rPr>
        <w:t>留存备查。若有人员调整及时向开户银行确认，报</w:t>
      </w:r>
      <w:r>
        <w:rPr>
          <w:rFonts w:hint="eastAsia"/>
          <w:color w:val="000000" w:themeColor="text1"/>
          <w:highlight w:val="none"/>
          <w:lang w:eastAsia="zh-Hans"/>
          <w14:textFill>
            <w14:solidFill>
              <w14:schemeClr w14:val="tx1"/>
            </w14:solidFill>
          </w14:textFill>
        </w:rPr>
        <w:t>发包人</w:t>
      </w:r>
      <w:r>
        <w:rPr>
          <w:rFonts w:hint="eastAsia"/>
          <w:color w:val="000000" w:themeColor="text1"/>
          <w:highlight w:val="none"/>
          <w14:textFill>
            <w14:solidFill>
              <w14:schemeClr w14:val="tx1"/>
            </w14:solidFill>
          </w14:textFill>
        </w:rPr>
        <w:t>备案。</w:t>
      </w:r>
    </w:p>
    <w:p>
      <w:pPr>
        <w:pStyle w:val="540"/>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承包人应按照“及时支付，按时结算”的原则，填写《工人工资支付申请表》和《广州市南沙区建筑施工单位工资核算情况表》，由银行直接划拨到工人的个人账户。专业承包单位或劳务分包单位工人工资支付材料报承包人汇总后，统一报</w:t>
      </w:r>
      <w:r>
        <w:rPr>
          <w:rFonts w:hint="eastAsia"/>
          <w:color w:val="000000" w:themeColor="text1"/>
          <w:highlight w:val="none"/>
          <w:lang w:eastAsia="zh-Hans"/>
          <w14:textFill>
            <w14:solidFill>
              <w14:schemeClr w14:val="tx1"/>
            </w14:solidFill>
          </w14:textFill>
        </w:rPr>
        <w:t>发包人</w:t>
      </w:r>
      <w:r>
        <w:rPr>
          <w:rFonts w:hint="eastAsia"/>
          <w:color w:val="000000" w:themeColor="text1"/>
          <w:highlight w:val="none"/>
          <w14:textFill>
            <w14:solidFill>
              <w14:schemeClr w14:val="tx1"/>
            </w14:solidFill>
          </w14:textFill>
        </w:rPr>
        <w:t>备案。</w:t>
      </w:r>
    </w:p>
    <w:p>
      <w:pPr>
        <w:pStyle w:val="540"/>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工程完工并由发包人及有关部门确认验收后，承包人出具工人工资已全部结清的情况证明（须委托人盖章确认）、工程完工备案表和工人工资支付明细表等资料、填写《工人工资支付专用账户销户申请表》，向施工地区的人社部提出“工人工资支付专用账户”账户核销申请。人社部门将在接到申请后3个工作日内，在施工现场公示工人工资支付情况，公示期不少于7个自然日，公示期满后，该项目不存在拖欠工资的举报投诉情况或有欠薪举报投诉但中标单位已清偿拖欠工资的，人社部门在3个工作日内出具证明，中标单位凭人社部门出具的证明等材料到开户行 办理账户核销业务，退回账户资金。建设项目有专业分包（劳务分包）的，人社部门可根据承包人的公示结果对专业承包单位（劳务分包）销户出具意见。</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⑤</w:t>
      </w:r>
      <w:r>
        <w:rPr>
          <w:rFonts w:hint="eastAsia" w:ascii="宋体" w:hAnsi="宋体" w:cs="宋体"/>
          <w:color w:val="000000" w:themeColor="text1"/>
          <w:kern w:val="0"/>
          <w:szCs w:val="21"/>
          <w:highlight w:val="none"/>
          <w14:textFill>
            <w14:solidFill>
              <w14:schemeClr w14:val="tx1"/>
            </w14:solidFill>
          </w14:textFill>
        </w:rPr>
        <w:t>承包人不按合同及有关规定按时、足额支付分包单位合同价款及施工人员工资而被投诉或上访属实的，发包人将严格按照合同约定追究其违约责任；如因此致使施工人员集体上访、集聚围阻而造成社会不良影响的，委托人将立即终止与承包人的合同，并上报省、市主管部门建议取消其参加广州地区省、市重大项目的投标资格，并予以公告。如属恶意煽动并造成社会不良影响的，发包人将提请司法部门追究其法律责任。</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⑥</w:t>
      </w:r>
      <w:r>
        <w:rPr>
          <w:rFonts w:hint="eastAsia" w:ascii="宋体" w:hAnsi="宋体" w:cs="宋体"/>
          <w:color w:val="000000" w:themeColor="text1"/>
          <w:kern w:val="0"/>
          <w:szCs w:val="21"/>
          <w:highlight w:val="none"/>
          <w14:textFill>
            <w14:solidFill>
              <w14:schemeClr w14:val="tx1"/>
            </w14:solidFill>
          </w14:textFill>
        </w:rPr>
        <w:t>由于承包人或其管理的分包单位、劳务合作单位拖欠施工人员工资，致使发包人被投诉或起诉并被判令先行垫付施工人员工资的，发包人除追究承包人和其他相关责任单位的违约责任外，还将在工程结算扣回相关款项作为补偿。</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⑦</w:t>
      </w:r>
      <w:r>
        <w:rPr>
          <w:rFonts w:hint="eastAsia" w:ascii="宋体" w:hAnsi="宋体" w:cs="宋体"/>
          <w:color w:val="000000" w:themeColor="text1"/>
          <w:kern w:val="0"/>
          <w:szCs w:val="21"/>
          <w:highlight w:val="none"/>
          <w14:textFill>
            <w14:solidFill>
              <w14:schemeClr w14:val="tx1"/>
            </w14:solidFill>
          </w14:textFill>
        </w:rPr>
        <w:t>承包人必须以高度负责的态度，对存在可能引发劳资纠纷的各种因素进行排查，及时化解、处理可能发生劳资纠纷的不稳定因素；尤其是对恶意煽动施工人员集体上访、集聚围阻的行为，要善于及时发现并敢于揭露、制止，创造安全、文明、和谐的环境。</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仿宋"/>
          <w:color w:val="000000" w:themeColor="text1"/>
          <w:kern w:val="0"/>
          <w:szCs w:val="21"/>
          <w:highlight w:val="none"/>
          <w14:textFill>
            <w14:solidFill>
              <w14:schemeClr w14:val="tx1"/>
            </w14:solidFill>
          </w14:textFill>
        </w:rPr>
        <w:t>⑧</w:t>
      </w:r>
      <w:r>
        <w:rPr>
          <w:rFonts w:hint="eastAsia" w:ascii="宋体" w:hAnsi="宋体" w:cs="宋体"/>
          <w:color w:val="000000" w:themeColor="text1"/>
          <w:kern w:val="0"/>
          <w:szCs w:val="21"/>
          <w:highlight w:val="none"/>
          <w14:textFill>
            <w14:solidFill>
              <w14:schemeClr w14:val="tx1"/>
            </w14:solidFill>
          </w14:textFill>
        </w:rPr>
        <w:t>承包人必须成立处理劳资纠纷的协调机构，承包人主管领导和项目经理要亲自负责，配备专职人员，及时化解劳资矛盾及纠纷，并及时揭露、制止恶意煽动施工人员集体上访、集聚围阻的行为，保证在整个工程建设期间不发生施工人员集体上访、集聚围阻等事件。</w:t>
      </w:r>
    </w:p>
    <w:p>
      <w:pPr>
        <w:autoSpaceDE w:val="0"/>
        <w:autoSpaceDN w:val="0"/>
        <w:adjustRightInd w:val="0"/>
        <w:spacing w:before="156" w:beforeLines="50" w:after="156" w:afterLines="50" w:line="360" w:lineRule="auto"/>
        <w:ind w:firstLine="420" w:firstLineChars="200"/>
        <w:jc w:val="left"/>
        <w:rPr>
          <w:rFonts w:ascii="宋体" w:hAnsi="宋体" w:cs="宋体"/>
          <w:bCs/>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bCs/>
          <w:color w:val="000000" w:themeColor="text1"/>
          <w:kern w:val="0"/>
          <w:szCs w:val="21"/>
          <w:highlight w:val="none"/>
          <w14:textFill>
            <w14:solidFill>
              <w14:schemeClr w14:val="tx1"/>
            </w14:solidFill>
          </w14:textFill>
        </w:rPr>
        <w:t>对各合同段内发包人委托第三方施工的工程，凡需互相配合协作的，承包人应按发包人的指令积极予以配合和提供方便（如施工水电、施工通道、场地等），不得借故收取额外费用，水电费由使用方负责。</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根据项目进度计划及材料供应情况，协助提供检测清单配合发包人招标。承包人需配合施工检测监测工作，负责按检测单位要求提供水源、电源、脚手架、场地、钻芯孔回灌封闭所需的水泥等材料，配合完成相关预埋件的埋设、结构实体检测后的恢复等准备工作，相关费用由承包人综合考虑，承包人承诺不另行单独开项列计及支付。</w:t>
      </w:r>
    </w:p>
    <w:p>
      <w:pPr>
        <w:autoSpaceDE w:val="0"/>
        <w:autoSpaceDN w:val="0"/>
        <w:adjustRightInd w:val="0"/>
        <w:spacing w:before="156" w:beforeLines="50" w:after="156" w:afterLines="50" w:line="360" w:lineRule="auto"/>
        <w:ind w:firstLine="420" w:firstLineChars="200"/>
        <w:jc w:val="left"/>
        <w:rPr>
          <w:rFonts w:ascii="宋体" w:hAnsi="宋体" w:cs="宋体"/>
          <w:bCs/>
          <w:iCs/>
          <w:color w:val="000000" w:themeColor="text1"/>
          <w:kern w:val="0"/>
          <w:szCs w:val="21"/>
          <w:highlight w:val="none"/>
          <w14:textFill>
            <w14:solidFill>
              <w14:schemeClr w14:val="tx1"/>
            </w14:solidFill>
          </w14:textFill>
        </w:rPr>
      </w:pPr>
      <w:r>
        <w:rPr>
          <w:rFonts w:hint="eastAsia" w:ascii="宋体" w:hAnsi="宋体" w:cs="宋体"/>
          <w:bCs/>
          <w:iCs/>
          <w:color w:val="000000" w:themeColor="text1"/>
          <w:kern w:val="0"/>
          <w:szCs w:val="21"/>
          <w:highlight w:val="none"/>
          <w14:textFill>
            <w14:solidFill>
              <w14:schemeClr w14:val="tx1"/>
            </w14:solidFill>
          </w14:textFill>
        </w:rPr>
        <w:t>（5）承包人应至少配备一辆7座商务车用于保障现场交通，专门用于办理报建、质量安全检查等工作。该车辆使用时间从合同签订之日至工程合同工程完工验收合格之日，相关费用均包括在</w:t>
      </w:r>
      <w:r>
        <w:rPr>
          <w:rFonts w:hint="eastAsia" w:ascii="宋体" w:hAnsi="宋体" w:cs="宋体"/>
          <w:color w:val="000000" w:themeColor="text1"/>
          <w:kern w:val="0"/>
          <w:szCs w:val="21"/>
          <w:highlight w:val="none"/>
          <w14:textFill>
            <w14:solidFill>
              <w14:schemeClr w14:val="tx1"/>
            </w14:solidFill>
          </w14:textFill>
        </w:rPr>
        <w:t>合同（修正合同）总价中</w:t>
      </w:r>
      <w:r>
        <w:rPr>
          <w:rFonts w:hint="eastAsia" w:ascii="宋体" w:hAnsi="宋体" w:cs="宋体"/>
          <w:bCs/>
          <w:iCs/>
          <w:color w:val="000000" w:themeColor="text1"/>
          <w:kern w:val="0"/>
          <w:szCs w:val="21"/>
          <w:highlight w:val="none"/>
          <w14:textFill>
            <w14:solidFill>
              <w14:schemeClr w14:val="tx1"/>
            </w14:solidFill>
          </w14:textFill>
        </w:rPr>
        <w:t>，发包人不另行支付。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（7）承包人应自备足够数量的备用发电机，以满足工程施工的需要，不得以停电为理由拖延工期。</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承包人应根据现场实际情况考虑切实可行的施工方案及费用，发包人不对承包人因施工方案改变而引起的任何费用的增加进行补偿。施工过程中由于承包人的施工方案未考虑周全而造成的经济损失（包括调整施工方案所增加的费用）及法律责任均由承包人承担，情况严重时发包人有权终止合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承包人自进场施工起至项目竣工验收止，需保证临时道路（或通道）的畅通安全及整洁。保证沿线相关单位、居民的行车畅通，如封闭沿线单位、居民进入拟施工道路的出入口，需按原道路宽度，修建临时道路，解决沿线单位、居民出入拟施工道路的问题，相关费用包含在合同（修正合同）总价中，若承包人无法保证，则发包人可另行委托其他单位实施上述工作，相关费用从支付给承包人的工程款中扣回。</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（10）根据广东省人力资源和社会保障厅 广东省财政厅《关于调整2019年度我省工伤保险长期待遇发放标准的通知》（粤人社规〔2019〕50号）要求，承包人应当依法参加工伤保险，并按时、足额缴纳工伤保险费。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（11）根据《建设工程安全生产管理条例》、《水利水电工程施工安全管理导则》 SL721—2015、高大模板、深基坑支护工程等危险性较大工程需由承包人编制（通过其内部审批的）专项施工方案，并由承包人聘请专家进行论证评审通过后方可实施，实施完毕后及时组织专家进行验收，该审查费用已包含在合同（修正合同）总价中，发包人不予以另外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由于承包人的原因，工程质量或工程进度无法满足合同要求，则在发包人发出书面警告后7天内，若承包人仍没有采取令发包人满意的措施，发包人有权要求承包人对部分工作量进行分包，交由其他承包人完成，承包人应无条件接受，否则发包人有权终止合同并没收履约担保金。承包人应无条件提供已有的临时设施（如便道、电力线路等）供分包人使用，承包人必须接受并不得为此要求增加任何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（13）承包人必须接受政府有关部门对本工程的监督，并无条件配合政府指定的审计机构的工作。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临水临电报建：承包人不得以临时用水、临时用电未接通为由延迟或拒绝施工，施工用水、用电（含临时用水、临时用电报装、停电采用的发电机等）由承包人自行解决，相关费用由承包人综合考虑已包括在合同（修正合同）总价中，发包人不再另行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（15）办理开工的各项手续</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协助</w:t>
      </w:r>
      <w:r>
        <w:rPr>
          <w:rFonts w:hint="eastAsia" w:ascii="宋体" w:hAnsi="宋体" w:cs="宋体"/>
          <w:color w:val="000000" w:themeColor="text1"/>
          <w:kern w:val="0"/>
          <w:szCs w:val="21"/>
          <w:highlight w:val="none"/>
          <w:lang w:eastAsia="zh-Hans"/>
          <w14:textFill>
            <w14:solidFill>
              <w14:schemeClr w14:val="tx1"/>
            </w14:solidFill>
          </w14:textFill>
        </w:rPr>
        <w:t>发包人</w:t>
      </w:r>
      <w:r>
        <w:rPr>
          <w:rFonts w:hint="eastAsia" w:ascii="宋体" w:hAnsi="宋体" w:cs="宋体"/>
          <w:color w:val="000000" w:themeColor="text1"/>
          <w:kern w:val="0"/>
          <w:szCs w:val="21"/>
          <w:highlight w:val="none"/>
          <w14:textFill>
            <w14:solidFill>
              <w14:schemeClr w14:val="tx1"/>
            </w14:solidFill>
          </w14:textFill>
        </w:rPr>
        <w:t>办理开工的各项手续（所需费用包含在合同内），包括但不限于办理施工许可证（或临时施工复函）、专业报建报装、报监手续、排污手续、排水接驳、水质检测、扬尘排污、排水许可证等申报安装工作。</w:t>
      </w:r>
    </w:p>
    <w:p>
      <w:pPr>
        <w:autoSpaceDE w:val="0"/>
        <w:autoSpaceDN w:val="0"/>
        <w:adjustRightInd w:val="0"/>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（16）承包人须协助做好施工用地场地的协调工作，负责协助做好各类检查考核的迎检接侍工作。</w:t>
      </w:r>
    </w:p>
    <w:p>
      <w:pPr>
        <w:autoSpaceDE w:val="0"/>
        <w:autoSpaceDN w:val="0"/>
        <w:adjustRightInd w:val="0"/>
        <w:spacing w:line="360" w:lineRule="auto"/>
        <w:ind w:firstLine="420" w:firstLineChars="20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7</w:t>
      </w:r>
      <w:r>
        <w:rPr>
          <w:rFonts w:hint="eastAsia"/>
          <w:color w:val="000000" w:themeColor="text1"/>
          <w:highlight w:val="none"/>
          <w14:textFill>
            <w14:solidFill>
              <w14:schemeClr w14:val="tx1"/>
            </w14:solidFill>
          </w14:textFill>
        </w:rPr>
        <w:t>）承包人应先到工地踏勘以充分了解工地位置、情况、道路、储存空间、装卸限制、周边建筑物及任何其他足以影响承包价的情况，任何因忽视或误解工地情况而导致的索赔或工期延长申请将不被批准。承包人应编制《基坑开挖对周边房屋的影响专项报告》、《工程对周边利益人的影响专项报告》及组织专家评审，投标人应充分了解设计方案并应采取相应施工措施，此费用视为已包含在投标报价中。有关与本工程实施的有关鉴定报告、专项报告及协议作为合同附件资料。</w:t>
      </w:r>
    </w:p>
    <w:p>
      <w:pPr>
        <w:autoSpaceDE w:val="0"/>
        <w:autoSpaceDN w:val="0"/>
        <w:adjustRightInd w:val="0"/>
        <w:spacing w:before="156" w:beforeLines="50" w:after="156" w:afterLines="50" w:line="360" w:lineRule="auto"/>
        <w:ind w:firstLine="420" w:firstLineChars="20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18）承包人应按《广</w:t>
      </w:r>
      <w:r>
        <w:rPr>
          <w:rFonts w:hint="eastAsia"/>
          <w:color w:val="000000" w:themeColor="text1"/>
          <w:highlight w:val="none"/>
          <w14:textFill>
            <w14:solidFill>
              <w14:schemeClr w14:val="tx1"/>
            </w14:solidFill>
          </w14:textFill>
        </w:rPr>
        <w:t>州市住房和城乡建设局关于加快推进我市建设工程安装视频和扬尘在线监控设备的通知》、《广州市住房和城乡建设委员会关于印发广州市建设工程视频监控工作要求及管理指引的通知》等相关文件要求以及发包人要求，在建设工地安装视频和扬尘在线监控设备，并按要求在线扬尘监控设备接入市生态环境局监管平台、视频监控接入市住建局的视频监管工作平台以及发包人企业视频监控专网。</w:t>
      </w:r>
    </w:p>
    <w:p>
      <w:pPr>
        <w:autoSpaceDE w:val="0"/>
        <w:autoSpaceDN w:val="0"/>
        <w:adjustRightInd w:val="0"/>
        <w:spacing w:before="156" w:beforeLines="50" w:after="156" w:afterLines="50" w:line="360" w:lineRule="auto"/>
        <w:ind w:firstLine="420" w:firstLineChars="20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各工地视频系统的建设、应用和管理，应符合《广州市住房和城乡建设委员会关于印发广州市建设工程视频监控工作要求及管理指引的通知》、《广州市公共安全视频系统管理规定》、广州市住房和城乡建设局对建设工地视频监控要求及发包人对建设工地远程视频监控要求，并采取切实有效措施，确保工地作业时间段内，视频图像连续、稳定、清晰，工地视频须具有本地录像功能，录像应保存</w:t>
      </w:r>
      <w:r>
        <w:rPr>
          <w:color w:val="000000" w:themeColor="text1"/>
          <w:highlight w:val="none"/>
          <w14:textFill>
            <w14:solidFill>
              <w14:schemeClr w14:val="tx1"/>
            </w14:solidFill>
          </w14:textFill>
        </w:rPr>
        <w:t>3个月以上。</w:t>
      </w:r>
    </w:p>
    <w:p>
      <w:pPr>
        <w:autoSpaceDE w:val="0"/>
        <w:autoSpaceDN w:val="0"/>
        <w:adjustRightInd w:val="0"/>
        <w:spacing w:before="156" w:beforeLines="50" w:after="156" w:afterLines="50" w:line="360" w:lineRule="auto"/>
        <w:ind w:firstLine="420" w:firstLineChars="200"/>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线扬尘监控设备接入市生态环境局监管平台、视频监控接入市住建局的视频监管工作平台以及发包人企业视频监控专网之前的视频监控装置包括摄像机（头）、硬盘录像机等设备费用、立杆等辅助设施、保证设备运行的电源、网络接入费用等相关费用由承包人负责，相关费用已包含在安全生产措施费中。</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 履约担保</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通用条款不适用于本项目，双方约定如下：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4.2.1履约担保金额：</w:t>
      </w:r>
      <w:r>
        <w:rPr>
          <w:rFonts w:hint="eastAsia" w:ascii="宋体" w:hAnsi="宋体" w:cs="宋体"/>
          <w:b/>
          <w:bCs/>
          <w:color w:val="000000" w:themeColor="text1"/>
          <w:kern w:val="0"/>
          <w:szCs w:val="21"/>
          <w:highlight w:val="none"/>
          <w:u w:val="single"/>
          <w14:textFill>
            <w14:solidFill>
              <w14:schemeClr w14:val="tx1"/>
            </w14:solidFill>
          </w14:textFill>
        </w:rPr>
        <w:t>中标价的</w:t>
      </w:r>
      <w:r>
        <w:rPr>
          <w:rFonts w:ascii="宋体" w:hAnsi="宋体" w:cs="宋体"/>
          <w:b/>
          <w:bCs/>
          <w:color w:val="000000" w:themeColor="text1"/>
          <w:kern w:val="0"/>
          <w:szCs w:val="21"/>
          <w:highlight w:val="none"/>
          <w:u w:val="singl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；履约担保的形式：</w:t>
      </w:r>
      <w:r>
        <w:rPr>
          <w:rFonts w:hint="eastAsia" w:ascii="宋体" w:hAnsi="宋体" w:cs="宋体"/>
          <w:color w:val="000000" w:themeColor="text1"/>
          <w:kern w:val="0"/>
          <w:szCs w:val="21"/>
          <w:highlight w:val="none"/>
          <w:u w:val="single"/>
          <w14:textFill>
            <w14:solidFill>
              <w14:schemeClr w14:val="tx1"/>
            </w14:solidFill>
          </w14:textFill>
        </w:rPr>
        <w:t>银行保函</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4.2.2</w:t>
      </w:r>
      <w:r>
        <w:rPr>
          <w:rFonts w:ascii="宋体" w:hAnsi="宋体" w:cs="宋体"/>
          <w:snapToGrid w:val="0"/>
          <w:color w:val="000000" w:themeColor="text1"/>
          <w:kern w:val="0"/>
          <w:szCs w:val="21"/>
          <w:highlight w:val="none"/>
          <w14:textFill>
            <w14:solidFill>
              <w14:schemeClr w14:val="tx1"/>
            </w14:solidFill>
          </w14:textFill>
        </w:rPr>
        <w:t>承包人（主办方或联合体各方）应按中标价的10%向发包人递交履约保证金；</w:t>
      </w:r>
      <w:r>
        <w:rPr>
          <w:rFonts w:hint="eastAsia" w:ascii="宋体" w:hAnsi="宋体" w:cs="宋体"/>
          <w:bCs/>
          <w:color w:val="000000" w:themeColor="text1"/>
          <w:kern w:val="0"/>
          <w:szCs w:val="21"/>
          <w:highlight w:val="none"/>
          <w14:textFill>
            <w14:solidFill>
              <w14:schemeClr w14:val="tx1"/>
            </w14:solidFill>
          </w14:textFill>
        </w:rPr>
        <w:t>如果承包人（主办方或联合体各方）的履约担保是以银行保函的形式提供，则该银行保函应由发包人确认后进行开具，</w:t>
      </w:r>
      <w:r>
        <w:rPr>
          <w:rFonts w:hint="eastAsia" w:ascii="宋体" w:hAnsi="宋体" w:cs="宋体"/>
          <w:snapToGrid w:val="0"/>
          <w:color w:val="000000" w:themeColor="text1"/>
          <w:kern w:val="0"/>
          <w:szCs w:val="21"/>
          <w:highlight w:val="none"/>
          <w14:textFill>
            <w14:solidFill>
              <w14:schemeClr w14:val="tx1"/>
            </w14:solidFill>
          </w14:textFill>
        </w:rPr>
        <w:t>是</w:t>
      </w:r>
      <w:r>
        <w:rPr>
          <w:rFonts w:hint="eastAsia" w:ascii="宋体" w:hAnsi="宋体" w:cs="宋体"/>
          <w:color w:val="000000" w:themeColor="text1"/>
          <w:kern w:val="0"/>
          <w:szCs w:val="21"/>
          <w:highlight w:val="none"/>
          <w14:textFill>
            <w14:solidFill>
              <w14:schemeClr w14:val="tx1"/>
            </w14:solidFill>
          </w14:textFill>
        </w:rPr>
        <w:t>在中国注册的国有商业银行开具的不可撤销银行保函</w:t>
      </w:r>
      <w:r>
        <w:rPr>
          <w:rFonts w:hint="eastAsia" w:ascii="宋体" w:hAnsi="宋体" w:cs="宋体"/>
          <w:snapToGrid w:val="0"/>
          <w:color w:val="000000" w:themeColor="text1"/>
          <w:kern w:val="0"/>
          <w:szCs w:val="21"/>
          <w:highlight w:val="none"/>
          <w14:textFill>
            <w14:solidFill>
              <w14:schemeClr w14:val="tx1"/>
            </w14:solidFill>
          </w14:textFill>
        </w:rPr>
        <w:t>，如发现承包人提供虚假银行保函，发包人将取消其中标资格，并追究法律责任。上述履约保函作为本合同的组成文件之一。</w:t>
      </w:r>
      <w:r>
        <w:rPr>
          <w:rFonts w:hint="eastAsia" w:ascii="宋体" w:hAnsi="宋体"/>
          <w:snapToGrid w:val="0"/>
          <w:color w:val="000000" w:themeColor="text1"/>
          <w:kern w:val="0"/>
          <w:szCs w:val="21"/>
          <w:highlight w:val="none"/>
          <w14:textFill>
            <w14:solidFill>
              <w14:schemeClr w14:val="tx1"/>
            </w14:solidFill>
          </w14:textFill>
        </w:rPr>
        <w:t>（格式见合同履约保函格式）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4.2.3</w:t>
      </w:r>
      <w:r>
        <w:rPr>
          <w:rFonts w:hint="eastAsia" w:ascii="宋体" w:hAnsi="宋体" w:cs="宋体"/>
          <w:color w:val="000000" w:themeColor="text1"/>
          <w:kern w:val="0"/>
          <w:szCs w:val="21"/>
          <w:highlight w:val="none"/>
          <w14:textFill>
            <w14:solidFill>
              <w14:schemeClr w14:val="tx1"/>
            </w14:solidFill>
          </w14:textFill>
        </w:rPr>
        <w:t>如合同签订时未能提交履约保函的，承包人应在合同签订当天提交《承诺函》，承诺最晚不超过合同签订之日起60天内向发包人提交满足要求的不可撤销及见索即付《银行履约保函》，否则承包人同意每延误1天，按5000元/天向发包人支付违约金，发包人有权从应支付的费用中直接扣除。</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r>
        <w:rPr>
          <w:rFonts w:ascii="宋体" w:hAnsi="宋体" w:cs="宋体"/>
          <w:color w:val="000000" w:themeColor="text1"/>
          <w:kern w:val="0"/>
          <w:szCs w:val="21"/>
          <w:highlight w:val="none"/>
          <w14:textFill>
            <w14:solidFill>
              <w14:schemeClr w14:val="tx1"/>
            </w14:solidFill>
          </w14:textFill>
        </w:rPr>
        <w:t>.2.4</w:t>
      </w:r>
      <w:r>
        <w:rPr>
          <w:rFonts w:hint="eastAsia" w:ascii="宋体" w:hAnsi="宋体" w:cs="宋体"/>
          <w:color w:val="000000" w:themeColor="text1"/>
          <w:kern w:val="0"/>
          <w:szCs w:val="21"/>
          <w:highlight w:val="none"/>
          <w14:textFill>
            <w14:solidFill>
              <w14:schemeClr w14:val="tx1"/>
            </w14:solidFill>
          </w14:textFill>
        </w:rPr>
        <w:t>履约保函的有效期限从合同生效之日起直至项目完工验收合格后3年考核期满止；如承包人所提交的履约保函期限不能满足前述规定，承包人须在履约保函到期前</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个月提前办理续保手续，发包人不为此支付任何费用。如承包人未按要求按期对银行保函续保，发包人有权暂停批准承包人的所有支付申请，直至承包人向发包人提交新的合法有效的银行保函时止。合同履行过程中如出现工期延长或履约银行保函到期需续保等情形，继续提供履约保函所增加的费用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r>
        <w:rPr>
          <w:rFonts w:ascii="宋体" w:hAnsi="宋体" w:cs="宋体"/>
          <w:color w:val="000000" w:themeColor="text1"/>
          <w:kern w:val="0"/>
          <w:szCs w:val="21"/>
          <w:highlight w:val="none"/>
          <w14:textFill>
            <w14:solidFill>
              <w14:schemeClr w14:val="tx1"/>
            </w14:solidFill>
          </w14:textFill>
        </w:rPr>
        <w:t>.2.5</w:t>
      </w:r>
      <w:r>
        <w:rPr>
          <w:rFonts w:hint="eastAsia" w:ascii="宋体" w:hAnsi="宋体" w:cs="宋体"/>
          <w:color w:val="000000" w:themeColor="text1"/>
          <w:kern w:val="0"/>
          <w:szCs w:val="21"/>
          <w:highlight w:val="none"/>
          <w14:textFill>
            <w14:solidFill>
              <w14:schemeClr w14:val="tx1"/>
            </w14:solidFill>
          </w14:textFill>
        </w:rPr>
        <w:t>承包人未按上述规定递交履约担保且未经发包人同意，发包人将有权解除合同，承包人的投标担保不予退还，且依法承担相应法律责任。承包人给发包人造成的损失超过投标担保数额的，还应当对超过部分予以赔偿。承包人有异议的，可以向工程所在地向人民法院起诉。</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4.2.</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承包人提交的履约</w:t>
      </w:r>
      <w:r>
        <w:rPr>
          <w:rFonts w:ascii="宋体" w:hAnsi="宋体" w:cs="宋体"/>
          <w:color w:val="000000" w:themeColor="text1"/>
          <w:kern w:val="0"/>
          <w:szCs w:val="21"/>
          <w:highlight w:val="none"/>
          <w14:textFill>
            <w14:solidFill>
              <w14:schemeClr w14:val="tx1"/>
            </w14:solidFill>
          </w14:textFill>
        </w:rPr>
        <w:t>银行保函</w:t>
      </w:r>
      <w:r>
        <w:rPr>
          <w:rFonts w:hint="eastAsia" w:ascii="宋体" w:hAnsi="宋体" w:cs="宋体"/>
          <w:color w:val="000000" w:themeColor="text1"/>
          <w:kern w:val="0"/>
          <w:szCs w:val="21"/>
          <w:highlight w:val="none"/>
          <w14:textFill>
            <w14:solidFill>
              <w14:schemeClr w14:val="tx1"/>
            </w14:solidFill>
          </w14:textFill>
        </w:rPr>
        <w:t>是对本合同约定的承包人的全部义务（包括但不限于承包人违约后应支付的违约金和赔偿金）的担保，承包人的任何一次不履行或不完全履行合同义务的行为，发包人均有权向出函银行提出索赔。承包人给发包人造成的损失超过</w:t>
      </w:r>
      <w:r>
        <w:rPr>
          <w:rFonts w:ascii="宋体" w:hAnsi="宋体" w:cs="宋体"/>
          <w:color w:val="000000" w:themeColor="text1"/>
          <w:kern w:val="0"/>
          <w:szCs w:val="21"/>
          <w:highlight w:val="none"/>
          <w14:textFill>
            <w14:solidFill>
              <w14:schemeClr w14:val="tx1"/>
            </w14:solidFill>
          </w14:textFill>
        </w:rPr>
        <w:t>投标担保</w:t>
      </w:r>
      <w:r>
        <w:rPr>
          <w:rFonts w:hint="eastAsia" w:ascii="宋体" w:hAnsi="宋体" w:cs="宋体"/>
          <w:color w:val="000000" w:themeColor="text1"/>
          <w:kern w:val="0"/>
          <w:szCs w:val="21"/>
          <w:highlight w:val="none"/>
          <w14:textFill>
            <w14:solidFill>
              <w14:schemeClr w14:val="tx1"/>
            </w14:solidFill>
          </w14:textFill>
        </w:rPr>
        <w:t>数额的，还应当对超过部分予以赔偿。</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4.2.</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承包人不履行或不完全履行合同义务的行为导致发包人依据履约银行保函向银行索赔履约保证金金额的一部分或者全部的，承包人必须在发包人规定的时间内补充提交履约银行保函，使得本合同履行期间有效的履约保证金金额等于承包人第一次提交的履约保证金金额。如果承包人不按发包人的要求及时补充提交履约银行保函，则发包人有权单方面部分解除或解除本合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4.2.</w:t>
      </w:r>
      <w:r>
        <w:rPr>
          <w:rFonts w:ascii="宋体" w:hAnsi="宋体" w:cs="宋体"/>
          <w:color w:val="000000" w:themeColor="text1"/>
          <w:kern w:val="0"/>
          <w:szCs w:val="21"/>
          <w:highlight w:val="none"/>
          <w14:textFill>
            <w14:solidFill>
              <w14:schemeClr w14:val="tx1"/>
            </w14:solidFill>
          </w14:textFill>
        </w:rPr>
        <w:t>8</w:t>
      </w:r>
      <w:r>
        <w:rPr>
          <w:rFonts w:hint="eastAsia" w:ascii="宋体" w:hAnsi="宋体" w:cs="宋体"/>
          <w:color w:val="000000" w:themeColor="text1"/>
          <w:kern w:val="0"/>
          <w:szCs w:val="21"/>
          <w:highlight w:val="none"/>
          <w14:textFill>
            <w14:solidFill>
              <w14:schemeClr w14:val="tx1"/>
            </w14:solidFill>
          </w14:textFill>
        </w:rPr>
        <w:t>在承包人按照合同要求实施和完成本合同工程并在完工验收合格后</w:t>
      </w:r>
      <w:r>
        <w:rPr>
          <w:rFonts w:ascii="宋体" w:hAnsi="宋体" w:cs="宋体"/>
          <w:b/>
          <w:bCs/>
          <w:color w:val="000000" w:themeColor="text1"/>
          <w:kern w:val="0"/>
          <w:szCs w:val="21"/>
          <w:highlight w:val="none"/>
          <w14:textFill>
            <w14:solidFill>
              <w14:schemeClr w14:val="tx1"/>
            </w14:solidFill>
          </w14:textFill>
        </w:rPr>
        <w:t>3年考核期内</w:t>
      </w:r>
      <w:r>
        <w:rPr>
          <w:rFonts w:hint="eastAsia" w:ascii="宋体" w:hAnsi="宋体" w:cs="宋体"/>
          <w:color w:val="000000" w:themeColor="text1"/>
          <w:kern w:val="0"/>
          <w:szCs w:val="21"/>
          <w:highlight w:val="none"/>
          <w14:textFill>
            <w14:solidFill>
              <w14:schemeClr w14:val="tx1"/>
            </w14:solidFill>
          </w14:textFill>
        </w:rPr>
        <w:t>确保履约担保一直有效。如果履约保函因有效期届满，致使履约保函自动失效，而承包人尚未按合同要求实施和完成本合同工程的，承包人应在保函有效期满前3个月无条件办理续保，新保函的有效期不低于3年。否则发包人有权从工程进度款中扣除相应金额（签约合同价的10%），作为履约担保金。</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4.2.</w:t>
      </w:r>
      <w:r>
        <w:rPr>
          <w:rFonts w:ascii="宋体" w:hAnsi="宋体" w:cs="宋体"/>
          <w:color w:val="000000" w:themeColor="text1"/>
          <w:kern w:val="0"/>
          <w:szCs w:val="21"/>
          <w:highlight w:val="none"/>
          <w14:textFill>
            <w14:solidFill>
              <w14:schemeClr w14:val="tx1"/>
            </w14:solidFill>
          </w14:textFill>
        </w:rPr>
        <w:t>9</w:t>
      </w:r>
      <w:r>
        <w:rPr>
          <w:rFonts w:hint="eastAsia" w:ascii="宋体" w:hAnsi="宋体" w:cs="宋体"/>
          <w:color w:val="000000" w:themeColor="text1"/>
          <w:kern w:val="0"/>
          <w:szCs w:val="21"/>
          <w:highlight w:val="none"/>
          <w14:textFill>
            <w14:solidFill>
              <w14:schemeClr w14:val="tx1"/>
            </w14:solidFill>
          </w14:textFill>
        </w:rPr>
        <w:t>合同完工验收合格且</w:t>
      </w:r>
      <w:r>
        <w:rPr>
          <w:rFonts w:ascii="宋体" w:hAnsi="宋体" w:cs="宋体"/>
          <w:color w:val="000000" w:themeColor="text1"/>
          <w:kern w:val="0"/>
          <w:szCs w:val="21"/>
          <w:highlight w:val="none"/>
          <w14:textFill>
            <w14:solidFill>
              <w14:schemeClr w14:val="tx1"/>
            </w14:solidFill>
          </w14:textFill>
        </w:rPr>
        <w:t>3年</w:t>
      </w:r>
      <w:r>
        <w:rPr>
          <w:rFonts w:hint="eastAsia" w:ascii="宋体" w:hAnsi="宋体" w:cs="宋体"/>
          <w:color w:val="000000" w:themeColor="text1"/>
          <w:kern w:val="0"/>
          <w:szCs w:val="21"/>
          <w:highlight w:val="none"/>
          <w14:textFill>
            <w14:solidFill>
              <w14:schemeClr w14:val="tx1"/>
            </w14:solidFill>
          </w14:textFill>
        </w:rPr>
        <w:t>考核期满后，承包人可以向发包人申请退还履约银行保函。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4.2.</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承包人违约与履约担保金的扣除</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如果承包人违反国家法律法规，或监理工程师向发包人证明承包人有下述行为时：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（1）已不再承认合同或无正当理由中途退场；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（2）无正当理由而未能：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①按时开工；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②按发包人、监理工程师根据合同条款的规定，要求其加快工程进度；</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③按合同规定的工期完工（除非合同另有规定）；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 xml:space="preserve">（3）对监理工程师按规定发出的整改指示，未采取相应的改正措施； </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（4）对发包人、监理工程师指出的施工质量不合格或有缺陷的工程，未能补救或返工重建；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（5）无视发包人、监理工程师事先书面警告，仍一贯或公然忽视履行合同责任;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（6）违反合同规定没有派投标书中承诺的主要施工管理人员到场组织施工，或没有经发包人同意，替换不合格的施工管理人员；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（7）违反合同规定不使用投标书中承诺的关键施工机械；</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（8）违反合同规定转包或分包主体工程；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（9）未按规定按时足额支付农民工工资；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则发包人在向承包人发出通知的10天内未见纠正的，可以视情况扣除全部或部分履约担保金，或取消承包人承包的权利，另行发包。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4.2.</w:t>
      </w:r>
      <w:r>
        <w:rPr>
          <w:rFonts w:ascii="宋体" w:hAnsi="宋体" w:cs="宋体"/>
          <w:color w:val="000000" w:themeColor="text1"/>
          <w:kern w:val="0"/>
          <w:szCs w:val="21"/>
          <w:highlight w:val="none"/>
          <w14:textFill>
            <w14:solidFill>
              <w14:schemeClr w14:val="tx1"/>
            </w14:solidFill>
          </w14:textFill>
        </w:rPr>
        <w:t>11</w:t>
      </w:r>
      <w:r>
        <w:rPr>
          <w:rFonts w:hint="eastAsia" w:ascii="宋体" w:hAnsi="宋体" w:cs="宋体"/>
          <w:color w:val="000000" w:themeColor="text1"/>
          <w:kern w:val="0"/>
          <w:szCs w:val="21"/>
          <w:highlight w:val="none"/>
          <w14:textFill>
            <w14:solidFill>
              <w14:schemeClr w14:val="tx1"/>
            </w14:solidFill>
          </w14:textFill>
        </w:rPr>
        <w:t>履约保函的退回</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单位工程验收及合同完工验收合格且3年考核期满后，承包人可以向发包人申请退还履约银行保函或履约担保，经发包人核实后28天内退回银行保函或履约担保原件。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4.2.12工资支付保证金承包人应按《住房城乡建设部人力资源 </w:t>
      </w:r>
      <w:r>
        <w:rPr>
          <w:rFonts w:hint="eastAsia" w:ascii="宋体" w:hAnsi="宋体" w:cs="宋体"/>
          <w:color w:val="000000" w:themeColor="text1"/>
          <w:kern w:val="0"/>
          <w:szCs w:val="21"/>
          <w:highlight w:val="none"/>
          <w14:textFill>
            <w14:solidFill>
              <w14:schemeClr w14:val="tx1"/>
            </w14:solidFill>
          </w14:textFill>
        </w:rPr>
        <w:t>社会保障部关于印发建筑工人实名管理办法（试行）的</w:t>
      </w:r>
      <w:r>
        <w:rPr>
          <w:rFonts w:ascii="宋体" w:hAnsi="宋体" w:cs="宋体"/>
          <w:color w:val="000000" w:themeColor="text1"/>
          <w:kern w:val="0"/>
          <w:szCs w:val="21"/>
          <w:highlight w:val="non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通知》（建市〔</w:t>
      </w:r>
      <w:r>
        <w:rPr>
          <w:rFonts w:ascii="宋体" w:hAnsi="宋体" w:cs="宋体"/>
          <w:color w:val="000000" w:themeColor="text1"/>
          <w:kern w:val="0"/>
          <w:szCs w:val="21"/>
          <w:highlight w:val="none"/>
          <w14:textFill>
            <w14:solidFill>
              <w14:schemeClr w14:val="tx1"/>
            </w14:solidFill>
          </w14:textFill>
        </w:rPr>
        <w:t xml:space="preserve">2019〕18 </w:t>
      </w:r>
      <w:r>
        <w:rPr>
          <w:rFonts w:hint="eastAsia" w:ascii="宋体" w:hAnsi="宋体" w:cs="宋体"/>
          <w:color w:val="000000" w:themeColor="text1"/>
          <w:kern w:val="0"/>
          <w:szCs w:val="21"/>
          <w:highlight w:val="none"/>
          <w14:textFill>
            <w14:solidFill>
              <w14:schemeClr w14:val="tx1"/>
            </w14:solidFill>
          </w14:textFill>
        </w:rPr>
        <w:t>号）、《广东省建设工程领域工人工资支付专用账户管理办法》（粤人社规〔</w:t>
      </w:r>
      <w:r>
        <w:rPr>
          <w:rFonts w:ascii="宋体" w:hAnsi="宋体" w:cs="宋体"/>
          <w:color w:val="000000" w:themeColor="text1"/>
          <w:kern w:val="0"/>
          <w:szCs w:val="21"/>
          <w:highlight w:val="none"/>
          <w14:textFill>
            <w14:solidFill>
              <w14:schemeClr w14:val="tx1"/>
            </w14:solidFill>
          </w14:textFill>
        </w:rPr>
        <w:t xml:space="preserve">2018〕14 </w:t>
      </w:r>
      <w:r>
        <w:rPr>
          <w:rFonts w:hint="eastAsia" w:ascii="宋体" w:hAnsi="宋体" w:cs="宋体"/>
          <w:color w:val="000000" w:themeColor="text1"/>
          <w:kern w:val="0"/>
          <w:szCs w:val="21"/>
          <w:highlight w:val="none"/>
          <w14:textFill>
            <w14:solidFill>
              <w14:schemeClr w14:val="tx1"/>
            </w14:solidFill>
          </w14:textFill>
        </w:rPr>
        <w:t>号）中的要求，在广州市设立保证金专用帐户，在办理施工许可证时，按南沙区建设局和南沙区劳动和社会保障局的要求办理相关手续。</w:t>
      </w:r>
      <w:r>
        <w:rPr>
          <w:rFonts w:hint="eastAsia" w:ascii="宋体" w:hAnsi="宋体" w:cs="宋体"/>
          <w:b/>
          <w:bCs/>
          <w:color w:val="000000" w:themeColor="text1"/>
          <w:kern w:val="0"/>
          <w:szCs w:val="21"/>
          <w:highlight w:val="none"/>
          <w14:textFill>
            <w14:solidFill>
              <w14:schemeClr w14:val="tx1"/>
            </w14:solidFill>
          </w14:textFill>
        </w:rPr>
        <w:t>如需存入保证金时，由承包人按合同总价的</w:t>
      </w:r>
      <w:r>
        <w:rPr>
          <w:rFonts w:ascii="宋体" w:hAnsi="宋体" w:cs="宋体"/>
          <w:b/>
          <w:bCs/>
          <w:color w:val="000000" w:themeColor="text1"/>
          <w:kern w:val="0"/>
          <w:szCs w:val="21"/>
          <w:highlight w:val="none"/>
          <w14:textFill>
            <w14:solidFill>
              <w14:schemeClr w14:val="tx1"/>
            </w14:solidFill>
          </w14:textFill>
        </w:rPr>
        <w:t>2%（不超过300万元，不低于10万元）存入承包人的建筑施工企业工人工资支付保证金专用帐户，费用包含在投标报价</w:t>
      </w:r>
      <w:r>
        <w:rPr>
          <w:rFonts w:hint="eastAsia" w:ascii="宋体" w:hAnsi="宋体" w:cs="宋体"/>
          <w:b/>
          <w:bCs/>
          <w:color w:val="000000" w:themeColor="text1"/>
          <w:kern w:val="0"/>
          <w:szCs w:val="21"/>
          <w:highlight w:val="none"/>
          <w14:textFill>
            <w14:solidFill>
              <w14:schemeClr w14:val="tx1"/>
            </w14:solidFill>
          </w14:textFill>
        </w:rPr>
        <w:t>中</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 联合体</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补充以下内容：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r>
        <w:rPr>
          <w:rFonts w:ascii="宋体" w:hAnsi="宋体" w:cs="宋体"/>
          <w:color w:val="000000" w:themeColor="text1"/>
          <w:kern w:val="0"/>
          <w:szCs w:val="21"/>
          <w:highlight w:val="none"/>
          <w14:textFill>
            <w14:solidFill>
              <w14:schemeClr w14:val="tx1"/>
            </w14:solidFill>
          </w14:textFill>
        </w:rPr>
        <w:t>.4.4</w:t>
      </w:r>
      <w:r>
        <w:rPr>
          <w:rFonts w:hint="eastAsia" w:ascii="宋体" w:hAnsi="宋体" w:cs="宋体"/>
          <w:color w:val="000000" w:themeColor="text1"/>
          <w:kern w:val="0"/>
          <w:szCs w:val="21"/>
          <w:highlight w:val="none"/>
          <w14:textFill>
            <w14:solidFill>
              <w14:schemeClr w14:val="tx1"/>
            </w14:solidFill>
          </w14:textFill>
        </w:rPr>
        <w:t>如承包人为联合体，本合同由联合体的主办方及成员方共同签订。</w:t>
      </w:r>
      <w:r>
        <w:rPr>
          <w:rFonts w:hint="eastAsia" w:ascii="宋体" w:hAnsi="宋体" w:cs="宋体"/>
          <w:color w:val="000000" w:themeColor="text1"/>
          <w:kern w:val="0"/>
          <w:szCs w:val="21"/>
          <w:highlight w:val="none"/>
          <w:u w:val="single"/>
          <w14:textFill>
            <w14:solidFill>
              <w14:schemeClr w14:val="tx1"/>
            </w14:solidFill>
          </w14:textFill>
        </w:rPr>
        <w:t>合同签订后，联合体的主办方及成员方可根据所承担的工作内容向发包人提交相关支付协议，由发包人据此向联合体的主办方及成员方支付相关费用，但最后绩效考核金（工程费、设计费结算款的2</w:t>
      </w:r>
      <w:r>
        <w:rPr>
          <w:rFonts w:ascii="宋体" w:hAnsi="宋体" w:cs="宋体"/>
          <w:color w:val="000000" w:themeColor="text1"/>
          <w:kern w:val="0"/>
          <w:szCs w:val="21"/>
          <w:highlight w:val="none"/>
          <w:u w:val="single"/>
          <w14:textFill>
            <w14:solidFill>
              <w14:schemeClr w14:val="tx1"/>
            </w14:solidFill>
          </w14:textFill>
        </w:rPr>
        <w:t>0%</w:t>
      </w:r>
      <w:r>
        <w:rPr>
          <w:rFonts w:hint="eastAsia" w:ascii="宋体" w:hAnsi="宋体" w:cs="宋体"/>
          <w:color w:val="000000" w:themeColor="text1"/>
          <w:kern w:val="0"/>
          <w:szCs w:val="21"/>
          <w:highlight w:val="none"/>
          <w:u w:val="single"/>
          <w14:textFill>
            <w14:solidFill>
              <w14:schemeClr w14:val="tx1"/>
            </w14:solidFill>
          </w14:textFill>
        </w:rPr>
        <w:t>）统一由联合体主办方收取（详见联合协议书及支付协议）。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4.4.5</w:t>
      </w:r>
      <w:r>
        <w:rPr>
          <w:rFonts w:hint="eastAsia" w:ascii="宋体" w:hAnsi="宋体" w:cs="宋体"/>
          <w:color w:val="000000" w:themeColor="text1"/>
          <w:kern w:val="0"/>
          <w:szCs w:val="21"/>
          <w:highlight w:val="none"/>
          <w14:textFill>
            <w14:solidFill>
              <w14:schemeClr w14:val="tx1"/>
            </w14:solidFill>
          </w14:textFill>
        </w:rPr>
        <w:t>本合同各方同意并确认，承包人在承包人联合体内部关系的任何约定，均不具有对抗发包人的效力，而且，在本合同履行中，承包人联合体主办方代表承包人联合体接受指令，其在本合同项下的任何作为或不作为，其效力均及于承包人联合体成员；发包人对承包人联合体主办方的作为或不作为，均及于承包人联合体成员。各承包人作为其承包人联合体的其它成员，应履行本合同的责任并向发包人承担连带责任。</w:t>
      </w:r>
    </w:p>
    <w:p>
      <w:pPr>
        <w:autoSpaceDE w:val="0"/>
        <w:autoSpaceDN w:val="0"/>
        <w:adjustRightInd w:val="0"/>
        <w:spacing w:before="156" w:beforeLines="50" w:after="156" w:afterLines="50" w:line="360" w:lineRule="auto"/>
        <w:ind w:firstLine="420" w:firstLineChars="200"/>
        <w:jc w:val="left"/>
        <w:rPr>
          <w:color w:val="000000" w:themeColor="text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4.4.</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当事人任一方就本合同相关纠纷提起诉讼的，若最终以双方和解或法院调解形式解决的，因该纠纷产生的一切费用（包括但不限于双方因该纠纷支出的律师费、诉讼费、鉴定费、评估费、差旅费等合理费用），由承包人主办方承担，联合体成员承担连带责任；如承包人败诉的，承包人主办方应按法院判决向委托人支付费用，联合体成员承担连带责任。</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4.5承包人项目经理（即项目负责人，下同）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4.5.1 项中 “并委派代表代行其职责” 删除，本工程</w:t>
      </w:r>
      <w:r>
        <w:rPr>
          <w:rFonts w:hint="eastAsia"/>
          <w:color w:val="000000" w:themeColor="text1"/>
          <w:highlight w:val="none"/>
          <w14:textFill>
            <w14:solidFill>
              <w14:schemeClr w14:val="tx1"/>
            </w14:solidFill>
          </w14:textFill>
        </w:rPr>
        <w:t>单位工程、合同工程完工</w:t>
      </w:r>
      <w:r>
        <w:rPr>
          <w:rFonts w:hint="eastAsia" w:ascii="宋体" w:hAnsi="宋体" w:cs="宋体"/>
          <w:color w:val="000000" w:themeColor="text1"/>
          <w:kern w:val="0"/>
          <w:szCs w:val="21"/>
          <w:highlight w:val="none"/>
          <w14:textFill>
            <w14:solidFill>
              <w14:schemeClr w14:val="tx1"/>
            </w14:solidFill>
          </w14:textFill>
        </w:rPr>
        <w:t>验收前施工负责人不能参与其他工程项目招投标。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4.5.2 补充以下内容：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施工负责人应履行下列职责：</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（1）贯彻执行国家有关法律、法规、方针、政策和强制性标准，执行工程总承包企业的管理制度，严格履行工程总承包合同。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（2）代表承包人组织实施工程项目管理，对实现合同规定的项目目标负责。</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（3）组织编制项目管理实施规划。对项目实施全过程进行策划、组织、协调和控制。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（4）对进入现场的生产要素进行优化配置和动态管理。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（5）建立质量管理体系和安全管理体系并组织实施。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（6）完成合同规定应达到的项目安全目标、质量目标、进度目标等任务。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（7）在授权范围内负责与发包人、监理人、分包人及其他各协作单位的协调，解决项目中出现的问题。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（8）进行现场文明施工管理,发现和处理突发事件。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（9）参与工程完工验收,准备结算资料和分析总结。</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（10）负责组织处理项目的管理收尾和合同收尾工作。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（11）协助企业进行项目的检查，鉴定和评奖申报。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按发包人认可的施工组织设计（施工方案）和工程师依据合同发出的指令组织施工。在情况紧急且无法与工程师联系时，应当采取保证人员生命和工程、财产安全的紧急措施，并在采取措施后48小时内向工程师送交报告。责任在发包人或第三人，由发包人承担由此发生的追加合同价款，相应顺延工期；责任在承包人，由承包人承担费用，不顺延工期。</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4.6 承包人人员的管理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4.6.1 补充以下内容：承包人人员在项目实施前必须全部到位且与投标文件承诺一致，并接受总监理工程师和发包人代表的查验。承包人委派的现场施工管理人员不得有兼职情况存在，并需接受监理人的监督。承包人人员确须变更的，应符合《广东省住房和城乡建设厅关于建设工程项目招标中标后监督检查的办法》第九条规定，且须经招标人同意、水行政主管部门批准后方可变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4.6.5 “3天”改为“2天”，并补充以下内容：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施工负责人及其他关键人员应长驻工地，并配胸卡、戴安全帽上岗，每月驻工地时间不得少于22天。未经发包人批准同意擅自更换施工负责人的，发包人有权按本合同专用条款第22条的约定对承包人进行处罚。如特殊原因需要更换施工负责人的，由承包人向发包人提出申请，发包人同意后方可更换，承包人需承担违约金20000元/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技术负责人应有类似于本工程的施工经历，未经发包人批准同意擅自更换技术负责人，发包人有权按本合同专用条款第22条的约定对承包人进行处罚。未经发包人批准同意擅自更换其他施工管理人员的，发包人有权按本合同专用条款第22条的约定对承包人进行处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（3）设计负责人应有类似于本工程的设计经历，同时必须是投标时承诺的人员。未经发包人批准同意擅自更换设计负责人，发包人有权按本合同专用条款第22条的约定对承包人进行处罚。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施工负责人等投标承诺关键人员必须长驻工地现场。关键人员短期离开工地时应委托其他有资质的人员代行其职，离岗两天以内的，需书面向现场监理请假；离岗两天及以上的，需书面向总监请假，并经发包人书面批准。违者承包人承担每人每天10000元违约金。未经批准离岗的情况以监理人和发包人共同出具的书面确认为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按照承包人投标书或月（半月）进度计划承诺用于本工程的施工人员，以不影响施工进度及质量为原则按承诺的人员及时进场，若未经监理人同意而擅自减少、调离施工人员并经监理人书面通知后1天内仍未到位的，发包人有权按本合同专用条款第22条的约定对承包人进行处罚，同时承担因此对发包人造成的工期延误和经济损失。</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（6）上述违约金由发包人在承包人当期的工程进度款中扣除。</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4.7 撤换承包人项目经理和其他人员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补充以下内容：发包人要求承包人撤换不合格人员，承包人必须立即执行。如果发包人的撤换通知下达5天后，承包人仍拒不执行，则视为该部门负责人空缺，承包人需按本合同的约定承担违约责任。发包人可对不满足项目建设要求的施工班组、分包单位等具有否决权，承包人在收到我办否决指令后必须无条件执行，并在7日内完成施工班组、分包单位的撤场与更换，由此引起的工期延误由中标单位承担，承包人无理由拒不执行的，发包人有权单方面解除合同，并有权书面通知承包人或者在相关网站上公示并抄送行政监督部门，拒绝承包人参与以后发包人所负责的工程投标资格。</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4.8 保障承包人人员的合法权益</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4.8.1 补充以下内容：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（1）承包人应当根据劳动合同约定的工人工资标准等内容，按照依法签订的集体合同或劳动合同约定的日期按月支付工资，并不得低于当地最低工资标准。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（2）承包人支付工人工资应编制工资支付表，如实记录支付表，支付时间、支付对象、支付数额等工资支付情况，并保存备查。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（3）承包人应对其专业分包或劳务分包单位工资支付进行监督，督促其依法支付工人工资。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（4）承包人应按上述要求及国家、地方有关规定按时支付工人工资，否则，视为违约，承担相应违约责任。</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4.12 进度计划</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4.12.1 合同进度计划</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（1）进度计划的提交时间约定：接到开始工作通知后7天内；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（2）监理人批复合同进度计划时间的约定：监理人应在收到承包人提交的完整合同计划后10日内批复或提出修改意见。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（3）承包人在监理人发出进场通知后3天内将施工组织设计报送监理人审批。承包人提交的施工组织设计应当载明如下内容（包括但不限于）：</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1）各分部工程的完整的施工方案；</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2）施工资源投入计划，包括：机械设备进场计划、工程材料和物料进场计划、施工人员进场计划等；</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3）季节性施工措施；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4）保证工期、质量的措施；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5）保证安全生产，文明施工，减少扰民降低环境污染和噪音的措施；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6）妥善处理与相邻施工地作业现场关系的措施；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7）其他与工程施工有关的管理方案、措施。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8）承包人编制的工程进度计划内容应全面详实，且应针对全部或分项施工作业和特点提出施工方法、施工穿插顺序及时间安排，并在各节点位置标注相应的工程量、资金使用计划、人机组织及材料消耗量。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9）保证执行施工组织设计中所承诺的资源投入计划，将工程施工所需的机械设备、人员、材料等资源，根据工程进度计划按时、按标准、足额投入。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各分部工程开工前，承包人必须在施工组织设计中编制资源投入计划，报总监理工程师和发包人批准后实施。特别是施工所需的机械设备（包括自有和租赁），应与投标文件填报的品牌、数量、质量、规格、性能相符且具备正常施工功能，并配有明显的承包人单位标志，且为合法使用设备（如年检证、使用证等），便于发包人检查承包人施工设备投入情况。</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TimesNewRomanPSMT"/>
          <w:color w:val="000000" w:themeColor="text1"/>
          <w:kern w:val="0"/>
          <w:szCs w:val="21"/>
          <w:highlight w:val="none"/>
          <w14:textFill>
            <w14:solidFill>
              <w14:schemeClr w14:val="tx1"/>
            </w14:solidFill>
          </w14:textFill>
        </w:rPr>
        <w:t xml:space="preserve">4.12.2 </w:t>
      </w:r>
      <w:r>
        <w:rPr>
          <w:rFonts w:hint="eastAsia" w:ascii="宋体" w:hAnsi="宋体" w:cs="宋体"/>
          <w:color w:val="000000" w:themeColor="text1"/>
          <w:kern w:val="0"/>
          <w:szCs w:val="21"/>
          <w:highlight w:val="none"/>
          <w14:textFill>
            <w14:solidFill>
              <w14:schemeClr w14:val="tx1"/>
            </w14:solidFill>
          </w14:textFill>
        </w:rPr>
        <w:t>合同进度计划的修订</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（1）承包人提交合同进度计划的修订报告的时间约定：在承包人能够预计可能会实际进度计划不符后的7日内或实际已经不符的3日内提出。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（2）监理人批复合同进度计划修订报告时间的约定：监理人应在收到承包人提交的完整合同计划修订报告后5日内批复或提出修改意见。</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476" w:name="_Toc25929"/>
      <w:bookmarkStart w:id="1477" w:name="_Toc639814476"/>
      <w:bookmarkStart w:id="1478" w:name="_Toc5007"/>
      <w:bookmarkStart w:id="1479" w:name="_Toc147856219"/>
      <w:r>
        <w:rPr>
          <w:rStyle w:val="114"/>
          <w:rFonts w:hint="eastAsia"/>
          <w:bCs w:val="0"/>
          <w:color w:val="000000" w:themeColor="text1"/>
          <w:highlight w:val="none"/>
          <w14:textFill>
            <w14:solidFill>
              <w14:schemeClr w14:val="tx1"/>
            </w14:solidFill>
          </w14:textFill>
        </w:rPr>
        <w:t>5. 勘察、设计</w:t>
      </w:r>
      <w:bookmarkEnd w:id="1476"/>
      <w:bookmarkEnd w:id="1477"/>
      <w:bookmarkEnd w:id="1478"/>
      <w:bookmarkEnd w:id="1479"/>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 承包人的勘察、设计义务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5.1.1 补充以下内容：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采取有效措施，确保勘察测量工作成果的完整性、准确性，包括周边及施工场地现状摸查、管线摸查、地上地下障碍物摸查、测量、钻探、取样、试验等完成本工程所需的全部勘察测量内容，承包人设计及施工过程中，应充分考虑地质、水文等各项不利因素，并在概、预算编制时考虑相应的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（2）承包人须在勘察工作实施之前编制勘察大纲，勘察大纲应经监理单位，并经发包人审批后实施。监理单位或发包人的审批不免除或减轻承包人对勘察工作应承担的责任和义务。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（3）项目实施过程中，因勘察质量导致的工程变更、工期延误或工程质量问题，联合体各成员单位均须承担连带责任。发包人不因承包人的勘察质量缺陷承担任何额外费用支出。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（4）在项目实施过程中，如果发包人或政府主管部门提出修改设计的要求，承包人应无条件进行优化设计、变更设计、补充勘察等，直至满足要求。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增加5.3.4以下内容：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5.3.4设计文件需包括施工总平面图、项目驻地设计等内容。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本条增加5.8、5.9、5.10、5.11、5.12、5.13、5.14、5.15、5.16款以下内容：</w:t>
      </w:r>
    </w:p>
    <w:p>
      <w:pPr>
        <w:pStyle w:val="6"/>
        <w:spacing w:before="240" w:after="120"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5.8 </w:t>
      </w:r>
      <w:r>
        <w:rPr>
          <w:rFonts w:hint="eastAsia"/>
          <w:color w:val="000000" w:themeColor="text1"/>
          <w:highlight w:val="none"/>
          <w14:textFill>
            <w14:solidFill>
              <w14:schemeClr w14:val="tx1"/>
            </w14:solidFill>
          </w14:textFill>
        </w:rPr>
        <w:t>工程勘察要求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在开展勘察工作前，应向发包人提交勘察工作纲要，并按经过发包人审核批准的工作纲要开展勘察工作。勘察过程中，根据工程的岩土工程条件（或工作现场地形地貌、地质和水文地质条件）及技术规范要求，向发包人提出增减工作量或修改勘察工作的意见，并办理正式变更手续。</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（2）承包人应按国家技术规范、标准、规程和本合同约定的勘察范围及技术要求实施勘察工作，按本合同约定的时间提交质量合格的勘察成果文件并对其负责。</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（3）承包人应在勘察成果文件中明确列出本工程勘察涉及到的详细的勘察规范、规定及标准（名称、编号与版本）。</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实际完成的勘察工作量及勘察成果文件由施工图审查单位（或设计咨询单位）负责审核，并须经发包人（或发包人委托的第三方）确认后才能作为结算依据，对于超过设计要求的勘察深度的工作量不计算；承包人应确保其提交的勘察成果文件是完整、准确及有效的，且能通过施工图审查单位（或设计咨询单位）根据相关规范、规定进行的审核。</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承包人提交的勘察成果必须经过实地勘察获得，不得采用推断或借鉴，禁止虚假；承包人提交的勘察成果经发包人或发包人委托的第三方确认未达到本合同约定的质量要求时，承包人应负责无偿给予补充完善使其达到合同要求；若承包人无力补充完善，需另委托其他单位时，承包人应承担由此产生的全部费用（含勘察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承包人必须遵行发包人的相关勘察设计、图文、图档工程的管理办法和规定。承包人自行承担运输、邮寄或电传勘察文件资料（包括中间成果资料）的费用，提交资料、文件等应交至发包人日常办公所在地或发包人临时指定的地点。勘察文件的收发、传送管理按发包人有关规定办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（7）承包人应接受发包人委托的监理单位对本项目实施的勘察监理工作。</w:t>
      </w:r>
    </w:p>
    <w:p>
      <w:pPr>
        <w:pStyle w:val="6"/>
        <w:spacing w:before="240" w:after="120"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5.9 </w:t>
      </w:r>
      <w:r>
        <w:rPr>
          <w:rFonts w:hint="eastAsia"/>
          <w:color w:val="000000" w:themeColor="text1"/>
          <w:highlight w:val="none"/>
          <w14:textFill>
            <w14:solidFill>
              <w14:schemeClr w14:val="tx1"/>
            </w14:solidFill>
          </w14:textFill>
        </w:rPr>
        <w:t>工程设计要求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5.9.1工程设计的总体要求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交付的设计成果文件应符合国家现行的有关法律、行政法规和相关的工程设计技术规范、规定及标准，必须执行国家规定的工程建设标准强制性条文要求，遵守设计工作程序以及确定投资的有关指标、定额和费用标准的规定，控制好设计的每一环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（2）承包人应在设计成果文件中明确列出本工程设计涉及到的详细的设计规范、规定及标准（名称、编号与版本）。</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（3）承包人应认真贯彻执行ISO 9001质量管理体系，确保设计质量。承包人对其承担的本合同约定的设计工作的设计成果文件的正确性、完整性、有效性、经济合理性、可靠性、清晰性负责，发包人或政府相关部门对其的审查及审核并不减轻承包人的相关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应在接到《中标通知书》后立即进行本工程设计策划，建立质量目标，规定质量要求，根据发包人总体实施计划和本工程特点编制详细的设计计划，根据发包人的相关要求合理安排各项活动的实施时间，并保证设计的进度、质量，保证承包人设计范围内工程的施工进度不受影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如在项目运作中遇国家或地区颁布新的标准、规定和依据，按新标准、规定和依据执行。如果执行新标准、规定和依据导致承包人义务增加、工作量或费用增加，发包人应根据实际情况，支付相应费用，使承包人不因执行新标准、规定和依据而遭受损失,双方另行签订补充协议。设计中如遇国家和地区无相应规范、标准和依据的，由承包人提出建议，由发包人报送有关主管部门审查确认或解释所采用的标准、规定和依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（6）承包人根据本合同约定进行设计、资料管理、技术管理、现场配合等工作时，必须同时遵守发包人的相关设计、技术、图文、图档、工程的各项管理办法、规定和细则。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（7）承包人应积极配合各项审批、施工图审查单位、发包人的审核、施工图强制审查及图纸会审，对审查过程中发现的设计质量问题，应及时解决并按规定出具修改图纸。</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承包人应对发包人提供的文件、资料进行认真研究，对本工程的特点和不确定因素进行认真考虑，并提出合理建议和评价，对影响勘察、设计稳定的重大问题要进行多方案比较选择，尤其是对本合同项目的整体设计方案、主要基础形式、主体结构选型、建筑装修方案、大宗建材选用、主要设备选型等对建成使用和工程投资有重大影响的因素须进行经济技术多方案比选和性价比分析。</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（9）承包人的设计成果文件应尽可能减少施工难度，为施工创造方便合理的施工条件；应尽量减少施工对城市交通、市民生活以及水利的干扰，并尽可能减少对施工期的影响。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承包人应确保其提交的施工图设计成果文件通过发包人、发包人委托的第三方、发包人认可的本工程施工投标人或其委托的具有施工图审查能力的单位的审查，如审查过程中发现设计问题，承包人应按发包人的时间要求及时解决并根据相关规定修改图纸，确保施工图预算满足合同约定的工程投资控制要求。承包人应及时提供修改图纸，确保发包人相关招标工作的有效推进。</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（11）在交付项目的部分或全部勘察、设计文件后，如获悉有更好的新工艺、新技术、新材料、新设备等适用于本工程，承包人应向发包人推荐并提供科学的评估。</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5.9.2方案设计阶段的主要工作及要求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（1）承包人应在发包人选定方案的基础上，按专家意见和发包人要求进行完善，达到报建送审方案要求，并根据规划部门提出的设计条件进行调整。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（2）方案设计应对建筑、结构、机电系统进行两个以上方案技术经济比较，实施性方案应达到满足进行初步设计的要求。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（3）承包人设计方案中应包含节能环保篇，采用节能环保的新技术、新工艺。方案设计应对设计中采用的新技术及节能技术的应用进行三个以上方案技术经济比较，提出比较分析报告和推荐方案。</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（4）承包人应根据实施方案提交工程投资估算编制说明及投资估算表。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（5）结构体系应进行初步的计算，保证结构方案是可行的。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（6）承包人对各专业采用的新技术应作详细的介绍，以便进行评审和据以进行下一步的设计。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（7）在深化方案设计时，承包人应以书面形式明确设计中确有需要进行试验的项目，并在初步设计之前提交给发包人审查确认。经发包人确认后，承包人应及时提供试验方案及相关技术要求。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5.9.3初步设计阶段的主要工作及要求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（1）初步设计文件均以各工程子项为编制单位。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初步设计阶段须对结构体系、新技术及节能技术的应用进行两个以上方案的综合技术经济比较（其主要内容含于本专业初步设计说明书中），使设计具备先进性、可靠性和经济合理性，符合水利水电工程初步设计报告编制规程【DL5021-93】并满足以下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1）应符合发包人批准的设计方案和实施性方案；</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2）能据以准备各主要设备、材料及饰面材料（送板）；</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3）能据以编制、审核工程设计概算；</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4）能据以进行施工准备；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5）能作为各专业施工图设计的依据。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（3）初步设计中的结构设计文件，应对结构的选型、布置、截面尺寸、材料用量等予以明确。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（4）承包人须根据发包人的相关规定和要求进行工程设计概算的编制，概算文件中的开项必须齐全完整，造价指标必须准确，须满足工程投资控制的要求。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对在承包人提供的初步设计成果文件的基础上由发包人另行发包的单位进行的专项施工图设计（含施工图深化设计），承包人初步设计成果文件中相关部分中的系统的构成、强制性的系统功能要求、设备技术参数中的强制性条目要求、接口及界面等设计内容须成熟稳定。承包人应确保相关的初步设计成果文件深度能够有效满足专项施工图设计工程投资控制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5.9.4施工图设计阶段的主要工作及要求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（1）施工图设计文件均以各工程子项为编制单位。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（2）施工图设计文件的深度要满足以下要求：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1）应根据发包人批准的初步设计进行编制；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2）满足《城市防洪工程设计规范》（GB/T 50805-2012）、《防洪标准》（GB50201-2014）规定、《水工混凝土结构设计规范》（SL191-2008）、《水闸设计规范》（SL265-2016）、《泵站设计规范》（GB50265-2010）、《广东省防洪（潮）标准和治涝标准（试行）》（粤水电总字［1995］4号）等施工图设计阶段的国家、省、市及行来相关规范要求（若有更新规范要求应按新规范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3）能据以编制施工图预算；</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4）能据以安排材料、设备订货和非标准设备的制作；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5）能据以进行施工和安装；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6）能据以进行工程竣工验收。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（3）承包人提交给发包人的施工图设计成果文件应不存在错、漏、碰等问题。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须根据发包人的相关规定和要求，采用工程量清单计价方法进行施工图预算的编制，施工图预算组成必须完整（包括但不限于编制说明，工程量计算书、主要材料设备定价依据文件资料等）、开项必须齐全、工程量必须准确、造价必须合理，提交时间必须与相应的施工图设计文件同步（否则发包人拒绝接收其设计文件，影响设计进度的，承包人承担进度违约责任），满足工程投资控制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承包人应对分包单位的各专项设计的施工图设计（包括各专项设计的施工图预算）进行预审把关，确保专项设计成果的完整性、有效性、正确性、可靠性及经济合理性。承包人分包单位提交的施工图预算由承包人负责汇总，承包人须确保汇总后施工图预算满足工程投资控制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（6）承包人应根据本工程设计的特点，提供施工安装操作、安全防护的有关要求。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5.9.5材料、设备选型的设计配合</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（1）设计成果文件中选用的建筑材料、建筑构配件和设备，其质量标准必须符合国家规范、标准要求。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应负责编制设备、材料采购的技术文件，内容包括设备、材料采购清单、技术规格书、必要的附图、技术参数表、采购说明和采购时间表等，并包含施工要求、安装说明，同时并对国内规范以外设计文件所涉及的内容提出验收标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（3）设计文件对于工艺、技术、材料、设备的选用应该满足施工工期的要求，充分考虑设计的可实施性，重视和吸收施工单位对施工安装提出的意见，并充分考虑国内承建商的施工能力。</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设计所选用的建筑材料及设备（包括各专业采用的材料、设备），应提交进行性能价格的分析比较报告，不应选用不节能或已淘汰的产品；设备的选用必须考虑相关的系统配套，原则上应优先采用国内产品。国内没有的建筑材料和设备或国内材料和设备性能无法达到设计要求或其价格高于进口价格时，才采用进口材料和设备。设计中采用的材料和设备均须按中国、广东省、广州市有关法律、行政法规和规章的要求，提供明确的技术资料（包括性能指标、规格、型号等方面的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（5）承包人应及时提供工程的各主要建筑材料和设备的生产厂商及价格等资料，供发包人选择时参考。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承包人的设计文件在对本工程设备材料的技术要求进行描述时不得带有倾向性、排他性、指向某一特定厂商品牌或指向某一具有独一性的材料设备。如根据项目的定位、功能等的要求必须选用某种品牌或某一具有独一性的材料、设备时，承包人应事前书面详细报告发包人并获得发包人批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对于由发包人拟定的候选建筑材料和设备，在厂商提供符合设计要求的技术资料后，承包人须协助发包人鉴别其优劣并提供相关咨询意见。同时，承包人应派本工程设计专业负责人参与发包人组织的相关看样定板工作，出具材料设备选型的相关技术意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由于本工程中采用新工艺而导致需要采用新材料、新设备的，承包人原则上须在项目档次定位的基础上向发包人推荐三家以上可供货的国内或国外厂商名称、以往业绩、产品质量标准、价格资料及样板等，所推荐的三家单位的材料、设备应该在价格水平上处于同一档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承包人应对本工程中可能采用的特殊设备和材料进行分析，若在设计过程中需要预先选定相关的材料、设备供应商，以便为设计过程提供必要的技术支持，承包人应提前向发包人提出选定材料设备供应商的建议（包括国产和国外进口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（10）承包人应详细了解市场上本工程的主要材料和设备生产商的供货能力和供货周期（包括生产时间和运输时间），并据此向发包人提出各种主要材料和设备（包括国产和国外进口的）提前订货时间的建议。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（11）承包人应根据南沙区城市规划、城市绿化的要求，选择适合当地气候、经济性高、成活率强的植物，并负责编制技术文件。</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5.10 设计后续服务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承包人应在施工现场设立代表处，并派驻设计代表常驻施工现场，且设计代表应为参与本工程设计的各专业负责人，做好施工现场服务，包括但不限于：</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（1）开工前在发包人指定的时间内，做好设计文件的技术交底工作和现场控制点的交接工作；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（2）在发包人规定的时间内积极配合发包人对施工及设计方案进行优化设计；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做好绿化景观工程咨询服务、审查工作，咨询要点：从景观方案的总体布局、总平面设计、功能需求提出咨询意见，审查植物方案，对植物空间、种植间距、苗木尺寸、苗木品种进行严格把关；认真审查材料使用情况，复杂景观建筑、构筑物、景观桥、铺装园路及小品的用材、颜色、收口及尺度，提出优化建议；审查微地形设计，掌握人行车行视线与地形关系，对空间疏密开放提出总体建议；对景观照明设计的审查，对灯具选型及灯具布置提出合理化建议，对于其他专项工程的衔接及细部节点设计深度、符合性进行重点审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（4）其他设计问题。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以上各专业设计代表每月驻工地时间不得少于22天。未经发包人批准同意擅自更换设计代表的，承包人承担50000元违约金。如特殊原因需要更换设计代表的，由承包人向发包人提出申请，发包人同意后方可更换，承包人需承担违约金10000元/次。上述违约金，由发包人在承包人当期的工程进度款中扣除。</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5.11 限额设计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5.11.1限额设计要求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承诺在不降低发包人要求的主要设计指标的前提下，本工程项目投资必须按照发包人的投资额度和要求严格控制设计限额，确保经审定的概算金额不超过批复的项目投资估算金额，经审定的预算金额不超过审定概算中的建安工程费和发布的招标限价。因规划调整等客观原因导致投资估算或概算发生重大调整时，应按程序报批。承包人承诺工程投资为除征地、拆迁费用以外整个工程从筹建至竣工交付使用所需的工程直接费用，并承诺据此进行方案设计、初步设计和施工图设计，实行限额设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（1）承包人应遵循功能适用、标准合理、经济合理的原则开展设计，在投资限额目标的基础上结合项目设计内容进一步分解投资，明确投资控制主要指标，在编制设计概算时逐步细化落实。</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在限额设计范围内应充分运用性价比分析、多方案（不少于2个方案）技术经济比较等技术手段对设计方案进行优化。在所有方案比较的过程中，必须进行相应深度的投资估算比较，确保方案的可比性并提供相应的工程数量表、主要材料表（含推荐品牌）、主要设备清单（含推荐品牌）等，在确保工程质量的前提下，降低工程投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应承诺如果根据承包人提供的施工图设计图纸编制的预算超出初步设计概算，承包人必须在不改变原方案设计的构想及设计理念、不降低设计质量标准及使用要求、不影响下一阶段交付设计文件的期限、不追加设计费用的情况下对施工图设计进行优化。</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（4）承包人应承诺有关设计的任何修改、变动或由于修改设计所引起的工艺、技术、材料、设备的变更均须经过发包人的同意。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（5）承包人承诺在交付项目的部分或全部设计文件后,如有更好的新工艺、新技术、新材料、新设备等适用于本项目，将及时向发包人推荐并提供科学的评估。</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5.11.2 限额设计的管理</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（1）实行全员的限额设计管理</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承包人严格执行技术责任制，每一个子项目都要指定总体设计负责人和各专业负责人，组成总体组，负责本项目限额设计的综合管理，包括分阶段的限额框算、检查，切块分配，以及切块间的协调等。</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（2）实行全过程的限额设计管理</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承包人要在每个专业每道工序中都把限额设计作为重点工作内容，明确限额目标，实行工序管理。各个专业限额的实现，是实现总限额的保证。</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（3）实行防、检结合，以防为主的限额设计管理</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承包人采取积极预防和严格把关相结合，抓好事前指导、中间检查和成品审定三个环节。以事先采取措施，防止突破限额为主，重在管理影响造价升降的各主要因素。</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（4）加强限额设计的信息反馈</w:t>
      </w:r>
    </w:p>
    <w:p>
      <w:pPr>
        <w:spacing w:line="360" w:lineRule="auto"/>
        <w:ind w:firstLine="369" w:firstLineChars="176"/>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承包人要发挥内部、外部两个反馈的作用，及时将内部下道工序对上道工序的信息、部门之间的信息以及外部施工、运营单位的信息进行整理、归纳、分析、汇总，每月上报限额设计状况</w:t>
      </w:r>
      <w:r>
        <w:rPr>
          <w:rFonts w:ascii="宋体" w:hAnsi="宋体"/>
          <w:color w:val="000000" w:themeColor="text1"/>
          <w:szCs w:val="21"/>
          <w:highlight w:val="none"/>
          <w14:textFill>
            <w14:solidFill>
              <w14:schemeClr w14:val="tx1"/>
            </w14:solidFill>
          </w14:textFill>
        </w:rPr>
        <w:t>给</w:t>
      </w:r>
      <w:r>
        <w:rPr>
          <w:rFonts w:hint="eastAsia" w:ascii="宋体" w:hAnsi="宋体"/>
          <w:color w:val="000000" w:themeColor="text1"/>
          <w:szCs w:val="21"/>
          <w:highlight w:val="none"/>
          <w14:textFill>
            <w14:solidFill>
              <w14:schemeClr w14:val="tx1"/>
            </w14:solidFill>
          </w14:textFill>
        </w:rPr>
        <w:t>委托</w:t>
      </w:r>
      <w:r>
        <w:rPr>
          <w:rFonts w:ascii="宋体" w:hAnsi="宋体"/>
          <w:color w:val="000000" w:themeColor="text1"/>
          <w:szCs w:val="21"/>
          <w:highlight w:val="none"/>
          <w14:textFill>
            <w14:solidFill>
              <w14:schemeClr w14:val="tx1"/>
            </w14:solidFill>
          </w14:textFill>
        </w:rPr>
        <w:t>人</w:t>
      </w:r>
      <w:r>
        <w:rPr>
          <w:rFonts w:hint="eastAsia" w:ascii="宋体" w:hAnsi="宋体"/>
          <w:color w:val="000000" w:themeColor="text1"/>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5.11.3限额设计责任</w:t>
      </w:r>
    </w:p>
    <w:p>
      <w:pPr>
        <w:spacing w:line="360" w:lineRule="auto"/>
        <w:ind w:firstLine="371" w:firstLineChars="176"/>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（1）除出现以下情形可据实调整投资额外，承包人应确保结算建安费不超过可研批复的建安费及发布的招标限价：</w:t>
      </w:r>
    </w:p>
    <w:p>
      <w:pPr>
        <w:spacing w:line="360" w:lineRule="auto"/>
        <w:ind w:firstLine="371" w:firstLineChars="176"/>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①建设任务、绩效考核目标调整；</w:t>
      </w:r>
    </w:p>
    <w:p>
      <w:pPr>
        <w:spacing w:line="360" w:lineRule="auto"/>
        <w:ind w:firstLine="371" w:firstLineChars="176"/>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②合同履行过程实施条件相对于可研阶段、投标阶段发生了重大变化；</w:t>
      </w:r>
    </w:p>
    <w:p>
      <w:pPr>
        <w:spacing w:line="360" w:lineRule="auto"/>
        <w:ind w:firstLine="371" w:firstLineChars="176"/>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③其他因素（如不可抗力等）；</w:t>
      </w:r>
    </w:p>
    <w:p>
      <w:pPr>
        <w:spacing w:line="360" w:lineRule="auto"/>
        <w:ind w:firstLine="371" w:firstLineChars="176"/>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建设任务指本工程可行性研究报告和设计任务书建设内容，以及达到“一单元一图一表”中考核项目、考核标准的相关建设内容。</w:t>
      </w:r>
    </w:p>
    <w:p>
      <w:pPr>
        <w:spacing w:line="360" w:lineRule="auto"/>
        <w:ind w:firstLine="371" w:firstLineChars="176"/>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 xml:space="preserve">如合同结算建安费（按单项合同计算）超出可研批复的建安费，超出部分建安费由承包人自行承担，且超出部分建安费不列入该项目勘察设计费计费基数。 </w:t>
      </w:r>
    </w:p>
    <w:p>
      <w:pPr>
        <w:spacing w:line="360" w:lineRule="auto"/>
        <w:ind w:firstLine="422" w:firstLineChars="200"/>
        <w:jc w:val="left"/>
        <w:rPr>
          <w:rFonts w:ascii="宋体" w:hAnsi="宋体"/>
          <w:b/>
          <w:color w:val="000000" w:themeColor="text1"/>
          <w:sz w:val="32"/>
          <w:szCs w:val="32"/>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w:t>
      </w:r>
      <w:r>
        <w:rPr>
          <w:rFonts w:ascii="宋体" w:hAnsi="宋体"/>
          <w:b/>
          <w:color w:val="000000" w:themeColor="text1"/>
          <w:szCs w:val="21"/>
          <w:highlight w:val="none"/>
          <w14:textFill>
            <w14:solidFill>
              <w14:schemeClr w14:val="tx1"/>
            </w14:solidFill>
          </w14:textFill>
        </w:rPr>
        <w:t>2）限额设计投资控制结果与合同暂定结算金支付挂钩。在合同暂定结算金中取2%作为项目投资控制绩效考核金，结算建安工</w:t>
      </w:r>
      <w:r>
        <w:rPr>
          <w:rFonts w:hint="eastAsia" w:ascii="宋体" w:hAnsi="宋体"/>
          <w:b/>
          <w:color w:val="000000" w:themeColor="text1"/>
          <w:szCs w:val="21"/>
          <w:highlight w:val="none"/>
          <w14:textFill>
            <w14:solidFill>
              <w14:schemeClr w14:val="tx1"/>
            </w14:solidFill>
          </w14:textFill>
        </w:rPr>
        <w:t>程费与可研批复建安费比较核减</w:t>
      </w:r>
      <w:r>
        <w:rPr>
          <w:rFonts w:ascii="宋体" w:hAnsi="宋体"/>
          <w:b/>
          <w:color w:val="000000" w:themeColor="text1"/>
          <w:szCs w:val="21"/>
          <w:highlight w:val="none"/>
          <w14:textFill>
            <w14:solidFill>
              <w14:schemeClr w14:val="tx1"/>
            </w14:solidFill>
          </w14:textFill>
        </w:rPr>
        <w:t>8%以上的，支付2%投资控制绩效考核金，不足8%按线性比例进行支付（如核减5%，支付2%×5%/8%）。投资控制绩效考核金，承包人在完成最终结算后可申请支付。</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5.12 设计优化</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具体要求包括但不限于如下：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（1）总体设计方案的优化：在满足使用功能和经济合理的基础上，进行总体设计方案的优化。</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（2）结构工程的优化：对于结构的选择，要在满足结构安全的前提下，进行结构优化设计，以降低混凝土、钢筋等的单方消耗含量，进而降低造价。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设备选型：以经济实用，运行可靠，维护管理方便为原则进行设备选型。通过主要技术指标对设备选型进行限额控制，通过设备询价对设备提出可靠的价格信息（提供相关询价单），详细制定大型设备选型、招标、采购控制方法，尽可能采用性价比较优的设备。在造价控制方面重点控制好水泵机组、电机、水泵拍门及电气设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（4）特殊专业工程：自动火灾报警系统、综合布线、视频监控系统等专业工程应进行深化设计及限额设计。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（5）室外附属工程：道路工程、园林绿化工程、室外管网工程等在保证道路应用、绿化指标的前提下，尽可能减少高标准道路面积。</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（6）其他设计优化要求。</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5.13 设计成果确认</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（1）对联合体承包人，概、预算文件必须经联合体各方审核、确认，并将该审核、确认文件报价监理人、发包人备案。</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对联合体承包人，在施工图设计阶段负责施工任务的一方须深度介入设计工作，解决设计的错漏碰问题以及施工措施方案等问题，提出优化设计的方案，并需出具专项审核报告，报监理单位、设计咨询单位及发包人审核。</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监理单位、设计咨询单位、发包人对承包人各阶段的设计成果文件提出的审核或咨询意见，承包人应逐条予以书面回复。监理单位、设计咨询单位、发包人的审核或咨询意见不免除或减轻承包人对设计工作应承担的责任和义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提交的各阶段性设计成果文件（包括方案设计文件、初步设计文件、施工图设计文件等），须通过设计咨询单位或发包人的审核，并按规定通过相应行政主管部门的审批，若设计成果未能通过审核或审批，承包人应按发包人限定的期限及要求进行补充、修改、完善，经补充、修改、完善后的设计成果文件仍无法满足要求的，发包人有权要求承包人更换设计团队或与承包人部分解除合同或解除合同。</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5.14 设计咨询</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本合同项目，发包人委托了设计咨询单位，其责任包括但不限于如下（具体以设计咨询合同为准）：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（1）技术咨询服务：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①对项目进行前期立项、可研、设计的组织工作，负责在总体方案的基础上，对各子项工程的设计工作进行策划与目标制定。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②提出设计需求，编制各子项工程的设计任务书。</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③对各阶段的设计成果（包括总体成果）以及过程中的重大技术问题，从发包人角度提供技术咨询意见（主要审查其是否落实了发包人的要求，以及是否落实总体设计文件要求）。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④根据</w:t>
      </w:r>
      <w:r>
        <w:rPr>
          <w:rFonts w:hint="eastAsia" w:ascii="宋体" w:hAnsi="宋体" w:cs="宋体"/>
          <w:color w:val="000000" w:themeColor="text1"/>
          <w:kern w:val="0"/>
          <w:szCs w:val="21"/>
          <w:highlight w:val="none"/>
          <w:lang w:eastAsia="zh-Hans"/>
          <w14:textFill>
            <w14:solidFill>
              <w14:schemeClr w14:val="tx1"/>
            </w14:solidFill>
          </w14:textFill>
        </w:rPr>
        <w:t>发包人</w:t>
      </w:r>
      <w:r>
        <w:rPr>
          <w:rFonts w:hint="eastAsia" w:ascii="宋体" w:hAnsi="宋体" w:cs="宋体"/>
          <w:color w:val="000000" w:themeColor="text1"/>
          <w:kern w:val="0"/>
          <w:szCs w:val="21"/>
          <w:highlight w:val="none"/>
          <w14:textFill>
            <w14:solidFill>
              <w14:schemeClr w14:val="tx1"/>
            </w14:solidFill>
          </w14:textFill>
        </w:rPr>
        <w:t>的需要，对过程中决策（包括方案的优化和比选、专项研究成果的转化）提供技术咨询意见。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⑤总体技术标准编制：组织各子项子系统设计单位对各专业的需要统一的技术标准进行研究，组织编制本项目的统一技术标准，实现本项目的统一性。</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⑥协助发包人组建和维护为本项目全过程服务的专家顾问团队。</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（2）设计统筹管理工作，包括但不限：</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①设计工作管理：对整个设计工作进行质量、进度、成本的管理，对人员进行相关考核的管理。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②规划把控:负责对整个区域各项设计与规划衔接的控制，各设计以控规和竖向设计为基础，对存在工程与规划之间的问题及时协调，督促设计单位按规划进行具体工程设计。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③总体方案控制：在整个区域规划的基础上，组织对关键的、重要的工程节点组织深入的技术方案研究与比选，最终稳定总体方案并保证整个项目的完整性。</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④各子项工程的界面划分与技术接口的控制：负责划定整个区域内各子项工程的范围以及对应的界面，并对界面上的技术接口进行控制，保证各项目之间各系统之间能够顺利衔接，实现本项目的系统性。</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⑤管线综合协调：负责对整个区域内的市政管线综合工作进行指导，对各项目与管线之间的关系进行总体协调。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⑥组织设计会议：负责定期组织总体设计例会，以及各类专题协调会，协调设计进度，解决各类技术问题。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⑦组织设计会签：组织各子项设计单位进行设计图纸的会签，重点是检查各项目之间界面和接口的衔接情况。</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⑧总体审查：对各阶段的设计过程和成果进行总体审查，检查其是否符合总体方案，是否符合统一的技术标准，设计会签的落实情况，专题协调成果的落实情况，政府审批部门意见的落实情况等等。</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⑨变更把控：对过程中出现的设计变更进行把控，主要是判断其是否影响总体方案，是否符合统一的技术标准，以及其对整个项目的经济性影响（是否会造成其他项目的成本上升）。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5.15对承包人设计成果文件的设计评审包括相关行政主管部门及行业主管部门的审查、施工图审查单位（设计咨询单位）的审查、发包人或发包人组织的专家评审。发包人有权视项目情况组织召开方案设计、初步设计、施工图设计、专项设计、重大技术论证等方面的专家评审会，评审会一切费用已包含在合同价（结算价）中，由承包人负责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5.16除上述规定以外，其余未尽事宜以勘察设计任务书为准，详见附件。</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480" w:name="_Toc6934"/>
      <w:bookmarkStart w:id="1481" w:name="_Toc32235"/>
      <w:bookmarkStart w:id="1482" w:name="_Toc147856220"/>
      <w:r>
        <w:rPr>
          <w:rStyle w:val="114"/>
          <w:rFonts w:hint="eastAsia"/>
          <w:bCs w:val="0"/>
          <w:color w:val="000000" w:themeColor="text1"/>
          <w:highlight w:val="none"/>
          <w14:textFill>
            <w14:solidFill>
              <w14:schemeClr w14:val="tx1"/>
            </w14:solidFill>
          </w14:textFill>
        </w:rPr>
        <w:t>6. 材料和工程设备</w:t>
      </w:r>
      <w:bookmarkEnd w:id="1480"/>
      <w:bookmarkEnd w:id="1481"/>
      <w:bookmarkEnd w:id="1482"/>
    </w:p>
    <w:p>
      <w:pPr>
        <w:pStyle w:val="6"/>
        <w:spacing w:before="240" w:after="120" w:line="360" w:lineRule="auto"/>
        <w:rPr>
          <w:color w:val="000000" w:themeColor="text1"/>
          <w:highlight w:val="none"/>
          <w14:textFill>
            <w14:solidFill>
              <w14:schemeClr w14:val="tx1"/>
            </w14:solidFill>
          </w14:textFill>
        </w:rPr>
      </w:pPr>
      <w:bookmarkStart w:id="1483" w:name="_Toc31088"/>
      <w:bookmarkStart w:id="1484" w:name="_Toc12143"/>
      <w:r>
        <w:rPr>
          <w:rFonts w:hint="eastAsia"/>
          <w:color w:val="000000" w:themeColor="text1"/>
          <w:highlight w:val="none"/>
          <w14:textFill>
            <w14:solidFill>
              <w14:schemeClr w14:val="tx1"/>
            </w14:solidFill>
          </w14:textFill>
        </w:rPr>
        <w:t>6.1 承包人提供的材料和工程设备</w:t>
      </w:r>
      <w:bookmarkEnd w:id="1483"/>
      <w:bookmarkEnd w:id="1484"/>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双方一致同意专用合同条款增加第6.1.4项：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 xml:space="preserve"> 6.1.4（1）承包人采购的材料和工程设备不符合设计或有关标准要求时，承包人应在监理人要求的合理期限内将不符合设计或有关标准要求的材料、工程设备运出施工现场，并重新采购符合要求的材料、工程设备，由此增加的费用和（或）延误的工期，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本合同工程内所需的所有材料设备由承包人自行组织购买供应，凡使用于工程实体的各类材料/设备/构配件的采购，按照发包人工程材料、设备、构配件采购相关管理制度或文件执行。其中，水稳料、砂浆、商品混凝土（含沥青混凝土、水泥混凝土）及混凝土（含沥青混凝土、水泥混凝土）搅拌站点的选取须报发包人审批同意后使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 xml:space="preserve">（3）承包人应采取有效的措施保证材料供应，确保工程按工期按质量完成，不能因货物供应紧张、价格变动、资金紧缺等原因，影响工程进度。若发包人发现承包人由于材料供应缓慢而影响工程进度，有权要求承包人更换材料供应商，所发生的材料价差均由承包人承担。 </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（4）未按投入计划投入相应主要材料的违约责任：</w:t>
      </w:r>
      <w:r>
        <w:rPr>
          <w:rFonts w:hint="eastAsia" w:ascii="宋体" w:hAnsi="宋体" w:cs="宋体"/>
          <w:color w:val="000000" w:themeColor="text1"/>
          <w:kern w:val="0"/>
          <w:szCs w:val="21"/>
          <w:highlight w:val="none"/>
          <w:u w:val="single"/>
          <w14:textFill>
            <w14:solidFill>
              <w14:schemeClr w14:val="tx1"/>
            </w14:solidFill>
          </w14:textFill>
        </w:rPr>
        <w:t>承包人未按投入计划投入相应的主要材料，经监理人、发包人检查发现的应承担违约金5000元/次，并书面告知限期整改</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6.2 发包人提供的材料和工程设备（B）</w:t>
      </w:r>
    </w:p>
    <w:p>
      <w:pPr>
        <w:pStyle w:val="48"/>
        <w:spacing w:before="156"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双方一致同意通用合同条款此条不适用，删除。</w:t>
      </w:r>
    </w:p>
    <w:p>
      <w:pPr>
        <w:pStyle w:val="6"/>
        <w:spacing w:before="240" w:after="120" w:line="360" w:lineRule="auto"/>
        <w:rPr>
          <w:color w:val="000000" w:themeColor="text1"/>
          <w:highlight w:val="none"/>
          <w14:textFill>
            <w14:solidFill>
              <w14:schemeClr w14:val="tx1"/>
            </w14:solidFill>
          </w14:textFill>
        </w:rPr>
      </w:pPr>
      <w:bookmarkStart w:id="1485" w:name="_Toc12696"/>
      <w:bookmarkStart w:id="1486" w:name="_Toc9056"/>
      <w:r>
        <w:rPr>
          <w:rFonts w:hint="eastAsia"/>
          <w:color w:val="000000" w:themeColor="text1"/>
          <w:highlight w:val="none"/>
          <w14:textFill>
            <w14:solidFill>
              <w14:schemeClr w14:val="tx1"/>
            </w14:solidFill>
          </w14:textFill>
        </w:rPr>
        <w:t>6.5 禁止使用不合格的材料和工程设备</w:t>
      </w:r>
      <w:bookmarkEnd w:id="1485"/>
      <w:bookmarkEnd w:id="1486"/>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双方一致同意专用合同条款增加第6.5.4项：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6.5.4承包人使用不合格材料、设备的违约责任：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监理人或发包人发现承包人使用不合格的材料和工程设备，承包人必须在监理人或发包人通知的限期内全部拆除、更换，并运出施工现场；工期延误、费用增加等一切损失均由承包人承担，同时承包人还应承担该批材料价值5%且不低于5万元的违约金。</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（2）如果发生以下情况的之一，则视为违约，承包人应立即停止使用不合格材料，且承包人承担违约金1万元/次。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1）政府质量安全监督部门、发包人或监理人抽检的材料的检验报告显示的质量有问题的；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2）在施工过程中，发包人或监理人发现工程所用的材料与发包人批准使用的材料，货不对版的；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3）承包人提供虚假供应材料生产厂家的证明资料。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双方一致同意专用合同条款增加第6.6款及第6.7款：</w:t>
      </w:r>
    </w:p>
    <w:p>
      <w:pPr>
        <w:pStyle w:val="6"/>
        <w:spacing w:before="240" w:after="120" w:line="360" w:lineRule="auto"/>
        <w:rPr>
          <w:color w:val="000000" w:themeColor="text1"/>
          <w:highlight w:val="none"/>
          <w14:textFill>
            <w14:solidFill>
              <w14:schemeClr w14:val="tx1"/>
            </w14:solidFill>
          </w14:textFill>
        </w:rPr>
      </w:pPr>
      <w:bookmarkStart w:id="1487" w:name="_Toc3054"/>
      <w:bookmarkStart w:id="1488" w:name="_Toc4422"/>
      <w:r>
        <w:rPr>
          <w:rFonts w:hint="eastAsia"/>
          <w:color w:val="000000" w:themeColor="text1"/>
          <w:highlight w:val="none"/>
          <w14:textFill>
            <w14:solidFill>
              <w14:schemeClr w14:val="tx1"/>
            </w14:solidFill>
          </w14:textFill>
        </w:rPr>
        <w:t>6.6 样品</w:t>
      </w:r>
      <w:bookmarkEnd w:id="1487"/>
      <w:bookmarkEnd w:id="1488"/>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6.6.1  样品的报送与封存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需要承包人报送样品的材料或工程设备，样品的种类、名称、规格、数量等要求按发包人有关管理规定和要求执行。样品的报送程序如下：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在计划采购前28天向监理人报送样品。承包人报送的样品均应来自供应材料的实际生产地，且提供的样品的规格、数量足以表明材料或工程设备的质量、型号、颜色、表面处理、质地、误差和其他要求的特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每次报送样品时应随附申报单，申报单应载明报送样品的相关数据和资料，并标明每件样品对应的图纸号，预留监理人批复意见栏。监理人应在收到承包人报送的样品后7天向承包人回复经发包人签认的样品审批意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（3）经发包人和监理人审批确认的样品应按约定的方法封样，封存的样品作为检验工程相关部分的标准之一。承包人在施工过程中不得使用与样品不符的材料或工程设备。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发包人和监理人对样品的审批确认仅为确认相关材料或工程设备的特征或用途，不得被理解为对合同的修改或改变，也并不减轻或免除承包人任何的责任和义务。如果封存的样品修改或改变了合同约定，合同当事人应当以书面协议予以确认。</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6.6.2 样品的保管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经批准的样品应由监理人负责封存于现场，承包人应在现场为保存样品提供适当和固定的场所并保持适当和良好的存储环境条件。</w:t>
      </w:r>
    </w:p>
    <w:p>
      <w:pPr>
        <w:pStyle w:val="6"/>
        <w:spacing w:before="240" w:after="120" w:line="360" w:lineRule="auto"/>
        <w:rPr>
          <w:color w:val="000000" w:themeColor="text1"/>
          <w:highlight w:val="none"/>
          <w14:textFill>
            <w14:solidFill>
              <w14:schemeClr w14:val="tx1"/>
            </w14:solidFill>
          </w14:textFill>
        </w:rPr>
      </w:pPr>
      <w:bookmarkStart w:id="1489" w:name="_Toc3495625"/>
      <w:bookmarkStart w:id="1490" w:name="_Toc16169"/>
      <w:bookmarkStart w:id="1491" w:name="_Toc10487"/>
      <w:bookmarkStart w:id="1492" w:name="_Toc3242"/>
      <w:bookmarkStart w:id="1493" w:name="_Toc518053329"/>
      <w:bookmarkStart w:id="1494" w:name="_Toc351203559"/>
      <w:bookmarkStart w:id="1495" w:name="_Toc968"/>
      <w:bookmarkStart w:id="1496" w:name="_Toc521180342"/>
      <w:bookmarkStart w:id="1497" w:name="_Toc3495895"/>
      <w:bookmarkStart w:id="1498" w:name="_Toc522004950"/>
      <w:bookmarkStart w:id="1499" w:name="_Toc23792"/>
      <w:bookmarkStart w:id="1500" w:name="_Toc30626"/>
      <w:bookmarkStart w:id="1501" w:name="_Toc230"/>
      <w:bookmarkStart w:id="1502" w:name="_Toc22315"/>
      <w:r>
        <w:rPr>
          <w:rFonts w:hint="eastAsia"/>
          <w:color w:val="000000" w:themeColor="text1"/>
          <w:highlight w:val="none"/>
          <w14:textFill>
            <w14:solidFill>
              <w14:schemeClr w14:val="tx1"/>
            </w14:solidFill>
          </w14:textFill>
        </w:rPr>
        <w:t>6.7材料与工程设备的替代</w:t>
      </w:r>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6.7.1 出现下列情况需要使用替代材料和工程设备的，承包人应按照第6.7.2项约定的程序执行：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（1）基准日期后生效的法律规定禁止使用的；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（2）发包人要求使用替代品的；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（3）因其他原因必须使用替代品的。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6.7.2 承包人应在使用替代材料和工程设备28天前书面通知监理人，并附下列文件：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（1）被替代的材料和工程设备的名称、数量、规格、型号、品牌、性能、价格及其他相关资料；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（2）替代品的名称、数量、规格、型号、品牌、性能、价格及其他相关资料；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（3）替代品与被替代产品之间的差异以及使用替代品可能对工程产生的影响；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（4）替代品与被替代产品的价格差异；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（5）使用替代品的理由和原因说明；</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（6）监理人要求的其他文件。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监理人应在收到通知后14天内向承包人发出经发包人签认的书面指示；监理人逾期发出书面指示的，视为发包人和监理人同意使用替代品。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6.7.3 发包人认可使用替代材料和工程设备的，替代材料和工程设备的价格，按照已标价工程量清单或预算书相同项目的价格认定；无相同项目的，参考相似项目价格认定；既无相同项目也无相似项目的，按照合理的成本与利润构成的原则，由合同当事人按照第3.5款确定价格。</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6.7.4工程所需材料，如因供应部门的规格品种或材质不能满足工程所需要求，必须以其他规格品种代替或加工处理时，应事先取得设计人、监理人和发包人同意后，再办理有关变更手续后执行。</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03" w:name="_Toc20671"/>
      <w:bookmarkStart w:id="1504" w:name="_Toc28852"/>
      <w:bookmarkStart w:id="1505" w:name="_Toc147856221"/>
      <w:r>
        <w:rPr>
          <w:rStyle w:val="114"/>
          <w:rFonts w:hint="eastAsia"/>
          <w:bCs w:val="0"/>
          <w:color w:val="000000" w:themeColor="text1"/>
          <w:highlight w:val="none"/>
          <w14:textFill>
            <w14:solidFill>
              <w14:schemeClr w14:val="tx1"/>
            </w14:solidFill>
          </w14:textFill>
        </w:rPr>
        <w:t>7. 施工设备和临时设施</w:t>
      </w:r>
      <w:bookmarkEnd w:id="1503"/>
      <w:bookmarkEnd w:id="1504"/>
      <w:bookmarkEnd w:id="1505"/>
    </w:p>
    <w:p>
      <w:pPr>
        <w:pStyle w:val="6"/>
        <w:spacing w:before="240" w:after="120" w:line="360" w:lineRule="auto"/>
        <w:rPr>
          <w:color w:val="000000" w:themeColor="text1"/>
          <w:highlight w:val="none"/>
          <w14:textFill>
            <w14:solidFill>
              <w14:schemeClr w14:val="tx1"/>
            </w14:solidFill>
          </w14:textFill>
        </w:rPr>
      </w:pPr>
      <w:bookmarkStart w:id="1506" w:name="_Toc25854"/>
      <w:bookmarkStart w:id="1507" w:name="_Toc1164"/>
      <w:r>
        <w:rPr>
          <w:rFonts w:hint="eastAsia"/>
          <w:color w:val="000000" w:themeColor="text1"/>
          <w:highlight w:val="none"/>
          <w14:textFill>
            <w14:solidFill>
              <w14:schemeClr w14:val="tx1"/>
            </w14:solidFill>
          </w14:textFill>
        </w:rPr>
        <w:t>7.1 承包人提供的施工设备和临时设施</w:t>
      </w:r>
      <w:bookmarkEnd w:id="1506"/>
      <w:bookmarkEnd w:id="1507"/>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7.1.2 关于修建临时设施费用承担的约定：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工程所需全部施工设备（包括安全设备等），均由承包人自行解决，不论其设备属承包人原有、新购或租用，其台班费用或折旧费用，均应在签约合同价中综合考虑，承包人不得以任何理由，要求结算机械台班差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（2）在施工中，工程所需的全部安全设备及施工人员的安全设施，均由承包人按有关规定自行配备解决，其费用已包含在签约合同价中，发包人不另行支付或承担任何补偿责任。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应负责与当地有关部门联系和开通施工场地与城市公共道路之间的临时通道及施工场地内的主要便道，以适应场地运输的需要。临时道路的开通、养护及由于施工造成第三者损失的费用均由承包人负责。开工前及施工过程中因项目所需增加场外临时用地，临时要求停水、停电、中断道路交通、爆破作业或可能损坏道路、管线、电力、邮电、通讯等公共设施等申请批准手续由承包人自行办理。因未能按时办妥上述批准手续，造成的窝工、补回工期等相关损失或费用，承包人自行承担，费用不予增加。</w:t>
      </w:r>
    </w:p>
    <w:p>
      <w:pPr>
        <w:pStyle w:val="6"/>
        <w:spacing w:before="240" w:after="120" w:line="360" w:lineRule="auto"/>
        <w:rPr>
          <w:color w:val="000000" w:themeColor="text1"/>
          <w:highlight w:val="none"/>
          <w14:textFill>
            <w14:solidFill>
              <w14:schemeClr w14:val="tx1"/>
            </w14:solidFill>
          </w14:textFill>
        </w:rPr>
      </w:pPr>
      <w:bookmarkStart w:id="1508" w:name="_Toc28936"/>
      <w:bookmarkStart w:id="1509" w:name="_Toc15633"/>
      <w:r>
        <w:rPr>
          <w:rFonts w:hint="eastAsia"/>
          <w:color w:val="000000" w:themeColor="text1"/>
          <w:highlight w:val="none"/>
          <w14:textFill>
            <w14:solidFill>
              <w14:schemeClr w14:val="tx1"/>
            </w14:solidFill>
          </w14:textFill>
        </w:rPr>
        <w:t>7.3 要求承包人增加或更换施工设备</w:t>
      </w:r>
      <w:bookmarkEnd w:id="1508"/>
      <w:bookmarkEnd w:id="1509"/>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双方一致同意通用合同条款第7.3条增加如下内容：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违反机械、设备投入约定的违约责任：承包人未按投入计划投入相应的主要机械设备，经监理人或发包人检查发现的</w:t>
      </w:r>
      <w:r>
        <w:rPr>
          <w:rFonts w:hint="eastAsia" w:ascii="宋体" w:hAnsi="宋体" w:cs="宋体"/>
          <w:color w:val="000000" w:themeColor="text1"/>
          <w:kern w:val="0"/>
          <w:szCs w:val="21"/>
          <w:highlight w:val="none"/>
          <w:u w:val="single"/>
          <w14:textFill>
            <w14:solidFill>
              <w14:schemeClr w14:val="tx1"/>
            </w14:solidFill>
          </w14:textFill>
        </w:rPr>
        <w:t>应承担违约金5000元/次/台，并书面告知限期整改</w:t>
      </w:r>
      <w:r>
        <w:rPr>
          <w:rFonts w:hint="eastAsia" w:ascii="宋体" w:hAnsi="宋体" w:cs="宋体"/>
          <w:color w:val="000000" w:themeColor="text1"/>
          <w:kern w:val="0"/>
          <w:szCs w:val="21"/>
          <w:highlight w:val="none"/>
          <w14:textFill>
            <w14:solidFill>
              <w14:schemeClr w14:val="tx1"/>
            </w14:solidFill>
          </w14:textFill>
        </w:rPr>
        <w:t>。</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10" w:name="_Toc21973"/>
      <w:bookmarkStart w:id="1511" w:name="_Toc3900"/>
      <w:bookmarkStart w:id="1512" w:name="_Toc147856222"/>
      <w:r>
        <w:rPr>
          <w:rStyle w:val="114"/>
          <w:rFonts w:hint="eastAsia"/>
          <w:bCs w:val="0"/>
          <w:color w:val="000000" w:themeColor="text1"/>
          <w:highlight w:val="none"/>
          <w14:textFill>
            <w14:solidFill>
              <w14:schemeClr w14:val="tx1"/>
            </w14:solidFill>
          </w14:textFill>
        </w:rPr>
        <w:t>8. 交通运输</w:t>
      </w:r>
      <w:bookmarkEnd w:id="1510"/>
      <w:bookmarkEnd w:id="1511"/>
      <w:bookmarkEnd w:id="1512"/>
    </w:p>
    <w:p>
      <w:pPr>
        <w:pStyle w:val="6"/>
        <w:spacing w:before="240" w:after="120" w:line="360" w:lineRule="auto"/>
        <w:rPr>
          <w:color w:val="000000" w:themeColor="text1"/>
          <w:highlight w:val="none"/>
          <w14:textFill>
            <w14:solidFill>
              <w14:schemeClr w14:val="tx1"/>
            </w14:solidFill>
          </w14:textFill>
        </w:rPr>
      </w:pPr>
      <w:bookmarkStart w:id="1513" w:name="_Toc19011"/>
      <w:bookmarkStart w:id="1514" w:name="_Toc13979"/>
      <w:r>
        <w:rPr>
          <w:rFonts w:hint="eastAsia"/>
          <w:color w:val="000000" w:themeColor="text1"/>
          <w:highlight w:val="none"/>
          <w14:textFill>
            <w14:solidFill>
              <w14:schemeClr w14:val="tx1"/>
            </w14:solidFill>
          </w14:textFill>
        </w:rPr>
        <w:t>8.1 道路通行权和场外设施（B）</w:t>
      </w:r>
      <w:bookmarkEnd w:id="1513"/>
      <w:bookmarkEnd w:id="1514"/>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双方一致同意通用合同条款第8.1款增加如下内容：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由承包人负责取得出入施工现场所需的批准手续和全部权利，以及取得因施工所需修建道路、桥梁以及其他基础设施的通行出入及使用权利，相关手续费用和建设费用包括在签约合同价内。发包人应协助承包人办理修建施工现场内外道路、桥梁以及其他基础设施的手续。</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承包人应在订立合同前查勘施工现场，并根据工程规模及技术参数合理预见工程施工所需的进出施工现场的方式、手段、路径等。因承包人未合理预见所增加的费用和（或）延误的工期由承包人承担。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承包人须做好施工现场的交通疏导工作，配备足够的交通疏导员维持施工现场的交通疏导工作，其费用包含在签约合同价内，在修正合同价款（即签订实际合同价款）后，承包人不得调增该部分费用。</w:t>
      </w:r>
    </w:p>
    <w:p>
      <w:pPr>
        <w:pStyle w:val="6"/>
        <w:spacing w:before="240" w:after="120" w:line="360" w:lineRule="auto"/>
        <w:rPr>
          <w:color w:val="000000" w:themeColor="text1"/>
          <w:highlight w:val="none"/>
          <w14:textFill>
            <w14:solidFill>
              <w14:schemeClr w14:val="tx1"/>
            </w14:solidFill>
          </w14:textFill>
        </w:rPr>
      </w:pPr>
      <w:bookmarkStart w:id="1515" w:name="_Toc29623"/>
      <w:r>
        <w:rPr>
          <w:rFonts w:hint="eastAsia"/>
          <w:color w:val="000000" w:themeColor="text1"/>
          <w:highlight w:val="none"/>
          <w14:textFill>
            <w14:solidFill>
              <w14:schemeClr w14:val="tx1"/>
            </w14:solidFill>
          </w14:textFill>
        </w:rPr>
        <w:t>8.2 场内施工道路</w:t>
      </w:r>
      <w:bookmarkEnd w:id="1515"/>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8.2.1双方一致同意通用合同条款第8.2.1项增加如下内容：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承包人自行踏勘施工现场内交通设施情况。承包人负责修建、维修、养护和管理施工所需的其他场内临时道路和交通设施，以满足工程施工所需，其费用包含在签约合同价内。</w:t>
      </w:r>
    </w:p>
    <w:p>
      <w:pPr>
        <w:pStyle w:val="6"/>
        <w:spacing w:before="240" w:after="120" w:line="360" w:lineRule="auto"/>
        <w:rPr>
          <w:color w:val="000000" w:themeColor="text1"/>
          <w:highlight w:val="none"/>
          <w14:textFill>
            <w14:solidFill>
              <w14:schemeClr w14:val="tx1"/>
            </w14:solidFill>
          </w14:textFill>
        </w:rPr>
      </w:pPr>
      <w:bookmarkStart w:id="1516" w:name="_Toc14116"/>
      <w:bookmarkStart w:id="1517" w:name="_Toc6715"/>
      <w:r>
        <w:rPr>
          <w:rFonts w:hint="eastAsia"/>
          <w:color w:val="000000" w:themeColor="text1"/>
          <w:highlight w:val="none"/>
          <w14:textFill>
            <w14:solidFill>
              <w14:schemeClr w14:val="tx1"/>
            </w14:solidFill>
          </w14:textFill>
        </w:rPr>
        <w:t>8.3 场外交通</w:t>
      </w:r>
      <w:bookmarkEnd w:id="1516"/>
      <w:bookmarkEnd w:id="1517"/>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双方一致同意通用合同条款增加第8.3.3项及第8.3.4项款：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8.3.3承包人自行取得施工现场外交通设施的技术参数和具体条件，承包人应遵守有关交通法规，严格按照道路和桥梁的限制荷载行驶，执行有关道路限速、限行、禁止超载的规定，并配合交通管理部门的监督和检查。施工现场外交通设施无法满足工程施工需要的，由承包人负责完善并承担相关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8.3.4本工程的线路处于广州市南沙区，农田及鱼塘、村庄、河流贯穿其中，红线以外的原有道路和桥梁如不足以满足承包人运输车辆的通行要求，则承包人须自行采取措施（包括办理相关手续）保证施工的正常开展，并对遭受破坏的原有道路和桥梁及时进行修复，承包人自行承担相应费用。如承包人未履行上述事项所引起的索赔、诉讼以及其他费用支出由承包人负责。</w:t>
      </w:r>
    </w:p>
    <w:p>
      <w:pPr>
        <w:pStyle w:val="2"/>
        <w:rPr>
          <w:color w:val="000000" w:themeColor="text1"/>
          <w:highlight w:val="none"/>
          <w14:textFill>
            <w14:solidFill>
              <w14:schemeClr w14:val="tx1"/>
            </w14:solidFill>
          </w14:textFill>
        </w:rPr>
      </w:pPr>
    </w:p>
    <w:p>
      <w:pPr>
        <w:pStyle w:val="5"/>
        <w:ind w:firstLine="0" w:firstLineChars="0"/>
        <w:rPr>
          <w:rStyle w:val="114"/>
          <w:bCs/>
          <w:color w:val="000000" w:themeColor="text1"/>
          <w:highlight w:val="none"/>
          <w14:textFill>
            <w14:solidFill>
              <w14:schemeClr w14:val="tx1"/>
            </w14:solidFill>
          </w14:textFill>
        </w:rPr>
      </w:pPr>
      <w:bookmarkStart w:id="1518" w:name="_Toc25779"/>
      <w:bookmarkStart w:id="1519" w:name="_Toc419"/>
      <w:bookmarkStart w:id="1520" w:name="_Toc911277603"/>
      <w:bookmarkStart w:id="1521" w:name="_Toc147856223"/>
      <w:r>
        <w:rPr>
          <w:rStyle w:val="114"/>
          <w:bCs/>
          <w:color w:val="000000" w:themeColor="text1"/>
          <w:highlight w:val="none"/>
          <w14:textFill>
            <w14:solidFill>
              <w14:schemeClr w14:val="tx1"/>
            </w14:solidFill>
          </w14:textFill>
        </w:rPr>
        <w:t xml:space="preserve">9. </w:t>
      </w:r>
      <w:r>
        <w:rPr>
          <w:rStyle w:val="114"/>
          <w:rFonts w:hint="eastAsia"/>
          <w:bCs/>
          <w:color w:val="000000" w:themeColor="text1"/>
          <w:highlight w:val="none"/>
          <w14:textFill>
            <w14:solidFill>
              <w14:schemeClr w14:val="tx1"/>
            </w14:solidFill>
          </w14:textFill>
        </w:rPr>
        <w:t>测量放线</w:t>
      </w:r>
      <w:bookmarkEnd w:id="1518"/>
      <w:bookmarkEnd w:id="1519"/>
      <w:bookmarkEnd w:id="1520"/>
      <w:bookmarkEnd w:id="1521"/>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9.1 施工控制网</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删除本款全文，代之以：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监理人应在本合同相关技术条款规定的期限内，协助向承包人提供测量基准点、基准线和水准点及其书面资料。承包人应根据上述基准点（线）以及国家测绘标准和本工程精度要求，测设自己的施工控制网，并应在本合同相关技术条款规定的期限内，将施工控制网资料报送监理人审批。</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9.3 基准资料错误的责任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本款修改为：发包人提供测量基准点、基准线和水准点的，承包人应进行复核并对其真实性、准确性负责；发包人不提供的，承包人应自行收集。</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22" w:name="_Toc2136786864"/>
      <w:bookmarkStart w:id="1523" w:name="_Toc10748"/>
      <w:bookmarkStart w:id="1524" w:name="_Toc12004"/>
      <w:bookmarkStart w:id="1525" w:name="_Toc147856224"/>
      <w:r>
        <w:rPr>
          <w:rStyle w:val="114"/>
          <w:bCs/>
          <w:color w:val="000000" w:themeColor="text1"/>
          <w:highlight w:val="none"/>
          <w14:textFill>
            <w14:solidFill>
              <w14:schemeClr w14:val="tx1"/>
            </w14:solidFill>
          </w14:textFill>
        </w:rPr>
        <w:t xml:space="preserve">10. </w:t>
      </w:r>
      <w:r>
        <w:rPr>
          <w:rStyle w:val="114"/>
          <w:rFonts w:hint="eastAsia"/>
          <w:bCs/>
          <w:color w:val="000000" w:themeColor="text1"/>
          <w:highlight w:val="none"/>
          <w14:textFill>
            <w14:solidFill>
              <w14:schemeClr w14:val="tx1"/>
            </w14:solidFill>
          </w14:textFill>
        </w:rPr>
        <w:t>安全、治安保卫和环境保护</w:t>
      </w:r>
      <w:bookmarkEnd w:id="1522"/>
      <w:bookmarkEnd w:id="1523"/>
      <w:bookmarkEnd w:id="1524"/>
      <w:bookmarkEnd w:id="1525"/>
    </w:p>
    <w:p>
      <w:pPr>
        <w:pStyle w:val="6"/>
        <w:spacing w:before="240" w:after="120" w:line="360" w:lineRule="auto"/>
        <w:rPr>
          <w:color w:val="000000" w:themeColor="text1"/>
          <w:highlight w:val="none"/>
          <w14:textFill>
            <w14:solidFill>
              <w14:schemeClr w14:val="tx1"/>
            </w14:solidFill>
          </w14:textFill>
        </w:rPr>
      </w:pPr>
      <w:bookmarkStart w:id="1526" w:name="_Toc18540"/>
      <w:bookmarkStart w:id="1527" w:name="_Toc143623726"/>
      <w:r>
        <w:rPr>
          <w:color w:val="000000" w:themeColor="text1"/>
          <w:highlight w:val="none"/>
          <w14:textFill>
            <w14:solidFill>
              <w14:schemeClr w14:val="tx1"/>
            </w14:solidFill>
          </w14:textFill>
        </w:rPr>
        <w:t xml:space="preserve">10.1 </w:t>
      </w:r>
      <w:r>
        <w:rPr>
          <w:rFonts w:hint="eastAsia"/>
          <w:color w:val="000000" w:themeColor="text1"/>
          <w:highlight w:val="none"/>
          <w14:textFill>
            <w14:solidFill>
              <w14:schemeClr w14:val="tx1"/>
            </w14:solidFill>
          </w14:textFill>
        </w:rPr>
        <w:t>发包人的安全责任</w:t>
      </w:r>
      <w:bookmarkEnd w:id="1526"/>
      <w:bookmarkEnd w:id="1527"/>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10.1.3双方一致同意通用合同条款第10.1.3项内容不适用于本项目，本项在专用合同条款另行约定如下：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发包人应负责赔偿以下情况造成的损失：</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1）因发包人原因对承包人、监理人造成的人员人身损害和财产损失。</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2）因发包人原因造成的发包人自身人员的人身损害以及财产损失。</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10.2 承包人的安全责任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10.2.1项目安全生产的达标目标及相应事项的约定：</w:t>
      </w:r>
      <w:r>
        <w:rPr>
          <w:rFonts w:hint="eastAsia" w:ascii="宋体" w:hAnsi="宋体" w:cs="宋体"/>
          <w:color w:val="000000" w:themeColor="text1"/>
          <w:kern w:val="0"/>
          <w:szCs w:val="21"/>
          <w:highlight w:val="none"/>
          <w:u w:val="single"/>
          <w14:textFill>
            <w14:solidFill>
              <w14:schemeClr w14:val="tx1"/>
            </w14:solidFill>
          </w14:textFill>
        </w:rPr>
        <w:t>杜绝安全责任事故发生，杜绝一般事故等级及以上事故发生，且工伤事故死亡人数为零。现场安全文明施工管理达到国家、广东省、广州市以及南沙区相关规定要求</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编制安全措施计划报送监理人批准的期限：</w:t>
      </w:r>
      <w:r>
        <w:rPr>
          <w:rFonts w:hint="eastAsia" w:ascii="宋体" w:hAnsi="宋体" w:cs="宋体"/>
          <w:color w:val="000000" w:themeColor="text1"/>
          <w:kern w:val="0"/>
          <w:szCs w:val="21"/>
          <w:highlight w:val="none"/>
          <w:u w:val="single"/>
          <w14:textFill>
            <w14:solidFill>
              <w14:schemeClr w14:val="tx1"/>
            </w14:solidFill>
          </w14:textFill>
        </w:rPr>
        <w:t>收到中标通知书后</w:t>
      </w:r>
      <w:r>
        <w:rPr>
          <w:rFonts w:ascii="宋体" w:hAnsi="宋体" w:cs="宋体"/>
          <w:color w:val="000000" w:themeColor="text1"/>
          <w:kern w:val="0"/>
          <w:szCs w:val="21"/>
          <w:highlight w:val="none"/>
          <w:u w:val="single"/>
          <w14:textFill>
            <w14:solidFill>
              <w14:schemeClr w14:val="tx1"/>
            </w14:solidFill>
          </w14:textFill>
        </w:rPr>
        <w:t>42天内按发包人的时间要求提交，但至迟不得晚于专用合同条款第11.1.2项开工通知</w:t>
      </w:r>
      <w:r>
        <w:rPr>
          <w:rFonts w:hint="eastAsia" w:ascii="宋体" w:hAnsi="宋体" w:cs="宋体"/>
          <w:color w:val="000000" w:themeColor="text1"/>
          <w:kern w:val="0"/>
          <w:szCs w:val="21"/>
          <w:highlight w:val="none"/>
          <w:u w:val="single"/>
          <w14:textFill>
            <w14:solidFill>
              <w14:schemeClr w14:val="tx1"/>
            </w14:solidFill>
          </w14:textFill>
        </w:rPr>
        <w:t>载明的开工日期前</w:t>
      </w:r>
      <w:r>
        <w:rPr>
          <w:rFonts w:ascii="宋体" w:hAnsi="宋体" w:cs="宋体"/>
          <w:color w:val="000000" w:themeColor="text1"/>
          <w:kern w:val="0"/>
          <w:szCs w:val="21"/>
          <w:highlight w:val="none"/>
          <w:u w:val="single"/>
          <w14:textFill>
            <w14:solidFill>
              <w14:schemeClr w14:val="tx1"/>
            </w14:solidFill>
          </w14:textFill>
        </w:rPr>
        <w:t>14天</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应当按照有关规定编制安全技术措施或者专项施工方案，建立安全生产责任制度、治安保卫制度及安全生产教育培训制度，并按安全生产法律规定及合同约定履行安全职责，如实编制工程安全生产的有关记录，接受发包人、监理人及政府安全监督部门的检查与监督。</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承包人有权拒绝发包人及监理人强令承包人违章作业、冒险施工的任何指示。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在施工过程中，如遇到突发的地质变动、事先未知的地下施工障碍等影响施工安全的紧急情况，承包人应及时报告监理人和发包人，发包人应当及时下令停工并报政府有关行政管理部门采取应急措施。</w:t>
      </w:r>
    </w:p>
    <w:p>
      <w:pPr>
        <w:autoSpaceDE w:val="0"/>
        <w:autoSpaceDN w:val="0"/>
        <w:adjustRightInd w:val="0"/>
        <w:spacing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10.2.</w:t>
      </w:r>
      <w:r>
        <w:rPr>
          <w:rFonts w:ascii="宋体" w:hAnsi="宋体" w:cs="宋体"/>
          <w:color w:val="000000" w:themeColor="text1"/>
          <w:kern w:val="0"/>
          <w:szCs w:val="21"/>
          <w:highlight w:val="none"/>
          <w14:textFill>
            <w14:solidFill>
              <w14:schemeClr w14:val="tx1"/>
            </w14:solidFill>
          </w14:textFill>
        </w:rPr>
        <w:t xml:space="preserve">2 </w:t>
      </w:r>
      <w:r>
        <w:rPr>
          <w:rFonts w:hint="eastAsia" w:ascii="宋体" w:hAnsi="宋体" w:cs="宋体"/>
          <w:color w:val="000000" w:themeColor="text1"/>
          <w:kern w:val="0"/>
          <w:szCs w:val="21"/>
          <w:highlight w:val="none"/>
          <w14:textFill>
            <w14:solidFill>
              <w14:schemeClr w14:val="tx1"/>
            </w14:solidFill>
          </w14:textFill>
        </w:rPr>
        <w:t>双方一致同意通用合同条款第10.2.</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项增加如下内容：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对施工场地及周围的地下管线、建筑物、构筑物（含文物保护建筑）、古树名木之状况进行勘察，根据勘察结果确定具体的保护措施并承担有关费用。本项目经过城镇居民住宅区，应充分考虑施工准备措施和施工方案，加强安全文明施工，避免扰民和发生纠纷。因此，发包人要求承包人：①施工前后应对周边（征地红线外20m范围内）的房屋进行安全鉴定并制定相应的安全保护措施；②按规定需要围蔽施工的必须围蔽施工，围蔽标准必须符合发包人的要求；③临近居民区路段钻孔灌注桩应避免冲击成孔并应限制作业时间避免扰民并制定可行措施保证周边居民接受施工。承包人完成上述工作可能发生的鉴定费、措施费等费用，已包含在承包人有合同（修正合同）总价中，承包人应在合同（修正合同）总价中考虑，任何由于承包人未按照上述要求进行安全文明施工所引起的纠纷由承包人负责并保证发包人免于任何可能的指控和赔偿。</w:t>
      </w:r>
    </w:p>
    <w:p>
      <w:pPr>
        <w:autoSpaceDE w:val="0"/>
        <w:autoSpaceDN w:val="0"/>
        <w:adjustRightInd w:val="0"/>
        <w:spacing w:before="156" w:beforeLines="50" w:after="156" w:afterLines="50" w:line="360" w:lineRule="auto"/>
        <w:ind w:firstLine="420" w:firstLineChars="200"/>
        <w:jc w:val="left"/>
        <w:rPr>
          <w:rFonts w:ascii="宋体" w:hAnsi="宋体" w:cs="宋体"/>
          <w:bCs/>
          <w:iCs/>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应对上述内容所采取的保护措施进行监测及维护，并应根据监测结果及时反馈信息指导施工，以确保上述受保护物件及作业人员、居民的安全。因承包人原因，受保护物件发生损坏的，由承包人承担责任并负责赔偿。</w:t>
      </w:r>
    </w:p>
    <w:p>
      <w:pPr>
        <w:autoSpaceDE w:val="0"/>
        <w:autoSpaceDN w:val="0"/>
        <w:adjustRightInd w:val="0"/>
        <w:spacing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3</w:t>
      </w:r>
      <w:r>
        <w:rPr>
          <w:rFonts w:hint="eastAsia" w:ascii="宋体" w:hAnsi="宋体"/>
          <w:color w:val="000000" w:themeColor="text1"/>
          <w:szCs w:val="21"/>
          <w:highlight w:val="none"/>
          <w14:textFill>
            <w14:solidFill>
              <w14:schemeClr w14:val="tx1"/>
            </w14:solidFill>
          </w14:textFill>
        </w:rPr>
        <w:t>）为了解本工程周边毗邻建筑物、构筑物和地下管线等实际情况，以便及时采取相关措施，确保周边建筑物、构筑物和地下管线等的安全，区分因施工过程中对周边建筑物、构筑物和地下管线等可能造成损坏的各方应担负的责任，承包人应按招标文件、图纸等要求及有关规定委托有资质的单位对本工程施工涉及的周边建筑物、构筑物和地下管线等进行施工前、后鉴定，出具安全鉴定报告。根据鉴定报告与周边利益人、产权发包人签订协议，协议明确由工程施工原因造成的工程周边建筑物、构筑物和地下管线等的破坏由承包人负责修缮或赔偿，此相关费用视为已包含在投标报价中。建筑物、构筑物和地下管线等安全鉴定内容及要求由发包人明确。承包人应在施工过程中进行安全监测，发包人及监理单位应监督检查承包人相关建筑物、构筑物和地下管线等安全鉴定的落实及工程实施中相关问题的处理。有关鉴定报告及协议作为合同附件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10.2.4双方一致同意通用合同条款第10.2.4项增加如下内容：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按照施工图纸进行施工，开工前做好安全技术交底工作，施工过程中做好各项安全防护措施。承包人为履行合同而雇用的特殊工种的人员应受过专门的培训并已取得政府有关管理机构颁发的上岗证书。</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（2）承包人在动力设备、输电线路、地下管道、密封防震车间、易燃易爆地段以及临街交通要道附近施工时，施工开始前应向监理人提出安全防护措施（方案），经监理人、发包人认可后实施。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实施爆破作业，在放射、毒害性环境中施工（含储存、运输、使用）及使用毒害性、腐蚀性物品施工时，承包人应在施工前7天内书面通知发包人和监理人，并报送拟采取相应的安全防护措施，经监理人、发包人认可后实施。</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需单独编制危险性较大的分部分项专项工程施工方案的，以及要求进行专家论证的超过一定规模的危险性较大的分部分项工程，承包人应及时编制和组织论证，由此产生的费用已包含在签约合同价中，发包人不另行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10.2.5双方一致同意通用合同条款第10.2.5项增加如下内容：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（1）承包人应建立健全建筑施工安全生产组织机构和安全保证体系，落实安全生产责任制，按照工程建设安全生产的有关管理规定，采取相应措施，负责现场全部作业的安全，并对此承担全部责任。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（2）承包人在施工中必须加强对自身及各专业分包单位在安全施工方面的检查、监督管理。若被发现存在严重安全隐患的，按照本合同条款约定承担违约责任。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应根据法律法规和发包人要求，做好安全管理及交通安全等培训，落实做好进场工人的三级安全教育、安全交底、班前教育、安全事故警示教育、体检、平安卡办理等工作，并按要求配备本工程所需交通疏解人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应根据监理人、发包人或项目所在地有关政府或行政管理部门的要求，提供和维持所有的照明灯光、护板、围墙、栅栏、警告信号标志和值班人员，对工程进行保护和为公众提供安全和方便。该费用已包含在签约合同价内，发包人不另外支付任何费用。若承包人未履行上述义务造成工程、财产、人身损害等责任，由承包人承担因此所发生的一切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（5）承包人应全面负责所有现场作业人员的安全，确保本工程处于有序和良好的状态。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10.2.7双方一致同意通用合同条款第10.2.7项内容不适用于本项目，本项在专用合同条款另行约定</w:t>
      </w:r>
      <w:r>
        <w:rPr>
          <w:rFonts w:hint="eastAsia" w:ascii="宋体" w:hAnsi="宋体" w:cs="宋体"/>
          <w:color w:val="000000" w:themeColor="text1"/>
          <w:kern w:val="0"/>
          <w:szCs w:val="21"/>
          <w:highlight w:val="none"/>
          <w14:textFill>
            <w14:solidFill>
              <w14:schemeClr w14:val="tx1"/>
            </w14:solidFill>
          </w14:textFill>
        </w:rPr>
        <w:t>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（1）安全生产措施费由发包人承担，发包人不得以任何形式扣减该部分费用。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对安全生产措施费应专款专用，承包人应在财务账目中单独列项备查，不得挪作他用，否则发包人有权责令其限期改正；逾期未改正的，可以责令其暂停施工，由此增加的费用和（或）延误的工期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（3）关于安全生产措施费的支付比例和支付期限的约定：</w:t>
      </w:r>
      <w:r>
        <w:rPr>
          <w:rFonts w:hint="eastAsia" w:ascii="宋体" w:hAnsi="宋体" w:cs="宋体"/>
          <w:color w:val="000000" w:themeColor="text1"/>
          <w:kern w:val="0"/>
          <w:szCs w:val="21"/>
          <w:highlight w:val="none"/>
          <w:u w:val="single"/>
          <w14:textFill>
            <w14:solidFill>
              <w14:schemeClr w14:val="tx1"/>
            </w14:solidFill>
          </w14:textFill>
        </w:rPr>
        <w:t>安全生产措施费的管理及支付按照相关安全生产措施费管理规定及发包人要求执行</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承包人应按合同约定的安全工作内容在开工前编制安全生产措施费资金使用计划，报监理工程师、发包人审批。按照《广州市建筑工程安全生产措施管理费管理办法》规定安全生产措施费专款专用。安全生产措施费按相关部门、机构审定的本工程招标控制价及《转发省建设厅关于安全防护、文明施工措施费用计算补充规定的通知》（穗建筑[2008]967号文）及相关补充说明执行，从工程施工合同价中提取，专款专用。由监理人分阶段对施工现场进行安全生产检查，达到合格后划拨给承包人。</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10.3 治安保卫</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10.3.1 关于治安保卫的特别约定：承包人负责本工程所有治安、防盗、保卫工作，费用已包含在签约合同价中，发包人不另行支付。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10.3.3</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关于编制施工场地治安管理计划的约定：由承包人在工程开工后7天内编制施工场地治安管理计划，并制定应对突发治安事件的紧急预案，并经监理人、发包人审核。如在项目实施过程中，因建设行政主管部门或政府相关主管部门或发包人关于治安管理有最新规定的，从其规定执行，如需涉及增设设施监控管理的，承包人应按有关文件要求执行并承担相关费用。</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10.4 环境保护</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10.4.2</w:t>
      </w:r>
      <w:r>
        <w:rPr>
          <w:rFonts w:ascii="宋体" w:hAnsi="宋体" w:cs="宋体"/>
          <w:color w:val="000000" w:themeColor="text1"/>
          <w:kern w:val="0"/>
          <w:szCs w:val="21"/>
          <w:highlight w:val="non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承包人应在进入现场前提交一式四份施工期间的环境保护方案，经监理工程师批准后实施。环境保护方案必须包括：</w:t>
      </w:r>
      <w:r>
        <w:rPr>
          <w:rFonts w:hint="eastAsia" w:ascii="宋体" w:hAnsi="宋体" w:cs="宋体"/>
          <w:color w:val="000000" w:themeColor="text1"/>
          <w:kern w:val="0"/>
          <w:szCs w:val="21"/>
          <w:highlight w:val="none"/>
          <w:u w:val="single"/>
          <w14:textFill>
            <w14:solidFill>
              <w14:schemeClr w14:val="tx1"/>
            </w14:solidFill>
          </w14:textFill>
        </w:rPr>
        <w:t>施工现场所必须的照明灯光、护板、围护、栅栏、警告标志和值班人员名单，以及建筑垃圾、施工和生活污水、噪音、粉尘的处理排放</w:t>
      </w:r>
      <w:r>
        <w:rPr>
          <w:rFonts w:hint="eastAsia" w:ascii="宋体" w:hAnsi="宋体" w:cs="宋体"/>
          <w:color w:val="000000" w:themeColor="text1"/>
          <w:kern w:val="0"/>
          <w:szCs w:val="21"/>
          <w:highlight w:val="none"/>
          <w14:textFill>
            <w14:solidFill>
              <w14:schemeClr w14:val="tx1"/>
            </w14:solidFill>
          </w14:textFill>
        </w:rPr>
        <w:t>。承包人提交的方案必须符合发包人的要求及当地相关行政主管部门文件规定，相关费用已包含在签约合同价款中，发包人不另行支付。方案在实施过程中所采用的材料、设备等应与本项目的环境影响评价报告中的要求一致，且须符合法律规定和发包人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双方一致同意通用合同条款增加第10.4.4款至第10.4.9款：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10.4.4 </w:t>
      </w:r>
      <w:r>
        <w:rPr>
          <w:rFonts w:hint="eastAsia" w:ascii="宋体" w:hAnsi="宋体" w:cs="宋体"/>
          <w:color w:val="000000" w:themeColor="text1"/>
          <w:kern w:val="0"/>
          <w:szCs w:val="21"/>
          <w:highlight w:val="none"/>
          <w14:textFill>
            <w14:solidFill>
              <w14:schemeClr w14:val="tx1"/>
            </w14:solidFill>
          </w14:textFill>
        </w:rPr>
        <w:t>承包人应在施工组织设计中列明环境保护的具体措施。在合同履行期间，承包人应采取合理措施保护施工现场环境。对施工作业过程中可能引起的大气、水、噪音以及固体废物污染采取具体可行的防范措施。承包人应当承担因其原因引起的环境污染侵权损害赔偿责任，因上述环境污染引起纠纷而导致暂停施工的，由此增加的费用和（或）延误的工期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10.4.5 </w:t>
      </w:r>
      <w:r>
        <w:rPr>
          <w:rFonts w:hint="eastAsia" w:ascii="宋体" w:hAnsi="宋体" w:cs="宋体"/>
          <w:color w:val="000000" w:themeColor="text1"/>
          <w:kern w:val="0"/>
          <w:szCs w:val="21"/>
          <w:highlight w:val="none"/>
          <w14:textFill>
            <w14:solidFill>
              <w14:schemeClr w14:val="tx1"/>
            </w14:solidFill>
          </w14:textFill>
        </w:rPr>
        <w:t>施工期间，承包人必须遵守当地政府及有关部门对施工现场、交通和施工环境保护的管理规定，维护好为实施本项目施工范围及周边水系的畅通。特别是在水上施工，必须维持原有的通航标准和排洪的过水面积，并在汛期做好洪水观测和防洪工作。如由于承包人处理不善，造成自身或他方损失，承包人应承担相应法律和经济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10.4.6 </w:t>
      </w:r>
      <w:r>
        <w:rPr>
          <w:rFonts w:hint="eastAsia" w:ascii="宋体" w:hAnsi="宋体" w:cs="宋体"/>
          <w:color w:val="000000" w:themeColor="text1"/>
          <w:kern w:val="0"/>
          <w:szCs w:val="21"/>
          <w:highlight w:val="none"/>
          <w14:textFill>
            <w14:solidFill>
              <w14:schemeClr w14:val="tx1"/>
            </w14:solidFill>
          </w14:textFill>
        </w:rPr>
        <w:t>承包人必须按照《城市排水许可管理办法》和《广州市排水管理办法》办理排水许可证。办理许可证及施工过程中排水所需的相关费用已包含在签约合同价款中由承包人承担，发包人不另行支付。未及时办理排水许可证造成的一切后果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10.4.7 </w:t>
      </w:r>
      <w:r>
        <w:rPr>
          <w:rFonts w:hint="eastAsia" w:ascii="宋体" w:hAnsi="宋体" w:cs="宋体"/>
          <w:color w:val="000000" w:themeColor="text1"/>
          <w:kern w:val="0"/>
          <w:szCs w:val="21"/>
          <w:highlight w:val="none"/>
          <w14:textFill>
            <w14:solidFill>
              <w14:schemeClr w14:val="tx1"/>
            </w14:solidFill>
          </w14:textFill>
        </w:rPr>
        <w:t>承包人必须按照《广东省排污许可证管理办法》及《广州市环境保护局关于开展建筑施工扬尘排污费征收工作的通知》（穗环〔2015〕114号）等文件要求办理排污申报。排污申报范围包含但不限于施工扬尘、污水、噪声污染。排污申报及施工过程中排污所需的相关费用已包含在签约合同价款中由承包人承担，发包人不另行支付。未及时办理排污许可证造成的一切后果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10.4.8 </w:t>
      </w:r>
      <w:r>
        <w:rPr>
          <w:rFonts w:hint="eastAsia" w:ascii="宋体" w:hAnsi="宋体" w:cs="宋体"/>
          <w:color w:val="000000" w:themeColor="text1"/>
          <w:kern w:val="0"/>
          <w:szCs w:val="21"/>
          <w:highlight w:val="none"/>
          <w14:textFill>
            <w14:solidFill>
              <w14:schemeClr w14:val="tx1"/>
            </w14:solidFill>
          </w14:textFill>
        </w:rPr>
        <w:t>承包人应全面做好环境保护及监控工作。承包人在现场需设置噪音、扬尘监测系统及污废水净化处理系统，相关费用已包含在签约合同价款中由承包人承担，发包人不另行支付。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r>
        <w:rPr>
          <w:rFonts w:ascii="宋体" w:hAnsi="宋体" w:cs="宋体"/>
          <w:color w:val="000000" w:themeColor="text1"/>
          <w:kern w:val="0"/>
          <w:szCs w:val="21"/>
          <w:highlight w:val="none"/>
          <w14:textFill>
            <w14:solidFill>
              <w14:schemeClr w14:val="tx1"/>
            </w14:solidFill>
          </w14:textFill>
        </w:rPr>
        <w:t xml:space="preserve">0.4.9 </w:t>
      </w:r>
      <w:r>
        <w:rPr>
          <w:rFonts w:hint="eastAsia" w:ascii="宋体" w:hAnsi="宋体" w:cs="宋体"/>
          <w:color w:val="000000" w:themeColor="text1"/>
          <w:kern w:val="0"/>
          <w:szCs w:val="21"/>
          <w:highlight w:val="none"/>
          <w14:textFill>
            <w14:solidFill>
              <w14:schemeClr w14:val="tx1"/>
            </w14:solidFill>
          </w14:textFill>
        </w:rPr>
        <w:t>承包人应对扬尘污染防治责任负全部责任。承包人应积极采取施工工地防尘降尘措施，制定具体的施工扬尘污染防治实施方案，提高文明施工和绿色施工水平。</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 xml:space="preserve">10.4.10 </w:t>
      </w:r>
      <w:r>
        <w:rPr>
          <w:rFonts w:hint="eastAsia" w:ascii="宋体" w:hAnsi="宋体" w:cs="宋体"/>
          <w:color w:val="000000" w:themeColor="text1"/>
          <w:kern w:val="0"/>
          <w:szCs w:val="21"/>
          <w:highlight w:val="none"/>
          <w14:textFill>
            <w14:solidFill>
              <w14:schemeClr w14:val="tx1"/>
            </w14:solidFill>
          </w14:textFill>
        </w:rPr>
        <w:t>在施工过程中造成的环境污染问题，经发包人或监理人发现后，承包人未能在24小时之内采取整治措施，或者所采取的整治措施未能有效消除污染的，发包人可以自行或者委托他人代为整治，由此产生的一切损失、费用均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10.4</w:t>
      </w:r>
      <w:r>
        <w:rPr>
          <w:rFonts w:ascii="宋体" w:hAnsi="宋体" w:cs="宋体"/>
          <w:color w:val="000000" w:themeColor="text1"/>
          <w:kern w:val="0"/>
          <w:szCs w:val="21"/>
          <w:highlight w:val="none"/>
          <w14:textFill>
            <w14:solidFill>
              <w14:schemeClr w14:val="tx1"/>
            </w14:solidFill>
          </w14:textFill>
        </w:rPr>
        <w:t>.11</w:t>
      </w:r>
      <w:r>
        <w:rPr>
          <w:rFonts w:hint="eastAsia" w:ascii="宋体" w:hAnsi="宋体" w:cs="宋体"/>
          <w:color w:val="000000" w:themeColor="text1"/>
          <w:kern w:val="0"/>
          <w:szCs w:val="21"/>
          <w:highlight w:val="none"/>
          <w14:textFill>
            <w14:solidFill>
              <w14:schemeClr w14:val="tx1"/>
            </w14:solidFill>
          </w14:textFill>
        </w:rPr>
        <w:t xml:space="preserve"> 承包人负责本项目环境保护设施竣工验收工作，</w:t>
      </w:r>
      <w:r>
        <w:rPr>
          <w:rFonts w:hint="eastAsia" w:ascii="宋体" w:hAnsi="宋体"/>
          <w:color w:val="000000" w:themeColor="text1"/>
          <w:kern w:val="0"/>
          <w:szCs w:val="21"/>
          <w:highlight w:val="none"/>
          <w14:textFill>
            <w14:solidFill>
              <w14:schemeClr w14:val="tx1"/>
            </w14:solidFill>
          </w14:textFill>
        </w:rPr>
        <w:t>由此产生的一切费用</w:t>
      </w:r>
      <w:r>
        <w:rPr>
          <w:rFonts w:hint="eastAsia" w:ascii="宋体" w:hAnsi="宋体" w:cs="宋体"/>
          <w:color w:val="000000" w:themeColor="text1"/>
          <w:kern w:val="0"/>
          <w:szCs w:val="21"/>
          <w:highlight w:val="none"/>
          <w14:textFill>
            <w14:solidFill>
              <w14:schemeClr w14:val="tx1"/>
            </w14:solidFill>
          </w14:textFill>
        </w:rPr>
        <w:t>由承包人承担，</w:t>
      </w:r>
      <w:r>
        <w:rPr>
          <w:rFonts w:hint="eastAsia" w:ascii="宋体" w:hAnsi="宋体"/>
          <w:color w:val="000000" w:themeColor="text1"/>
          <w:kern w:val="0"/>
          <w:szCs w:val="21"/>
          <w:highlight w:val="none"/>
          <w14:textFill>
            <w14:solidFill>
              <w14:schemeClr w14:val="tx1"/>
            </w14:solidFill>
          </w14:textFill>
        </w:rPr>
        <w:t>已包含在合同（修正合同）总价中</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10.5 事故处理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双方一致同意通用合同条款第10.5款内容不适用于本项目，本款在专用合同条款另行约定如下：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（1）报告安全事故：安全事故发生后，承包人应在1小时内用最快的信息传递手段，将发生事故的时间、地点、伤亡人数、事故原因等情况，报监理人和发包人。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（2）事故处理：承包人负责抢救伤员、排除险情，减少人员伤亡和财产损失，防止事故蔓延扩大，保护好现场，并做好标识；并启动保险理赔程序。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事故调查：承包人应组织内部技术安全、质量等相关部门的人员组成调查组，开展调查，并配合做好发包人或政府有关部门组织的调查工作，如因承包人未做好证据资料收集及保管导致事故认定有偏差的，由承包人承担相关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（4）调查报告：承包人应把事故发生经过、原因、性质、损失、责任、处理意见、纠正和预防措施撰写成调查报告，送监理人、发包人审批。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（5）事故处理所发生的费用和延误的工期由事故责任方承担。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（6）合同双方当事人对事故责任有争议时，应按照政府有关部门的认定处理。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双方一致同意通用合同条款增加第10.6款至第10.8款：</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10.6 紧急情况处理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工程实施期间或缺陷责任期内发生危及工程安全的事件，监理人通知承包人进行抢救，承包人声明无能力或不愿立即执行的，发包人有权雇佣其他人员进行抢救。此类抢救按合同约定属于承包人义务的，由此增加的费用和（或）延误的工期由承包人承担。</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10.7 其他安全文明施工责任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发包人应负责统一管理本工程的施工作业安全以及消防、防汛和抗灾等工作。监理人应按有关法律、法规和规章以及本合同的有关规定，检查、监督施工安全工作的实施，承包人应认真执行监理人有关安全管理工作的指示。监理人在检查中发现施工中存在不安全因素，应及时指示承包人采取有效措施予以改正，若承包人放意延误或拒绝改正时，则监理人有权责令其停工整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承包人应按合同规定履行其安全职责。承包人应设置必要的安全管理机构和配备专职的安全人员，加强对施工作业安全的管理，特别应加强易燃、易爆材料、火工器材和爆破作业的管理，制定安全操作规程，配备必要的安全生产设施和劳动保护用具，并经常对其职工进行施工安全教育。</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）承包人须在工地建立一支消防队伍负责全工地的消防工作，并配备必要的消防设备和救助设施，所需费用由承包人承担。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发包人或委托监理人在每年汛前组织承包人和有关单位进行防汛检查，并负责统一指挥全工地的防汛和抗灾工作。承包人应负责其管辖范围内的防汛和抗灾等工作，按发包人的要求和监理人的指示，做好每年的汛前检查，配置必要的防汛物资和器材，按合同规定做好汛情预报和安全渡汛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）承包人必须配备应急和备用电源、水源等，避免不可预见的突然停电、停水对工程正常和安全施工造成影响，所需费用已经包含在安全生产措施费或其他投标报价中。</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）应急预案的处理应符合《</w:t>
      </w:r>
      <w:r>
        <w:rPr>
          <w:rFonts w:hint="eastAsia"/>
          <w:color w:val="000000" w:themeColor="text1"/>
          <w:highlight w:val="none"/>
          <w14:textFill>
            <w14:solidFill>
              <w14:schemeClr w14:val="tx1"/>
            </w14:solidFill>
          </w14:textFill>
        </w:rPr>
        <w:t>广州市建设工程突发事件应急预案</w:t>
      </w:r>
      <w:r>
        <w:rPr>
          <w:rFonts w:hint="eastAsia" w:ascii="宋体" w:hAnsi="宋体" w:cs="宋体"/>
          <w:color w:val="000000" w:themeColor="text1"/>
          <w:kern w:val="0"/>
          <w:szCs w:val="21"/>
          <w:highlight w:val="none"/>
          <w14:textFill>
            <w14:solidFill>
              <w14:schemeClr w14:val="tx1"/>
            </w14:solidFill>
          </w14:textFill>
        </w:rPr>
        <w:t>》（穗建质〔20</w:t>
      </w:r>
      <w:r>
        <w:rPr>
          <w:rFonts w:ascii="宋体" w:hAnsi="宋体" w:cs="宋体"/>
          <w:color w:val="000000" w:themeColor="text1"/>
          <w:kern w:val="0"/>
          <w:szCs w:val="21"/>
          <w:highlight w:val="none"/>
          <w14:textFill>
            <w14:solidFill>
              <w14:schemeClr w14:val="tx1"/>
            </w14:solidFill>
          </w14:textFill>
        </w:rPr>
        <w:t>20</w:t>
      </w:r>
      <w:r>
        <w:rPr>
          <w:rFonts w:hint="eastAsia" w:ascii="宋体" w:hAnsi="宋体" w:cs="宋体"/>
          <w:color w:val="000000" w:themeColor="text1"/>
          <w:kern w:val="0"/>
          <w:szCs w:val="21"/>
          <w:highlight w:val="none"/>
          <w14:textFill>
            <w14:solidFill>
              <w14:schemeClr w14:val="tx1"/>
            </w14:solidFill>
          </w14:textFill>
        </w:rPr>
        <w:t>〕2</w:t>
      </w:r>
      <w:r>
        <w:rPr>
          <w:rFonts w:ascii="宋体" w:hAnsi="宋体" w:cs="宋体"/>
          <w:color w:val="000000" w:themeColor="text1"/>
          <w:kern w:val="0"/>
          <w:szCs w:val="21"/>
          <w:highlight w:val="none"/>
          <w14:textFill>
            <w14:solidFill>
              <w14:schemeClr w14:val="tx1"/>
            </w14:solidFill>
          </w14:textFill>
        </w:rPr>
        <w:t>17</w:t>
      </w:r>
      <w:r>
        <w:rPr>
          <w:rFonts w:hint="eastAsia" w:ascii="宋体" w:hAnsi="宋体" w:cs="宋体"/>
          <w:color w:val="000000" w:themeColor="text1"/>
          <w:kern w:val="0"/>
          <w:szCs w:val="21"/>
          <w:highlight w:val="none"/>
          <w14:textFill>
            <w14:solidFill>
              <w14:schemeClr w14:val="tx1"/>
            </w14:solidFill>
          </w14:textFill>
        </w:rPr>
        <w:t>号）中关于企业先期处理相关要求，承包人为企业先期处置的主责单位，施工项目负责人为第一责任人。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）承包人在工程施工期间，应当采取措施保持施工现场平整，物料堆放整齐。工程所在地有关政府行政管理部门有特殊要求的，按照其要求执行。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在工程移交之前，承包人应当从施工现场清除承包人的全部工程设备、多余材料、垃圾和各种临时工程，并保持施工现场清洁整齐。经发包人书面同意，承包人可在发包人指定的地点保留承包人履行保修期内的各项义务所需要的材料、施工设备和临时工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9</w:t>
      </w:r>
      <w:r>
        <w:rPr>
          <w:rFonts w:hint="eastAsia" w:ascii="宋体" w:hAnsi="宋体" w:cs="宋体"/>
          <w:color w:val="000000" w:themeColor="text1"/>
          <w:kern w:val="0"/>
          <w:szCs w:val="21"/>
          <w:highlight w:val="none"/>
          <w14:textFill>
            <w14:solidFill>
              <w14:schemeClr w14:val="tx1"/>
            </w14:solidFill>
          </w14:textFill>
        </w:rPr>
        <w:t>）施工场地清洁卫生的要求：承包人须按发包人批准的施工组织设计进行施工现场布置、放置材料机械及其他设施，完成场地硬体化、排水管道化，及时将施工垃圾、余泥清除干净，采取有效防尘降尘措施，减少施工作业过程扬尘污染，保证施工场地清洁、围蔽符合环境卫生管理的有关规定，若承包人施工场地状况/现状达不到要求，发包人有权委托相关单位进行清理，所需费用从工程进度款中扣除。</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）交工前清理现场的要求：工程完工后</w:t>
      </w:r>
      <w:r>
        <w:rPr>
          <w:rFonts w:hint="eastAsia" w:ascii="宋体" w:hAnsi="宋体" w:cs="宋体"/>
          <w:color w:val="000000" w:themeColor="text1"/>
          <w:kern w:val="0"/>
          <w:szCs w:val="21"/>
          <w:highlight w:val="none"/>
          <w:u w:val="single"/>
          <w14:textFill>
            <w14:solidFill>
              <w14:schemeClr w14:val="tx1"/>
            </w14:solidFill>
          </w14:textFill>
        </w:rPr>
        <w:t>10天内</w:t>
      </w:r>
      <w:r>
        <w:rPr>
          <w:rFonts w:hint="eastAsia" w:ascii="宋体" w:hAnsi="宋体" w:cs="宋体"/>
          <w:color w:val="000000" w:themeColor="text1"/>
          <w:kern w:val="0"/>
          <w:szCs w:val="21"/>
          <w:highlight w:val="none"/>
          <w14:textFill>
            <w14:solidFill>
              <w14:schemeClr w14:val="tx1"/>
            </w14:solidFill>
          </w14:textFill>
        </w:rPr>
        <w:t>，承包人应对施工场地进行清理、清洁开荒。在完工后搬走所有施工机械、垃圾及剩余材料，并确保移交的工程项目环境洁净、安全卫生。施工场地的清理应达到发包人及监理人的规定及要求。有关费用已包含在签约合同价款中，发包人不另行支付。</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11</w:t>
      </w:r>
      <w:r>
        <w:rPr>
          <w:rFonts w:hint="eastAsia" w:ascii="宋体" w:hAnsi="宋体" w:cs="宋体"/>
          <w:color w:val="000000" w:themeColor="text1"/>
          <w:kern w:val="0"/>
          <w:szCs w:val="21"/>
          <w:highlight w:val="none"/>
          <w14:textFill>
            <w14:solidFill>
              <w14:schemeClr w14:val="tx1"/>
            </w14:solidFill>
          </w14:textFill>
        </w:rPr>
        <w:t>）散体物料运输车辆的要求：承包人必须遵守《关于加强我市建筑工地散体物料运输车辆管理的通知》、《建设工地余泥渣土运输与排放源头管理工作实施意见》及近期广东省、广州市、南沙区建设行政主管部门出台的有关规定要求，对出入工地的散体物料运输车辆进行严格管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12</w:t>
      </w:r>
      <w:r>
        <w:rPr>
          <w:rFonts w:hint="eastAsia" w:ascii="宋体" w:hAnsi="宋体" w:cs="宋体"/>
          <w:color w:val="000000" w:themeColor="text1"/>
          <w:kern w:val="0"/>
          <w:szCs w:val="21"/>
          <w:highlight w:val="none"/>
          <w14:textFill>
            <w14:solidFill>
              <w14:schemeClr w14:val="tx1"/>
            </w14:solidFill>
          </w14:textFill>
        </w:rPr>
        <w:t>）本合同工程现场绿色文明施工必须严格按照以下文件执行，包括但不限于：</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1）《广州市建设工程现场文明施工管理办法》（穗建质〔2008〕937号）；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2）《广州市建设工程文明施工管理规定》（广州市人民政府令第62号）；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3）《关于完善广州市建设工程施工围蔽管理提升实施技术要求和标准图集的通知》（穗建质〔2016〕1085号）；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4）《关于进一步完善南沙区建设工程施工围蔽管理要求的通知》（穗南建〔2016〕291号）；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5）《广东省建设工程施工扬尘污染防治管理办法（试行）》（粤办函〔2017〕708号）；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6）《广东省住房和城乡建设厅关于采取切实措施坚决遏制施工扬尘污染的紧急通知》（粤建电发〔2018〕20号）；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7)《住房和城乡建设部办公厅关于进一步加强施工工地和道路扬尘管控工作的通知》（建办质〔2019〕23号）；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8)《广州市建设工程绿色施工围蔽指导图集（V2.0版）》；</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9)《关于印发&lt;南沙区建筑工程围蔽和建筑立面外防护提升工作方案&gt;的通知》（穗南住建〔2019〕1100号）；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10）《广州市住房和城乡建设局等8部门关于印发广州市建设工程扬尘防治“6个100%”管理标准图集（V2.0版）的通知》；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11）国家、广东省、广州市、南沙区有关部门对绿色施工及安全文明施工要求的相关文件。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在本合同履行期间，如上述文件有更新或调整变化的，从其最新规定内容执行。</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 xml:space="preserve"> 绿色施工要求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施工管理要求。加强绿色施工管理，主要包括组织管理、规划管理、实施管理、评价管理和人员安全与健康管理五个方面。建立绿色施工管理体系，并制定相应的管理制度与目标；编制绿色施工方案，该方案应在施工组织设计中独立成章，并按有关规定进行审批；绿色施工应对整个施工过程实施动态管理，加强对施工策划、施工准备、材料采购、现场施工、工程验收等各阶段的管理和监督。</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环境保护要求。对土方作业阶段、结构安装装饰阶段作业区扬尘高度进行监控，采用喷雾、洒水等措施进行治理；同时做好对噪音与振动控制、光污染控制、水污染控制、土壤保护、建筑垃圾控制、地下设施、文物和资源保护等方面控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（3）节材与材料资源利用。优化模板及支撑体系方案，采用工具式模板、钢制大模板和早拆支撑体系，采用定型钢模、钢框竹模、竹胶板代替木模板； 钢筋制作采用专业化加工、配送；使用预拌混凝土和商品砂浆。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推广使用节水与水资源利用技术，要求采取多种措施提高用水效率。如施工中采用先进的节水施工工艺；现场搅拌用水、养护用水应采取有效的节水措施，严禁无措施浇水养护混凝土；施工现场分别对生活用水与工程用水确定用水定额指标，并分别计量管理；大型工程的不同单项工程、不同标段、不同分包生活区，凡具备条件的应分别计量用水量；对混凝土搅拌站点等用水集中的区域和工艺点进行专项计量考核，施工现场建立雨水、中水或可再利用水的搜集利用系统。</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（5）量化指标要求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环境保护方面，要求土方作业区目测扬尘高度小于1.5m；结构施工、安装装饰装修作业区目测扬尘高度小于0.5m；场界四周隔档高度位置测得的大气总悬浮颗粒物（TSP）月平均浓度与城市背景值的差值不大于0.08mg/m3；现场噪音排放不得超过国家标准《建筑施工场界噪声限值》的规定；施工现场污水排放应达到国家标准《污水综合排放标准》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在节材与材料资源利用方面，要求材料损耗率比定额损耗率降低30%。</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在节水与水资源利用方面，施工现场办公区、生活区的生活用水采用节水系统和节水器具，提高节水器具配置比率；施工中非传统水源和循环水的再利用量大于30%。</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在节能与能源利用方面，施工临时用电采用声控、光控等节能照明灯具；照明设计以满足最低照度为原则，照度不应超过最低照度的20％。</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在节地与施工用地保护方面，临时设施的占地面积应按用地指标所需的最低面积设计；临时设施占地面积有效利用率大于90%。</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承包人在施工期间涉及电力设施的，须接受当地供电管理部门的管理和监督。</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9</w:t>
      </w:r>
      <w:r>
        <w:rPr>
          <w:rFonts w:hint="eastAsia"/>
          <w:color w:val="000000" w:themeColor="text1"/>
          <w:highlight w:val="none"/>
          <w14:textFill>
            <w14:solidFill>
              <w14:schemeClr w14:val="tx1"/>
            </w14:solidFill>
          </w14:textFill>
        </w:rPr>
        <w:t xml:space="preserve"> 安全防护和文明施工方面的违约责任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 xml:space="preserve">（1）承包人在发包人或监理人进行的安全生产检查中，被发现存在安全隐患或文明施工不符合要求的，承包人须按下述情形承担违约责任： </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对安全隐患整改不力或文明施工投入不足、不符合要求被监理人或发包人发出违约处理督办通知单限期整改的，承包人应限期改正；此种情况出现第2次及以上的，承包人除限期改正外，承包人还须承担违约金1万元/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2）承包人对安全隐患整改不力或文明施工投入不足、不符合要求被监理人或发包人约谈法定代表人的，承包人须承担违约金3万元/次。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3）承包人对安全隐患整改不力或文明施工投入不足、不符合要求被监理人或发包人书面通报批评的，承包人须承担违约金5万元/次。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在相关部门组织的安全生产检查中，被发现存在严重的安全隐患的，施工场地被评为不合格工地，或被通报批评的，承包人除应采取措施整改及消除相关影响外，还须承担违约金2万元/次；被新闻媒体曝光造成不良影响的，承包人除应采取措施整改及消除相关影响外，承包人须承担违约金5万元；累计被通报或被曝光3次以上（含本数）的，发包人有权解除合同，将本工程另行发包，并不免除承包人应承担的违约赔偿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因自身原因造成的质量安全事故，除按国家相关法律法规规定由相关行政主管部门处罚外，承包人还应赔偿发包人因此遭受的实际损失，并根据水利工程建设质量和安全事故分级，较大及以下安全事故每宗扣除工程款</w:t>
      </w:r>
      <w:r>
        <w:rPr>
          <w:rFonts w:ascii="宋体" w:hAnsi="宋体" w:cs="宋体"/>
          <w:color w:val="000000" w:themeColor="text1"/>
          <w:kern w:val="0"/>
          <w:szCs w:val="21"/>
          <w:highlight w:val="none"/>
          <w14:textFill>
            <w14:solidFill>
              <w14:schemeClr w14:val="tx1"/>
            </w14:solidFill>
          </w14:textFill>
        </w:rPr>
        <w:t>10万元，重大、特大及特别重大安全事故每宗扣除工程款20万元、30万元和50万元。</w:t>
      </w:r>
      <w:r>
        <w:rPr>
          <w:rFonts w:hint="eastAsia" w:ascii="宋体" w:hAnsi="宋体" w:cs="宋体"/>
          <w:color w:val="000000" w:themeColor="text1"/>
          <w:kern w:val="0"/>
          <w:szCs w:val="21"/>
          <w:highlight w:val="none"/>
          <w14:textFill>
            <w14:solidFill>
              <w14:schemeClr w14:val="tx1"/>
            </w14:solidFill>
          </w14:textFill>
        </w:rPr>
        <w:t>同时发包人有权解除合同，暂停或取消承包人今后参与由发包人负责组织实施项目的投标（或摇珠）资格。若因此造成发包人被相关行政主管部门处罚，发包人保留向承包人的追索权。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）其他按次计违约条款如下：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）所有进入施工现场的施工人员必须戴安全帽，管理人员佩戴胸卡，否则按每人每次扣除工程款</w:t>
      </w:r>
      <w:r>
        <w:rPr>
          <w:rFonts w:ascii="宋体" w:hAnsi="宋体" w:cs="宋体"/>
          <w:color w:val="000000" w:themeColor="text1"/>
          <w:kern w:val="0"/>
          <w:szCs w:val="21"/>
          <w:highlight w:val="none"/>
          <w14:textFill>
            <w14:solidFill>
              <w14:schemeClr w14:val="tx1"/>
            </w14:solidFill>
          </w14:textFill>
        </w:rPr>
        <w:t>50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2）承包人应按安全生产和文明施工的有关规定落实公示牌、警示牌、施工围蔽等相关安全生产措施，进行安全操作，所需费用包含在投标报价中。未按规定落实上述措施，每发现</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例，扣除工程款</w:t>
      </w:r>
      <w:r>
        <w:rPr>
          <w:rFonts w:ascii="宋体" w:hAnsi="宋体" w:cs="宋体"/>
          <w:color w:val="000000" w:themeColor="text1"/>
          <w:kern w:val="0"/>
          <w:szCs w:val="21"/>
          <w:highlight w:val="none"/>
          <w14:textFill>
            <w14:solidFill>
              <w14:schemeClr w14:val="tx1"/>
            </w14:solidFill>
          </w14:textFill>
        </w:rPr>
        <w:t>2000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必须按照国务院《建设工程安全生产管理条例》的规定，采取必要的安全措施确保毗邻建筑物、构筑物和地下管线等的安全，所需费用已经包含在安全生产措施费或其他投标报价中。未按规定落实上述措施，每发现</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例，扣除工程款</w:t>
      </w:r>
      <w:r>
        <w:rPr>
          <w:rFonts w:ascii="宋体" w:hAnsi="宋体" w:cs="宋体"/>
          <w:color w:val="000000" w:themeColor="text1"/>
          <w:kern w:val="0"/>
          <w:szCs w:val="21"/>
          <w:highlight w:val="none"/>
          <w14:textFill>
            <w14:solidFill>
              <w14:schemeClr w14:val="tx1"/>
            </w14:solidFill>
          </w14:textFill>
        </w:rPr>
        <w:t>2000</w:t>
      </w:r>
      <w:r>
        <w:rPr>
          <w:rFonts w:hint="eastAsia" w:ascii="宋体" w:hAnsi="宋体" w:cs="宋体"/>
          <w:color w:val="000000" w:themeColor="text1"/>
          <w:kern w:val="0"/>
          <w:szCs w:val="21"/>
          <w:highlight w:val="none"/>
          <w14:textFill>
            <w14:solidFill>
              <w14:schemeClr w14:val="tx1"/>
            </w14:solidFill>
          </w14:textFill>
        </w:rPr>
        <w:t>元，因此发生安全事故的，按专用合同条件</w:t>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9</w:t>
      </w:r>
      <w:r>
        <w:rPr>
          <w:rFonts w:hint="eastAsia"/>
          <w:color w:val="000000" w:themeColor="text1"/>
          <w:highlight w:val="none"/>
          <w14:textFill>
            <w14:solidFill>
              <w14:schemeClr w14:val="tx1"/>
            </w14:solidFill>
          </w14:textFill>
        </w:rPr>
        <w:t>条第</w:t>
      </w: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）款处理。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4）工程安全监督部门以及建设或水行政主管部门检查指出的安全问题，除返工整顿外，每个问题扣除工程款</w:t>
      </w:r>
      <w:r>
        <w:rPr>
          <w:rFonts w:ascii="宋体" w:hAnsi="宋体" w:cs="宋体"/>
          <w:color w:val="000000" w:themeColor="text1"/>
          <w:kern w:val="0"/>
          <w:szCs w:val="21"/>
          <w:highlight w:val="none"/>
          <w14:textFill>
            <w14:solidFill>
              <w14:schemeClr w14:val="tx1"/>
            </w14:solidFill>
          </w14:textFill>
        </w:rPr>
        <w:t>5000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）承包人必须按照国务院《建设工程安全生产管理条例》、建设部《关于落实建设工程安全生产监理责任的若干意见》（建市〔</w:t>
      </w:r>
      <w:r>
        <w:rPr>
          <w:rFonts w:ascii="宋体" w:hAnsi="宋体" w:cs="宋体"/>
          <w:color w:val="000000" w:themeColor="text1"/>
          <w:kern w:val="0"/>
          <w:szCs w:val="21"/>
          <w:highlight w:val="none"/>
          <w14:textFill>
            <w14:solidFill>
              <w14:schemeClr w14:val="tx1"/>
            </w14:solidFill>
          </w14:textFill>
        </w:rPr>
        <w:t>2006</w:t>
      </w: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248</w:t>
      </w:r>
      <w:r>
        <w:rPr>
          <w:rFonts w:hint="eastAsia" w:ascii="宋体" w:hAnsi="宋体" w:cs="宋体"/>
          <w:color w:val="000000" w:themeColor="text1"/>
          <w:kern w:val="0"/>
          <w:szCs w:val="21"/>
          <w:highlight w:val="none"/>
          <w14:textFill>
            <w14:solidFill>
              <w14:schemeClr w14:val="tx1"/>
            </w14:solidFill>
          </w14:textFill>
        </w:rPr>
        <w:t>号）和水利部颁布的《水利水电工程施工通用安全技术规程》（</w:t>
      </w:r>
      <w:r>
        <w:rPr>
          <w:rFonts w:ascii="宋体" w:hAnsi="宋体" w:cs="宋体"/>
          <w:color w:val="000000" w:themeColor="text1"/>
          <w:kern w:val="0"/>
          <w:szCs w:val="21"/>
          <w:highlight w:val="none"/>
          <w14:textFill>
            <w14:solidFill>
              <w14:schemeClr w14:val="tx1"/>
            </w14:solidFill>
          </w14:textFill>
        </w:rPr>
        <w:t>SL398-2007</w:t>
      </w:r>
      <w:r>
        <w:rPr>
          <w:rFonts w:hint="eastAsia" w:ascii="宋体" w:hAnsi="宋体" w:cs="宋体"/>
          <w:color w:val="000000" w:themeColor="text1"/>
          <w:kern w:val="0"/>
          <w:szCs w:val="21"/>
          <w:highlight w:val="none"/>
          <w14:textFill>
            <w14:solidFill>
              <w14:schemeClr w14:val="tx1"/>
            </w14:solidFill>
          </w14:textFill>
        </w:rPr>
        <w:t>）、《水利水电工程土建施工安全技术规程》（</w:t>
      </w:r>
      <w:r>
        <w:rPr>
          <w:rFonts w:ascii="宋体" w:hAnsi="宋体" w:cs="宋体"/>
          <w:color w:val="000000" w:themeColor="text1"/>
          <w:kern w:val="0"/>
          <w:szCs w:val="21"/>
          <w:highlight w:val="none"/>
          <w14:textFill>
            <w14:solidFill>
              <w14:schemeClr w14:val="tx1"/>
            </w14:solidFill>
          </w14:textFill>
        </w:rPr>
        <w:t>SL399-2007</w:t>
      </w:r>
      <w:r>
        <w:rPr>
          <w:rFonts w:hint="eastAsia" w:ascii="宋体" w:hAnsi="宋体" w:cs="宋体"/>
          <w:color w:val="000000" w:themeColor="text1"/>
          <w:kern w:val="0"/>
          <w:szCs w:val="21"/>
          <w:highlight w:val="none"/>
          <w14:textFill>
            <w14:solidFill>
              <w14:schemeClr w14:val="tx1"/>
            </w14:solidFill>
          </w14:textFill>
        </w:rPr>
        <w:t>）、《水利水电工程金属结构与机电设备安装安全技术规程》（</w:t>
      </w:r>
      <w:r>
        <w:rPr>
          <w:rFonts w:ascii="宋体" w:hAnsi="宋体" w:cs="宋体"/>
          <w:color w:val="000000" w:themeColor="text1"/>
          <w:kern w:val="0"/>
          <w:szCs w:val="21"/>
          <w:highlight w:val="none"/>
          <w14:textFill>
            <w14:solidFill>
              <w14:schemeClr w14:val="tx1"/>
            </w14:solidFill>
          </w14:textFill>
        </w:rPr>
        <w:t>SL400-2007</w:t>
      </w:r>
      <w:r>
        <w:rPr>
          <w:rFonts w:hint="eastAsia" w:ascii="宋体" w:hAnsi="宋体" w:cs="宋体"/>
          <w:color w:val="000000" w:themeColor="text1"/>
          <w:kern w:val="0"/>
          <w:szCs w:val="21"/>
          <w:highlight w:val="none"/>
          <w14:textFill>
            <w14:solidFill>
              <w14:schemeClr w14:val="tx1"/>
            </w14:solidFill>
          </w14:textFill>
        </w:rPr>
        <w:t>）、《水利水电工程施工作业人员安全操作规程》（</w:t>
      </w:r>
      <w:r>
        <w:rPr>
          <w:rFonts w:ascii="宋体" w:hAnsi="宋体" w:cs="宋体"/>
          <w:color w:val="000000" w:themeColor="text1"/>
          <w:kern w:val="0"/>
          <w:szCs w:val="21"/>
          <w:highlight w:val="none"/>
          <w14:textFill>
            <w14:solidFill>
              <w14:schemeClr w14:val="tx1"/>
            </w14:solidFill>
          </w14:textFill>
        </w:rPr>
        <w:t>SL401-2007</w:t>
      </w:r>
      <w:r>
        <w:rPr>
          <w:rFonts w:hint="eastAsia" w:ascii="宋体" w:hAnsi="宋体" w:cs="宋体"/>
          <w:color w:val="000000" w:themeColor="text1"/>
          <w:kern w:val="0"/>
          <w:szCs w:val="21"/>
          <w:highlight w:val="none"/>
          <w14:textFill>
            <w14:solidFill>
              <w14:schemeClr w14:val="tx1"/>
            </w14:solidFill>
          </w14:textFill>
        </w:rPr>
        <w:t>）及其他有关规律法规、制度和本合同规定，制定完善并落实安全生产工作制度和安全生产事故应急预案，全面预防消防、防汛、环保及其他方面涉及的各类施工事故的发生，及时处理，减少损失，降低危害。上述安全生产工作制度和安全生产事故应急预案由承包人接到开工通知</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日内提交监理人审批，不能按时提交或提交的文件不合格的，按违约处理，扣除工程款</w:t>
      </w:r>
      <w:r>
        <w:rPr>
          <w:rFonts w:ascii="宋体" w:hAnsi="宋体" w:cs="宋体"/>
          <w:color w:val="000000" w:themeColor="text1"/>
          <w:kern w:val="0"/>
          <w:szCs w:val="21"/>
          <w:highlight w:val="none"/>
          <w14:textFill>
            <w14:solidFill>
              <w14:schemeClr w14:val="tx1"/>
            </w14:solidFill>
          </w14:textFill>
        </w:rPr>
        <w:t>2000</w:t>
      </w:r>
      <w:r>
        <w:rPr>
          <w:rFonts w:hint="eastAsia" w:ascii="宋体" w:hAnsi="宋体" w:cs="宋体"/>
          <w:color w:val="000000" w:themeColor="text1"/>
          <w:kern w:val="0"/>
          <w:szCs w:val="21"/>
          <w:highlight w:val="none"/>
          <w14:textFill>
            <w14:solidFill>
              <w14:schemeClr w14:val="tx1"/>
            </w14:solidFill>
          </w14:textFill>
        </w:rPr>
        <w:t>元，并视情节加重处罚。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）突发事件、应急事件处置：承包人应在第一时间对突发事件、应急事件进行处置并报告，若因处置不力或不及时、不落实有关部门及涉事第三方合法要求而造成事故及事故扩大损失，发包人可按专用合同条款</w:t>
      </w:r>
      <w:r>
        <w:rPr>
          <w:rFonts w:ascii="宋体" w:hAnsi="宋体" w:cs="宋体"/>
          <w:color w:val="000000" w:themeColor="text1"/>
          <w:kern w:val="0"/>
          <w:szCs w:val="21"/>
          <w:highlight w:val="none"/>
          <w14:textFill>
            <w14:solidFill>
              <w14:schemeClr w14:val="tx1"/>
            </w14:solidFill>
          </w14:textFill>
        </w:rPr>
        <w:t>4.2.6</w:t>
      </w:r>
      <w:r>
        <w:rPr>
          <w:rFonts w:hint="eastAsia" w:ascii="宋体" w:hAnsi="宋体" w:cs="宋体"/>
          <w:color w:val="000000" w:themeColor="text1"/>
          <w:kern w:val="0"/>
          <w:szCs w:val="21"/>
          <w:highlight w:val="none"/>
          <w14:textFill>
            <w14:solidFill>
              <w14:schemeClr w14:val="tx1"/>
            </w14:solidFill>
          </w14:textFill>
        </w:rPr>
        <w:t>支取履约担保资金及处理后续工作。此外，发包人视情节影响严重程度，有权对每宗事件处罚人民币</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至</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万元，并有权将违约行为记入该企业诚信评分考核。</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28" w:name="_Toc32116"/>
      <w:bookmarkStart w:id="1529" w:name="_Toc607794467"/>
      <w:bookmarkStart w:id="1530" w:name="_Toc25956"/>
      <w:bookmarkStart w:id="1531" w:name="_Toc147856225"/>
      <w:r>
        <w:rPr>
          <w:rStyle w:val="114"/>
          <w:bCs/>
          <w:color w:val="000000" w:themeColor="text1"/>
          <w:highlight w:val="none"/>
          <w14:textFill>
            <w14:solidFill>
              <w14:schemeClr w14:val="tx1"/>
            </w14:solidFill>
          </w14:textFill>
        </w:rPr>
        <w:t xml:space="preserve">11. </w:t>
      </w:r>
      <w:r>
        <w:rPr>
          <w:rStyle w:val="114"/>
          <w:rFonts w:hint="eastAsia"/>
          <w:bCs/>
          <w:color w:val="000000" w:themeColor="text1"/>
          <w:highlight w:val="none"/>
          <w14:textFill>
            <w14:solidFill>
              <w14:schemeClr w14:val="tx1"/>
            </w14:solidFill>
          </w14:textFill>
        </w:rPr>
        <w:t>开始工作和竣工</w:t>
      </w:r>
      <w:bookmarkEnd w:id="1528"/>
      <w:bookmarkEnd w:id="1529"/>
      <w:bookmarkEnd w:id="1530"/>
      <w:bookmarkEnd w:id="1531"/>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11.1 开始工作</w:t>
      </w:r>
    </w:p>
    <w:p>
      <w:pPr>
        <w:pStyle w:val="2"/>
        <w:ind w:firstLine="420" w:firstLineChars="200"/>
        <w:rPr>
          <w:color w:val="000000" w:themeColor="text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开始工作的条件：</w:t>
      </w:r>
      <w:r>
        <w:rPr>
          <w:rFonts w:hint="eastAsia" w:ascii="宋体" w:hAnsi="宋体"/>
          <w:bCs/>
          <w:snapToGrid w:val="0"/>
          <w:color w:val="000000" w:themeColor="text1"/>
          <w:kern w:val="0"/>
          <w:szCs w:val="21"/>
          <w:highlight w:val="none"/>
          <w14:textFill>
            <w14:solidFill>
              <w14:schemeClr w14:val="tx1"/>
            </w14:solidFill>
          </w14:textFill>
        </w:rPr>
        <w:t>勘察工期自合同签订之日起算；设计工期自</w:t>
      </w:r>
      <w:r>
        <w:rPr>
          <w:rFonts w:hint="eastAsia" w:ascii="Times New Roman" w:hAnsi="Times New Roman"/>
          <w:color w:val="000000" w:themeColor="text1"/>
          <w:highlight w:val="none"/>
          <w14:textFill>
            <w14:solidFill>
              <w14:schemeClr w14:val="tx1"/>
            </w14:solidFill>
          </w14:textFill>
        </w:rPr>
        <w:t>勘察工期结束后起算；</w:t>
      </w:r>
      <w:r>
        <w:rPr>
          <w:rFonts w:hint="eastAsia" w:ascii="宋体" w:hAnsi="宋体"/>
          <w:bCs/>
          <w:snapToGrid w:val="0"/>
          <w:color w:val="000000" w:themeColor="text1"/>
          <w:kern w:val="0"/>
          <w:szCs w:val="21"/>
          <w:highlight w:val="none"/>
          <w14:textFill>
            <w14:solidFill>
              <w14:schemeClr w14:val="tx1"/>
            </w14:solidFill>
          </w14:textFill>
        </w:rPr>
        <w:t>施工工期由监理单位签发的开工日期起算。</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11.2 竣工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预计竣工时间：见合同协议书。</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11.3 发包人的工期延误</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本款修改为：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11.3.1本合同为勘察设计施工总承包合同，承包人是工期控制的主体，除发包人的下列原因造成工期延误的，承包人有权要求发包人延长工期外，承包人无权要求其他的延长工期和增加费用要求。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（l）因计划调整导致暂停施工的，延长工期；</w:t>
      </w:r>
    </w:p>
    <w:p>
      <w:pPr>
        <w:autoSpaceDE w:val="0"/>
        <w:autoSpaceDN w:val="0"/>
        <w:adjustRightInd w:val="0"/>
        <w:spacing w:before="156" w:beforeLines="50" w:after="156" w:afterLines="50" w:line="360" w:lineRule="auto"/>
        <w:ind w:firstLine="420" w:firstLineChars="200"/>
        <w:jc w:val="left"/>
        <w:rPr>
          <w:rFonts w:ascii="宋体" w:hAnsi="宋体" w:cs="TimesNewRomanPSMT"/>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（2）未能按照合同要求的期限对承包人文件进行审查，延长工期；</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（3）因改变功能和需求导致设计变更的，延长工期，费用按变更的相关规定执行；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（4）因场地移交滞后原因导致工期拖延的，且影响关键节点工期的，承包人有权要求发包人延长工期；</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（5）承包人因天灾或人力不可抗拒的原因被迫停工（指遇六级以上地震，十级以上强台风或龙卷风造成的重大破坏而延误工期或政府部门出具的停工指令的）；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除上述原因之外，其他所有工期延误均为承包人原因造成的延误。</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11.3.2因承包人原因或因承包人对专业分包现场组织管理不力造成的工期延误的；因材料供应、施工劳力和机具设备的不足或发生安全、质量事故而影响工期属承包人责任的；承包人对现场组织管理不力或未能对专业分包提供协调、配合服务，以致专业工程的进度影响工期的，承包人不得以上述理由提出延长工期的要求，造成工期、质量影响的承包人还应当按照合同承担相应的违约责任。</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11.4 异常恶劣的气候条件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由于出现专用合同条款规定的异常恶劣气候的条件导致工期延误的（指遇六级以上地震，十级以上强台风或龙卷风造成的重大破坏而延误工期或政府部门出具的停工指令的），承包人有权要求发包人延长工期。发生异常恶劣的气候条件不调整签约合同价，工期顺延，但顺延的工期不纳入价格调整计算工期内。由于下雨、洪水等原因造成工程、施工现场的材料和工程设备等承包人财产损失或人员伤亡的，费用全部由承包人承担，发包人一概不负责。</w:t>
      </w:r>
    </w:p>
    <w:p>
      <w:pPr>
        <w:pStyle w:val="2"/>
        <w:spacing w:line="360" w:lineRule="auto"/>
        <w:ind w:firstLine="420" w:firstLineChars="200"/>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出现</w:t>
      </w:r>
      <w:r>
        <w:rPr>
          <w:rFonts w:hint="eastAsia" w:ascii="宋体" w:hAnsi="宋体" w:cs="宋体"/>
          <w:color w:val="000000" w:themeColor="text1"/>
          <w:kern w:val="0"/>
          <w:szCs w:val="21"/>
          <w:highlight w:val="none"/>
          <w14:textFill>
            <w14:solidFill>
              <w14:schemeClr w14:val="tx1"/>
            </w14:solidFill>
          </w14:textFill>
        </w:rPr>
        <w:t>本合同约定</w:t>
      </w:r>
      <w:r>
        <w:rPr>
          <w:rFonts w:ascii="宋体" w:hAnsi="宋体" w:cs="宋体"/>
          <w:color w:val="000000" w:themeColor="text1"/>
          <w:kern w:val="0"/>
          <w:szCs w:val="21"/>
          <w:highlight w:val="none"/>
          <w14:textFill>
            <w14:solidFill>
              <w14:schemeClr w14:val="tx1"/>
            </w14:solidFill>
          </w14:textFill>
        </w:rPr>
        <w:t>承包人有权要求延长工期</w:t>
      </w:r>
      <w:r>
        <w:rPr>
          <w:rFonts w:hint="eastAsia" w:ascii="宋体" w:hAnsi="宋体" w:cs="宋体"/>
          <w:color w:val="000000" w:themeColor="text1"/>
          <w:kern w:val="0"/>
          <w:szCs w:val="21"/>
          <w:highlight w:val="none"/>
          <w14:textFill>
            <w14:solidFill>
              <w14:schemeClr w14:val="tx1"/>
            </w14:solidFill>
          </w14:textFill>
        </w:rPr>
        <w:t>之</w:t>
      </w:r>
      <w:r>
        <w:rPr>
          <w:rFonts w:ascii="宋体" w:hAnsi="宋体" w:cs="宋体"/>
          <w:color w:val="000000" w:themeColor="text1"/>
          <w:kern w:val="0"/>
          <w:szCs w:val="21"/>
          <w:highlight w:val="none"/>
          <w14:textFill>
            <w14:solidFill>
              <w14:schemeClr w14:val="tx1"/>
            </w14:solidFill>
          </w14:textFill>
        </w:rPr>
        <w:t>情形的，</w:t>
      </w:r>
      <w:r>
        <w:rPr>
          <w:rFonts w:hint="eastAsia" w:ascii="宋体" w:hAnsi="宋体" w:cs="宋体"/>
          <w:color w:val="000000" w:themeColor="text1"/>
          <w:kern w:val="0"/>
          <w:szCs w:val="21"/>
          <w:highlight w:val="none"/>
          <w14:textFill>
            <w14:solidFill>
              <w14:schemeClr w14:val="tx1"/>
            </w14:solidFill>
          </w14:textFill>
        </w:rPr>
        <w:t>承</w:t>
      </w:r>
      <w:r>
        <w:rPr>
          <w:rFonts w:ascii="宋体" w:hAnsi="宋体" w:cs="宋体"/>
          <w:color w:val="000000" w:themeColor="text1"/>
          <w:kern w:val="0"/>
          <w:szCs w:val="21"/>
          <w:highlight w:val="none"/>
          <w14:textFill>
            <w14:solidFill>
              <w14:schemeClr w14:val="tx1"/>
            </w14:solidFill>
          </w14:textFill>
        </w:rPr>
        <w:t>包人应当在上述情形发生之日起</w:t>
      </w:r>
      <w:r>
        <w:rPr>
          <w:rFonts w:hint="eastAsia" w:ascii="宋体" w:hAnsi="宋体" w:cs="宋体"/>
          <w:color w:val="000000" w:themeColor="text1"/>
          <w:kern w:val="0"/>
          <w:szCs w:val="21"/>
          <w:highlight w:val="none"/>
          <w14:textFill>
            <w14:solidFill>
              <w14:schemeClr w14:val="tx1"/>
            </w14:solidFill>
          </w14:textFill>
        </w:rPr>
        <w:t>2</w:t>
      </w:r>
      <w:r>
        <w:rPr>
          <w:rFonts w:ascii="宋体" w:hAnsi="宋体" w:cs="宋体"/>
          <w:color w:val="000000" w:themeColor="text1"/>
          <w:kern w:val="0"/>
          <w:szCs w:val="21"/>
          <w:highlight w:val="none"/>
          <w14:textFill>
            <w14:solidFill>
              <w14:schemeClr w14:val="tx1"/>
            </w14:solidFill>
          </w14:textFill>
        </w:rPr>
        <w:t>日内向发包人与监理人提供书面申请，并列出需要延长工期的具体时间，经发包人批准后，方可延长工期。如发包人与监理人认为承包人</w:t>
      </w:r>
      <w:r>
        <w:rPr>
          <w:rFonts w:hint="eastAsia" w:ascii="宋体" w:hAnsi="宋体" w:cs="宋体"/>
          <w:color w:val="000000" w:themeColor="text1"/>
          <w:kern w:val="0"/>
          <w:szCs w:val="21"/>
          <w:highlight w:val="none"/>
          <w14:textFill>
            <w14:solidFill>
              <w14:schemeClr w14:val="tx1"/>
            </w14:solidFill>
          </w14:textFill>
        </w:rPr>
        <w:t>提出的延长工期之申请不合理的，发包人与监理人有权予以调整，并按照发包人与监理人最终批准的期限对工期予以延长。</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11.5 承包人的工期延误</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对于承包人原因造成的工期延误，工期一概不得顺延；对于非承包人造成的工期延误，一般节点工期可以相应顺延，但该项顺延以不对关键节点工期和总工期构成不利影响为限。关键节点工期一般不予调整，承包人应当采取合理有效的赶工措施予以消化，而且这些合理有效的赶工措施已包括在投标总报价中，发包人不予补偿。</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由于承包人原因未能完成监理人批准的预期半月进度、月进度和季进度工作，承包人除自己承担赶工费用外还应支付逾期违约金。半月进度、月进度和季进度逾期违约金分别按半月进度、月进度和季进度计划完成的工程造价的1%进行处罚。不对关键节点工期和总工期构成不利影响的不进行处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（3）由于承包人原因造成不能按监理人批准的完工日期完工的，每延误工期一天，支付违约金10000元，但最终累计总金额不超过合同价格的5%。</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11.6 工期提前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发包人要求承包人提前竣工的，赶工费用协商解决；承包人工期提前的，不支付奖金。</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11.7 行政审批迟延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合同约定范围内的工作需国家有关部门审批的，发包人和（或）承包人应按照合同约定的职责分工完成行政审批报送。</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32" w:name="_Toc30608"/>
      <w:bookmarkStart w:id="1533" w:name="_Toc1769381737"/>
      <w:bookmarkStart w:id="1534" w:name="_Toc28868"/>
      <w:bookmarkStart w:id="1535" w:name="_Toc147856226"/>
      <w:r>
        <w:rPr>
          <w:rStyle w:val="114"/>
          <w:bCs/>
          <w:color w:val="000000" w:themeColor="text1"/>
          <w:highlight w:val="none"/>
          <w14:textFill>
            <w14:solidFill>
              <w14:schemeClr w14:val="tx1"/>
            </w14:solidFill>
          </w14:textFill>
        </w:rPr>
        <w:t xml:space="preserve">12. </w:t>
      </w:r>
      <w:r>
        <w:rPr>
          <w:rStyle w:val="114"/>
          <w:rFonts w:hint="eastAsia"/>
          <w:bCs/>
          <w:color w:val="000000" w:themeColor="text1"/>
          <w:highlight w:val="none"/>
          <w14:textFill>
            <w14:solidFill>
              <w14:schemeClr w14:val="tx1"/>
            </w14:solidFill>
          </w14:textFill>
        </w:rPr>
        <w:t>暂停工作</w:t>
      </w:r>
      <w:bookmarkEnd w:id="1532"/>
      <w:bookmarkEnd w:id="1533"/>
      <w:bookmarkEnd w:id="1534"/>
      <w:bookmarkEnd w:id="1535"/>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12.1 由发包人暂停工作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12.1.1 发包人认为必要时，可通过监理人向承包人发出暂停工作的指示，承包人应按监理人指示暂停工作。由于发包人原因引起的暂停工作造成工期延误的，承包人有权要求发包人延长工期。</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12.2 由承包人暂停工作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12.2.1 合同履行过程中发生下列情形之一的，承包人可向发包人发出通知，要求发包人采取有效措施予以纠正。发包人收到承包人通知后的28天内仍不履行合同义务，承包人有权暂停施工，并通知监理人，发包人应承担由此工期延误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（1）发包人未能按合同约定支付价款，或拖延、拒绝批准付款申请和支付证书，导致付款延误的；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（2）监理人无正当理由没有在约定期限内发出复工指示，导致承包人无法复工的；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（3）发包人无法继续履行或明确表示不履行或实质上已停止履行合同的；</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（4）发包人不履行合同约定其他义务的。</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12.3 暂停工作后的照管</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不论由于何种原因引起暂停工作的，暂停工作期间，承包人应负责妥善</w:t>
      </w:r>
      <w:r>
        <w:rPr>
          <w:rFonts w:hint="eastAsia" w:ascii="宋体" w:hAnsi="宋体" w:cs="宋体"/>
          <w:color w:val="000000" w:themeColor="text1"/>
          <w:kern w:val="0"/>
          <w:szCs w:val="21"/>
          <w:highlight w:val="none"/>
          <w:lang w:eastAsia="zh-Hans"/>
          <w14:textFill>
            <w14:solidFill>
              <w14:schemeClr w14:val="tx1"/>
            </w14:solidFill>
          </w14:textFill>
        </w:rPr>
        <w:t>照管</w:t>
      </w:r>
      <w:r>
        <w:rPr>
          <w:rFonts w:hint="eastAsia" w:ascii="宋体" w:hAnsi="宋体" w:cs="宋体"/>
          <w:color w:val="000000" w:themeColor="text1"/>
          <w:kern w:val="0"/>
          <w:szCs w:val="21"/>
          <w:highlight w:val="none"/>
          <w14:textFill>
            <w14:solidFill>
              <w14:schemeClr w14:val="tx1"/>
            </w14:solidFill>
          </w14:textFill>
        </w:rPr>
        <w:t>工程并提供安全保障</w:t>
      </w:r>
      <w:r>
        <w:rPr>
          <w:rFonts w:hint="eastAsia" w:ascii="宋体" w:hAnsi="宋体" w:cs="宋体"/>
          <w:color w:val="000000" w:themeColor="text1"/>
          <w:kern w:val="0"/>
          <w:szCs w:val="21"/>
          <w:highlight w:val="none"/>
          <w:lang w:eastAsia="zh-Hans"/>
          <w14:textFill>
            <w14:solidFill>
              <w14:schemeClr w14:val="tx1"/>
            </w14:solidFill>
          </w14:textFill>
        </w:rPr>
        <w:t>，由此增加的费用由承包人承担</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 暂停工作后的复工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12.4.2承包人无故拖延和拒绝复工的，由此增加的费用和工期延误由承包人承担。</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36" w:name="_Toc1792793750"/>
      <w:bookmarkStart w:id="1537" w:name="_Toc3766"/>
      <w:bookmarkStart w:id="1538" w:name="_Toc1690"/>
      <w:bookmarkStart w:id="1539" w:name="_Toc147856227"/>
      <w:r>
        <w:rPr>
          <w:rStyle w:val="114"/>
          <w:bCs/>
          <w:color w:val="000000" w:themeColor="text1"/>
          <w:highlight w:val="none"/>
          <w14:textFill>
            <w14:solidFill>
              <w14:schemeClr w14:val="tx1"/>
            </w14:solidFill>
          </w14:textFill>
        </w:rPr>
        <w:t xml:space="preserve">13. </w:t>
      </w:r>
      <w:r>
        <w:rPr>
          <w:rStyle w:val="114"/>
          <w:rFonts w:hint="eastAsia"/>
          <w:bCs/>
          <w:color w:val="000000" w:themeColor="text1"/>
          <w:highlight w:val="none"/>
          <w14:textFill>
            <w14:solidFill>
              <w14:schemeClr w14:val="tx1"/>
            </w14:solidFill>
          </w14:textFill>
        </w:rPr>
        <w:t>工程质量</w:t>
      </w:r>
      <w:bookmarkEnd w:id="1536"/>
      <w:bookmarkEnd w:id="1537"/>
      <w:bookmarkEnd w:id="1538"/>
      <w:bookmarkEnd w:id="1539"/>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13.1 工程质量要求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13.1.1工程质量验收标准：合格。</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13.2 承包人的质量检查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本条增加以下条款：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）本工程发生质量事故的，除按照国家和地方安全生产法律法规及市场主体不良行为记录和处理办法处罚外，根据水利工程建设质量和安全事故分级，较大及以下质量事故每宗扣除工程款</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万元，重大、特大及特别重大安全事故每宗扣除工程款</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万元、</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万元和</w:t>
      </w:r>
      <w:r>
        <w:rPr>
          <w:rFonts w:ascii="宋体" w:hAnsi="宋体" w:cs="宋体"/>
          <w:color w:val="000000" w:themeColor="text1"/>
          <w:kern w:val="0"/>
          <w:szCs w:val="21"/>
          <w:highlight w:val="none"/>
          <w14:textFill>
            <w14:solidFill>
              <w14:schemeClr w14:val="tx1"/>
            </w14:solidFill>
          </w14:textFill>
        </w:rPr>
        <w:t>20</w:t>
      </w:r>
      <w:r>
        <w:rPr>
          <w:rFonts w:hint="eastAsia" w:ascii="宋体" w:hAnsi="宋体" w:cs="宋体"/>
          <w:color w:val="000000" w:themeColor="text1"/>
          <w:kern w:val="0"/>
          <w:szCs w:val="21"/>
          <w:highlight w:val="none"/>
          <w14:textFill>
            <w14:solidFill>
              <w14:schemeClr w14:val="tx1"/>
            </w14:solidFill>
          </w14:textFill>
        </w:rPr>
        <w:t>万元。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）按规定必须检验的单元工程未经检验合格而私自覆盖的，每个单元工程扣除工程款</w:t>
      </w:r>
      <w:r>
        <w:rPr>
          <w:rFonts w:ascii="宋体" w:hAnsi="宋体" w:cs="宋体"/>
          <w:color w:val="000000" w:themeColor="text1"/>
          <w:kern w:val="0"/>
          <w:szCs w:val="21"/>
          <w:highlight w:val="none"/>
          <w14:textFill>
            <w14:solidFill>
              <w14:schemeClr w14:val="tx1"/>
            </w14:solidFill>
          </w14:textFill>
        </w:rPr>
        <w:t>5000</w:t>
      </w:r>
      <w:r>
        <w:rPr>
          <w:rFonts w:hint="eastAsia" w:ascii="宋体" w:hAnsi="宋体" w:cs="宋体"/>
          <w:color w:val="000000" w:themeColor="text1"/>
          <w:kern w:val="0"/>
          <w:szCs w:val="21"/>
          <w:highlight w:val="none"/>
          <w14:textFill>
            <w14:solidFill>
              <w14:schemeClr w14:val="tx1"/>
            </w14:solidFill>
          </w14:textFill>
        </w:rPr>
        <w:t>元，私自覆盖事后又检验不合格的，除上述扣款外每个单元工程再扣除工程款</w:t>
      </w:r>
      <w:r>
        <w:rPr>
          <w:rFonts w:ascii="宋体" w:hAnsi="宋体" w:cs="宋体"/>
          <w:color w:val="000000" w:themeColor="text1"/>
          <w:kern w:val="0"/>
          <w:szCs w:val="21"/>
          <w:highlight w:val="none"/>
          <w14:textFill>
            <w14:solidFill>
              <w14:schemeClr w14:val="tx1"/>
            </w14:solidFill>
          </w14:textFill>
        </w:rPr>
        <w:t>2000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）由于承包人原因产生的下列质量问题的处理办法：</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）未按合同约定相关技术条款要求清基或清基不干净、不彻底，除无偿返工外，每平方米扣除工程款</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元；未按施工技术要求疏浚河道或清淤不干净、不彻底，除无偿返工外，每平方米扣除工程款</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元；堤脚开挖弃土不按设计要求在阶地上平整的，除无偿返工外，按每平方米扣除工程款</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元；未按规定进行植草的，除无偿返工外，按每平方米扣除工程款</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）施工前需对所在河段滩地临水建筑物、构筑物及附属物进行处理。同时，需调查施工作业区有无过河电力及通信线路和水底电缆管道等</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查明这些设施的所属单位、具体位置和细节，确保有关设施的安全或商定解决办法。凡因施工原因造成的设施损坏</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承包人应承担全部责任，并按每处扣除工程款</w:t>
      </w:r>
      <w:r>
        <w:rPr>
          <w:rFonts w:ascii="宋体" w:hAnsi="宋体" w:cs="宋体"/>
          <w:color w:val="000000" w:themeColor="text1"/>
          <w:kern w:val="0"/>
          <w:szCs w:val="21"/>
          <w:highlight w:val="none"/>
          <w14:textFill>
            <w14:solidFill>
              <w14:schemeClr w14:val="tx1"/>
            </w14:solidFill>
          </w14:textFill>
        </w:rPr>
        <w:t>1000</w:t>
      </w:r>
      <w:r>
        <w:rPr>
          <w:rFonts w:hint="eastAsia" w:ascii="宋体" w:hAnsi="宋体" w:cs="宋体"/>
          <w:color w:val="000000" w:themeColor="text1"/>
          <w:kern w:val="0"/>
          <w:szCs w:val="21"/>
          <w:highlight w:val="none"/>
          <w14:textFill>
            <w14:solidFill>
              <w14:schemeClr w14:val="tx1"/>
            </w14:solidFill>
          </w14:textFill>
        </w:rPr>
        <w:t>元；施工时须维护好施工范围内的市政、码头设施，包括地上和地下各种管线，管井、道路、桥梁、码头等。承包人应合理使用运输工具，运输工具荷载不得施工期间使用的道路、桥梁的超过承载能力，若因承包人原因造成桥梁损坏和安全（包括人身安全和工程安全）事故，除由承包人承担全部责任并无偿修复损坏设施外，按每处扣除工程款</w:t>
      </w:r>
      <w:r>
        <w:rPr>
          <w:rFonts w:ascii="宋体" w:hAnsi="宋体" w:cs="宋体"/>
          <w:color w:val="000000" w:themeColor="text1"/>
          <w:kern w:val="0"/>
          <w:szCs w:val="21"/>
          <w:highlight w:val="none"/>
          <w14:textFill>
            <w14:solidFill>
              <w14:schemeClr w14:val="tx1"/>
            </w14:solidFill>
          </w14:textFill>
        </w:rPr>
        <w:t>1000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）建筑废料、余泥等必须按国家有关规定排放，否则，由承包人应承担全部责任，并按每立方扣除工程款</w:t>
      </w:r>
      <w:r>
        <w:rPr>
          <w:rFonts w:ascii="宋体" w:hAnsi="宋体" w:cs="宋体"/>
          <w:color w:val="000000" w:themeColor="text1"/>
          <w:kern w:val="0"/>
          <w:szCs w:val="21"/>
          <w:highlight w:val="none"/>
          <w14:textFill>
            <w14:solidFill>
              <w14:schemeClr w14:val="tx1"/>
            </w14:solidFill>
          </w14:textFill>
        </w:rPr>
        <w:t>100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）除经监理人同意的零星砌体外，采用人工拌和砂浆、混凝土的，应当改用机械拌和，无偿返工，并按每立方米砌体、混凝土分别扣除工程款</w:t>
      </w:r>
      <w:r>
        <w:rPr>
          <w:rFonts w:ascii="宋体" w:hAnsi="宋体" w:cs="宋体"/>
          <w:color w:val="000000" w:themeColor="text1"/>
          <w:kern w:val="0"/>
          <w:szCs w:val="21"/>
          <w:highlight w:val="none"/>
          <w14:textFill>
            <w14:solidFill>
              <w14:schemeClr w14:val="tx1"/>
            </w14:solidFill>
          </w14:textFill>
        </w:rPr>
        <w:t>100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500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）砂浆、混凝土拌和料不按规定配合比随意上机拌和的，除无偿返工外，每次扣除工程款</w:t>
      </w:r>
      <w:r>
        <w:rPr>
          <w:rFonts w:ascii="宋体" w:hAnsi="宋体" w:cs="宋体"/>
          <w:color w:val="000000" w:themeColor="text1"/>
          <w:kern w:val="0"/>
          <w:szCs w:val="21"/>
          <w:highlight w:val="none"/>
          <w14:textFill>
            <w14:solidFill>
              <w14:schemeClr w14:val="tx1"/>
            </w14:solidFill>
          </w14:textFill>
        </w:rPr>
        <w:t>2000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）随地拌砂浆，或砂浆、混凝土没有临时浆槽存放，或掺杂泥土进行拌浆的，除无偿返工外，每处每次扣除工程款</w:t>
      </w:r>
      <w:r>
        <w:rPr>
          <w:rFonts w:ascii="宋体" w:hAnsi="宋体" w:cs="宋体"/>
          <w:color w:val="000000" w:themeColor="text1"/>
          <w:kern w:val="0"/>
          <w:szCs w:val="21"/>
          <w:highlight w:val="none"/>
          <w14:textFill>
            <w14:solidFill>
              <w14:schemeClr w14:val="tx1"/>
            </w14:solidFill>
          </w14:textFill>
        </w:rPr>
        <w:t>1000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）砂浆、混凝土标号不符合设计要求的，除无偿返工外，每立方米砌体、混凝土扣除工程款</w:t>
      </w:r>
      <w:r>
        <w:rPr>
          <w:rFonts w:ascii="宋体" w:hAnsi="宋体" w:cs="宋体"/>
          <w:color w:val="000000" w:themeColor="text1"/>
          <w:kern w:val="0"/>
          <w:szCs w:val="21"/>
          <w:highlight w:val="none"/>
          <w14:textFill>
            <w14:solidFill>
              <w14:schemeClr w14:val="tx1"/>
            </w14:solidFill>
          </w14:textFill>
        </w:rPr>
        <w:t>100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500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8</w:t>
      </w:r>
      <w:r>
        <w:rPr>
          <w:rFonts w:hint="eastAsia" w:ascii="宋体" w:hAnsi="宋体" w:cs="宋体"/>
          <w:color w:val="000000" w:themeColor="text1"/>
          <w:kern w:val="0"/>
          <w:szCs w:val="21"/>
          <w:highlight w:val="none"/>
          <w14:textFill>
            <w14:solidFill>
              <w14:schemeClr w14:val="tx1"/>
            </w14:solidFill>
          </w14:textFill>
        </w:rPr>
        <w:t>）碎石、块石有污泥、油污未清洗干净而直接采用的，除无偿返工外，按每立方米分别扣除工程款</w:t>
      </w:r>
      <w:r>
        <w:rPr>
          <w:rFonts w:ascii="宋体" w:hAnsi="宋体" w:cs="宋体"/>
          <w:color w:val="000000" w:themeColor="text1"/>
          <w:kern w:val="0"/>
          <w:szCs w:val="21"/>
          <w:highlight w:val="none"/>
          <w14:textFill>
            <w14:solidFill>
              <w14:schemeClr w14:val="tx1"/>
            </w14:solidFill>
          </w14:textFill>
        </w:rPr>
        <w:t>100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w:t>
      </w:r>
      <w:r>
        <w:rPr>
          <w:rFonts w:hint="eastAsia" w:ascii="宋体" w:hAnsi="宋体" w:cs="宋体"/>
          <w:color w:val="000000" w:themeColor="text1"/>
          <w:kern w:val="0"/>
          <w:szCs w:val="21"/>
          <w:highlight w:val="none"/>
          <w14:textFill>
            <w14:solidFill>
              <w14:schemeClr w14:val="tx1"/>
            </w14:solidFill>
          </w14:textFill>
        </w:rPr>
        <w:t>）浆砌石不按要求进行砌筑的，除无偿返工外，按每立方米扣除工程款</w:t>
      </w:r>
      <w:r>
        <w:rPr>
          <w:rFonts w:ascii="宋体" w:hAnsi="宋体" w:cs="宋体"/>
          <w:color w:val="000000" w:themeColor="text1"/>
          <w:kern w:val="0"/>
          <w:szCs w:val="21"/>
          <w:highlight w:val="none"/>
          <w14:textFill>
            <w14:solidFill>
              <w14:schemeClr w14:val="tx1"/>
            </w14:solidFill>
          </w14:textFill>
        </w:rPr>
        <w:t>100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）浆砌石、板桩、铰链链锁板预制件没有按要求进行淋水养护，达不到设计标号的，除拆除或报废外，每立方米扣除工程款</w:t>
      </w:r>
      <w:r>
        <w:rPr>
          <w:rFonts w:ascii="宋体" w:hAnsi="宋体" w:cs="宋体"/>
          <w:color w:val="000000" w:themeColor="text1"/>
          <w:kern w:val="0"/>
          <w:szCs w:val="21"/>
          <w:highlight w:val="none"/>
          <w14:textFill>
            <w14:solidFill>
              <w14:schemeClr w14:val="tx1"/>
            </w14:solidFill>
          </w14:textFill>
        </w:rPr>
        <w:t>500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11</w:t>
      </w:r>
      <w:r>
        <w:rPr>
          <w:rFonts w:hint="eastAsia" w:ascii="宋体" w:hAnsi="宋体" w:cs="宋体"/>
          <w:color w:val="000000" w:themeColor="text1"/>
          <w:kern w:val="0"/>
          <w:szCs w:val="21"/>
          <w:highlight w:val="none"/>
          <w14:textFill>
            <w14:solidFill>
              <w14:schemeClr w14:val="tx1"/>
            </w14:solidFill>
          </w14:textFill>
        </w:rPr>
        <w:t>）板桩、铰链链锁板预制件混凝土表面的蜂窝、麻面（含砂斑）、平整度（用</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米直尺测平面）、平直度（用</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米直尺测轮廓线）、相邻板桩、铅丝笼块石错牙应达到以下标准：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①蜂窝面积不超过所在面积的</w:t>
      </w:r>
      <w:r>
        <w:rPr>
          <w:rFonts w:ascii="宋体" w:hAnsi="宋体" w:cs="宋体"/>
          <w:color w:val="000000" w:themeColor="text1"/>
          <w:kern w:val="0"/>
          <w:szCs w:val="21"/>
          <w:highlight w:val="none"/>
          <w14:textFill>
            <w14:solidFill>
              <w14:schemeClr w14:val="tx1"/>
            </w14:solidFill>
          </w14:textFill>
        </w:rPr>
        <w:t>0.2%</w:t>
      </w:r>
      <w:r>
        <w:rPr>
          <w:rFonts w:hint="eastAsia" w:ascii="宋体" w:hAnsi="宋体" w:cs="宋体"/>
          <w:color w:val="000000" w:themeColor="text1"/>
          <w:kern w:val="0"/>
          <w:szCs w:val="21"/>
          <w:highlight w:val="none"/>
          <w14:textFill>
            <w14:solidFill>
              <w14:schemeClr w14:val="tx1"/>
            </w14:solidFill>
          </w14:textFill>
        </w:rPr>
        <w:t>，麻面（含砂斑）面积不超过所在面积的</w:t>
      </w:r>
      <w:r>
        <w:rPr>
          <w:rFonts w:ascii="宋体" w:hAnsi="宋体" w:cs="宋体"/>
          <w:color w:val="000000" w:themeColor="text1"/>
          <w:kern w:val="0"/>
          <w:szCs w:val="21"/>
          <w:highlight w:val="none"/>
          <w14:textFill>
            <w14:solidFill>
              <w14:schemeClr w14:val="tx1"/>
            </w14:solidFill>
          </w14:textFill>
        </w:rPr>
        <w:t>0.5%</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②板桩、铰链链锁板表面平整度误差不超过</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毫米，平直度误差不超过</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毫米。误差超标的，未经监理人同意不得打磨、修补。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③相邻板桩错牙不超过</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毫米，平整度误差不超过</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毫米，误差超标的，拔出桩重打。</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④相邻铅丝笼块石错牙不超过</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毫米，平整度误差不超过</w:t>
      </w:r>
      <w:r>
        <w:rPr>
          <w:rFonts w:ascii="宋体" w:hAnsi="宋体" w:cs="宋体"/>
          <w:color w:val="000000" w:themeColor="text1"/>
          <w:kern w:val="0"/>
          <w:szCs w:val="21"/>
          <w:highlight w:val="none"/>
          <w14:textFill>
            <w14:solidFill>
              <w14:schemeClr w14:val="tx1"/>
            </w14:solidFill>
          </w14:textFill>
        </w:rPr>
        <w:t>8</w:t>
      </w:r>
      <w:r>
        <w:rPr>
          <w:rFonts w:hint="eastAsia" w:ascii="宋体" w:hAnsi="宋体" w:cs="宋体"/>
          <w:color w:val="000000" w:themeColor="text1"/>
          <w:kern w:val="0"/>
          <w:szCs w:val="21"/>
          <w:highlight w:val="none"/>
          <w14:textFill>
            <w14:solidFill>
              <w14:schemeClr w14:val="tx1"/>
            </w14:solidFill>
          </w14:textFill>
        </w:rPr>
        <w:t>毫米，平直度误差不超过</w:t>
      </w:r>
      <w:r>
        <w:rPr>
          <w:rFonts w:ascii="宋体" w:hAnsi="宋体" w:cs="宋体"/>
          <w:color w:val="000000" w:themeColor="text1"/>
          <w:kern w:val="0"/>
          <w:szCs w:val="21"/>
          <w:highlight w:val="none"/>
          <w14:textFill>
            <w14:solidFill>
              <w14:schemeClr w14:val="tx1"/>
            </w14:solidFill>
          </w14:textFill>
        </w:rPr>
        <w:t>20</w:t>
      </w:r>
      <w:r>
        <w:rPr>
          <w:rFonts w:hint="eastAsia" w:ascii="宋体" w:hAnsi="宋体" w:cs="宋体"/>
          <w:color w:val="000000" w:themeColor="text1"/>
          <w:kern w:val="0"/>
          <w:szCs w:val="21"/>
          <w:highlight w:val="none"/>
          <w14:textFill>
            <w14:solidFill>
              <w14:schemeClr w14:val="tx1"/>
            </w14:solidFill>
          </w14:textFill>
        </w:rPr>
        <w:t>毫米。误差超标的，重新砌筑。</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蜂窝、麻面（含砂斑）面积超过上述控制标准的，超过部分分别按</w:t>
      </w:r>
      <w:r>
        <w:rPr>
          <w:rFonts w:ascii="宋体" w:hAnsi="宋体" w:cs="宋体"/>
          <w:color w:val="000000" w:themeColor="text1"/>
          <w:kern w:val="0"/>
          <w:szCs w:val="21"/>
          <w:highlight w:val="none"/>
          <w14:textFill>
            <w14:solidFill>
              <w14:schemeClr w14:val="tx1"/>
            </w14:solidFill>
          </w14:textFill>
        </w:rPr>
        <w:t>5000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平方米、</w:t>
      </w:r>
      <w:r>
        <w:rPr>
          <w:rFonts w:ascii="宋体" w:hAnsi="宋体" w:cs="宋体"/>
          <w:color w:val="000000" w:themeColor="text1"/>
          <w:kern w:val="0"/>
          <w:szCs w:val="21"/>
          <w:highlight w:val="none"/>
          <w14:textFill>
            <w14:solidFill>
              <w14:schemeClr w14:val="tx1"/>
            </w14:solidFill>
          </w14:textFill>
        </w:rPr>
        <w:t>2000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平方米扣除工程款；平整度、平直度达不到上述标准的，分别按</w:t>
      </w:r>
      <w:r>
        <w:rPr>
          <w:rFonts w:ascii="宋体" w:hAnsi="宋体" w:cs="宋体"/>
          <w:color w:val="000000" w:themeColor="text1"/>
          <w:kern w:val="0"/>
          <w:szCs w:val="21"/>
          <w:highlight w:val="none"/>
          <w14:textFill>
            <w14:solidFill>
              <w14:schemeClr w14:val="tx1"/>
            </w14:solidFill>
          </w14:textFill>
        </w:rPr>
        <w:t>500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处、</w:t>
      </w:r>
      <w:r>
        <w:rPr>
          <w:rFonts w:ascii="宋体" w:hAnsi="宋体" w:cs="宋体"/>
          <w:color w:val="000000" w:themeColor="text1"/>
          <w:kern w:val="0"/>
          <w:szCs w:val="21"/>
          <w:highlight w:val="none"/>
          <w14:textFill>
            <w14:solidFill>
              <w14:schemeClr w14:val="tx1"/>
            </w14:solidFill>
          </w14:textFill>
        </w:rPr>
        <w:t>1000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处扣除工程款。不足一个扣除工程款单位的，按一个扣除工程款单位进行扣除。</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12</w:t>
      </w:r>
      <w:r>
        <w:rPr>
          <w:rFonts w:hint="eastAsia" w:ascii="宋体" w:hAnsi="宋体" w:cs="宋体"/>
          <w:color w:val="000000" w:themeColor="text1"/>
          <w:kern w:val="0"/>
          <w:szCs w:val="21"/>
          <w:highlight w:val="none"/>
          <w14:textFill>
            <w14:solidFill>
              <w14:schemeClr w14:val="tx1"/>
            </w14:solidFill>
          </w14:textFill>
        </w:rPr>
        <w:t>）使用不合格材料的，除由承包人负责清除出场外，尚需按以下各项分别扣除工程款：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①土料：每立方米</w:t>
      </w:r>
      <w:r>
        <w:rPr>
          <w:rFonts w:ascii="宋体" w:hAnsi="宋体" w:cs="宋体"/>
          <w:color w:val="000000" w:themeColor="text1"/>
          <w:kern w:val="0"/>
          <w:szCs w:val="21"/>
          <w:highlight w:val="none"/>
          <w14:textFill>
            <w14:solidFill>
              <w14:schemeClr w14:val="tx1"/>
            </w14:solidFill>
          </w14:textFill>
        </w:rPr>
        <w:t>50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②砂：每立方米</w:t>
      </w:r>
      <w:r>
        <w:rPr>
          <w:rFonts w:ascii="宋体" w:hAnsi="宋体" w:cs="宋体"/>
          <w:color w:val="000000" w:themeColor="text1"/>
          <w:kern w:val="0"/>
          <w:szCs w:val="21"/>
          <w:highlight w:val="none"/>
          <w14:textFill>
            <w14:solidFill>
              <w14:schemeClr w14:val="tx1"/>
            </w14:solidFill>
          </w14:textFill>
        </w:rPr>
        <w:t>60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③块石：每立方米</w:t>
      </w:r>
      <w:r>
        <w:rPr>
          <w:rFonts w:ascii="宋体" w:hAnsi="宋体" w:cs="宋体"/>
          <w:color w:val="000000" w:themeColor="text1"/>
          <w:kern w:val="0"/>
          <w:szCs w:val="21"/>
          <w:highlight w:val="none"/>
          <w14:textFill>
            <w14:solidFill>
              <w14:schemeClr w14:val="tx1"/>
            </w14:solidFill>
          </w14:textFill>
        </w:rPr>
        <w:t>80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ab/>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④水泥：每吨</w:t>
      </w:r>
      <w:r>
        <w:rPr>
          <w:rFonts w:ascii="宋体" w:hAnsi="宋体" w:cs="宋体"/>
          <w:color w:val="000000" w:themeColor="text1"/>
          <w:kern w:val="0"/>
          <w:szCs w:val="21"/>
          <w:highlight w:val="none"/>
          <w14:textFill>
            <w14:solidFill>
              <w14:schemeClr w14:val="tx1"/>
            </w14:solidFill>
          </w14:textFill>
        </w:rPr>
        <w:t>500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⑤钢筋：每吨</w:t>
      </w:r>
      <w:r>
        <w:rPr>
          <w:rFonts w:ascii="宋体" w:hAnsi="宋体" w:cs="宋体"/>
          <w:color w:val="000000" w:themeColor="text1"/>
          <w:kern w:val="0"/>
          <w:szCs w:val="21"/>
          <w:highlight w:val="none"/>
          <w14:textFill>
            <w14:solidFill>
              <w14:schemeClr w14:val="tx1"/>
            </w14:solidFill>
          </w14:textFill>
        </w:rPr>
        <w:t>4000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⑥模板：每平方米</w:t>
      </w:r>
      <w:r>
        <w:rPr>
          <w:rFonts w:ascii="宋体" w:hAnsi="宋体" w:cs="宋体"/>
          <w:color w:val="000000" w:themeColor="text1"/>
          <w:kern w:val="0"/>
          <w:szCs w:val="21"/>
          <w:highlight w:val="none"/>
          <w14:textFill>
            <w14:solidFill>
              <w14:schemeClr w14:val="tx1"/>
            </w14:solidFill>
          </w14:textFill>
        </w:rPr>
        <w:t>150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⑦碎石：每立方米</w:t>
      </w:r>
      <w:r>
        <w:rPr>
          <w:rFonts w:ascii="宋体" w:hAnsi="宋体" w:cs="宋体"/>
          <w:color w:val="000000" w:themeColor="text1"/>
          <w:kern w:val="0"/>
          <w:szCs w:val="21"/>
          <w:highlight w:val="none"/>
          <w14:textFill>
            <w14:solidFill>
              <w14:schemeClr w14:val="tx1"/>
            </w14:solidFill>
          </w14:textFill>
        </w:rPr>
        <w:t>100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监理人指出后仍强行使用的，除清除出场外，需加倍扣除工程款。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13</w:t>
      </w:r>
      <w:r>
        <w:rPr>
          <w:rFonts w:hint="eastAsia" w:ascii="宋体" w:hAnsi="宋体" w:cs="宋体"/>
          <w:color w:val="000000" w:themeColor="text1"/>
          <w:kern w:val="0"/>
          <w:szCs w:val="21"/>
          <w:highlight w:val="none"/>
          <w14:textFill>
            <w14:solidFill>
              <w14:schemeClr w14:val="tx1"/>
            </w14:solidFill>
          </w14:textFill>
        </w:rPr>
        <w:t>）承包人用于本工程的原材料、中间产品未提供有相应资质的检测部门出具的有效检验报告或免检证的，按不合格材料论处。若强行使用，除清除出场外，并加倍扣除工程款。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14</w:t>
      </w:r>
      <w:r>
        <w:rPr>
          <w:rFonts w:hint="eastAsia" w:ascii="宋体" w:hAnsi="宋体" w:cs="宋体"/>
          <w:color w:val="000000" w:themeColor="text1"/>
          <w:kern w:val="0"/>
          <w:szCs w:val="21"/>
          <w:highlight w:val="none"/>
          <w14:textFill>
            <w14:solidFill>
              <w14:schemeClr w14:val="tx1"/>
            </w14:solidFill>
          </w14:textFill>
        </w:rPr>
        <w:t>）草皮及其铺设质量不合格的，按</w:t>
      </w:r>
      <w:r>
        <w:rPr>
          <w:rFonts w:ascii="宋体" w:hAnsi="宋体" w:cs="宋体"/>
          <w:color w:val="000000" w:themeColor="text1"/>
          <w:kern w:val="0"/>
          <w:szCs w:val="21"/>
          <w:highlight w:val="none"/>
          <w14:textFill>
            <w14:solidFill>
              <w14:schemeClr w14:val="tx1"/>
            </w14:solidFill>
          </w14:textFill>
        </w:rPr>
        <w:t>50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平方米扣除工程款；树木及栽种质量不合格的，乔木按</w:t>
      </w:r>
      <w:r>
        <w:rPr>
          <w:rFonts w:ascii="宋体" w:hAnsi="宋体" w:cs="宋体"/>
          <w:color w:val="000000" w:themeColor="text1"/>
          <w:kern w:val="0"/>
          <w:szCs w:val="21"/>
          <w:highlight w:val="none"/>
          <w14:textFill>
            <w14:solidFill>
              <w14:schemeClr w14:val="tx1"/>
            </w14:solidFill>
          </w14:textFill>
        </w:rPr>
        <w:t>500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株扣除工程款，灌木按</w:t>
      </w:r>
      <w:r>
        <w:rPr>
          <w:rFonts w:ascii="宋体" w:hAnsi="宋体" w:cs="宋体"/>
          <w:color w:val="000000" w:themeColor="text1"/>
          <w:kern w:val="0"/>
          <w:szCs w:val="21"/>
          <w:highlight w:val="none"/>
          <w14:textFill>
            <w14:solidFill>
              <w14:schemeClr w14:val="tx1"/>
            </w14:solidFill>
          </w14:textFill>
        </w:rPr>
        <w:t>100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株扣除工程款。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15</w:t>
      </w:r>
      <w:r>
        <w:rPr>
          <w:rFonts w:hint="eastAsia" w:ascii="宋体" w:hAnsi="宋体" w:cs="宋体"/>
          <w:color w:val="000000" w:themeColor="text1"/>
          <w:kern w:val="0"/>
          <w:szCs w:val="21"/>
          <w:highlight w:val="none"/>
          <w14:textFill>
            <w14:solidFill>
              <w14:schemeClr w14:val="tx1"/>
            </w14:solidFill>
          </w14:textFill>
        </w:rPr>
        <w:t>）工程竣工验收前，经抽检发现达不到合格标准的，土方、混凝土、浆砌石按每个不合格点扣除工程款</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万元。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16</w:t>
      </w:r>
      <w:r>
        <w:rPr>
          <w:rFonts w:hint="eastAsia" w:ascii="宋体" w:hAnsi="宋体" w:cs="宋体"/>
          <w:color w:val="000000" w:themeColor="text1"/>
          <w:kern w:val="0"/>
          <w:szCs w:val="21"/>
          <w:highlight w:val="none"/>
          <w14:textFill>
            <w14:solidFill>
              <w14:schemeClr w14:val="tx1"/>
            </w14:solidFill>
          </w14:textFill>
        </w:rPr>
        <w:t>）工程质量监督部门以及建设或水行政主管部门检查指出的质量问题，除返工整顿外，每个问题扣除工程款</w:t>
      </w:r>
      <w:r>
        <w:rPr>
          <w:rFonts w:ascii="宋体" w:hAnsi="宋体" w:cs="宋体"/>
          <w:color w:val="000000" w:themeColor="text1"/>
          <w:kern w:val="0"/>
          <w:szCs w:val="21"/>
          <w:highlight w:val="none"/>
          <w14:textFill>
            <w14:solidFill>
              <w14:schemeClr w14:val="tx1"/>
            </w14:solidFill>
          </w14:textFill>
        </w:rPr>
        <w:t>5000</w:t>
      </w:r>
      <w:r>
        <w:rPr>
          <w:rFonts w:hint="eastAsia" w:ascii="宋体" w:hAnsi="宋体" w:cs="宋体"/>
          <w:color w:val="000000" w:themeColor="text1"/>
          <w:kern w:val="0"/>
          <w:szCs w:val="21"/>
          <w:highlight w:val="none"/>
          <w14:textFill>
            <w14:solidFill>
              <w14:schemeClr w14:val="tx1"/>
            </w14:solidFill>
          </w14:textFill>
        </w:rPr>
        <w:t>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17</w:t>
      </w:r>
      <w:r>
        <w:rPr>
          <w:rFonts w:hint="eastAsia" w:ascii="宋体" w:hAnsi="宋体" w:cs="宋体"/>
          <w:color w:val="000000" w:themeColor="text1"/>
          <w:kern w:val="0"/>
          <w:szCs w:val="21"/>
          <w:highlight w:val="none"/>
          <w14:textFill>
            <w14:solidFill>
              <w14:schemeClr w14:val="tx1"/>
            </w14:solidFill>
          </w14:textFill>
        </w:rPr>
        <w:t>）无法具体确定不合格工程量的，则以当日上午（或下午）半天工程量作为扣除工程款的处罚工程量。</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13.4 工程隐蔽部位覆盖前的检查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13.4.2 监理人未到场检查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删除本款全文。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13.4.3 监理人重新检查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删除本款全文。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13.4.4 承包人私自覆盖</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本款增加以下内容：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对工程项目划分中明确的隐蔽工程和隐蔽部位，承包人私自覆盖的，每次扣除工程款</w:t>
      </w:r>
      <w:r>
        <w:rPr>
          <w:rFonts w:ascii="宋体" w:hAnsi="宋体" w:cs="宋体"/>
          <w:color w:val="000000" w:themeColor="text1"/>
          <w:kern w:val="0"/>
          <w:szCs w:val="21"/>
          <w:highlight w:val="none"/>
          <w14:textFill>
            <w14:solidFill>
              <w14:schemeClr w14:val="tx1"/>
            </w14:solidFill>
          </w14:textFill>
        </w:rPr>
        <w:t>5000</w:t>
      </w:r>
      <w:r>
        <w:rPr>
          <w:rFonts w:hint="eastAsia" w:ascii="宋体" w:hAnsi="宋体" w:cs="宋体"/>
          <w:color w:val="000000" w:themeColor="text1"/>
          <w:kern w:val="0"/>
          <w:szCs w:val="21"/>
          <w:highlight w:val="none"/>
          <w14:textFill>
            <w14:solidFill>
              <w14:schemeClr w14:val="tx1"/>
            </w14:solidFill>
          </w14:textFill>
        </w:rPr>
        <w:t>元；私自覆盖而事后又检查出承包人施工质量不合格的，每次再扣除工程款</w:t>
      </w:r>
      <w:r>
        <w:rPr>
          <w:rFonts w:ascii="宋体" w:hAnsi="宋体" w:cs="宋体"/>
          <w:color w:val="000000" w:themeColor="text1"/>
          <w:kern w:val="0"/>
          <w:szCs w:val="21"/>
          <w:highlight w:val="none"/>
          <w14:textFill>
            <w14:solidFill>
              <w14:schemeClr w14:val="tx1"/>
            </w14:solidFill>
          </w14:textFill>
        </w:rPr>
        <w:t>2000</w:t>
      </w:r>
      <w:r>
        <w:rPr>
          <w:rFonts w:hint="eastAsia" w:ascii="宋体" w:hAnsi="宋体" w:cs="宋体"/>
          <w:color w:val="000000" w:themeColor="text1"/>
          <w:kern w:val="0"/>
          <w:szCs w:val="21"/>
          <w:highlight w:val="none"/>
          <w14:textFill>
            <w14:solidFill>
              <w14:schemeClr w14:val="tx1"/>
            </w14:solidFill>
          </w14:textFill>
        </w:rPr>
        <w:t>元。</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40" w:name="_Toc141505193"/>
      <w:bookmarkStart w:id="1541" w:name="_Toc147856228"/>
      <w:r>
        <w:rPr>
          <w:rStyle w:val="114"/>
          <w:bCs/>
          <w:color w:val="000000" w:themeColor="text1"/>
          <w:highlight w:val="none"/>
          <w14:textFill>
            <w14:solidFill>
              <w14:schemeClr w14:val="tx1"/>
            </w14:solidFill>
          </w14:textFill>
        </w:rPr>
        <w:t>14. 试验和检验</w:t>
      </w:r>
      <w:bookmarkEnd w:id="1540"/>
      <w:bookmarkEnd w:id="1541"/>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14.2 现场材料试验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删去本款全文，代之以：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应按合同规定和监理人的指示进行各项材料试验并承担所需费用。试验须委托工程质量安全监督机构或其他经监理人同意的合格检测单位进行（如承包人在工地建立自己的试验室进行材料实验，实验室资质须经过监理人的验收合格后方能使用）。承包人应为监理人进行质量检查和检验提供必要的试验资料和原始记录。监理人在质量检查和检验过程中若需抽样试验，所需试件应由承包人提供，监理人可以使用承包人的试验设备，承包人应予协助。</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42" w:name="_Toc2813"/>
      <w:bookmarkStart w:id="1543" w:name="_Toc21551"/>
      <w:bookmarkStart w:id="1544" w:name="_Toc1013381522"/>
      <w:bookmarkStart w:id="1545" w:name="_Toc147856229"/>
      <w:r>
        <w:rPr>
          <w:rStyle w:val="114"/>
          <w:bCs/>
          <w:color w:val="000000" w:themeColor="text1"/>
          <w:highlight w:val="none"/>
          <w14:textFill>
            <w14:solidFill>
              <w14:schemeClr w14:val="tx1"/>
            </w14:solidFill>
          </w14:textFill>
        </w:rPr>
        <w:t xml:space="preserve">15. </w:t>
      </w:r>
      <w:r>
        <w:rPr>
          <w:rStyle w:val="114"/>
          <w:rFonts w:hint="eastAsia"/>
          <w:bCs/>
          <w:color w:val="000000" w:themeColor="text1"/>
          <w:highlight w:val="none"/>
          <w14:textFill>
            <w14:solidFill>
              <w14:schemeClr w14:val="tx1"/>
            </w14:solidFill>
          </w14:textFill>
        </w:rPr>
        <w:t>变更</w:t>
      </w:r>
      <w:bookmarkEnd w:id="1542"/>
      <w:bookmarkEnd w:id="1543"/>
      <w:bookmarkEnd w:id="1544"/>
      <w:bookmarkEnd w:id="1545"/>
    </w:p>
    <w:p>
      <w:pPr>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删去本款全文，代之以：</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15.1 变更的范围和内容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）在履行合同过程中，监理人可根据工程的需要指示承包人进行以下各种类型的变更、没有监理人的指示，承包人不得擅自变更。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①增加或减少合同中任何一项工作内容；</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②改变合同中任何一项工作的标准或性质；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③改变工程建筑物的形式、基线、标高、位置或尺寸：</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④改变合同中任何一项工程的完工日期或改变已批准的施工顺序：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⑤追加为完成工程所需的任何额外工作。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（2）变更分为第I类变更和第II类变更，本项中②、③、④为第I类变更，①、⑤为第II类变更，涉及的合同价格调整按以下规定办理：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第I类变更累计引起的工程造价变化在中标价5%以内的，则设计变更引起的造价变化不参与合同价格调整，但超出中标价5%以外的部分据实调整合同价。因第I类变更引起的临时工程，除围堰、导流、基坑工程量变化外，其余均不予调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第II类变更，包括因此引起的临时工程量增减，均按工程造价据实调整合同价。因堤轴线长度增减或轴线横断面范围内增减施工项目的，也按第II类变更处理，据实调整合同价。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（3）主要材料（设备）价格波动按16条规定据实调整合同价。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（4）以下情况不作为变更处理，不予调整合同价：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1）对于堤防工程，堤轴线不变的情况下，由于施工图纸标示的地面线与实际地形不一致而引起的工程量增减。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2）承包人自身应承担的风险范围内工作。</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（5）由于变更引起的工程施工组织和进度计划发生的任何变动，均不予以调整项目单价和合价。</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15.2变更的处理原则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）变更需要延长工期时，应按本合同的规定办理；若变更使合同工作量减少，监理人认为应予提前变更项目的工期时，由监理人和承包人协商确定。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）变更的审核和批准手续按《广州南沙开发区（南沙区）政府统筹投资建设项目工程合同变更管理办法》及其补充文件等最新政策办理。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（3）变更前后项目引起的单价和合价按以下规定办理：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若《修正价清单》中有适用的项目综合单价，应以工程实施期（发包人批准）适用于本工程的最近一期广州地区最新定额和材料、人工机械台班等指导价格等计算的项目综合单价作为参考综合单价，与修正价清单综合单价进行比对后，按以下情况处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a）.对于变更增加工程，若修正价清单综合单价不高于参考综合单价的10%，可按修正价清单综合单价计算修正价清单以外的工程量的价款。若修正价清单综合单价高于参考综合单价的10%，则修正价清单以外的工程量不得采用合同价格计价，应以参考综合单价按投标下浮率下浮后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b）.对于变更减少工程，若修正价清单综合单价与参考综合单价相差超过10%的，不得采用合同价格计价，应以参考综合单价按投标下浮率下浮后执行。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若《修正价清单》中没有适用的项目综合单价，应以工程实施期（发包人批准）适用于本工程的最近一期的广州地区最新定额和材料、人工机械台班等指导价格等计算的项目综合单价作为参考综合单价，以参考综合单价按投标下浮率下浮后执行。其中材料价格及人工、机械台班费的确定方式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a）若《修正价清单》中已有相应的材料价格，则直接采用；若无相应的材料价格，则采用施工期间（以变更通知书下发的时间为准）广州地区材料指导价格；</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b）若《修正价清单》中已有相应的人工费、机械台班费，则直接采用；若无相应的价格，则采用施工期间国家有关计价文件的单价，若遇国家及地方文件调整的，按调整文件要求执行。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3）无类似项目的定额和材料价格时，则由发包人、监理人与承包人协商确定单价或合价。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（4）合同变更中涉及的主要材料应注明产地、品牌、规格和组价依据，并由监理复核，经项目管理单位、发包人审核后确认。</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15.3 变更指示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）监理人应在发包人授权范围内，按第15</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款的规定及时向承包人发出变更指示。变更指示的内容应包括变更项目的详细变更内容、变更工程量、变更项目的施工技术要求和有关文件图纸以及监理人按第15</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款规定指明的变更处理原则。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（2）监理人在向承包人发出任何图纸和文件前，应仔细检查其中是否存在第15</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款所述的变更。若存在变更，监理人应按本款</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项的规定发出变更指示。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（3）承包人收到监理人发出的图纸和文件后，经检查后认为其中存在第15</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款所述的变更而监理人未按本款</w:t>
      </w: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项规定发出变更指示，则应在收到上述图纸和文件后7天内或在开始执行前</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以日期早者为准</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通知监理人，并提供必要的依据。监理人应在收到承包人通知后7天内答复承包人：若同意作为变更。应按本款</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项规定补发变更指示；若不同意作为变更，亦应在上述期限内答复承包人。若监理人未在7天内答复承包人，则视为监理人已同意承包人提出的作为变更的要求。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承包人在投标时已充分考察了施工现场情况，报价中已包括了施工范围内的场地平整、地上附着物拆卸（除）、鱼（虾）塘处理、清淤、排水及其他相关临时工程等费用，在合同实施时，不得以任何原因增加该部分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合同签定后，承包人进场施工，中途如遇国家宏观计划决策调控，或因不可抗力以及甲、乙双方之外的原因，导致工程必须执行停建、缓建命令时，双方对在建工程应商定建至安全部位，避免更大损失。此时，发包人应按合同规定支付已完工的价款，并向承包人作价接收已为本工程所储备的材料；承包人应妥善做好已购材料、设备的保护和移交工作，并按发包人要求将自有设备和人员尽快撤离施工场地。发包人应为承包人撤离工作提供必要条件，并支付以上工作所需费用。已经订货的材料、设备由订方负责退货，未及时退货造成的损失由责任方承担。</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15.4 变更的报价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承包人收到监理人发出的变更指示后7天内，应向监理人提交一份变更报价书，其内容应包括承包人确认的变更处理原则和变更工程量及其变更项目的报价单。监理人认为必要时，可要求承包人提交重大变更项目的施工措施、进度计划和单价分析等。</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）承包人对监理人提出的变更处理原则持有异议时，可在收到变更指示后</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天内通知监理人，监理人则应在收到通知后</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天内答复承包人。</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15.5 变更决定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）监理人应在收到承包人变更报价书后7天内对变更报价书进行审核后作出变更决定，并通知承包人。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发包人和承包人未能就监理人的决定取得一致意见，则监理人可暂定他认为合适的价格和需要调整的工期，并将其暂定的变更处理意见通知发包人和承包人，此时承包人应遵照执行。对已实施的变更，监理人可将其暂定的变更费用列入第17款规定的月进度付款中。但发包人和承包人均有权在收到监理人变更决定后的7天内要求按第24款的规定提请争议评审组评审，若在此期限内双方均未提出上述要求，则监理人的变更决定即为最终决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（3）在紧急情况下，监理人向承包人发出的变更指示，可要求立即进行变更工作。承包人收到监理人的变更指示后</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应先按指示执行</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再按第15</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款的规定监理人提交变更报价书，监理人则仍应按本款</w:t>
      </w: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项的规定补发变更决定通知。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（4）监理人签署的变更指示是合同文件的补充，承包人必须按要求执行，不得拒绝。</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15.6 承包人原因引起的变更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（1）承包人违约或其它由于承包人原因引起的变更，其增加的费用和工期延误责任由承包人承担。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承包人不得擅自变更设计。倘如承包人有合理化建议措施，必须事先提出变更设计图纸，计算书和施工方案，经发包人、设计单位与监理工程师审查签认后，方可实施。凡未经设计、审核、技术负责人签字及设计单位盖章的图纸和未经发包人及监理工程师审查签认的，均属手续不全，一概无效。由于承包人按无效图纸施工造成的一切损失，均由承包人承担。”</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46" w:name="_Toc11412"/>
      <w:bookmarkStart w:id="1547" w:name="_Toc18228"/>
      <w:bookmarkStart w:id="1548" w:name="_Toc210435897"/>
      <w:bookmarkStart w:id="1549" w:name="_Toc147856230"/>
      <w:r>
        <w:rPr>
          <w:rStyle w:val="114"/>
          <w:bCs/>
          <w:color w:val="000000" w:themeColor="text1"/>
          <w:highlight w:val="none"/>
          <w14:textFill>
            <w14:solidFill>
              <w14:schemeClr w14:val="tx1"/>
            </w14:solidFill>
          </w14:textFill>
        </w:rPr>
        <w:t xml:space="preserve">16. </w:t>
      </w:r>
      <w:r>
        <w:rPr>
          <w:rStyle w:val="114"/>
          <w:rFonts w:hint="eastAsia"/>
          <w:bCs/>
          <w:color w:val="000000" w:themeColor="text1"/>
          <w:highlight w:val="none"/>
          <w14:textFill>
            <w14:solidFill>
              <w14:schemeClr w14:val="tx1"/>
            </w14:solidFill>
          </w14:textFill>
        </w:rPr>
        <w:t>价格调整</w:t>
      </w:r>
      <w:bookmarkEnd w:id="1546"/>
      <w:bookmarkEnd w:id="1547"/>
      <w:bookmarkEnd w:id="1548"/>
      <w:bookmarkEnd w:id="1549"/>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双方协商一致，第16.1条修改如下：</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16.1物价波动引起的调整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当《广州南沙开发区（南沙区）政府统筹投资建设项目工程合同变更管理办法》及其补充文件等最新政策允许的情况下，按如下方式调整：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1）主要材料（设备）价格在工程实施期（发包人批准的）《广州地区建设工程常用材料综合价格》与</w:t>
      </w:r>
      <w:r>
        <w:rPr>
          <w:rFonts w:hint="eastAsia" w:ascii="宋体" w:hAnsi="宋体" w:cs="宋体"/>
          <w:color w:val="000000" w:themeColor="text1"/>
          <w:kern w:val="0"/>
          <w:szCs w:val="21"/>
          <w:highlight w:val="none"/>
          <w14:textFill>
            <w14:solidFill>
              <w14:schemeClr w14:val="tx1"/>
            </w14:solidFill>
          </w14:textFill>
        </w:rPr>
        <w:t>修正合同价</w:t>
      </w:r>
      <w:r>
        <w:rPr>
          <w:rFonts w:ascii="宋体" w:hAnsi="宋体" w:cs="宋体"/>
          <w:color w:val="000000" w:themeColor="text1"/>
          <w:kern w:val="0"/>
          <w:szCs w:val="21"/>
          <w:highlight w:val="none"/>
          <w14:textFill>
            <w14:solidFill>
              <w14:schemeClr w14:val="tx1"/>
            </w14:solidFill>
          </w14:textFill>
        </w:rPr>
        <w:t>执行的《广州地区建设工程常用材料综合价格》相比，其材料单价价格差价超过±10%的材料项目方可进行调</w:t>
      </w:r>
      <w:r>
        <w:rPr>
          <w:rFonts w:hint="eastAsia" w:ascii="宋体" w:hAnsi="宋体" w:cs="宋体"/>
          <w:color w:val="000000" w:themeColor="text1"/>
          <w:kern w:val="0"/>
          <w:szCs w:val="21"/>
          <w:highlight w:val="none"/>
          <w14:textFill>
            <w14:solidFill>
              <w14:schemeClr w14:val="tx1"/>
            </w14:solidFill>
          </w14:textFill>
        </w:rPr>
        <w:t>整，其价格单价差价不超过±</w:t>
      </w:r>
      <w:r>
        <w:rPr>
          <w:rFonts w:ascii="宋体" w:hAnsi="宋体" w:cs="宋体"/>
          <w:color w:val="000000" w:themeColor="text1"/>
          <w:kern w:val="0"/>
          <w:szCs w:val="21"/>
          <w:highlight w:val="none"/>
          <w14:textFill>
            <w14:solidFill>
              <w14:schemeClr w14:val="tx1"/>
            </w14:solidFill>
          </w14:textFill>
        </w:rPr>
        <w:t>10%的材料项目不得列入材价调整范围，均按投标价执行，不作调整。承包人自身原因导致工期滞后所造成</w:t>
      </w:r>
      <w:r>
        <w:rPr>
          <w:rFonts w:hint="eastAsia" w:ascii="宋体" w:hAnsi="宋体" w:cs="宋体"/>
          <w:color w:val="000000" w:themeColor="text1"/>
          <w:kern w:val="0"/>
          <w:szCs w:val="21"/>
          <w:highlight w:val="none"/>
          <w14:textFill>
            <w14:solidFill>
              <w14:schemeClr w14:val="tx1"/>
            </w14:solidFill>
          </w14:textFill>
        </w:rPr>
        <w:t>的材料价差调增不属于上述调整范围。可调整的主要材料名称为：钢筋、水泥、砂、块石、碎石、木材、柴油、汽油。具体调整结果以</w:t>
      </w:r>
      <w:r>
        <w:rPr>
          <w:rFonts w:ascii="宋体" w:hAnsi="宋体" w:cs="宋体"/>
          <w:color w:val="000000" w:themeColor="text1"/>
          <w:kern w:val="0"/>
          <w:szCs w:val="21"/>
          <w:highlight w:val="none"/>
          <w14:textFill>
            <w14:solidFill>
              <w14:schemeClr w14:val="tx1"/>
            </w14:solidFill>
          </w14:textFill>
        </w:rPr>
        <w:t>有审核权限</w:t>
      </w:r>
      <w:r>
        <w:rPr>
          <w:rFonts w:hint="eastAsia" w:ascii="宋体" w:hAnsi="宋体" w:cs="宋体"/>
          <w:color w:val="000000" w:themeColor="text1"/>
          <w:kern w:val="0"/>
          <w:szCs w:val="21"/>
          <w:highlight w:val="none"/>
          <w14:textFill>
            <w14:solidFill>
              <w14:schemeClr w14:val="tx1"/>
            </w14:solidFill>
          </w14:textFill>
        </w:rPr>
        <w:t>部门核定的完工结算为准。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2）符合上款材价调整范围的主要材料在工程实施期（发包人批准的）的《广州地区建设工程常用材料综合价格》与</w:t>
      </w:r>
      <w:r>
        <w:rPr>
          <w:rFonts w:hint="eastAsia" w:ascii="宋体" w:hAnsi="宋体" w:cs="宋体"/>
          <w:color w:val="000000" w:themeColor="text1"/>
          <w:kern w:val="0"/>
          <w:szCs w:val="21"/>
          <w:highlight w:val="none"/>
          <w14:textFill>
            <w14:solidFill>
              <w14:schemeClr w14:val="tx1"/>
            </w14:solidFill>
          </w14:textFill>
        </w:rPr>
        <w:t>修正合同价</w:t>
      </w:r>
      <w:r>
        <w:rPr>
          <w:rFonts w:ascii="宋体" w:hAnsi="宋体" w:cs="宋体"/>
          <w:color w:val="000000" w:themeColor="text1"/>
          <w:kern w:val="0"/>
          <w:szCs w:val="21"/>
          <w:highlight w:val="none"/>
          <w14:textFill>
            <w14:solidFill>
              <w14:schemeClr w14:val="tx1"/>
            </w14:solidFill>
          </w14:textFill>
        </w:rPr>
        <w:t>执行的《广州地区建设工程常用材料综合价格》相比，超出±10%的部分作价差调整，按以下公式计算价差；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①主要材料价格下降时，且：</w:t>
      </w:r>
    </w:p>
    <w:tbl>
      <w:tblPr>
        <w:tblStyle w:val="60"/>
        <w:tblW w:w="0" w:type="auto"/>
        <w:jc w:val="center"/>
        <w:tblLayout w:type="fixed"/>
        <w:tblCellMar>
          <w:top w:w="0" w:type="dxa"/>
          <w:left w:w="108" w:type="dxa"/>
          <w:bottom w:w="0" w:type="dxa"/>
          <w:right w:w="108" w:type="dxa"/>
        </w:tblCellMar>
      </w:tblPr>
      <w:tblGrid>
        <w:gridCol w:w="948"/>
        <w:gridCol w:w="5661"/>
        <w:gridCol w:w="1450"/>
        <w:gridCol w:w="996"/>
      </w:tblGrid>
      <w:tr>
        <w:tblPrEx>
          <w:tblCellMar>
            <w:top w:w="0" w:type="dxa"/>
            <w:left w:w="108" w:type="dxa"/>
            <w:bottom w:w="0" w:type="dxa"/>
            <w:right w:w="108" w:type="dxa"/>
          </w:tblCellMar>
        </w:tblPrEx>
        <w:trPr>
          <w:trHeight w:val="405" w:hRule="atLeast"/>
          <w:jc w:val="center"/>
        </w:trPr>
        <w:tc>
          <w:tcPr>
            <w:tcW w:w="948" w:type="dxa"/>
            <w:vMerge w:val="restart"/>
            <w:tcBorders>
              <w:top w:val="nil"/>
              <w:left w:val="nil"/>
              <w:bottom w:val="nil"/>
              <w:right w:val="nil"/>
            </w:tcBorders>
            <w:vAlign w:val="center"/>
          </w:tcPr>
          <w:p>
            <w:pPr>
              <w:pStyle w:val="447"/>
              <w:spacing w:before="50" w:after="50" w:line="360" w:lineRule="auto"/>
              <w:jc w:val="center"/>
              <w:rPr>
                <w:rFonts w:ascii="宋体" w:hAnsi="宋体"/>
                <w:color w:val="000000" w:themeColor="text1"/>
                <w:sz w:val="16"/>
                <w:szCs w:val="15"/>
                <w:highlight w:val="none"/>
                <w14:textFill>
                  <w14:solidFill>
                    <w14:schemeClr w14:val="tx1"/>
                  </w14:solidFill>
                </w14:textFill>
              </w:rPr>
            </w:pPr>
            <w:r>
              <w:rPr>
                <w:rFonts w:hint="eastAsia" w:ascii="宋体" w:hAnsi="宋体"/>
                <w:color w:val="000000" w:themeColor="text1"/>
                <w:sz w:val="16"/>
                <w:szCs w:val="15"/>
                <w:highlight w:val="none"/>
                <w14:textFill>
                  <w14:solidFill>
                    <w14:schemeClr w14:val="tx1"/>
                  </w14:solidFill>
                </w14:textFill>
              </w:rPr>
              <w:t>（</w:t>
            </w:r>
            <w:r>
              <w:rPr>
                <w:rFonts w:ascii="宋体" w:hAnsi="宋体"/>
                <w:color w:val="000000" w:themeColor="text1"/>
                <w:sz w:val="16"/>
                <w:szCs w:val="15"/>
                <w:highlight w:val="none"/>
                <w14:textFill>
                  <w14:solidFill>
                    <w14:schemeClr w14:val="tx1"/>
                  </w14:solidFill>
                </w14:textFill>
              </w:rPr>
              <w:t>1—</w:t>
            </w:r>
          </w:p>
        </w:tc>
        <w:tc>
          <w:tcPr>
            <w:tcW w:w="5661" w:type="dxa"/>
            <w:tcBorders>
              <w:top w:val="nil"/>
              <w:left w:val="nil"/>
              <w:bottom w:val="single" w:color="000000" w:sz="4" w:space="0"/>
              <w:right w:val="nil"/>
            </w:tcBorders>
            <w:vAlign w:val="center"/>
          </w:tcPr>
          <w:p>
            <w:pPr>
              <w:pStyle w:val="447"/>
              <w:spacing w:before="50" w:after="50" w:line="360" w:lineRule="auto"/>
              <w:jc w:val="center"/>
              <w:rPr>
                <w:rFonts w:ascii="宋体" w:hAnsi="宋体"/>
                <w:color w:val="000000" w:themeColor="text1"/>
                <w:sz w:val="16"/>
                <w:szCs w:val="15"/>
                <w:highlight w:val="none"/>
                <w14:textFill>
                  <w14:solidFill>
                    <w14:schemeClr w14:val="tx1"/>
                  </w14:solidFill>
                </w14:textFill>
              </w:rPr>
            </w:pPr>
            <w:r>
              <w:rPr>
                <w:rFonts w:hint="eastAsia" w:ascii="宋体" w:hAnsi="宋体"/>
                <w:color w:val="000000" w:themeColor="text1"/>
                <w:sz w:val="16"/>
                <w:szCs w:val="15"/>
                <w:highlight w:val="none"/>
                <w14:textFill>
                  <w14:solidFill>
                    <w14:schemeClr w14:val="tx1"/>
                  </w14:solidFill>
                </w14:textFill>
              </w:rPr>
              <w:t>工程实施期（发包人批准的）《广州地区建设工程常用材料综合价格》</w:t>
            </w:r>
          </w:p>
        </w:tc>
        <w:tc>
          <w:tcPr>
            <w:tcW w:w="1450" w:type="dxa"/>
            <w:vMerge w:val="restart"/>
            <w:tcBorders>
              <w:top w:val="nil"/>
              <w:left w:val="nil"/>
              <w:bottom w:val="nil"/>
              <w:right w:val="nil"/>
            </w:tcBorders>
            <w:vAlign w:val="center"/>
          </w:tcPr>
          <w:p>
            <w:pPr>
              <w:pStyle w:val="447"/>
              <w:spacing w:before="50" w:after="50" w:line="360" w:lineRule="auto"/>
              <w:jc w:val="center"/>
              <w:rPr>
                <w:rFonts w:ascii="宋体" w:hAnsi="宋体"/>
                <w:color w:val="000000" w:themeColor="text1"/>
                <w:sz w:val="16"/>
                <w:szCs w:val="15"/>
                <w:highlight w:val="none"/>
                <w14:textFill>
                  <w14:solidFill>
                    <w14:schemeClr w14:val="tx1"/>
                  </w14:solidFill>
                </w14:textFill>
              </w:rPr>
            </w:pPr>
            <w:r>
              <w:rPr>
                <w:rFonts w:hint="eastAsia" w:ascii="宋体" w:hAnsi="宋体"/>
                <w:color w:val="000000" w:themeColor="text1"/>
                <w:sz w:val="16"/>
                <w:szCs w:val="15"/>
                <w:highlight w:val="none"/>
                <w14:textFill>
                  <w14:solidFill>
                    <w14:schemeClr w14:val="tx1"/>
                  </w14:solidFill>
                </w14:textFill>
              </w:rPr>
              <w:t>）×</w:t>
            </w:r>
            <w:r>
              <w:rPr>
                <w:rFonts w:ascii="宋体" w:hAnsi="宋体"/>
                <w:color w:val="000000" w:themeColor="text1"/>
                <w:sz w:val="16"/>
                <w:szCs w:val="15"/>
                <w:highlight w:val="none"/>
                <w14:textFill>
                  <w14:solidFill>
                    <w14:schemeClr w14:val="tx1"/>
                  </w14:solidFill>
                </w14:textFill>
              </w:rPr>
              <w:t>100%＞</w:t>
            </w:r>
          </w:p>
        </w:tc>
        <w:tc>
          <w:tcPr>
            <w:tcW w:w="996" w:type="dxa"/>
            <w:vMerge w:val="restart"/>
            <w:tcBorders>
              <w:top w:val="nil"/>
              <w:left w:val="nil"/>
              <w:bottom w:val="nil"/>
              <w:right w:val="nil"/>
            </w:tcBorders>
            <w:vAlign w:val="center"/>
          </w:tcPr>
          <w:p>
            <w:pPr>
              <w:pStyle w:val="447"/>
              <w:spacing w:before="50" w:after="50" w:line="360" w:lineRule="auto"/>
              <w:rPr>
                <w:rFonts w:ascii="宋体" w:hAnsi="宋体"/>
                <w:color w:val="000000" w:themeColor="text1"/>
                <w:sz w:val="16"/>
                <w:szCs w:val="15"/>
                <w:highlight w:val="none"/>
                <w14:textFill>
                  <w14:solidFill>
                    <w14:schemeClr w14:val="tx1"/>
                  </w14:solidFill>
                </w14:textFill>
              </w:rPr>
            </w:pPr>
            <w:r>
              <w:rPr>
                <w:rFonts w:ascii="宋体" w:hAnsi="宋体"/>
                <w:color w:val="000000" w:themeColor="text1"/>
                <w:sz w:val="16"/>
                <w:szCs w:val="15"/>
                <w:highlight w:val="none"/>
                <w14:textFill>
                  <w14:solidFill>
                    <w14:schemeClr w14:val="tx1"/>
                  </w14:solidFill>
                </w14:textFill>
              </w:rPr>
              <w:t>10%时</w:t>
            </w:r>
          </w:p>
        </w:tc>
      </w:tr>
      <w:tr>
        <w:tblPrEx>
          <w:tblCellMar>
            <w:top w:w="0" w:type="dxa"/>
            <w:left w:w="108" w:type="dxa"/>
            <w:bottom w:w="0" w:type="dxa"/>
            <w:right w:w="108" w:type="dxa"/>
          </w:tblCellMar>
        </w:tblPrEx>
        <w:trPr>
          <w:trHeight w:val="375" w:hRule="atLeast"/>
          <w:jc w:val="center"/>
        </w:trPr>
        <w:tc>
          <w:tcPr>
            <w:tcW w:w="948" w:type="dxa"/>
            <w:vMerge w:val="continue"/>
            <w:tcBorders>
              <w:top w:val="nil"/>
              <w:left w:val="nil"/>
              <w:bottom w:val="nil"/>
              <w:right w:val="nil"/>
            </w:tcBorders>
            <w:vAlign w:val="center"/>
          </w:tcPr>
          <w:p>
            <w:pPr>
              <w:spacing w:before="50" w:after="50" w:line="360" w:lineRule="auto"/>
              <w:ind w:firstLine="200"/>
              <w:rPr>
                <w:rFonts w:ascii="宋体" w:hAnsi="宋体"/>
                <w:color w:val="000000" w:themeColor="text1"/>
                <w:sz w:val="16"/>
                <w:szCs w:val="15"/>
                <w:highlight w:val="none"/>
                <w14:textFill>
                  <w14:solidFill>
                    <w14:schemeClr w14:val="tx1"/>
                  </w14:solidFill>
                </w14:textFill>
              </w:rPr>
            </w:pPr>
          </w:p>
        </w:tc>
        <w:tc>
          <w:tcPr>
            <w:tcW w:w="5661" w:type="dxa"/>
            <w:tcBorders>
              <w:top w:val="nil"/>
              <w:left w:val="nil"/>
              <w:bottom w:val="nil"/>
              <w:right w:val="nil"/>
            </w:tcBorders>
            <w:vAlign w:val="center"/>
          </w:tcPr>
          <w:p>
            <w:pPr>
              <w:pStyle w:val="447"/>
              <w:spacing w:before="50" w:after="50" w:line="360" w:lineRule="auto"/>
              <w:ind w:firstLine="200"/>
              <w:jc w:val="left"/>
              <w:rPr>
                <w:rFonts w:ascii="宋体" w:hAnsi="宋体"/>
                <w:color w:val="000000" w:themeColor="text1"/>
                <w:sz w:val="16"/>
                <w:szCs w:val="15"/>
                <w:highlight w:val="none"/>
                <w14:textFill>
                  <w14:solidFill>
                    <w14:schemeClr w14:val="tx1"/>
                  </w14:solidFill>
                </w14:textFill>
              </w:rPr>
            </w:pPr>
            <w:r>
              <w:rPr>
                <w:rFonts w:hint="eastAsia" w:ascii="宋体" w:hAnsi="宋体"/>
                <w:color w:val="000000" w:themeColor="text1"/>
                <w:sz w:val="16"/>
                <w:szCs w:val="15"/>
                <w:highlight w:val="none"/>
                <w14:textFill>
                  <w14:solidFill>
                    <w14:schemeClr w14:val="tx1"/>
                  </w14:solidFill>
                </w14:textFill>
              </w:rPr>
              <w:t>修正合同价执行的《广州地区建设工程常用材料综合价格》</w:t>
            </w:r>
          </w:p>
        </w:tc>
        <w:tc>
          <w:tcPr>
            <w:tcW w:w="1450" w:type="dxa"/>
            <w:vMerge w:val="continue"/>
            <w:tcBorders>
              <w:top w:val="nil"/>
              <w:left w:val="nil"/>
              <w:bottom w:val="nil"/>
              <w:right w:val="nil"/>
            </w:tcBorders>
            <w:vAlign w:val="center"/>
          </w:tcPr>
          <w:p>
            <w:pPr>
              <w:spacing w:before="50" w:after="50" w:line="360" w:lineRule="auto"/>
              <w:ind w:firstLine="200"/>
              <w:rPr>
                <w:rFonts w:ascii="宋体" w:hAnsi="宋体"/>
                <w:color w:val="000000" w:themeColor="text1"/>
                <w:sz w:val="16"/>
                <w:szCs w:val="15"/>
                <w:highlight w:val="none"/>
                <w14:textFill>
                  <w14:solidFill>
                    <w14:schemeClr w14:val="tx1"/>
                  </w14:solidFill>
                </w14:textFill>
              </w:rPr>
            </w:pPr>
          </w:p>
        </w:tc>
        <w:tc>
          <w:tcPr>
            <w:tcW w:w="996" w:type="dxa"/>
            <w:vMerge w:val="continue"/>
            <w:tcBorders>
              <w:top w:val="nil"/>
              <w:left w:val="nil"/>
              <w:bottom w:val="nil"/>
              <w:right w:val="nil"/>
            </w:tcBorders>
            <w:vAlign w:val="center"/>
          </w:tcPr>
          <w:p>
            <w:pPr>
              <w:spacing w:before="50" w:after="50" w:line="360" w:lineRule="auto"/>
              <w:ind w:firstLine="200"/>
              <w:rPr>
                <w:rFonts w:ascii="宋体" w:hAnsi="宋体"/>
                <w:color w:val="000000" w:themeColor="text1"/>
                <w:sz w:val="16"/>
                <w:szCs w:val="15"/>
                <w:highlight w:val="none"/>
                <w14:textFill>
                  <w14:solidFill>
                    <w14:schemeClr w14:val="tx1"/>
                  </w14:solidFill>
                </w14:textFill>
              </w:rPr>
            </w:pPr>
          </w:p>
        </w:tc>
      </w:tr>
    </w:tbl>
    <w:p>
      <w:pPr>
        <w:pStyle w:val="447"/>
        <w:snapToGrid w:val="0"/>
        <w:spacing w:before="50" w:after="50" w:line="360" w:lineRule="auto"/>
        <w:ind w:right="11"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单价价差</w:t>
      </w:r>
      <w:r>
        <w:rPr>
          <w:rFonts w:ascii="宋体" w:hAnsi="宋体"/>
          <w:color w:val="000000" w:themeColor="text1"/>
          <w:highlight w:val="none"/>
          <w14:textFill>
            <w14:solidFill>
              <w14:schemeClr w14:val="tx1"/>
            </w14:solidFill>
          </w14:textFill>
        </w:rPr>
        <w:t>=当期计划应完成工程量（且实际已完）施工期间的材料指导价格-（</w:t>
      </w:r>
      <w:r>
        <w:rPr>
          <w:rFonts w:hint="eastAsia" w:ascii="宋体" w:hAnsi="宋体"/>
          <w:color w:val="000000" w:themeColor="text1"/>
          <w:highlight w:val="none"/>
          <w14:textFill>
            <w14:solidFill>
              <w14:schemeClr w14:val="tx1"/>
            </w14:solidFill>
          </w14:textFill>
        </w:rPr>
        <w:t>修正合同价</w:t>
      </w:r>
      <w:r>
        <w:rPr>
          <w:rFonts w:ascii="宋体" w:hAnsi="宋体"/>
          <w:color w:val="000000" w:themeColor="text1"/>
          <w:highlight w:val="none"/>
          <w14:textFill>
            <w14:solidFill>
              <w14:schemeClr w14:val="tx1"/>
            </w14:solidFill>
          </w14:textFill>
        </w:rPr>
        <w:t>执行的材料指导价格×0.9）</w:t>
      </w:r>
    </w:p>
    <w:p>
      <w:pPr>
        <w:pStyle w:val="447"/>
        <w:snapToGrid w:val="0"/>
        <w:spacing w:before="50" w:after="50" w:line="360" w:lineRule="auto"/>
        <w:ind w:right="11"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②主要材料价格上涨时，且：</w:t>
      </w:r>
    </w:p>
    <w:tbl>
      <w:tblPr>
        <w:tblStyle w:val="60"/>
        <w:tblW w:w="0" w:type="auto"/>
        <w:jc w:val="center"/>
        <w:tblLayout w:type="fixed"/>
        <w:tblCellMar>
          <w:top w:w="0" w:type="dxa"/>
          <w:left w:w="108" w:type="dxa"/>
          <w:bottom w:w="0" w:type="dxa"/>
          <w:right w:w="108" w:type="dxa"/>
        </w:tblCellMar>
      </w:tblPr>
      <w:tblGrid>
        <w:gridCol w:w="636"/>
        <w:gridCol w:w="5495"/>
        <w:gridCol w:w="1866"/>
        <w:gridCol w:w="990"/>
      </w:tblGrid>
      <w:tr>
        <w:tblPrEx>
          <w:tblCellMar>
            <w:top w:w="0" w:type="dxa"/>
            <w:left w:w="108" w:type="dxa"/>
            <w:bottom w:w="0" w:type="dxa"/>
            <w:right w:w="108" w:type="dxa"/>
          </w:tblCellMar>
        </w:tblPrEx>
        <w:trPr>
          <w:trHeight w:val="405" w:hRule="atLeast"/>
          <w:jc w:val="center"/>
        </w:trPr>
        <w:tc>
          <w:tcPr>
            <w:tcW w:w="636" w:type="dxa"/>
            <w:vMerge w:val="restart"/>
            <w:tcBorders>
              <w:top w:val="nil"/>
              <w:left w:val="nil"/>
              <w:bottom w:val="nil"/>
              <w:right w:val="nil"/>
            </w:tcBorders>
            <w:vAlign w:val="center"/>
          </w:tcPr>
          <w:p>
            <w:pPr>
              <w:pStyle w:val="447"/>
              <w:spacing w:before="50" w:after="50" w:line="360" w:lineRule="auto"/>
              <w:ind w:firstLine="200"/>
              <w:jc w:val="center"/>
              <w:rPr>
                <w:rFonts w:ascii="宋体" w:hAnsi="宋体"/>
                <w:color w:val="000000" w:themeColor="text1"/>
                <w:sz w:val="16"/>
                <w:szCs w:val="16"/>
                <w:highlight w:val="none"/>
                <w14:textFill>
                  <w14:solidFill>
                    <w14:schemeClr w14:val="tx1"/>
                  </w14:solidFill>
                </w14:textFill>
              </w:rPr>
            </w:pPr>
            <w:r>
              <w:rPr>
                <w:rFonts w:hint="eastAsia" w:ascii="宋体" w:hAnsi="宋体"/>
                <w:color w:val="000000" w:themeColor="text1"/>
                <w:sz w:val="16"/>
                <w:szCs w:val="16"/>
                <w:highlight w:val="none"/>
                <w14:textFill>
                  <w14:solidFill>
                    <w14:schemeClr w14:val="tx1"/>
                  </w14:solidFill>
                </w14:textFill>
              </w:rPr>
              <w:t>（</w:t>
            </w:r>
          </w:p>
        </w:tc>
        <w:tc>
          <w:tcPr>
            <w:tcW w:w="5495" w:type="dxa"/>
            <w:tcBorders>
              <w:top w:val="nil"/>
              <w:left w:val="nil"/>
              <w:bottom w:val="single" w:color="000000" w:sz="4" w:space="0"/>
              <w:right w:val="nil"/>
            </w:tcBorders>
            <w:vAlign w:val="center"/>
          </w:tcPr>
          <w:p>
            <w:pPr>
              <w:pStyle w:val="447"/>
              <w:spacing w:before="50" w:after="50" w:line="360" w:lineRule="auto"/>
              <w:ind w:firstLine="200"/>
              <w:jc w:val="center"/>
              <w:rPr>
                <w:rFonts w:ascii="宋体" w:hAnsi="宋体"/>
                <w:color w:val="000000" w:themeColor="text1"/>
                <w:sz w:val="16"/>
                <w:szCs w:val="16"/>
                <w:highlight w:val="none"/>
                <w14:textFill>
                  <w14:solidFill>
                    <w14:schemeClr w14:val="tx1"/>
                  </w14:solidFill>
                </w14:textFill>
              </w:rPr>
            </w:pPr>
            <w:r>
              <w:rPr>
                <w:rFonts w:hint="eastAsia" w:ascii="宋体" w:hAnsi="宋体"/>
                <w:color w:val="000000" w:themeColor="text1"/>
                <w:sz w:val="16"/>
                <w:szCs w:val="16"/>
                <w:highlight w:val="none"/>
                <w14:textFill>
                  <w14:solidFill>
                    <w14:schemeClr w14:val="tx1"/>
                  </w14:solidFill>
                </w14:textFill>
              </w:rPr>
              <w:t>工程实施期（发包人批准的）《广州地区建设工程常用材料综合价格》</w:t>
            </w:r>
          </w:p>
        </w:tc>
        <w:tc>
          <w:tcPr>
            <w:tcW w:w="1866" w:type="dxa"/>
            <w:vMerge w:val="restart"/>
            <w:tcBorders>
              <w:top w:val="nil"/>
              <w:left w:val="nil"/>
              <w:bottom w:val="nil"/>
              <w:right w:val="nil"/>
            </w:tcBorders>
            <w:vAlign w:val="center"/>
          </w:tcPr>
          <w:p>
            <w:pPr>
              <w:pStyle w:val="447"/>
              <w:spacing w:before="50" w:after="50" w:line="360" w:lineRule="auto"/>
              <w:ind w:firstLine="200"/>
              <w:rPr>
                <w:rFonts w:ascii="宋体" w:hAnsi="宋体"/>
                <w:color w:val="000000" w:themeColor="text1"/>
                <w:sz w:val="16"/>
                <w:szCs w:val="16"/>
                <w:highlight w:val="none"/>
                <w14:textFill>
                  <w14:solidFill>
                    <w14:schemeClr w14:val="tx1"/>
                  </w14:solidFill>
                </w14:textFill>
              </w:rPr>
            </w:pPr>
            <w:r>
              <w:rPr>
                <w:rFonts w:hint="eastAsia" w:ascii="宋体" w:hAnsi="宋体"/>
                <w:color w:val="000000" w:themeColor="text1"/>
                <w:sz w:val="16"/>
                <w:szCs w:val="16"/>
                <w:highlight w:val="none"/>
                <w14:textFill>
                  <w14:solidFill>
                    <w14:schemeClr w14:val="tx1"/>
                  </w14:solidFill>
                </w14:textFill>
              </w:rPr>
              <w:t>—</w:t>
            </w:r>
            <w:r>
              <w:rPr>
                <w:rFonts w:ascii="宋体" w:hAnsi="宋体"/>
                <w:color w:val="000000" w:themeColor="text1"/>
                <w:sz w:val="16"/>
                <w:szCs w:val="16"/>
                <w:highlight w:val="none"/>
                <w14:textFill>
                  <w14:solidFill>
                    <w14:schemeClr w14:val="tx1"/>
                  </w14:solidFill>
                </w14:textFill>
              </w:rPr>
              <w:t>1）×100%＞</w:t>
            </w:r>
          </w:p>
        </w:tc>
        <w:tc>
          <w:tcPr>
            <w:tcW w:w="990" w:type="dxa"/>
            <w:vMerge w:val="restart"/>
            <w:tcBorders>
              <w:top w:val="nil"/>
              <w:left w:val="nil"/>
              <w:bottom w:val="nil"/>
              <w:right w:val="nil"/>
            </w:tcBorders>
            <w:vAlign w:val="center"/>
          </w:tcPr>
          <w:p>
            <w:pPr>
              <w:pStyle w:val="447"/>
              <w:spacing w:before="50" w:after="50" w:line="360" w:lineRule="auto"/>
              <w:rPr>
                <w:rFonts w:ascii="宋体" w:hAnsi="宋体"/>
                <w:color w:val="000000" w:themeColor="text1"/>
                <w:sz w:val="16"/>
                <w:szCs w:val="16"/>
                <w:highlight w:val="none"/>
                <w14:textFill>
                  <w14:solidFill>
                    <w14:schemeClr w14:val="tx1"/>
                  </w14:solidFill>
                </w14:textFill>
              </w:rPr>
            </w:pPr>
            <w:r>
              <w:rPr>
                <w:rFonts w:ascii="宋体" w:hAnsi="宋体"/>
                <w:color w:val="000000" w:themeColor="text1"/>
                <w:sz w:val="16"/>
                <w:szCs w:val="16"/>
                <w:highlight w:val="none"/>
                <w14:textFill>
                  <w14:solidFill>
                    <w14:schemeClr w14:val="tx1"/>
                  </w14:solidFill>
                </w14:textFill>
              </w:rPr>
              <w:t>10%时</w:t>
            </w:r>
          </w:p>
        </w:tc>
      </w:tr>
      <w:tr>
        <w:tblPrEx>
          <w:tblCellMar>
            <w:top w:w="0" w:type="dxa"/>
            <w:left w:w="108" w:type="dxa"/>
            <w:bottom w:w="0" w:type="dxa"/>
            <w:right w:w="108" w:type="dxa"/>
          </w:tblCellMar>
        </w:tblPrEx>
        <w:trPr>
          <w:trHeight w:val="375" w:hRule="atLeast"/>
          <w:jc w:val="center"/>
        </w:trPr>
        <w:tc>
          <w:tcPr>
            <w:tcW w:w="636" w:type="dxa"/>
            <w:vMerge w:val="continue"/>
            <w:tcBorders>
              <w:top w:val="nil"/>
              <w:left w:val="nil"/>
              <w:bottom w:val="nil"/>
              <w:right w:val="nil"/>
            </w:tcBorders>
            <w:vAlign w:val="center"/>
          </w:tcPr>
          <w:p>
            <w:pPr>
              <w:spacing w:before="50" w:after="50" w:line="360" w:lineRule="auto"/>
              <w:ind w:firstLine="200"/>
              <w:rPr>
                <w:rFonts w:ascii="宋体" w:hAnsi="宋体"/>
                <w:color w:val="000000" w:themeColor="text1"/>
                <w:sz w:val="16"/>
                <w:szCs w:val="16"/>
                <w:highlight w:val="none"/>
                <w14:textFill>
                  <w14:solidFill>
                    <w14:schemeClr w14:val="tx1"/>
                  </w14:solidFill>
                </w14:textFill>
              </w:rPr>
            </w:pPr>
          </w:p>
        </w:tc>
        <w:tc>
          <w:tcPr>
            <w:tcW w:w="5495" w:type="dxa"/>
            <w:tcBorders>
              <w:top w:val="nil"/>
              <w:left w:val="nil"/>
              <w:bottom w:val="nil"/>
              <w:right w:val="nil"/>
            </w:tcBorders>
            <w:vAlign w:val="center"/>
          </w:tcPr>
          <w:p>
            <w:pPr>
              <w:pStyle w:val="447"/>
              <w:spacing w:before="50" w:after="50" w:line="360" w:lineRule="auto"/>
              <w:ind w:firstLine="200"/>
              <w:jc w:val="left"/>
              <w:rPr>
                <w:rFonts w:ascii="宋体" w:hAnsi="宋体"/>
                <w:color w:val="000000" w:themeColor="text1"/>
                <w:sz w:val="16"/>
                <w:szCs w:val="16"/>
                <w:highlight w:val="none"/>
                <w14:textFill>
                  <w14:solidFill>
                    <w14:schemeClr w14:val="tx1"/>
                  </w14:solidFill>
                </w14:textFill>
              </w:rPr>
            </w:pPr>
            <w:r>
              <w:rPr>
                <w:rFonts w:hint="eastAsia" w:ascii="宋体" w:hAnsi="宋体"/>
                <w:color w:val="000000" w:themeColor="text1"/>
                <w:sz w:val="16"/>
                <w:szCs w:val="16"/>
                <w:highlight w:val="none"/>
                <w14:textFill>
                  <w14:solidFill>
                    <w14:schemeClr w14:val="tx1"/>
                  </w14:solidFill>
                </w14:textFill>
              </w:rPr>
              <w:t>修正合同价执行的《广州地区建设工程常用材料综合价格》</w:t>
            </w:r>
          </w:p>
        </w:tc>
        <w:tc>
          <w:tcPr>
            <w:tcW w:w="1866" w:type="dxa"/>
            <w:vMerge w:val="continue"/>
            <w:tcBorders>
              <w:top w:val="nil"/>
              <w:left w:val="nil"/>
              <w:bottom w:val="nil"/>
              <w:right w:val="nil"/>
            </w:tcBorders>
            <w:vAlign w:val="center"/>
          </w:tcPr>
          <w:p>
            <w:pPr>
              <w:spacing w:before="50" w:after="50" w:line="360" w:lineRule="auto"/>
              <w:ind w:firstLine="200"/>
              <w:rPr>
                <w:rFonts w:ascii="宋体" w:hAnsi="宋体"/>
                <w:color w:val="000000" w:themeColor="text1"/>
                <w:sz w:val="16"/>
                <w:szCs w:val="16"/>
                <w:highlight w:val="none"/>
                <w14:textFill>
                  <w14:solidFill>
                    <w14:schemeClr w14:val="tx1"/>
                  </w14:solidFill>
                </w14:textFill>
              </w:rPr>
            </w:pPr>
          </w:p>
        </w:tc>
        <w:tc>
          <w:tcPr>
            <w:tcW w:w="990" w:type="dxa"/>
            <w:vMerge w:val="continue"/>
            <w:tcBorders>
              <w:top w:val="nil"/>
              <w:left w:val="nil"/>
              <w:bottom w:val="nil"/>
              <w:right w:val="nil"/>
            </w:tcBorders>
            <w:vAlign w:val="center"/>
          </w:tcPr>
          <w:p>
            <w:pPr>
              <w:spacing w:before="50" w:after="50" w:line="360" w:lineRule="auto"/>
              <w:ind w:firstLine="200"/>
              <w:rPr>
                <w:rFonts w:ascii="宋体" w:hAnsi="宋体"/>
                <w:color w:val="000000" w:themeColor="text1"/>
                <w:sz w:val="16"/>
                <w:szCs w:val="16"/>
                <w:highlight w:val="none"/>
                <w14:textFill>
                  <w14:solidFill>
                    <w14:schemeClr w14:val="tx1"/>
                  </w14:solidFill>
                </w14:textFill>
              </w:rPr>
            </w:pPr>
          </w:p>
        </w:tc>
      </w:tr>
    </w:tbl>
    <w:p>
      <w:pPr>
        <w:pStyle w:val="447"/>
        <w:snapToGrid w:val="0"/>
        <w:spacing w:before="50" w:after="50" w:line="360" w:lineRule="auto"/>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单价价差</w:t>
      </w:r>
      <w:r>
        <w:rPr>
          <w:rFonts w:ascii="宋体" w:hAnsi="宋体"/>
          <w:color w:val="000000" w:themeColor="text1"/>
          <w:highlight w:val="none"/>
          <w14:textFill>
            <w14:solidFill>
              <w14:schemeClr w14:val="tx1"/>
            </w14:solidFill>
          </w14:textFill>
        </w:rPr>
        <w:t>=当期计划应</w:t>
      </w:r>
      <w:r>
        <w:rPr>
          <w:rFonts w:hint="eastAsia" w:ascii="宋体" w:hAnsi="宋体"/>
          <w:color w:val="000000" w:themeColor="text1"/>
          <w:highlight w:val="none"/>
          <w14:textFill>
            <w14:solidFill>
              <w14:schemeClr w14:val="tx1"/>
            </w14:solidFill>
          </w14:textFill>
        </w:rPr>
        <w:t>完成工程量（且实际已完）施工期间的材料指导价格</w:t>
      </w:r>
      <w:r>
        <w:rPr>
          <w:rFonts w:ascii="宋体" w:hAnsi="宋体"/>
          <w:color w:val="000000" w:themeColor="text1"/>
          <w:highlight w:val="none"/>
          <w14:textFill>
            <w14:solidFill>
              <w14:schemeClr w14:val="tx1"/>
            </w14:solidFill>
          </w14:textFill>
        </w:rPr>
        <w:t>-（</w:t>
      </w:r>
      <w:r>
        <w:rPr>
          <w:rFonts w:hint="eastAsia" w:ascii="宋体" w:hAnsi="宋体"/>
          <w:color w:val="000000" w:themeColor="text1"/>
          <w:highlight w:val="none"/>
          <w14:textFill>
            <w14:solidFill>
              <w14:schemeClr w14:val="tx1"/>
            </w14:solidFill>
          </w14:textFill>
        </w:rPr>
        <w:t>修正合同价</w:t>
      </w:r>
      <w:r>
        <w:rPr>
          <w:rFonts w:ascii="宋体" w:hAnsi="宋体"/>
          <w:color w:val="000000" w:themeColor="text1"/>
          <w:highlight w:val="none"/>
          <w14:textFill>
            <w14:solidFill>
              <w14:schemeClr w14:val="tx1"/>
            </w14:solidFill>
          </w14:textFill>
        </w:rPr>
        <w:t>执行的材料指导价格×1.1）</w:t>
      </w:r>
    </w:p>
    <w:p>
      <w:pPr>
        <w:pStyle w:val="447"/>
        <w:snapToGrid w:val="0"/>
        <w:spacing w:before="50" w:after="50" w:line="360" w:lineRule="auto"/>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主要材料的当期总价差</w:t>
      </w:r>
      <w:r>
        <w:rPr>
          <w:rFonts w:ascii="宋体" w:hAnsi="宋体"/>
          <w:color w:val="000000" w:themeColor="text1"/>
          <w:highlight w:val="none"/>
          <w14:textFill>
            <w14:solidFill>
              <w14:schemeClr w14:val="tx1"/>
            </w14:solidFill>
          </w14:textFill>
        </w:rPr>
        <w:t>,按以</w:t>
      </w:r>
      <w:r>
        <w:rPr>
          <w:rFonts w:hint="eastAsia" w:ascii="宋体" w:hAnsi="宋体"/>
          <w:color w:val="000000" w:themeColor="text1"/>
          <w:highlight w:val="none"/>
          <w14:textFill>
            <w14:solidFill>
              <w14:schemeClr w14:val="tx1"/>
            </w14:solidFill>
          </w14:textFill>
        </w:rPr>
        <w:t>下公式计算：</w:t>
      </w:r>
    </w:p>
    <w:p>
      <w:pPr>
        <w:pStyle w:val="447"/>
        <w:spacing w:before="50" w:after="50" w:line="360" w:lineRule="auto"/>
        <w:ind w:firstLine="420" w:firstLineChars="200"/>
        <w:rPr>
          <w:rFonts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调整后的当期主要材料价差结算价</w:t>
      </w:r>
      <w:r>
        <w:rPr>
          <w:rFonts w:ascii="宋体" w:hAnsi="宋体"/>
          <w:color w:val="000000" w:themeColor="text1"/>
          <w:highlight w:val="none"/>
          <w14:textFill>
            <w14:solidFill>
              <w14:schemeClr w14:val="tx1"/>
            </w14:solidFill>
          </w14:textFill>
        </w:rPr>
        <w:t>=主要材料单价价差×当期计划应完成工程量（且实际已完）中相应材料量中符合调价范围的材料量小计。</w:t>
      </w:r>
    </w:p>
    <w:p>
      <w:pPr>
        <w:numPr>
          <w:ilvl w:val="0"/>
          <w:numId w:val="2"/>
        </w:numPr>
        <w:autoSpaceDE w:val="0"/>
        <w:autoSpaceDN w:val="0"/>
        <w:adjustRightInd w:val="0"/>
        <w:spacing w:before="50" w:after="50" w:line="360" w:lineRule="auto"/>
        <w:ind w:firstLine="420" w:firstLineChars="200"/>
        <w:jc w:val="left"/>
        <w:rPr>
          <w:rFonts w:ascii="宋体" w:hAnsi="宋体"/>
          <w:color w:val="000000" w:themeColor="text1"/>
          <w:kern w:val="0"/>
          <w:szCs w:val="21"/>
          <w:highlight w:val="none"/>
          <w14:textFill>
            <w14:solidFill>
              <w14:schemeClr w14:val="tx1"/>
            </w14:solidFill>
          </w14:textFill>
        </w:rPr>
      </w:pPr>
      <w:r>
        <w:rPr>
          <w:rFonts w:ascii="宋体" w:hAnsi="宋体"/>
          <w:color w:val="000000" w:themeColor="text1"/>
          <w:szCs w:val="21"/>
          <w:highlight w:val="none"/>
          <w14:textFill>
            <w14:solidFill>
              <w14:schemeClr w14:val="tx1"/>
            </w14:solidFill>
          </w14:textFill>
        </w:rPr>
        <w:t xml:space="preserve">承包人自身原因导致工期滞后所造成的材料（设备）价差按以下原则 </w:t>
      </w:r>
      <w:r>
        <w:rPr>
          <w:rFonts w:hint="eastAsia" w:ascii="宋体" w:hAnsi="宋体"/>
          <w:color w:val="000000" w:themeColor="text1"/>
          <w:szCs w:val="21"/>
          <w:highlight w:val="none"/>
          <w14:textFill>
            <w14:solidFill>
              <w14:schemeClr w14:val="tx1"/>
            </w14:solidFill>
          </w14:textFill>
        </w:rPr>
        <w:t>办理：主要材料（设备）单价取工程实施期（发包人批准的）广州地区建设工程常用材料综合价格和</w:t>
      </w:r>
      <w:r>
        <w:rPr>
          <w:rFonts w:hint="eastAsia" w:ascii="宋体" w:hAnsi="宋体" w:cs="宋体"/>
          <w:color w:val="000000" w:themeColor="text1"/>
          <w:kern w:val="0"/>
          <w:szCs w:val="21"/>
          <w:highlight w:val="none"/>
          <w14:textFill>
            <w14:solidFill>
              <w14:schemeClr w14:val="tx1"/>
            </w14:solidFill>
          </w14:textFill>
        </w:rPr>
        <w:t>修正合同价执行的</w:t>
      </w:r>
      <w:r>
        <w:rPr>
          <w:rFonts w:hint="eastAsia" w:ascii="宋体" w:hAnsi="宋体"/>
          <w:color w:val="000000" w:themeColor="text1"/>
          <w:szCs w:val="21"/>
          <w:highlight w:val="none"/>
          <w14:textFill>
            <w14:solidFill>
              <w14:schemeClr w14:val="tx1"/>
            </w14:solidFill>
          </w14:textFill>
        </w:rPr>
        <w:t>《广州地区建设工程常用材料综合价格》两者之间的低</w:t>
      </w:r>
      <w:r>
        <w:rPr>
          <w:rFonts w:hint="eastAsia" w:ascii="宋体" w:hAnsi="宋体"/>
          <w:color w:val="000000" w:themeColor="text1"/>
          <w:kern w:val="0"/>
          <w:szCs w:val="21"/>
          <w:highlight w:val="none"/>
          <w14:textFill>
            <w14:solidFill>
              <w14:schemeClr w14:val="tx1"/>
            </w14:solidFill>
          </w14:textFill>
        </w:rPr>
        <w:t>值。</w:t>
      </w:r>
    </w:p>
    <w:p>
      <w:pPr>
        <w:numPr>
          <w:ilvl w:val="0"/>
          <w:numId w:val="2"/>
        </w:num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工期在一年以内的实施内容不调差，工期超过</w:t>
      </w:r>
      <w:r>
        <w:rPr>
          <w:rFonts w:ascii="宋体" w:hAnsi="宋体"/>
          <w:color w:val="000000" w:themeColor="text1"/>
          <w:szCs w:val="21"/>
          <w:highlight w:val="none"/>
          <w14:textFill>
            <w14:solidFill>
              <w14:schemeClr w14:val="tx1"/>
            </w14:solidFill>
          </w14:textFill>
        </w:rPr>
        <w:t>365</w:t>
      </w:r>
      <w:r>
        <w:rPr>
          <w:rFonts w:hint="eastAsia" w:ascii="宋体" w:hAnsi="宋体"/>
          <w:color w:val="000000" w:themeColor="text1"/>
          <w:szCs w:val="21"/>
          <w:highlight w:val="none"/>
          <w14:textFill>
            <w14:solidFill>
              <w14:schemeClr w14:val="tx1"/>
            </w14:solidFill>
          </w14:textFill>
        </w:rPr>
        <w:t>天的，第</w:t>
      </w:r>
      <w:r>
        <w:rPr>
          <w:rFonts w:ascii="宋体" w:hAnsi="宋体"/>
          <w:color w:val="000000" w:themeColor="text1"/>
          <w:szCs w:val="21"/>
          <w:highlight w:val="none"/>
          <w14:textFill>
            <w14:solidFill>
              <w14:schemeClr w14:val="tx1"/>
            </w14:solidFill>
          </w14:textFill>
        </w:rPr>
        <w:t>366</w:t>
      </w:r>
      <w:r>
        <w:rPr>
          <w:rFonts w:hint="eastAsia" w:ascii="宋体" w:hAnsi="宋体"/>
          <w:color w:val="000000" w:themeColor="text1"/>
          <w:szCs w:val="21"/>
          <w:highlight w:val="none"/>
          <w14:textFill>
            <w14:solidFill>
              <w14:schemeClr w14:val="tx1"/>
            </w14:solidFill>
          </w14:textFill>
        </w:rPr>
        <w:t>天以后实施的内容达到调差条件的，按以上方式进行调差。</w:t>
      </w:r>
    </w:p>
    <w:p>
      <w:pPr>
        <w:pStyle w:val="5"/>
        <w:spacing w:before="360" w:after="240" w:line="360" w:lineRule="auto"/>
        <w:ind w:firstLine="0" w:firstLineChars="0"/>
        <w:rPr>
          <w:rStyle w:val="114"/>
          <w:bCs/>
          <w:color w:val="000000" w:themeColor="text1"/>
          <w:highlight w:val="none"/>
          <w14:textFill>
            <w14:solidFill>
              <w14:schemeClr w14:val="tx1"/>
            </w14:solidFill>
          </w14:textFill>
        </w:rPr>
      </w:pPr>
      <w:bookmarkStart w:id="1550" w:name="_Toc2038037917"/>
      <w:bookmarkStart w:id="1551" w:name="_Toc31295"/>
      <w:bookmarkStart w:id="1552" w:name="_Toc14155"/>
      <w:bookmarkStart w:id="1553" w:name="_Toc147856231"/>
      <w:r>
        <w:rPr>
          <w:rStyle w:val="114"/>
          <w:bCs/>
          <w:color w:val="000000" w:themeColor="text1"/>
          <w:highlight w:val="none"/>
          <w14:textFill>
            <w14:solidFill>
              <w14:schemeClr w14:val="tx1"/>
            </w14:solidFill>
          </w14:textFill>
        </w:rPr>
        <w:t xml:space="preserve">17. </w:t>
      </w:r>
      <w:r>
        <w:rPr>
          <w:rStyle w:val="114"/>
          <w:rFonts w:hint="eastAsia"/>
          <w:bCs/>
          <w:color w:val="000000" w:themeColor="text1"/>
          <w:highlight w:val="none"/>
          <w14:textFill>
            <w14:solidFill>
              <w14:schemeClr w14:val="tx1"/>
            </w14:solidFill>
          </w14:textFill>
        </w:rPr>
        <w:t>合同价格与支付</w:t>
      </w:r>
      <w:bookmarkEnd w:id="1550"/>
      <w:bookmarkEnd w:id="1551"/>
      <w:bookmarkEnd w:id="1552"/>
      <w:bookmarkEnd w:id="1553"/>
    </w:p>
    <w:p>
      <w:pPr>
        <w:pStyle w:val="6"/>
        <w:spacing w:before="240" w:after="120" w:line="360" w:lineRule="auto"/>
        <w:rPr>
          <w:color w:val="000000" w:themeColor="text1"/>
          <w:highlight w:val="none"/>
          <w:lang w:val="en-US"/>
          <w14:textFill>
            <w14:solidFill>
              <w14:schemeClr w14:val="tx1"/>
            </w14:solidFill>
          </w14:textFill>
        </w:rPr>
      </w:pPr>
      <w:r>
        <w:rPr>
          <w:rFonts w:hint="eastAsia"/>
          <w:color w:val="000000" w:themeColor="text1"/>
          <w:highlight w:val="none"/>
          <w:lang w:val="en-US"/>
          <w14:textFill>
            <w14:solidFill>
              <w14:schemeClr w14:val="tx1"/>
            </w14:solidFill>
          </w14:textFill>
        </w:rPr>
        <w:t xml:space="preserve">17.1 </w:t>
      </w:r>
      <w:r>
        <w:rPr>
          <w:rFonts w:hint="eastAsia"/>
          <w:color w:val="000000" w:themeColor="text1"/>
          <w:highlight w:val="none"/>
          <w14:textFill>
            <w14:solidFill>
              <w14:schemeClr w14:val="tx1"/>
            </w14:solidFill>
          </w14:textFill>
        </w:rPr>
        <w:t>合同价格</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17.1.1勘察服务暂定价、收费标准及结算方式。</w:t>
      </w:r>
    </w:p>
    <w:p>
      <w:pPr>
        <w:autoSpaceDE w:val="0"/>
        <w:autoSpaceDN w:val="0"/>
        <w:adjustRightInd w:val="0"/>
        <w:spacing w:before="50" w:after="50" w:line="360" w:lineRule="auto"/>
        <w:ind w:firstLine="422" w:firstLineChars="200"/>
        <w:jc w:val="left"/>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勘察服务暂定价为</w:t>
      </w:r>
      <w:r>
        <w:rPr>
          <w:rFonts w:hint="eastAsia" w:ascii="宋体" w:hAnsi="宋体"/>
          <w:b/>
          <w:color w:val="000000" w:themeColor="text1"/>
          <w:szCs w:val="21"/>
          <w:highlight w:val="none"/>
          <w:lang w:eastAsia="zh-Hans"/>
          <w14:textFill>
            <w14:solidFill>
              <w14:schemeClr w14:val="tx1"/>
            </w14:solidFill>
          </w14:textFill>
        </w:rPr>
        <w:t>¥</w:t>
      </w:r>
      <w:r>
        <w:rPr>
          <w:rFonts w:ascii="宋体" w:hAnsi="宋体"/>
          <w:b/>
          <w:color w:val="000000" w:themeColor="text1"/>
          <w:szCs w:val="21"/>
          <w:highlight w:val="none"/>
          <w:u w:val="single"/>
          <w14:textFill>
            <w14:solidFill>
              <w14:schemeClr w14:val="tx1"/>
            </w14:solidFill>
          </w14:textFill>
        </w:rPr>
        <w:t xml:space="preserve">         </w:t>
      </w:r>
      <w:r>
        <w:rPr>
          <w:rFonts w:hint="eastAsia" w:ascii="宋体" w:hAnsi="宋体"/>
          <w:b/>
          <w:color w:val="000000" w:themeColor="text1"/>
          <w:szCs w:val="21"/>
          <w:highlight w:val="none"/>
          <w14:textFill>
            <w14:solidFill>
              <w14:schemeClr w14:val="tx1"/>
            </w14:solidFill>
          </w14:textFill>
        </w:rPr>
        <w:t>元。</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勘察费结算方式：</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勘察费结算价以经发包人核定的工程勘察工作方案和实物工作量为基础，单价参照国家发展计划委员会、建设部2002年颁布的《工程勘察设计收费标准》(2002年修订本)并下浮20%再乘以（1-勘察费投标下浮率）计算。</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①岩土工程勘察费：结算价以经发包人核定的工程勘察工作方案和实物工作量为基础，单价参照国家发展计划委员会、建设部2002年颁布的《工程勘察设计收费标准》（2002年修订本）收费标准计算（跟管钻进、泥浆护壁附加调整系数不另外计取），并下浮20%再乘以（1-勘察费投标下浮率）。</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②工程物探（含管线探测）费：结算价以经发包人核定的工程勘察工作方案和实物工作量为基础，单价参照国家发展计划委员会、建设部2002年颁布的《工程勘察设计收费标准》（2002年修订本）收费标准计算，并下浮20%再乘以（1-勘察费投标下浮率）。</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③工程测量费：结算价以经发包人核定的工程勘察工作方案和实物工作量为基础，单价参照国家发展计划委员会、建设部2002年颁布的《工程勘察设计收费标准》计算，并下浮20%后再乘以（1-勘察费投标下浮率）。</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（2）上述三项费用总和不得超过经相关部门审定的概算勘察费再下浮20%并乘以（1-勘察费投标下浮率）。</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3）勘察费为完成工程勘察工作所需的全部实物工作收费、技术工作收费、辅助工作收费[包括但不限于办理相关许可、收集资料、拆除障碍物、开挖以及修复地下管线、修通现场作业道路及接通水源和电源、平整场地、勘察材料、加工、涉海事、航道相关费用（包括但不限于通航标志、通航维护、海事维护警戒等）等，均不另行收费]等全部费用，发包人不另行补偿其他费用。</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4）勘察单位按照工程勘察规范、规程的规定和项目实际情况在勘察工作大纲中提出勘察工作量，经发包人书面批准后实施，未经发包人同意而产生的勘察费用由勘察单位自行承担。结算工程量以经发包人书面确认的实际工程量为准，超过深度要求的超钻部分工程量不予计量，附加调整系数以有审核权限部门意见为准。</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（5）最终结算价以有审核权限部门审定的金额为准。</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17.1.2设计服务暂定价、收费标准及结算方式。</w:t>
      </w:r>
    </w:p>
    <w:p>
      <w:pPr>
        <w:autoSpaceDE w:val="0"/>
        <w:autoSpaceDN w:val="0"/>
        <w:adjustRightInd w:val="0"/>
        <w:spacing w:before="50" w:after="50" w:line="360" w:lineRule="auto"/>
        <w:ind w:firstLine="422" w:firstLineChars="200"/>
        <w:jc w:val="left"/>
        <w:rPr>
          <w:rFonts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设计服务费用暂定价为</w:t>
      </w:r>
      <w:r>
        <w:rPr>
          <w:rFonts w:hint="eastAsia" w:ascii="宋体" w:hAnsi="宋体"/>
          <w:b/>
          <w:color w:val="000000" w:themeColor="text1"/>
          <w:szCs w:val="21"/>
          <w:highlight w:val="none"/>
          <w:lang w:eastAsia="zh-Hans"/>
          <w14:textFill>
            <w14:solidFill>
              <w14:schemeClr w14:val="tx1"/>
            </w14:solidFill>
          </w14:textFill>
        </w:rPr>
        <w:t>¥</w:t>
      </w:r>
      <w:r>
        <w:rPr>
          <w:rFonts w:ascii="宋体" w:hAnsi="宋体"/>
          <w:b/>
          <w:color w:val="000000" w:themeColor="text1"/>
          <w:szCs w:val="21"/>
          <w:highlight w:val="none"/>
          <w:u w:val="single"/>
          <w14:textFill>
            <w14:solidFill>
              <w14:schemeClr w14:val="tx1"/>
            </w14:solidFill>
          </w14:textFill>
        </w:rPr>
        <w:t xml:space="preserve">         </w:t>
      </w:r>
      <w:r>
        <w:rPr>
          <w:rFonts w:hint="eastAsia" w:ascii="宋体" w:hAnsi="宋体"/>
          <w:b/>
          <w:color w:val="000000" w:themeColor="text1"/>
          <w:szCs w:val="21"/>
          <w:highlight w:val="none"/>
          <w14:textFill>
            <w14:solidFill>
              <w14:schemeClr w14:val="tx1"/>
            </w14:solidFill>
          </w14:textFill>
        </w:rPr>
        <w:t>元。</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费包括但不限于承包人完成合同约定的所有设计工作内容、提供全套设计成果文件和后续服务的全部费用以及承担合同一切风险、义务、责任等所发生的费用。应由承包人支付的所有税费、保险费，也已包含在设计费中，发包人不再另行计算及支付。总平面套打地形图相关费用承包人已综合考虑含在设计费中，不单独列计，发包人不再另行计算及支付。历史文化保护传承专章（如有）编制费承包人已综合考虑含在设计费中，不单独列计，发包人不再另行计算及支付。</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费结算方式：参照国家发展计划委员会、建设部2002年颁布的《工程勘察设计收费标准》计算。最终结算时，以单独立项范围内各分项概算审定建安工程费合计为计费基数计算工程设计收费基价乘以设计费加权调整系数计算后，下浮20%再乘以（1-设计费投标下浮率）。设计费结算价不超批复概算中的设计费，若超，按概算审核中设计费计取，最终结算总价以有审核权限部门审核意见为准。</w:t>
      </w:r>
    </w:p>
    <w:p>
      <w:pPr>
        <w:pStyle w:val="2"/>
        <w:rPr>
          <w:color w:val="000000" w:themeColor="text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设计费加权调整系数=</w:t>
      </w:r>
      <w:r>
        <w:rPr>
          <w:rFonts w:hint="eastAsia" w:ascii="宋体" w:hAnsi="宋体"/>
          <w:color w:val="000000" w:themeColor="text1"/>
          <w:szCs w:val="21"/>
          <w:highlight w:val="none"/>
          <w14:textFill>
            <w14:solidFill>
              <w14:schemeClr w14:val="tx1"/>
            </w14:solidFill>
          </w14:textFill>
        </w:rPr>
        <w:br w:type="textWrapping"/>
      </w:r>
      <m:oMathPara>
        <m:oMath>
          <m:nary>
            <m:naryPr>
              <m:chr m:val="∑"/>
              <m:limLoc m:val="undOvr"/>
              <m:subHide m:val="1"/>
              <m:supHide m:val="1"/>
              <m:ctrlPr>
                <w:rPr>
                  <w:rFonts w:ascii="Cambria Math" w:hAnsi="Cambria Math"/>
                  <w:color w:val="000000" w:themeColor="text1"/>
                  <w:szCs w:val="21"/>
                  <w:highlight w:val="none"/>
                  <w14:textFill>
                    <w14:solidFill>
                      <w14:schemeClr w14:val="tx1"/>
                    </w14:solidFill>
                  </w14:textFill>
                </w:rPr>
              </m:ctrlPr>
            </m:naryPr>
            <m:sub>
              <m:ctrlPr>
                <w:rPr>
                  <w:rFonts w:ascii="Cambria Math" w:hAnsi="Cambria Math"/>
                  <w:color w:val="000000" w:themeColor="text1"/>
                  <w:szCs w:val="21"/>
                  <w:highlight w:val="none"/>
                  <w14:textFill>
                    <w14:solidFill>
                      <w14:schemeClr w14:val="tx1"/>
                    </w14:solidFill>
                  </w14:textFill>
                </w:rPr>
              </m:ctrlPr>
            </m:sub>
            <m:sup>
              <m:ctrlPr>
                <w:rPr>
                  <w:rFonts w:ascii="Cambria Math" w:hAnsi="Cambria Math"/>
                  <w:color w:val="000000" w:themeColor="text1"/>
                  <w:szCs w:val="21"/>
                  <w:highlight w:val="none"/>
                  <w14:textFill>
                    <w14:solidFill>
                      <w14:schemeClr w14:val="tx1"/>
                    </w14:solidFill>
                  </w14:textFill>
                </w:rPr>
              </m:ctrlPr>
            </m:sup>
            <m:e>
              <m:r>
                <m:rPr>
                  <m:sty m:val="p"/>
                </m:rPr>
                <w:rPr>
                  <w:rFonts w:hint="eastAsia" w:ascii="Cambria Math" w:hAnsi="Cambria Math"/>
                  <w:color w:val="000000" w:themeColor="text1"/>
                  <w:szCs w:val="21"/>
                  <w:highlight w:val="none"/>
                  <w14:textFill>
                    <w14:solidFill>
                      <w14:schemeClr w14:val="tx1"/>
                    </w14:solidFill>
                  </w14:textFill>
                </w:rPr>
                <m:t>（各专业工程费</m:t>
              </m:r>
              <m:r>
                <m:rPr>
                  <m:sty m:val="p"/>
                </m:rPr>
                <w:rPr>
                  <w:rFonts w:ascii="Cambria Math" w:hAnsi="Cambria Math"/>
                  <w:color w:val="000000" w:themeColor="text1"/>
                  <w:szCs w:val="21"/>
                  <w:highlight w:val="none"/>
                  <w14:textFill>
                    <w14:solidFill>
                      <w14:schemeClr w14:val="tx1"/>
                    </w14:solidFill>
                  </w14:textFill>
                </w:rPr>
                <m:t>/</m:t>
              </m:r>
              <m:r>
                <m:rPr>
                  <m:sty m:val="p"/>
                </m:rPr>
                <w:rPr>
                  <w:rFonts w:hint="eastAsia" w:ascii="Cambria Math" w:hAnsi="Cambria Math"/>
                  <w:color w:val="000000" w:themeColor="text1"/>
                  <w:szCs w:val="21"/>
                  <w:highlight w:val="none"/>
                  <w14:textFill>
                    <w14:solidFill>
                      <w14:schemeClr w14:val="tx1"/>
                    </w14:solidFill>
                  </w14:textFill>
                </w:rPr>
                <m:t>立项范围内各分项概算工程费合计</m:t>
              </m:r>
              <m:r>
                <m:rPr>
                  <m:sty m:val="p"/>
                </m:rPr>
                <w:rPr>
                  <w:rFonts w:ascii="Cambria Math" w:hAnsi="Cambria Math"/>
                  <w:color w:val="000000" w:themeColor="text1"/>
                  <w:szCs w:val="21"/>
                  <w:highlight w:val="none"/>
                  <w14:textFill>
                    <w14:solidFill>
                      <w14:schemeClr w14:val="tx1"/>
                    </w14:solidFill>
                  </w14:textFill>
                </w:rPr>
                <m:t>∗</m:t>
              </m:r>
              <m:r>
                <m:rPr>
                  <m:sty m:val="p"/>
                </m:rPr>
                <w:rPr>
                  <w:rFonts w:hint="eastAsia" w:ascii="Cambria Math" w:hAnsi="Cambria Math"/>
                  <w:color w:val="000000" w:themeColor="text1"/>
                  <w:szCs w:val="21"/>
                  <w:highlight w:val="none"/>
                  <w14:textFill>
                    <w14:solidFill>
                      <w14:schemeClr w14:val="tx1"/>
                    </w14:solidFill>
                  </w14:textFill>
                </w:rPr>
                <m:t>各专业调整系数</m:t>
              </m:r>
              <m:r>
                <m:rPr>
                  <m:sty m:val="p"/>
                </m:rPr>
                <w:rPr>
                  <w:rFonts w:ascii="Cambria Math" w:hAnsi="Cambria Math"/>
                  <w:color w:val="000000" w:themeColor="text1"/>
                  <w:szCs w:val="21"/>
                  <w:highlight w:val="none"/>
                  <w14:textFill>
                    <w14:solidFill>
                      <w14:schemeClr w14:val="tx1"/>
                    </w14:solidFill>
                  </w14:textFill>
                </w:rPr>
                <m:t>∗</m:t>
              </m:r>
              <m:r>
                <m:rPr>
                  <m:sty m:val="p"/>
                </m:rPr>
                <w:rPr>
                  <w:rFonts w:hint="eastAsia" w:ascii="Cambria Math" w:hAnsi="Cambria Math"/>
                  <w:color w:val="000000" w:themeColor="text1"/>
                  <w:szCs w:val="21"/>
                  <w:highlight w:val="none"/>
                  <w14:textFill>
                    <w14:solidFill>
                      <w14:schemeClr w14:val="tx1"/>
                    </w14:solidFill>
                  </w14:textFill>
                </w:rPr>
                <m:t>各专业复杂程度调整系数</m:t>
              </m:r>
              <m:r>
                <m:rPr>
                  <m:sty m:val="p"/>
                </m:rPr>
                <w:rPr>
                  <w:rFonts w:ascii="Cambria Math" w:hAnsi="Cambria Math"/>
                  <w:color w:val="000000" w:themeColor="text1"/>
                  <w:szCs w:val="21"/>
                  <w:highlight w:val="none"/>
                  <w14:textFill>
                    <w14:solidFill>
                      <w14:schemeClr w14:val="tx1"/>
                    </w14:solidFill>
                  </w14:textFill>
                </w:rPr>
                <m:t>∗</m:t>
              </m:r>
              <m:r>
                <m:rPr>
                  <m:sty m:val="p"/>
                </m:rPr>
                <w:rPr>
                  <w:rFonts w:hint="eastAsia" w:ascii="Cambria Math" w:hAnsi="Cambria Math"/>
                  <w:color w:val="000000" w:themeColor="text1"/>
                  <w:szCs w:val="21"/>
                  <w:highlight w:val="none"/>
                  <w14:textFill>
                    <w14:solidFill>
                      <w14:schemeClr w14:val="tx1"/>
                    </w14:solidFill>
                  </w14:textFill>
                </w:rPr>
                <m:t>各专业附加调整系数）</m:t>
              </m:r>
              <m:ctrlPr>
                <w:rPr>
                  <w:rFonts w:ascii="Cambria Math" w:hAnsi="Cambria Math"/>
                  <w:color w:val="000000" w:themeColor="text1"/>
                  <w:szCs w:val="21"/>
                  <w:highlight w:val="none"/>
                  <w14:textFill>
                    <w14:solidFill>
                      <w14:schemeClr w14:val="tx1"/>
                    </w14:solidFill>
                  </w14:textFill>
                </w:rPr>
              </m:ctrlPr>
            </m:e>
          </m:nary>
          <m:r>
            <m:rPr>
              <m:sty m:val="p"/>
            </m:rPr>
            <w:rPr>
              <w:rFonts w:ascii="Cambria Math" w:hAnsi="Cambria Math"/>
              <w:color w:val="000000" w:themeColor="text1"/>
              <w:szCs w:val="16"/>
              <w:highlight w:val="none"/>
              <w14:textFill>
                <w14:solidFill>
                  <w14:schemeClr w14:val="tx1"/>
                </w14:solidFill>
              </w14:textFill>
            </w:rPr>
            <w:br w:type="textWrapping"/>
          </m:r>
        </m:oMath>
      </m:oMathPara>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（1）设计单位须承担本工程设计方案修改任务，发包人不再另行支付方案修改的费用，设计单位配合办理工程报建等手续，直到办理建设用地手续为止，各个阶段设计内容及完成时间以发包人通知为准。</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若初步设计概算超出立项投资额，设计单位须保证根据评审专家和发包人的意见进行修改，并承诺该修改不改变有关设计和规划的原则、内容与要求，不改变原方案设计的构思，不降低使用功能与设计质量标准，不增加设计费用，并承担一切的责任和损失。如果施工图预算超出经确认的初步设计概算，设计单位须保证无偿在初步设计的基础上对施工图进行修改，项目立项投资调整而引起的设计概算修改除外。</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发包人所提供的设计依据仅为参考，最终以政府规划部门批复的相关文件为准，如政府批复的规划设计依据与发包人提供的设计依据不符，由此而产生的设计修改费用已包含在设计服务费总额内，发包人不再另行支付，项目立项投资调整引起的设计修改除外。</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17.1.3工程费：</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工程中标工程费仅作为签约暂定合同价。待施工图审查通过后，根据最终确认的施工图纸，承包人依据合同第17.1.3.2条规定按合同约定的方法编制施工图清单预算，由发包人组织的预算评审审核得出合同价格清单的单价及总价。具体原则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17.1.3.1初步设计概算编制原则：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初步设计概算编制金额合计不得超过投资估算金额。南沙区有发布相关新型投资体制管理办法或有关文件规定或有关会议纪要对相关概算编制原则的，按有关文件或会议纪要执行，未有文件或会议纪要规定之前，按下列原则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1）采用现行最新有效的计价规范、计价通则及相应专业综合定额，具体为：国家标准《建设工程工程量清单计价规范》（GB50500-2013）、2018年广东省建设工程计价依据及配套文件、《广东省水利水电工程设计概( 估 )算编制规定》（2017）、《广东省水利水电建筑工程预算定额》（2017）、《广东省水利水电建筑施工机械台班定额》（2017）及广东省、广州市建设主管部门颁发的计价文件规定编制。合同中约定综合考虑在合同总价中的相关项目费用，如按照上述文件规定可以计列的，在概算中开项计算。</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2）信息价格按初步设计技术方案送有审查权限部门审查时广州市建设工程造价管理机构发布的最新价格信息文件。若有审核权限部门对送审概算信息价采用有规定的，从其规定。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3）工程建设其他费按国家、省、市标准或协会收费标准。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17.1.3.</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施工图预算编制原则：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施工图预算编制金额不得超过对应审定概算建安工程费。南沙区有发布相关新型投资体制管理办法或有关文件规定或有关会议纪要对相关预算编制原则的，按有关文件或会议纪要执行，未有文件或会议纪要规定之前，按下列原则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（1）计价依据：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现行最新有效的计价规范、计价通则及相应专业综合定额，具体为：国家标准《建设工程工程量清单计价规范》（GB50500-2013）、2018年广东省建设工程计价依据及配套文件、《广东省水利水电建筑工程预算定额》（2017）、《广东省水利水电建筑施工机械台班定额》（2017）及广东省、广州市建设主管部门颁发的计价文件规定编制。合同中约定综合考虑在合同总价中的相关项目费用，如按照上述文件规定可以计列的，在预算中开项计算，上述文件未约定可以计列的应综合考虑在投标下浮率中，不得在预算中计列。</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材料价格优先采用广州市建设工程造价管理站发布的《广州地区建设工程常用材料税前综合价格》，预算与概算采用相同的信息价期数，如其没有信息价的则可参考同季度广州市工程造价行业协会发布的《广州地区建设工程材料（设备）厂商价格信息》，并最终通过询价的方式确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措施费、其他费用、安全文明施工费、绿色施工措施费、规费、税金等的计取办法：按本条款下面具体约定的费率计算，其他未约定的或在合同执行期间有变化时按专用条款中基准日期当季度广东省和广州市工程造价管理部门发布的造价文件的规定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4）发包人与承包人双方认可的其他相关文件。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（2）工程量确定方式：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以经审查的施工图为依据，按国标清单计价规范计算工程量。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（3）分部分项工程量清单综合单价定价方式：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综合单价依据2018年广东省建设工程计价依据及配套文件中相关定额，使用的优先顺序为：① 本合同项目主体工程所属专业的定额、附属工程所属专业的定额；② 第①点所述定额中若个别分项项目没有定额可套用，则采用与该分项项目性质、功能、工艺相似或相近的其它定额换算；定额采用施工图预算编制时生效的最新的建设行政主管部门颁发的定额及对应的工程计价办法计算确定（该综合单价不含措施项目费、规费、税金）。项目的人工、材料、机械台班价格按施工图预算编制时生效的最新的当地建设行政主管部门的有关规定执行。其中：</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1）主材价格确定方式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材料价格优先采用广州市建设工程造价管理站发布的《广州地区建设工程常用材料税前综合价格》，如其没有的则可参考同季度广州市工程造价行业协会发布的《广州地区建设工程材料（设备）厂商价格信息》，并最终通过询价的方式确定，（由承包人、监理人共同组成询价小组，制定相应的询价办法进行询价，要求提供合规的询价单），最终以有审核权限</w:t>
      </w:r>
      <w:r>
        <w:rPr>
          <w:rFonts w:hint="eastAsia" w:ascii="宋体" w:hAnsi="宋体" w:cs="宋体"/>
          <w:color w:val="000000" w:themeColor="text1"/>
          <w:kern w:val="0"/>
          <w:szCs w:val="21"/>
          <w:highlight w:val="none"/>
          <w:lang w:eastAsia="zh-Hans"/>
          <w14:textFill>
            <w14:solidFill>
              <w14:schemeClr w14:val="tx1"/>
            </w14:solidFill>
          </w14:textFill>
        </w:rPr>
        <w:t>部门</w:t>
      </w:r>
      <w:r>
        <w:rPr>
          <w:rFonts w:hint="eastAsia" w:ascii="宋体" w:hAnsi="宋体" w:cs="宋体"/>
          <w:color w:val="000000" w:themeColor="text1"/>
          <w:kern w:val="0"/>
          <w:szCs w:val="21"/>
          <w:highlight w:val="none"/>
          <w14:textFill>
            <w14:solidFill>
              <w14:schemeClr w14:val="tx1"/>
            </w14:solidFill>
          </w14:textFill>
        </w:rPr>
        <w:t>审定金额为准。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注：以上的材料价格全部指的是税前价。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2）人工、材料和机械的消耗量按定额标准执行。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3）措施项目费、其他项目费按广东省建设工程计价依据及配套文件、广州市建设工程造价管理站发布有关文件执行。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4）规费及税金计价：按施工图预算编制时现行规定标准执行。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17.1.3.</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修正合同价格清单确定原则：</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根据上述原则编制的施工图清单预算经有权审</w:t>
      </w:r>
      <w:r>
        <w:rPr>
          <w:rFonts w:hint="eastAsia" w:ascii="宋体" w:hAnsi="宋体"/>
          <w:color w:val="000000" w:themeColor="text1"/>
          <w:szCs w:val="21"/>
          <w:highlight w:val="none"/>
          <w:lang w:eastAsia="zh-Hans"/>
          <w14:textFill>
            <w14:solidFill>
              <w14:schemeClr w14:val="tx1"/>
            </w14:solidFill>
          </w14:textFill>
        </w:rPr>
        <w:t>核权限</w:t>
      </w:r>
      <w:r>
        <w:rPr>
          <w:rFonts w:hint="eastAsia" w:ascii="宋体" w:hAnsi="宋体"/>
          <w:color w:val="000000" w:themeColor="text1"/>
          <w:szCs w:val="21"/>
          <w:highlight w:val="none"/>
          <w14:textFill>
            <w14:solidFill>
              <w14:schemeClr w14:val="tx1"/>
            </w14:solidFill>
          </w14:textFill>
        </w:rPr>
        <w:t>部门审定</w:t>
      </w:r>
      <w:r>
        <w:rPr>
          <w:rFonts w:hint="eastAsia" w:ascii="宋体" w:hAnsi="宋体"/>
          <w:color w:val="000000" w:themeColor="text1"/>
          <w:szCs w:val="21"/>
          <w:highlight w:val="none"/>
          <w:lang w:eastAsia="zh-Hans"/>
          <w14:textFill>
            <w14:solidFill>
              <w14:schemeClr w14:val="tx1"/>
            </w14:solidFill>
          </w14:textFill>
        </w:rPr>
        <w:t>后</w:t>
      </w:r>
      <w:r>
        <w:rPr>
          <w:rFonts w:hint="eastAsia" w:ascii="宋体" w:hAnsi="宋体"/>
          <w:color w:val="000000" w:themeColor="text1"/>
          <w:szCs w:val="21"/>
          <w:highlight w:val="none"/>
          <w14:textFill>
            <w14:solidFill>
              <w14:schemeClr w14:val="tx1"/>
            </w14:solidFill>
          </w14:textFill>
        </w:rPr>
        <w:t>，以审定的施工图清单预算为基数，按基准日期广州市建设工程造价管理站发布的最新的《广州地区建设工程常用材料税前综合价格》期数调整信息价形成修正预算，以修正预算为基数（若审定预算小于修正预算，则审定预算即为修正预算），按以下表规定下浮后得出合同修正价格清单的单价或修正合价后，签订修正合同，作为进度款支付、结算等依据。</w:t>
      </w: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2551"/>
        <w:gridCol w:w="3749"/>
        <w:gridCol w:w="2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713"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序号</w:t>
            </w:r>
          </w:p>
        </w:tc>
        <w:tc>
          <w:tcPr>
            <w:tcW w:w="2551"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费用名称</w:t>
            </w:r>
          </w:p>
        </w:tc>
        <w:tc>
          <w:tcPr>
            <w:tcW w:w="3749"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计算公式</w:t>
            </w:r>
          </w:p>
        </w:tc>
        <w:tc>
          <w:tcPr>
            <w:tcW w:w="2004" w:type="dxa"/>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dxa"/>
            <w:vAlign w:val="center"/>
          </w:tcPr>
          <w:p>
            <w:pPr>
              <w:jc w:val="cente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w:t>
            </w:r>
          </w:p>
        </w:tc>
        <w:tc>
          <w:tcPr>
            <w:tcW w:w="2551"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分部分项工程综合单价</w:t>
            </w:r>
          </w:p>
        </w:tc>
        <w:tc>
          <w:tcPr>
            <w:tcW w:w="3749" w:type="dxa"/>
            <w:vAlign w:val="center"/>
          </w:tcPr>
          <w:p>
            <w:pPr>
              <w:rPr>
                <w:rFonts w:ascii="宋体" w:hAnsi="宋体"/>
                <w:bCs/>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合同价中分部分项工程综合单价=</w:t>
            </w:r>
            <w:r>
              <w:rPr>
                <w:rFonts w:hint="eastAsia" w:ascii="宋体" w:hAnsi="宋体" w:cs="宋体"/>
                <w:color w:val="000000" w:themeColor="text1"/>
                <w:kern w:val="0"/>
                <w:szCs w:val="21"/>
                <w:highlight w:val="none"/>
                <w14:textFill>
                  <w14:solidFill>
                    <w14:schemeClr w14:val="tx1"/>
                  </w14:solidFill>
                </w14:textFill>
              </w:rPr>
              <w:t>修正预算中对应的分部分项工程综合单价</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（1-3</w:t>
            </w:r>
            <w:r>
              <w:rPr>
                <w:rFonts w:ascii="宋体" w:hAnsi="宋体" w:cs="宋体"/>
                <w:b/>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（1-建安工程费投标下浮率）</w:t>
            </w:r>
          </w:p>
        </w:tc>
        <w:tc>
          <w:tcPr>
            <w:tcW w:w="2004" w:type="dxa"/>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其中余方弃置根据规定属于不可竞争费，其不考虑投标下浮率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二</w:t>
            </w:r>
          </w:p>
        </w:tc>
        <w:tc>
          <w:tcPr>
            <w:tcW w:w="2551"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措施项目费</w:t>
            </w:r>
          </w:p>
        </w:tc>
        <w:tc>
          <w:tcPr>
            <w:tcW w:w="3749" w:type="dxa"/>
            <w:vAlign w:val="center"/>
          </w:tcPr>
          <w:p>
            <w:pPr>
              <w:jc w:val="center"/>
              <w:rPr>
                <w:rFonts w:ascii="宋体" w:hAnsi="宋体"/>
                <w:bCs/>
                <w:color w:val="000000" w:themeColor="text1"/>
                <w:szCs w:val="21"/>
                <w:highlight w:val="none"/>
                <w14:textFill>
                  <w14:solidFill>
                    <w14:schemeClr w14:val="tx1"/>
                  </w14:solidFill>
                </w14:textFill>
              </w:rPr>
            </w:pPr>
          </w:p>
        </w:tc>
        <w:tc>
          <w:tcPr>
            <w:tcW w:w="2004" w:type="dxa"/>
          </w:tcPr>
          <w:p>
            <w:pPr>
              <w:jc w:val="center"/>
              <w:rPr>
                <w:rFonts w:ascii="宋体" w:hAnsi="宋体"/>
                <w:bCs/>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2.1</w:t>
            </w:r>
          </w:p>
        </w:tc>
        <w:tc>
          <w:tcPr>
            <w:tcW w:w="2551"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安全文明施工措施费</w:t>
            </w:r>
          </w:p>
        </w:tc>
        <w:tc>
          <w:tcPr>
            <w:tcW w:w="3749" w:type="dxa"/>
            <w:vAlign w:val="center"/>
          </w:tcPr>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合同价中安全文明施工措施费合价=</w:t>
            </w:r>
            <w:r>
              <w:rPr>
                <w:rFonts w:hint="eastAsia" w:ascii="宋体" w:hAnsi="宋体" w:cs="宋体"/>
                <w:color w:val="000000" w:themeColor="text1"/>
                <w:kern w:val="0"/>
                <w:szCs w:val="21"/>
                <w:highlight w:val="none"/>
                <w14:textFill>
                  <w14:solidFill>
                    <w14:schemeClr w14:val="tx1"/>
                  </w14:solidFill>
                </w14:textFill>
              </w:rPr>
              <w:t>修正</w:t>
            </w:r>
            <w:r>
              <w:rPr>
                <w:rFonts w:hint="eastAsia" w:ascii="宋体" w:hAnsi="宋体"/>
                <w:bCs/>
                <w:color w:val="000000" w:themeColor="text1"/>
                <w:szCs w:val="21"/>
                <w:highlight w:val="none"/>
                <w14:textFill>
                  <w14:solidFill>
                    <w14:schemeClr w14:val="tx1"/>
                  </w14:solidFill>
                </w14:textFill>
              </w:rPr>
              <w:t>预算中对应的安全文明施工措施费合计</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（1-3</w:t>
            </w:r>
            <w:r>
              <w:rPr>
                <w:rFonts w:ascii="宋体" w:hAnsi="宋体" w:cs="宋体"/>
                <w:b/>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w:t>
            </w:r>
            <w:r>
              <w:rPr>
                <w:rFonts w:hint="eastAsia" w:ascii="宋体" w:hAnsi="宋体"/>
                <w:bCs/>
                <w:color w:val="000000" w:themeColor="text1"/>
                <w:szCs w:val="21"/>
                <w:highlight w:val="none"/>
                <w14:textFill>
                  <w14:solidFill>
                    <w14:schemeClr w14:val="tx1"/>
                  </w14:solidFill>
                </w14:textFill>
              </w:rPr>
              <w:t>；</w:t>
            </w:r>
          </w:p>
          <w:p>
            <w:pPr>
              <w:rPr>
                <w:rFonts w:ascii="宋体" w:hAnsi="宋体"/>
                <w:bCs/>
                <w:color w:val="000000" w:themeColor="text1"/>
                <w:szCs w:val="21"/>
                <w:highlight w:val="none"/>
                <w14:textFill>
                  <w14:solidFill>
                    <w14:schemeClr w14:val="tx1"/>
                  </w14:solidFill>
                </w14:textFill>
              </w:rPr>
            </w:pPr>
          </w:p>
        </w:tc>
        <w:tc>
          <w:tcPr>
            <w:tcW w:w="2004" w:type="dxa"/>
          </w:tcPr>
          <w:p>
            <w:pPr>
              <w:rPr>
                <w:rFonts w:ascii="宋体" w:hAnsi="宋体"/>
                <w:bCs/>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2.2</w:t>
            </w:r>
          </w:p>
        </w:tc>
        <w:tc>
          <w:tcPr>
            <w:tcW w:w="2551"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其他以“项”为单位计价的措施项目</w:t>
            </w:r>
          </w:p>
        </w:tc>
        <w:tc>
          <w:tcPr>
            <w:tcW w:w="3749" w:type="dxa"/>
            <w:vAlign w:val="center"/>
          </w:tcPr>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合同价中其他以“项”计价的措施项目合价=</w:t>
            </w:r>
            <w:r>
              <w:rPr>
                <w:rFonts w:hint="eastAsia" w:ascii="宋体" w:hAnsi="宋体" w:cs="宋体"/>
                <w:color w:val="000000" w:themeColor="text1"/>
                <w:kern w:val="0"/>
                <w:szCs w:val="21"/>
                <w:highlight w:val="none"/>
                <w14:textFill>
                  <w14:solidFill>
                    <w14:schemeClr w14:val="tx1"/>
                  </w14:solidFill>
                </w14:textFill>
              </w:rPr>
              <w:t>修正预算中对应的</w:t>
            </w:r>
            <w:r>
              <w:rPr>
                <w:rFonts w:hint="eastAsia" w:ascii="宋体" w:hAnsi="宋体"/>
                <w:bCs/>
                <w:color w:val="000000" w:themeColor="text1"/>
                <w:szCs w:val="21"/>
                <w:highlight w:val="none"/>
                <w14:textFill>
                  <w14:solidFill>
                    <w14:schemeClr w14:val="tx1"/>
                  </w14:solidFill>
                </w14:textFill>
              </w:rPr>
              <w:t>措施项目合价</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（1-3</w:t>
            </w:r>
            <w:r>
              <w:rPr>
                <w:rFonts w:ascii="宋体" w:hAnsi="宋体" w:cs="宋体"/>
                <w:b/>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（1-建安工程费投标下浮率）</w:t>
            </w:r>
          </w:p>
        </w:tc>
        <w:tc>
          <w:tcPr>
            <w:tcW w:w="2004" w:type="dxa"/>
          </w:tcPr>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以“项”计价的措施项目费合计包干，结算时不作调整。合同另有约定的除外。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2.3</w:t>
            </w:r>
          </w:p>
        </w:tc>
        <w:tc>
          <w:tcPr>
            <w:tcW w:w="2551"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其他以分部分项方式计价的措施费或以费率计算的措施项目</w:t>
            </w:r>
          </w:p>
        </w:tc>
        <w:tc>
          <w:tcPr>
            <w:tcW w:w="3749" w:type="dxa"/>
            <w:vAlign w:val="center"/>
          </w:tcPr>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合同价中其他以分部分项方式计价的措施费或以费率计算的措施项目综合单价=</w:t>
            </w:r>
            <w:r>
              <w:rPr>
                <w:rFonts w:hint="eastAsia" w:ascii="宋体" w:hAnsi="宋体" w:cs="宋体"/>
                <w:color w:val="000000" w:themeColor="text1"/>
                <w:kern w:val="0"/>
                <w:szCs w:val="21"/>
                <w:highlight w:val="none"/>
                <w14:textFill>
                  <w14:solidFill>
                    <w14:schemeClr w14:val="tx1"/>
                  </w14:solidFill>
                </w14:textFill>
              </w:rPr>
              <w:t>修正预算中对应的</w:t>
            </w:r>
            <w:r>
              <w:rPr>
                <w:rFonts w:hint="eastAsia" w:ascii="宋体" w:hAnsi="宋体"/>
                <w:bCs/>
                <w:color w:val="000000" w:themeColor="text1"/>
                <w:szCs w:val="21"/>
                <w:highlight w:val="none"/>
                <w14:textFill>
                  <w14:solidFill>
                    <w14:schemeClr w14:val="tx1"/>
                  </w14:solidFill>
                </w14:textFill>
              </w:rPr>
              <w:t>措施项目综合单价</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（1-3</w:t>
            </w:r>
            <w:r>
              <w:rPr>
                <w:rFonts w:ascii="宋体" w:hAnsi="宋体" w:cs="宋体"/>
                <w:b/>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b/>
                <w:color w:val="000000" w:themeColor="text1"/>
                <w:kern w:val="0"/>
                <w:szCs w:val="21"/>
                <w:highlight w:val="none"/>
                <w14:textFill>
                  <w14:solidFill>
                    <w14:schemeClr w14:val="tx1"/>
                  </w14:solidFill>
                </w14:textFill>
              </w:rPr>
              <w:t>（1-建安工程费投标下浮率）</w:t>
            </w:r>
          </w:p>
        </w:tc>
        <w:tc>
          <w:tcPr>
            <w:tcW w:w="2004" w:type="dxa"/>
          </w:tcPr>
          <w:p>
            <w:pPr>
              <w:ind w:left="360"/>
              <w:rPr>
                <w:rFonts w:ascii="宋体" w:hAnsi="宋体"/>
                <w:bCs/>
                <w:color w:val="000000" w:themeColor="text1"/>
                <w:szCs w:val="21"/>
                <w:highlight w:val="none"/>
                <w14:textFill>
                  <w14:solidFill>
                    <w14:schemeClr w14:val="tx1"/>
                  </w14:solidFill>
                </w14:textFill>
              </w:rPr>
            </w:pPr>
          </w:p>
          <w:p>
            <w:pPr>
              <w:jc w:val="center"/>
              <w:rPr>
                <w:rFonts w:ascii="宋体" w:hAnsi="宋体"/>
                <w:bCs/>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三</w:t>
            </w:r>
          </w:p>
        </w:tc>
        <w:tc>
          <w:tcPr>
            <w:tcW w:w="2551"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其他项目费</w:t>
            </w:r>
          </w:p>
        </w:tc>
        <w:tc>
          <w:tcPr>
            <w:tcW w:w="3749"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1、暂列金：不计取；</w:t>
            </w:r>
          </w:p>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2、其他：以第一、二项费用为依据，按本合同</w:t>
            </w:r>
            <w:r>
              <w:rPr>
                <w:rFonts w:hint="eastAsia" w:ascii="宋体" w:hAnsi="宋体" w:cs="宋体"/>
                <w:color w:val="000000" w:themeColor="text1"/>
                <w:kern w:val="0"/>
                <w:szCs w:val="21"/>
                <w:highlight w:val="none"/>
                <w14:textFill>
                  <w14:solidFill>
                    <w14:schemeClr w14:val="tx1"/>
                  </w14:solidFill>
                </w14:textFill>
              </w:rPr>
              <w:t>相关规定计算</w:t>
            </w:r>
          </w:p>
        </w:tc>
        <w:tc>
          <w:tcPr>
            <w:tcW w:w="2004" w:type="dxa"/>
          </w:tcPr>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1、预算包干费不计取，视同包含在其他总清单项目费用中；</w:t>
            </w:r>
          </w:p>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2、暂列金额：不计取。</w:t>
            </w:r>
          </w:p>
          <w:p>
            <w:pP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3、工程优质费按合同约定计算。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13" w:type="dxa"/>
            <w:vAlign w:val="center"/>
          </w:tcPr>
          <w:p>
            <w:pPr>
              <w:jc w:val="center"/>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四</w:t>
            </w:r>
          </w:p>
        </w:tc>
        <w:tc>
          <w:tcPr>
            <w:tcW w:w="2551"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规费及税金</w:t>
            </w:r>
          </w:p>
        </w:tc>
        <w:tc>
          <w:tcPr>
            <w:tcW w:w="3749" w:type="dxa"/>
            <w:vAlign w:val="center"/>
          </w:tcPr>
          <w:p>
            <w:pPr>
              <w:jc w:val="left"/>
              <w:rPr>
                <w:rFonts w:ascii="宋体" w:hAnsi="宋体"/>
                <w:bCs/>
                <w:color w:val="000000" w:themeColor="text1"/>
                <w:szCs w:val="2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（以第一、二、三项费用为依据，按本合同</w:t>
            </w:r>
            <w:r>
              <w:rPr>
                <w:rFonts w:hint="eastAsia" w:ascii="宋体" w:hAnsi="宋体" w:cs="宋体"/>
                <w:color w:val="000000" w:themeColor="text1"/>
                <w:kern w:val="0"/>
                <w:szCs w:val="21"/>
                <w:highlight w:val="none"/>
                <w14:textFill>
                  <w14:solidFill>
                    <w14:schemeClr w14:val="tx1"/>
                  </w14:solidFill>
                </w14:textFill>
              </w:rPr>
              <w:t>相关规定计算</w:t>
            </w:r>
            <w:r>
              <w:rPr>
                <w:rFonts w:hint="eastAsia" w:ascii="宋体" w:hAnsi="宋体"/>
                <w:bCs/>
                <w:color w:val="000000" w:themeColor="text1"/>
                <w:szCs w:val="21"/>
                <w:highlight w:val="none"/>
                <w14:textFill>
                  <w14:solidFill>
                    <w14:schemeClr w14:val="tx1"/>
                  </w14:solidFill>
                </w14:textFill>
              </w:rPr>
              <w:t>）</w:t>
            </w:r>
          </w:p>
        </w:tc>
        <w:tc>
          <w:tcPr>
            <w:tcW w:w="2004" w:type="dxa"/>
          </w:tcPr>
          <w:p>
            <w:pPr>
              <w:jc w:val="center"/>
              <w:rPr>
                <w:rFonts w:ascii="宋体" w:hAnsi="宋体"/>
                <w:bCs/>
                <w:color w:val="000000" w:themeColor="text1"/>
                <w:szCs w:val="21"/>
                <w:highlight w:val="none"/>
                <w14:textFill>
                  <w14:solidFill>
                    <w14:schemeClr w14:val="tx1"/>
                  </w14:solidFill>
                </w14:textFill>
              </w:rPr>
            </w:pPr>
          </w:p>
        </w:tc>
      </w:tr>
    </w:tbl>
    <w:p>
      <w:pPr>
        <w:spacing w:line="360" w:lineRule="auto"/>
        <w:ind w:firstLine="420" w:firstLineChars="200"/>
        <w:rPr>
          <w:rFonts w:ascii="仿宋_GB2312" w:hAnsi="宋体" w:eastAsia="仿宋_GB2312"/>
          <w:color w:val="000000" w:themeColor="text1"/>
          <w:kern w:val="0"/>
          <w:szCs w:val="21"/>
          <w:highlight w:val="none"/>
          <w14:textFill>
            <w14:solidFill>
              <w14:schemeClr w14:val="tx1"/>
            </w14:solidFill>
          </w14:textFill>
        </w:rPr>
      </w:pP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17.1.3.</w:t>
      </w:r>
      <w:r>
        <w:rPr>
          <w:rFonts w:ascii="宋体" w:hAnsi="宋体"/>
          <w:color w:val="000000" w:themeColor="text1"/>
          <w:szCs w:val="21"/>
          <w:highlight w:val="none"/>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工程优质费 （合同工程同时获得下列多个奖项的，只按最高奖项的额度计算）：</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ascii="Segoe UI Symbol" w:hAnsi="Segoe UI Symbol" w:cs="Segoe UI Symbol"/>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 xml:space="preserve"> 本合同工程无工程优质费，本款不适用，并增加以下规定：</w:t>
      </w:r>
    </w:p>
    <w:p>
      <w:pPr>
        <w:spacing w:before="156" w:beforeLines="50" w:after="156" w:afterLines="50" w:line="360" w:lineRule="auto"/>
        <w:ind w:firstLine="420" w:firstLineChars="200"/>
        <w:jc w:val="left"/>
        <w:rPr>
          <w:rFonts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单位工程验收质量达不到本合同约定的质量标准——“合格”&amp;</w:t>
      </w:r>
      <w:r>
        <w:rPr>
          <w:rFonts w:ascii="宋体" w:hAnsi="宋体"/>
          <w:color w:val="000000" w:themeColor="text1"/>
          <w:kern w:val="0"/>
          <w:szCs w:val="21"/>
          <w:highlight w:val="none"/>
          <w14:textFill>
            <w14:solidFill>
              <w14:schemeClr w14:val="tx1"/>
            </w14:solidFill>
          </w14:textFill>
        </w:rPr>
        <w:t xml:space="preserve"> </w:t>
      </w:r>
      <w:r>
        <w:rPr>
          <w:rFonts w:hint="eastAsia" w:ascii="宋体" w:hAnsi="宋体"/>
          <w:color w:val="000000" w:themeColor="text1"/>
          <w:kern w:val="0"/>
          <w:szCs w:val="21"/>
          <w:highlight w:val="none"/>
          <w14:textFill>
            <w14:solidFill>
              <w14:schemeClr w14:val="tx1"/>
            </w14:solidFill>
          </w14:textFill>
        </w:rPr>
        <w:t>取得“广东省优质水利工程奖（一等奖）”及“广东省安全生产文明工地”，承包人须承担1</w:t>
      </w:r>
      <w:r>
        <w:rPr>
          <w:rFonts w:ascii="宋体" w:hAnsi="宋体"/>
          <w:color w:val="000000" w:themeColor="text1"/>
          <w:kern w:val="0"/>
          <w:szCs w:val="21"/>
          <w:highlight w:val="none"/>
          <w14:textFill>
            <w14:solidFill>
              <w14:schemeClr w14:val="tx1"/>
            </w14:solidFill>
          </w14:textFill>
        </w:rPr>
        <w:t>00</w:t>
      </w:r>
      <w:r>
        <w:rPr>
          <w:rFonts w:hint="eastAsia" w:ascii="宋体" w:hAnsi="宋体"/>
          <w:color w:val="000000" w:themeColor="text1"/>
          <w:kern w:val="0"/>
          <w:szCs w:val="21"/>
          <w:highlight w:val="none"/>
          <w14:textFill>
            <w14:solidFill>
              <w14:schemeClr w14:val="tx1"/>
            </w14:solidFill>
          </w14:textFill>
        </w:rPr>
        <w:t>万元违约金</w:t>
      </w:r>
      <w:r>
        <w:rPr>
          <w:rFonts w:ascii="宋体" w:hAnsi="宋体"/>
          <w:color w:val="000000" w:themeColor="text1"/>
          <w:kern w:val="0"/>
          <w:szCs w:val="21"/>
          <w:highlight w:val="none"/>
          <w14:textFill>
            <w14:solidFill>
              <w14:schemeClr w14:val="tx1"/>
            </w14:solidFill>
          </w14:textFill>
        </w:rPr>
        <w:t>。</w:t>
      </w:r>
    </w:p>
    <w:p>
      <w:pPr>
        <w:spacing w:after="120"/>
        <w:ind w:firstLine="420"/>
        <w:rPr>
          <w:rFonts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17.1.3.5结算原则</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项目工程费以修正价合同为依据，综合单价按照修正清单综合单价计算，工程量按实结算。最终以有审核权限部门审核结果为准。承包人对编制的设计概算、施工图预算、修正合同价款的准确性和完整性负责，施工部分修正合同价格后，承包人必须按图施工，且不得再以工程量有误</w:t>
      </w:r>
      <w:r>
        <w:rPr>
          <w:rFonts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含项目特征描述不符、工程量清单缺项、工程量偏差</w:t>
      </w:r>
      <w:r>
        <w:rPr>
          <w:rFonts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为由向发包人提出调增合同价款的要求。</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17.1.3.</w:t>
      </w:r>
      <w:r>
        <w:rPr>
          <w:rFonts w:ascii="宋体" w:hAnsi="宋体"/>
          <w:color w:val="000000" w:themeColor="text1"/>
          <w:szCs w:val="21"/>
          <w:highlight w:val="none"/>
          <w14:textFill>
            <w14:solidFill>
              <w14:schemeClr w14:val="tx1"/>
            </w14:solidFill>
          </w14:textFill>
        </w:rPr>
        <w:t>6</w:t>
      </w:r>
      <w:r>
        <w:rPr>
          <w:rFonts w:hint="eastAsia" w:ascii="宋体" w:hAnsi="宋体"/>
          <w:color w:val="000000" w:themeColor="text1"/>
          <w:szCs w:val="21"/>
          <w:highlight w:val="none"/>
          <w14:textFill>
            <w14:solidFill>
              <w14:schemeClr w14:val="tx1"/>
            </w14:solidFill>
          </w14:textFill>
        </w:rPr>
        <w:t>发包人拟将本工程纳入工程款专用监管范畴，中标人应积极配合发包人、</w:t>
      </w:r>
      <w:r>
        <w:rPr>
          <w:rFonts w:ascii="宋体" w:hAnsi="宋体"/>
          <w:color w:val="000000" w:themeColor="text1"/>
          <w:szCs w:val="21"/>
          <w:highlight w:val="none"/>
          <w14:textFill>
            <w14:solidFill>
              <w14:schemeClr w14:val="tx1"/>
            </w14:solidFill>
          </w14:textFill>
        </w:rPr>
        <w:t>立项业主</w:t>
      </w:r>
      <w:r>
        <w:rPr>
          <w:rFonts w:hint="eastAsia" w:ascii="宋体" w:hAnsi="宋体"/>
          <w:color w:val="000000" w:themeColor="text1"/>
          <w:szCs w:val="21"/>
          <w:highlight w:val="none"/>
          <w14:textFill>
            <w14:solidFill>
              <w14:schemeClr w14:val="tx1"/>
            </w14:solidFill>
          </w14:textFill>
        </w:rPr>
        <w:t>等签订《项目工程款资金账户监管协议》，并配合做好本工程资金监管的协助工作。</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17.1.</w:t>
      </w:r>
      <w:r>
        <w:rPr>
          <w:rFonts w:ascii="宋体" w:hAnsi="宋体"/>
          <w:color w:val="000000" w:themeColor="text1"/>
          <w:szCs w:val="21"/>
          <w:highlight w:val="none"/>
          <w14:textFill>
            <w14:solidFill>
              <w14:schemeClr w14:val="tx1"/>
            </w14:solidFill>
          </w14:textFill>
        </w:rPr>
        <w:t>4</w:t>
      </w:r>
      <w:r>
        <w:rPr>
          <w:rFonts w:hint="eastAsia"/>
          <w:color w:val="000000" w:themeColor="text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BIM技术应用费暂定价、收费标准及结算方式。</w:t>
      </w:r>
    </w:p>
    <w:p>
      <w:pPr>
        <w:autoSpaceDE w:val="0"/>
        <w:autoSpaceDN w:val="0"/>
        <w:adjustRightInd w:val="0"/>
        <w:spacing w:before="50" w:after="50" w:line="360" w:lineRule="auto"/>
        <w:ind w:firstLine="422"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BIM技术应用费暂定价为¥</w:t>
      </w:r>
      <w:r>
        <w:rPr>
          <w:rFonts w:ascii="宋体" w:hAnsi="宋体"/>
          <w:b/>
          <w:color w:val="000000" w:themeColor="text1"/>
          <w:szCs w:val="21"/>
          <w:highlight w:val="none"/>
          <w:u w:val="single"/>
          <w14:textFill>
            <w14:solidFill>
              <w14:schemeClr w14:val="tx1"/>
            </w14:solidFill>
          </w14:textFill>
        </w:rPr>
        <w:t xml:space="preserve">         </w:t>
      </w:r>
      <w:r>
        <w:rPr>
          <w:rFonts w:hint="eastAsia" w:ascii="宋体" w:hAnsi="宋体"/>
          <w:b/>
          <w:color w:val="000000" w:themeColor="text1"/>
          <w:szCs w:val="21"/>
          <w:highlight w:val="none"/>
          <w14:textFill>
            <w14:solidFill>
              <w14:schemeClr w14:val="tx1"/>
            </w14:solidFill>
          </w14:textFill>
        </w:rPr>
        <w:t>元。</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BIM技术应用费结算方式：BIM技术应用费按照《广东省建筑信息模型（BIM）技术应用费用计价参考依据（2019年修正版》（粤建科〔2019〕12号），以建安工程费为计费基数，按照工程费用基价表单项工程三阶段应用费率0.45%（其中设计、施工、运维三阶段分别占比33%、37%、30%，按照发包人要求最终实际开展且完成成果交付验收的工作阶段计取）计算并下浮35%，再乘以（1-</w:t>
      </w:r>
      <w:r>
        <w:rPr>
          <w:rFonts w:ascii="宋体" w:hAnsi="宋体"/>
          <w:color w:val="000000" w:themeColor="text1"/>
          <w:szCs w:val="21"/>
          <w:highlight w:val="none"/>
          <w14:textFill>
            <w14:solidFill>
              <w14:schemeClr w14:val="tx1"/>
            </w14:solidFill>
          </w14:textFill>
        </w:rPr>
        <w:t>BIM</w:t>
      </w:r>
      <w:r>
        <w:rPr>
          <w:rFonts w:hint="eastAsia" w:ascii="宋体" w:hAnsi="宋体"/>
          <w:color w:val="000000" w:themeColor="text1"/>
          <w:szCs w:val="21"/>
          <w:highlight w:val="none"/>
          <w14:textFill>
            <w14:solidFill>
              <w14:schemeClr w14:val="tx1"/>
            </w14:solidFill>
          </w14:textFill>
        </w:rPr>
        <w:t>技术应用费投标下浮率）计算。最终BIM总体咨询服务费结算价以有审核权限部门审定意见为准。</w:t>
      </w:r>
    </w:p>
    <w:p>
      <w:pPr>
        <w:pStyle w:val="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17.2 预付款</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双方协商一致，本条款补充如下：</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（1）承包人按招标文件及合同专用条款的要求提交履约银行保函及预付款保函后，承包人提交工程预付款申请书，</w:t>
      </w:r>
      <w:r>
        <w:rPr>
          <w:rFonts w:hint="eastAsia" w:ascii="宋体" w:hAnsi="宋体"/>
          <w:color w:val="000000" w:themeColor="text1"/>
          <w:szCs w:val="21"/>
          <w:highlight w:val="none"/>
          <w:u w:val="single"/>
          <w14:textFill>
            <w14:solidFill>
              <w14:schemeClr w14:val="tx1"/>
            </w14:solidFill>
          </w14:textFill>
        </w:rPr>
        <w:t>发包人收到后</w:t>
      </w:r>
      <w:r>
        <w:rPr>
          <w:rFonts w:ascii="宋体" w:hAnsi="宋体"/>
          <w:color w:val="000000" w:themeColor="text1"/>
          <w:szCs w:val="21"/>
          <w:highlight w:val="none"/>
          <w:u w:val="single"/>
          <w14:textFill>
            <w14:solidFill>
              <w14:schemeClr w14:val="tx1"/>
            </w14:solidFill>
          </w14:textFill>
        </w:rPr>
        <w:t>14天内向承包人支付</w:t>
      </w:r>
      <w:r>
        <w:rPr>
          <w:rFonts w:hint="eastAsia" w:ascii="宋体" w:hAnsi="宋体"/>
          <w:color w:val="000000" w:themeColor="text1"/>
          <w:szCs w:val="21"/>
          <w:highlight w:val="none"/>
          <w:u w:val="single"/>
          <w14:textFill>
            <w14:solidFill>
              <w14:schemeClr w14:val="tx1"/>
            </w14:solidFill>
          </w14:textFill>
        </w:rPr>
        <w:t>建安费中标价的</w:t>
      </w:r>
      <w:r>
        <w:rPr>
          <w:rFonts w:ascii="宋体" w:hAnsi="宋体"/>
          <w:color w:val="000000" w:themeColor="text1"/>
          <w:szCs w:val="21"/>
          <w:highlight w:val="none"/>
          <w:u w:val="single"/>
          <w14:textFill>
            <w14:solidFill>
              <w14:schemeClr w14:val="tx1"/>
            </w14:solidFill>
          </w14:textFill>
        </w:rPr>
        <w:t>10%-30%作为工程预付款</w:t>
      </w:r>
      <w:r>
        <w:rPr>
          <w:rFonts w:hint="eastAsia" w:ascii="宋体" w:hAnsi="宋体"/>
          <w:color w:val="000000" w:themeColor="text1"/>
          <w:szCs w:val="21"/>
          <w:highlight w:val="none"/>
          <w14:textFill>
            <w14:solidFill>
              <w14:schemeClr w14:val="tx1"/>
            </w14:solidFill>
          </w14:textFill>
        </w:rPr>
        <w:t>。发包人在确保项目风险可控情况下，有权根据工程交地及施工准备工作情况酌情调整预付款支付比例和进度。承包人须在申请第一笔工程进度款前完成预付款的申领手续，否则视为放弃。</w:t>
      </w:r>
      <w:r>
        <w:rPr>
          <w:rFonts w:hint="eastAsia"/>
          <w:color w:val="000000" w:themeColor="text1"/>
          <w:szCs w:val="21"/>
          <w:highlight w:val="none"/>
          <w14:textFill>
            <w14:solidFill>
              <w14:schemeClr w14:val="tx1"/>
            </w14:solidFill>
          </w14:textFill>
        </w:rPr>
        <w:t>签订合同后第一笔工程进度款申请前可一次性或分批支付预付款。</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（2）扣回工程预付款的时间、比例：</w:t>
      </w:r>
      <w:r>
        <w:rPr>
          <w:rFonts w:hint="eastAsia" w:ascii="宋体" w:hAnsi="宋体"/>
          <w:color w:val="000000" w:themeColor="text1"/>
          <w:szCs w:val="21"/>
          <w:highlight w:val="none"/>
          <w:u w:val="single"/>
          <w14:textFill>
            <w14:solidFill>
              <w14:schemeClr w14:val="tx1"/>
            </w14:solidFill>
          </w14:textFill>
        </w:rPr>
        <w:t>每一次拨付工程进度款时，扣除工程进度款的</w:t>
      </w:r>
      <w:r>
        <w:rPr>
          <w:rFonts w:ascii="宋体" w:hAnsi="宋体"/>
          <w:color w:val="000000" w:themeColor="text1"/>
          <w:szCs w:val="21"/>
          <w:highlight w:val="none"/>
          <w:u w:val="single"/>
          <w14:textFill>
            <w14:solidFill>
              <w14:schemeClr w14:val="tx1"/>
            </w14:solidFill>
          </w14:textFill>
        </w:rPr>
        <w:t>40%</w:t>
      </w:r>
      <w:r>
        <w:rPr>
          <w:rFonts w:hint="eastAsia" w:ascii="宋体" w:hAnsi="宋体"/>
          <w:color w:val="000000" w:themeColor="text1"/>
          <w:szCs w:val="21"/>
          <w:highlight w:val="none"/>
          <w:u w:val="single"/>
          <w14:textFill>
            <w14:solidFill>
              <w14:schemeClr w14:val="tx1"/>
            </w14:solidFill>
          </w14:textFill>
        </w:rPr>
        <w:t>作为抵扣工程预付款，（本期完成产值×</w:t>
      </w:r>
      <w:r>
        <w:rPr>
          <w:rFonts w:ascii="宋体" w:hAnsi="宋体"/>
          <w:color w:val="000000" w:themeColor="text1"/>
          <w:szCs w:val="21"/>
          <w:highlight w:val="none"/>
          <w:u w:val="single"/>
          <w14:textFill>
            <w14:solidFill>
              <w14:schemeClr w14:val="tx1"/>
            </w14:solidFill>
          </w14:textFill>
        </w:rPr>
        <w:t>80%-预付款、违约金=本期应付金额）直至工程预付款抵扣清为止。扣清工程预付款后退还承包人的预付款保函</w:t>
      </w:r>
      <w:r>
        <w:rPr>
          <w:rFonts w:hint="eastAsia" w:ascii="宋体" w:hAnsi="宋体"/>
          <w:color w:val="000000" w:themeColor="text1"/>
          <w:szCs w:val="21"/>
          <w:highlight w:val="none"/>
          <w14:textFill>
            <w14:solidFill>
              <w14:schemeClr w14:val="tx1"/>
            </w14:solidFill>
          </w14:textFill>
        </w:rPr>
        <w:t>。</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工程预付款保函应采用《招标文件》规定的参考格式，并由发包人认可的银行出具。若承包人未能出具符合要求的工程预付款保函，则发包人有权拒绝向承包人支付工程预付款。</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17.3 工程进度付款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17.3.1勘察设计服务费支付方式。</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ascii="宋体" w:hAnsi="宋体"/>
          <w:color w:val="000000" w:themeColor="text1"/>
          <w:szCs w:val="21"/>
          <w:highlight w:val="none"/>
          <w14:textFill>
            <w14:solidFill>
              <w14:schemeClr w14:val="tx1"/>
            </w14:solidFill>
          </w14:textFill>
        </w:rPr>
        <w:t>由</w:t>
      </w:r>
      <w:r>
        <w:rPr>
          <w:rFonts w:hint="eastAsia" w:ascii="宋体" w:hAnsi="宋体"/>
          <w:color w:val="000000" w:themeColor="text1"/>
          <w:szCs w:val="21"/>
          <w:highlight w:val="none"/>
          <w14:textFill>
            <w14:solidFill>
              <w14:schemeClr w14:val="tx1"/>
            </w14:solidFill>
          </w14:textFill>
        </w:rPr>
        <w:t>发包人根据工作进度</w:t>
      </w:r>
      <w:r>
        <w:rPr>
          <w:rFonts w:ascii="宋体" w:hAnsi="宋体"/>
          <w:color w:val="000000" w:themeColor="text1"/>
          <w:szCs w:val="21"/>
          <w:highlight w:val="none"/>
          <w14:textFill>
            <w14:solidFill>
              <w14:schemeClr w14:val="tx1"/>
            </w14:solidFill>
          </w14:textFill>
        </w:rPr>
        <w:t>向</w:t>
      </w:r>
      <w:r>
        <w:rPr>
          <w:rFonts w:hint="eastAsia" w:ascii="宋体" w:hAnsi="宋体"/>
          <w:color w:val="000000" w:themeColor="text1"/>
          <w:szCs w:val="21"/>
          <w:highlight w:val="none"/>
          <w14:textFill>
            <w14:solidFill>
              <w14:schemeClr w14:val="tx1"/>
            </w14:solidFill>
          </w14:textFill>
        </w:rPr>
        <w:t>勘察设计单位分期</w:t>
      </w:r>
      <w:r>
        <w:rPr>
          <w:rFonts w:ascii="宋体" w:hAnsi="宋体"/>
          <w:color w:val="000000" w:themeColor="text1"/>
          <w:szCs w:val="21"/>
          <w:highlight w:val="none"/>
          <w14:textFill>
            <w14:solidFill>
              <w14:schemeClr w14:val="tx1"/>
            </w14:solidFill>
          </w14:textFill>
        </w:rPr>
        <w:t>支付</w:t>
      </w:r>
      <w:r>
        <w:rPr>
          <w:rFonts w:hint="eastAsia" w:ascii="宋体" w:hAnsi="宋体"/>
          <w:color w:val="000000" w:themeColor="text1"/>
          <w:szCs w:val="21"/>
          <w:highlight w:val="none"/>
          <w14:textFill>
            <w14:solidFill>
              <w14:schemeClr w14:val="tx1"/>
            </w14:solidFill>
          </w14:textFill>
        </w:rPr>
        <w:t>，支付进度如下：</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勘察设计工作完成以</w:t>
      </w:r>
      <w:r>
        <w:rPr>
          <w:rFonts w:ascii="宋体" w:hAnsi="宋体"/>
          <w:color w:val="000000" w:themeColor="text1"/>
          <w:szCs w:val="21"/>
          <w:highlight w:val="none"/>
          <w14:textFill>
            <w14:solidFill>
              <w14:schemeClr w14:val="tx1"/>
            </w14:solidFill>
          </w14:textFill>
        </w:rPr>
        <w:t>工程勘察</w:t>
      </w:r>
      <w:r>
        <w:rPr>
          <w:rFonts w:hint="eastAsia" w:ascii="宋体" w:hAnsi="宋体"/>
          <w:color w:val="000000" w:themeColor="text1"/>
          <w:szCs w:val="21"/>
          <w:highlight w:val="none"/>
          <w14:textFill>
            <w14:solidFill>
              <w14:schemeClr w14:val="tx1"/>
            </w14:solidFill>
          </w14:textFill>
        </w:rPr>
        <w:t>设计</w:t>
      </w:r>
      <w:r>
        <w:rPr>
          <w:rFonts w:ascii="宋体" w:hAnsi="宋体"/>
          <w:color w:val="000000" w:themeColor="text1"/>
          <w:szCs w:val="21"/>
          <w:highlight w:val="none"/>
          <w14:textFill>
            <w14:solidFill>
              <w14:schemeClr w14:val="tx1"/>
            </w14:solidFill>
          </w14:textFill>
        </w:rPr>
        <w:t>成果提交</w:t>
      </w:r>
      <w:r>
        <w:rPr>
          <w:rFonts w:hint="eastAsia" w:ascii="宋体" w:hAnsi="宋体"/>
          <w:color w:val="000000" w:themeColor="text1"/>
          <w:szCs w:val="21"/>
          <w:highlight w:val="none"/>
          <w14:textFill>
            <w14:solidFill>
              <w14:schemeClr w14:val="tx1"/>
            </w14:solidFill>
          </w14:textFill>
        </w:rPr>
        <w:t>审批完成或</w:t>
      </w:r>
      <w:r>
        <w:rPr>
          <w:rFonts w:ascii="宋体" w:hAnsi="宋体"/>
          <w:color w:val="000000" w:themeColor="text1"/>
          <w:szCs w:val="21"/>
          <w:highlight w:val="none"/>
          <w14:textFill>
            <w14:solidFill>
              <w14:schemeClr w14:val="tx1"/>
            </w14:solidFill>
          </w14:textFill>
        </w:rPr>
        <w:t>被确认合格</w:t>
      </w:r>
      <w:r>
        <w:rPr>
          <w:rFonts w:hint="eastAsia" w:ascii="宋体" w:hAnsi="宋体"/>
          <w:color w:val="000000" w:themeColor="text1"/>
          <w:szCs w:val="21"/>
          <w:highlight w:val="none"/>
          <w14:textFill>
            <w14:solidFill>
              <w14:schemeClr w14:val="tx1"/>
            </w14:solidFill>
          </w14:textFill>
        </w:rPr>
        <w:t>且工程顺利进入下一阶段或勘察合同符合终止条件为准。对应的勘察设计费按比例分阶段付款，如下：</w:t>
      </w:r>
    </w:p>
    <w:p>
      <w:pPr>
        <w:autoSpaceDE w:val="0"/>
        <w:autoSpaceDN w:val="0"/>
        <w:adjustRightInd w:val="0"/>
        <w:spacing w:before="50" w:after="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勘察服务费支付方式：本合同生效且承包人根据项目推进情况开始作业，发包人向承包人支付勘察费用签约合同价的20％作为定金；提交勘察成果后最多支付至经发包人确认的勘察工作量按结算方式计算勘察费预计结算价的50%，工程完工验收后，最多可支付至经发包人确认的勘察工作量按结算方式计算勘察费预计结算价的80%；勘察服务费结算后支付至勘察费结算价的100%。</w:t>
      </w:r>
    </w:p>
    <w:p>
      <w:pPr>
        <w:autoSpaceDE w:val="0"/>
        <w:autoSpaceDN w:val="0"/>
        <w:adjustRightInd w:val="0"/>
        <w:spacing w:before="50" w:after="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设计服务费支付方式：合同生效且承包人根据项目推进情况开始工作，发包人向承包人支付设计费用签约合同价的20％作为定金；初步设计提交成果后最多支付至设计服务暂定价的40%，初步设计批复后最多支付至按设计费结算方式计算设计费预计结算价的60%，施工图经审查并修改完善后最多支付至按设计费结算方式计算设计费预计结算价的80%。</w:t>
      </w:r>
    </w:p>
    <w:p>
      <w:pPr>
        <w:autoSpaceDE w:val="0"/>
        <w:autoSpaceDN w:val="0"/>
        <w:adjustRightInd w:val="0"/>
        <w:spacing w:before="50" w:after="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3</w:t>
      </w:r>
      <w:r>
        <w:rPr>
          <w:rFonts w:hint="eastAsia" w:ascii="宋体" w:hAnsi="宋体"/>
          <w:color w:val="000000" w:themeColor="text1"/>
          <w:szCs w:val="21"/>
          <w:highlight w:val="none"/>
          <w14:textFill>
            <w14:solidFill>
              <w14:schemeClr w14:val="tx1"/>
            </w14:solidFill>
          </w14:textFill>
        </w:rPr>
        <w:t>）工程完工验收通过且办理完结算后，发包人向</w:t>
      </w:r>
      <w:bookmarkStart w:id="1554" w:name="_Hlk144302918"/>
      <w:r>
        <w:rPr>
          <w:rFonts w:hint="eastAsia" w:ascii="宋体" w:hAnsi="宋体"/>
          <w:color w:val="000000" w:themeColor="text1"/>
          <w:szCs w:val="21"/>
          <w:highlight w:val="none"/>
          <w14:textFill>
            <w14:solidFill>
              <w14:schemeClr w14:val="tx1"/>
            </w14:solidFill>
          </w14:textFill>
        </w:rPr>
        <w:t>承包人（如为联合体中标，则为联合体主办方）</w:t>
      </w:r>
      <w:bookmarkEnd w:id="1554"/>
      <w:r>
        <w:rPr>
          <w:rFonts w:hint="eastAsia" w:ascii="宋体" w:hAnsi="宋体"/>
          <w:color w:val="000000" w:themeColor="text1"/>
          <w:szCs w:val="21"/>
          <w:highlight w:val="none"/>
          <w14:textFill>
            <w14:solidFill>
              <w14:schemeClr w14:val="tx1"/>
            </w14:solidFill>
          </w14:textFill>
        </w:rPr>
        <w:t>支付扣除违约金（如有）等的项目设计服务费余款，余款中含绩效考核金（设计费结算金额的2</w:t>
      </w:r>
      <w:r>
        <w:rPr>
          <w:rFonts w:ascii="宋体" w:hAnsi="宋体"/>
          <w:color w:val="000000" w:themeColor="text1"/>
          <w:szCs w:val="21"/>
          <w:highlight w:val="none"/>
          <w14:textFill>
            <w14:solidFill>
              <w14:schemeClr w14:val="tx1"/>
            </w14:solidFill>
          </w14:textFill>
        </w:rPr>
        <w:t>0%</w:t>
      </w:r>
      <w:r>
        <w:rPr>
          <w:rFonts w:hint="eastAsia" w:ascii="宋体" w:hAnsi="宋体"/>
          <w:color w:val="000000" w:themeColor="text1"/>
          <w:szCs w:val="21"/>
          <w:highlight w:val="none"/>
          <w14:textFill>
            <w14:solidFill>
              <w14:schemeClr w14:val="tx1"/>
            </w14:solidFill>
          </w14:textFill>
        </w:rPr>
        <w:t>），由承包人（如为联合体中标，则为联合体主办方）根据绩效考核要求和考核结果分配。</w:t>
      </w:r>
      <w:r>
        <w:rPr>
          <w:rFonts w:ascii="宋体" w:hAnsi="宋体"/>
          <w:color w:val="000000" w:themeColor="text1"/>
          <w:szCs w:val="21"/>
          <w:highlight w:val="none"/>
          <w14:textFill>
            <w14:solidFill>
              <w14:schemeClr w14:val="tx1"/>
            </w14:solidFill>
          </w14:textFill>
        </w:rPr>
        <w:t>3年考核期满</w:t>
      </w:r>
      <w:r>
        <w:rPr>
          <w:rFonts w:hint="eastAsia" w:ascii="宋体" w:hAnsi="宋体"/>
          <w:color w:val="000000" w:themeColor="text1"/>
          <w:szCs w:val="21"/>
          <w:highlight w:val="none"/>
          <w14:textFill>
            <w14:solidFill>
              <w14:schemeClr w14:val="tx1"/>
            </w14:solidFill>
          </w14:textFill>
        </w:rPr>
        <w:t>，承包人退还已支付考核金额与最终考核结果确认的考核金额的差值部分。绩效考核要求详见附件8。</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17.3.2 本合同工程费按进度支付，支付比例如下：</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u w:val="single"/>
          <w14:textFill>
            <w14:solidFill>
              <w14:schemeClr w14:val="tx1"/>
            </w14:solidFill>
          </w14:textFill>
        </w:rPr>
        <w:t>工程预付款按第</w:t>
      </w:r>
      <w:r>
        <w:rPr>
          <w:rFonts w:ascii="宋体" w:hAnsi="宋体" w:cs="宋体"/>
          <w:color w:val="000000" w:themeColor="text1"/>
          <w:kern w:val="0"/>
          <w:szCs w:val="21"/>
          <w:highlight w:val="none"/>
          <w:u w:val="single"/>
          <w14:textFill>
            <w14:solidFill>
              <w14:schemeClr w14:val="tx1"/>
            </w14:solidFill>
          </w14:textFill>
        </w:rPr>
        <w:t>17.2条规定支付</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2）付款时间：</w:t>
      </w:r>
      <w:r>
        <w:rPr>
          <w:rFonts w:hint="eastAsia" w:ascii="宋体" w:hAnsi="宋体" w:cs="宋体"/>
          <w:color w:val="000000" w:themeColor="text1"/>
          <w:kern w:val="0"/>
          <w:szCs w:val="21"/>
          <w:highlight w:val="none"/>
          <w:u w:val="single"/>
          <w14:textFill>
            <w14:solidFill>
              <w14:schemeClr w14:val="tx1"/>
            </w14:solidFill>
          </w14:textFill>
        </w:rPr>
        <w:t>按月支付</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u w:val="single"/>
          <w14:textFill>
            <w14:solidFill>
              <w14:schemeClr w14:val="tx1"/>
            </w14:solidFill>
          </w14:textFill>
        </w:rPr>
        <w:t>工程进度款按实际完成工程量每个月计量支付一次，承包人应在每月</w:t>
      </w:r>
      <w:r>
        <w:rPr>
          <w:rFonts w:ascii="宋体" w:hAnsi="宋体" w:cs="宋体"/>
          <w:color w:val="000000" w:themeColor="text1"/>
          <w:kern w:val="0"/>
          <w:szCs w:val="21"/>
          <w:highlight w:val="none"/>
          <w:u w:val="single"/>
          <w14:textFill>
            <w14:solidFill>
              <w14:schemeClr w14:val="tx1"/>
            </w14:solidFill>
          </w14:textFill>
        </w:rPr>
        <w:t>20</w:t>
      </w:r>
      <w:r>
        <w:rPr>
          <w:rFonts w:hint="eastAsia" w:ascii="宋体" w:hAnsi="宋体" w:cs="宋体"/>
          <w:color w:val="000000" w:themeColor="text1"/>
          <w:kern w:val="0"/>
          <w:szCs w:val="21"/>
          <w:highlight w:val="none"/>
          <w:u w:val="single"/>
          <w14:textFill>
            <w14:solidFill>
              <w14:schemeClr w14:val="tx1"/>
            </w14:solidFill>
          </w14:textFill>
        </w:rPr>
        <w:t>日前按规定的申请书格式填写支付申请书并备齐有关资料送监理人审核，资料包括：经验收合格的工程（作）量完成清单，工程（作）量签证单，工程验收汇总表、合同（含补充合同或协议）、履约保函、预付款保函、违约处罚通知单、保修责任终止证书、上次支付凭证复印件等，最终以发包人及南沙区财政局要求为准。监理人在收到承包人支付申请书后</w:t>
      </w:r>
      <w:r>
        <w:rPr>
          <w:rFonts w:ascii="宋体" w:hAnsi="宋体" w:cs="宋体"/>
          <w:color w:val="000000" w:themeColor="text1"/>
          <w:kern w:val="0"/>
          <w:szCs w:val="21"/>
          <w:highlight w:val="none"/>
          <w:u w:val="single"/>
          <w14:textFill>
            <w14:solidFill>
              <w14:schemeClr w14:val="tx1"/>
            </w14:solidFill>
          </w14:textFill>
        </w:rPr>
        <w:t>14</w:t>
      </w:r>
      <w:r>
        <w:rPr>
          <w:rFonts w:hint="eastAsia" w:ascii="宋体" w:hAnsi="宋体" w:cs="宋体"/>
          <w:color w:val="000000" w:themeColor="text1"/>
          <w:kern w:val="0"/>
          <w:szCs w:val="21"/>
          <w:highlight w:val="none"/>
          <w:u w:val="single"/>
          <w14:textFill>
            <w14:solidFill>
              <w14:schemeClr w14:val="tx1"/>
            </w14:solidFill>
          </w14:textFill>
        </w:rPr>
        <w:t>天内完成审核</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u w:val="single"/>
          <w14:textFill>
            <w14:solidFill>
              <w14:schemeClr w14:val="tx1"/>
            </w14:solidFill>
          </w14:textFill>
        </w:rPr>
        <w:t>每月进度款最高支付金额不得超过每个单位工程应付款的</w:t>
      </w:r>
      <w:r>
        <w:rPr>
          <w:rFonts w:ascii="宋体" w:hAnsi="宋体" w:cs="宋体"/>
          <w:color w:val="000000" w:themeColor="text1"/>
          <w:kern w:val="0"/>
          <w:szCs w:val="21"/>
          <w:highlight w:val="none"/>
          <w:u w:val="single"/>
          <w14:textFill>
            <w14:solidFill>
              <w14:schemeClr w14:val="tx1"/>
            </w14:solidFill>
          </w14:textFill>
        </w:rPr>
        <w:t>80%</w:t>
      </w:r>
      <w:r>
        <w:rPr>
          <w:rFonts w:hint="eastAsia" w:ascii="宋体" w:hAnsi="宋体" w:cs="宋体"/>
          <w:color w:val="000000" w:themeColor="text1"/>
          <w:kern w:val="0"/>
          <w:szCs w:val="21"/>
          <w:highlight w:val="none"/>
          <w:u w:val="single"/>
          <w14:textFill>
            <w14:solidFill>
              <w14:schemeClr w14:val="tx1"/>
            </w14:solidFill>
          </w14:textFill>
        </w:rPr>
        <w:t>再扣除预付款、违约金等（如有）；每个单位工程完工通过发包人组织的验收并按归档要求提交验收结算资料后，最高支付至单位工程应付款的</w:t>
      </w:r>
      <w:r>
        <w:rPr>
          <w:rFonts w:ascii="宋体" w:hAnsi="宋体" w:cs="宋体"/>
          <w:color w:val="000000" w:themeColor="text1"/>
          <w:kern w:val="0"/>
          <w:szCs w:val="21"/>
          <w:highlight w:val="none"/>
          <w:u w:val="single"/>
          <w14:textFill>
            <w14:solidFill>
              <w14:schemeClr w14:val="tx1"/>
            </w14:solidFill>
          </w14:textFill>
        </w:rPr>
        <w:t>80%再扣除预付款、违约金等（如有）；</w:t>
      </w:r>
      <w:r>
        <w:rPr>
          <w:rFonts w:hint="eastAsia" w:ascii="宋体" w:hAnsi="宋体" w:cs="宋体"/>
          <w:color w:val="000000" w:themeColor="text1"/>
          <w:kern w:val="0"/>
          <w:szCs w:val="21"/>
          <w:highlight w:val="none"/>
          <w:u w:val="single"/>
          <w14:textFill>
            <w14:solidFill>
              <w14:schemeClr w14:val="tx1"/>
            </w14:solidFill>
          </w14:textFill>
        </w:rPr>
        <w:t>工程完工验收通过经有审核权限部门结算评审且按归档要求提交验收结算资料后，发包人</w:t>
      </w:r>
      <w:r>
        <w:rPr>
          <w:rFonts w:hint="eastAsia" w:ascii="宋体" w:hAnsi="宋体"/>
          <w:color w:val="000000" w:themeColor="text1"/>
          <w:szCs w:val="21"/>
          <w:highlight w:val="none"/>
          <w:u w:val="single"/>
          <w14:textFill>
            <w14:solidFill>
              <w14:schemeClr w14:val="tx1"/>
            </w14:solidFill>
          </w14:textFill>
        </w:rPr>
        <w:t>向承包人（如为联合体中标，则为联合体主办方）</w:t>
      </w:r>
      <w:r>
        <w:rPr>
          <w:rFonts w:hint="eastAsia" w:ascii="宋体" w:hAnsi="宋体" w:cs="宋体"/>
          <w:color w:val="000000" w:themeColor="text1"/>
          <w:kern w:val="0"/>
          <w:szCs w:val="21"/>
          <w:highlight w:val="none"/>
          <w:u w:val="single"/>
          <w14:textFill>
            <w14:solidFill>
              <w14:schemeClr w14:val="tx1"/>
            </w14:solidFill>
          </w14:textFill>
        </w:rPr>
        <w:t>支付扣除违约金（如有）等的项目工程费余款，</w:t>
      </w:r>
      <w:r>
        <w:rPr>
          <w:rFonts w:hint="eastAsia" w:ascii="宋体" w:hAnsi="宋体"/>
          <w:color w:val="000000" w:themeColor="text1"/>
          <w:szCs w:val="21"/>
          <w:highlight w:val="none"/>
          <w:u w:val="single"/>
          <w14:textFill>
            <w14:solidFill>
              <w14:schemeClr w14:val="tx1"/>
            </w14:solidFill>
          </w14:textFill>
        </w:rPr>
        <w:t>余款中含绩效考核金（工程费结算金额的2</w:t>
      </w:r>
      <w:r>
        <w:rPr>
          <w:rFonts w:ascii="宋体" w:hAnsi="宋体"/>
          <w:color w:val="000000" w:themeColor="text1"/>
          <w:szCs w:val="21"/>
          <w:highlight w:val="none"/>
          <w:u w:val="single"/>
          <w14:textFill>
            <w14:solidFill>
              <w14:schemeClr w14:val="tx1"/>
            </w14:solidFill>
          </w14:textFill>
        </w:rPr>
        <w:t>0%</w:t>
      </w:r>
      <w:r>
        <w:rPr>
          <w:rFonts w:hint="eastAsia" w:ascii="宋体" w:hAnsi="宋体"/>
          <w:color w:val="000000" w:themeColor="text1"/>
          <w:szCs w:val="21"/>
          <w:highlight w:val="none"/>
          <w:u w:val="single"/>
          <w14:textFill>
            <w14:solidFill>
              <w14:schemeClr w14:val="tx1"/>
            </w14:solidFill>
          </w14:textFill>
        </w:rPr>
        <w:t>），由承包人（如为联合体中标，则为联合体主办方）</w:t>
      </w:r>
      <w:r>
        <w:rPr>
          <w:rFonts w:hint="eastAsia" w:ascii="宋体" w:hAnsi="宋体" w:cs="宋体"/>
          <w:color w:val="000000" w:themeColor="text1"/>
          <w:kern w:val="0"/>
          <w:szCs w:val="21"/>
          <w:highlight w:val="none"/>
          <w:u w:val="single"/>
          <w14:textFill>
            <w14:solidFill>
              <w14:schemeClr w14:val="tx1"/>
            </w14:solidFill>
          </w14:textFill>
        </w:rPr>
        <w:t>按绩效考核要求及考核结果分配。</w:t>
      </w:r>
      <w:r>
        <w:rPr>
          <w:rFonts w:ascii="宋体" w:hAnsi="宋体"/>
          <w:color w:val="000000" w:themeColor="text1"/>
          <w:szCs w:val="21"/>
          <w:highlight w:val="none"/>
          <w:u w:val="single"/>
          <w14:textFill>
            <w14:solidFill>
              <w14:schemeClr w14:val="tx1"/>
            </w14:solidFill>
          </w14:textFill>
        </w:rPr>
        <w:t>3年考核期满，承包人退还已支付考核金额与最终考核结果确认的考核金额的差值部分。</w:t>
      </w:r>
      <w:r>
        <w:rPr>
          <w:rFonts w:hint="eastAsia" w:ascii="宋体" w:hAnsi="宋体" w:cs="宋体"/>
          <w:color w:val="000000" w:themeColor="text1"/>
          <w:kern w:val="0"/>
          <w:szCs w:val="21"/>
          <w:highlight w:val="none"/>
          <w:u w:val="single"/>
          <w14:textFill>
            <w14:solidFill>
              <w14:schemeClr w14:val="tx1"/>
            </w14:solidFill>
          </w14:textFill>
        </w:rPr>
        <w:t>绩效考核要求详见附件8。</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5）发包人收到监理人出具的月进度付款证书后</w:t>
      </w:r>
      <w:r>
        <w:rPr>
          <w:rFonts w:ascii="宋体" w:hAnsi="宋体" w:cs="宋体"/>
          <w:color w:val="000000" w:themeColor="text1"/>
          <w:kern w:val="0"/>
          <w:szCs w:val="21"/>
          <w:highlight w:val="none"/>
          <w14:textFill>
            <w14:solidFill>
              <w14:schemeClr w14:val="tx1"/>
            </w14:solidFill>
          </w14:textFill>
        </w:rPr>
        <w:t>14</w:t>
      </w:r>
      <w:r>
        <w:rPr>
          <w:rFonts w:hint="eastAsia" w:ascii="宋体" w:hAnsi="宋体" w:cs="宋体"/>
          <w:color w:val="000000" w:themeColor="text1"/>
          <w:kern w:val="0"/>
          <w:szCs w:val="21"/>
          <w:highlight w:val="none"/>
          <w14:textFill>
            <w14:solidFill>
              <w14:schemeClr w14:val="tx1"/>
            </w14:solidFill>
          </w14:textFill>
        </w:rPr>
        <w:t>天内完成付款证书审批，完成付款证书审批后</w:t>
      </w:r>
      <w:r>
        <w:rPr>
          <w:rFonts w:ascii="宋体" w:hAnsi="宋体" w:cs="宋体"/>
          <w:color w:val="000000" w:themeColor="text1"/>
          <w:kern w:val="0"/>
          <w:szCs w:val="21"/>
          <w:highlight w:val="none"/>
          <w14:textFill>
            <w14:solidFill>
              <w14:schemeClr w14:val="tx1"/>
            </w14:solidFill>
          </w14:textFill>
        </w:rPr>
        <w:t>14</w:t>
      </w:r>
      <w:r>
        <w:rPr>
          <w:rFonts w:hint="eastAsia" w:ascii="宋体" w:hAnsi="宋体" w:cs="宋体"/>
          <w:color w:val="000000" w:themeColor="text1"/>
          <w:kern w:val="0"/>
          <w:szCs w:val="21"/>
          <w:highlight w:val="none"/>
          <w14:textFill>
            <w14:solidFill>
              <w14:schemeClr w14:val="tx1"/>
            </w14:solidFill>
          </w14:textFill>
        </w:rPr>
        <w:t>天内发包人应完成财政付款申请上报工作（以水务局向财政部门发出的申请支付申请函发文日期为截止计算日期），发包人不对由于财政性资金集中支付原因引起的支付延误承担责任。因承包人支付申请书和有关资料不齐或错误引起的支付延误，责任由承包人承担。</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6）当承包人提供的履约保函不足以承担因承包人违约所造成的后果时，发包人可对动用暂扣的结算金和质量保证金，以保证工程的顺利实施，对此承包人不得提出异议。</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7）若承包人拒签违约处理单，发包人有权暂停支付工程进度款。</w:t>
      </w:r>
    </w:p>
    <w:p>
      <w:pPr>
        <w:autoSpaceDE w:val="0"/>
        <w:autoSpaceDN w:val="0"/>
        <w:adjustRightInd w:val="0"/>
        <w:spacing w:before="156" w:beforeLines="50" w:after="156" w:afterLines="50"/>
        <w:ind w:firstLine="420" w:firstLineChars="200"/>
        <w:jc w:val="left"/>
        <w:rPr>
          <w:rFonts w:ascii="宋体" w:hAnsi="宋体" w:cs="宋体"/>
          <w:color w:val="000000" w:themeColor="text1"/>
          <w:kern w:val="0"/>
          <w:szCs w:val="21"/>
          <w:highlight w:val="none"/>
          <w14:textFill>
            <w14:solidFill>
              <w14:schemeClr w14:val="tx1"/>
            </w14:solidFill>
          </w14:textFill>
        </w:rPr>
      </w:pPr>
      <w:bookmarkStart w:id="1555" w:name="_Toc32221"/>
      <w:r>
        <w:rPr>
          <w:rFonts w:hint="eastAsia" w:ascii="宋体" w:hAnsi="宋体" w:cs="宋体"/>
          <w:color w:val="000000" w:themeColor="text1"/>
          <w:kern w:val="0"/>
          <w:szCs w:val="21"/>
          <w:highlight w:val="none"/>
          <w14:textFill>
            <w14:solidFill>
              <w14:schemeClr w14:val="tx1"/>
            </w14:solidFill>
          </w14:textFill>
        </w:rPr>
        <w:t>17.3.3</w:t>
      </w:r>
      <w:r>
        <w:rPr>
          <w:rFonts w:hint="eastAsia"/>
          <w:color w:val="000000" w:themeColor="text1"/>
          <w:highlight w:val="none"/>
          <w14:textFill>
            <w14:solidFill>
              <w14:schemeClr w14:val="tx1"/>
            </w14:solidFill>
          </w14:textFill>
        </w:rPr>
        <w:t xml:space="preserve"> </w:t>
      </w:r>
      <w:r>
        <w:rPr>
          <w:rFonts w:hint="eastAsia" w:ascii="宋体" w:hAnsi="宋体" w:cs="宋体"/>
          <w:color w:val="000000" w:themeColor="text1"/>
          <w:kern w:val="0"/>
          <w:szCs w:val="21"/>
          <w:highlight w:val="none"/>
          <w14:textFill>
            <w14:solidFill>
              <w14:schemeClr w14:val="tx1"/>
            </w14:solidFill>
          </w14:textFill>
        </w:rPr>
        <w:t>BIM技术应用费的支付</w:t>
      </w:r>
    </w:p>
    <w:p>
      <w:pPr>
        <w:autoSpaceDE w:val="0"/>
        <w:autoSpaceDN w:val="0"/>
        <w:adjustRightInd w:val="0"/>
        <w:spacing w:before="156" w:beforeLines="50" w:after="156" w:afterLines="50"/>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承包人按发包人要求完成相应阶段BIM技术应用工作，提交成果资料并经发包人确认后，支付至对应阶段BIM技术应用费暂定价的80%；最终全部B</w:t>
      </w:r>
      <w:r>
        <w:rPr>
          <w:rFonts w:ascii="宋体" w:hAnsi="宋体" w:cs="宋体"/>
          <w:color w:val="000000" w:themeColor="text1"/>
          <w:kern w:val="0"/>
          <w:szCs w:val="21"/>
          <w:highlight w:val="none"/>
          <w14:textFill>
            <w14:solidFill>
              <w14:schemeClr w14:val="tx1"/>
            </w14:solidFill>
          </w14:textFill>
        </w:rPr>
        <w:t>IM</w:t>
      </w:r>
      <w:r>
        <w:rPr>
          <w:rFonts w:hint="eastAsia" w:ascii="宋体" w:hAnsi="宋体" w:cs="宋体"/>
          <w:color w:val="000000" w:themeColor="text1"/>
          <w:kern w:val="0"/>
          <w:szCs w:val="21"/>
          <w:highlight w:val="none"/>
          <w14:textFill>
            <w14:solidFill>
              <w14:schemeClr w14:val="tx1"/>
            </w14:solidFill>
          </w14:textFill>
        </w:rPr>
        <w:t>成果文件交付验收且合同完成结算后，支付至B</w:t>
      </w:r>
      <w:r>
        <w:rPr>
          <w:rFonts w:ascii="宋体" w:hAnsi="宋体" w:cs="宋体"/>
          <w:color w:val="000000" w:themeColor="text1"/>
          <w:kern w:val="0"/>
          <w:szCs w:val="21"/>
          <w:highlight w:val="none"/>
          <w14:textFill>
            <w14:solidFill>
              <w14:schemeClr w14:val="tx1"/>
            </w14:solidFill>
          </w14:textFill>
        </w:rPr>
        <w:t>IM</w:t>
      </w:r>
      <w:r>
        <w:rPr>
          <w:rFonts w:hint="eastAsia" w:ascii="宋体" w:hAnsi="宋体" w:cs="宋体"/>
          <w:color w:val="000000" w:themeColor="text1"/>
          <w:kern w:val="0"/>
          <w:szCs w:val="21"/>
          <w:highlight w:val="none"/>
          <w14:textFill>
            <w14:solidFill>
              <w14:schemeClr w14:val="tx1"/>
            </w14:solidFill>
          </w14:textFill>
        </w:rPr>
        <w:t>技术应用费结算价的1</w:t>
      </w:r>
      <w:r>
        <w:rPr>
          <w:rFonts w:ascii="宋体" w:hAnsi="宋体" w:cs="宋体"/>
          <w:color w:val="000000" w:themeColor="text1"/>
          <w:kern w:val="0"/>
          <w:szCs w:val="21"/>
          <w:highlight w:val="none"/>
          <w14:textFill>
            <w14:solidFill>
              <w14:schemeClr w14:val="tx1"/>
            </w14:solidFill>
          </w14:textFill>
        </w:rPr>
        <w:t>00%</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17.3.</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其他付款事项</w:t>
      </w:r>
      <w:bookmarkEnd w:id="1555"/>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bookmarkStart w:id="1556" w:name="_Toc24917"/>
      <w:r>
        <w:rPr>
          <w:rFonts w:hint="eastAsia" w:ascii="宋体" w:hAnsi="宋体" w:cs="宋体"/>
          <w:color w:val="000000" w:themeColor="text1"/>
          <w:kern w:val="0"/>
          <w:szCs w:val="21"/>
          <w:highlight w:val="none"/>
          <w14:textFill>
            <w14:solidFill>
              <w14:schemeClr w14:val="tx1"/>
            </w14:solidFill>
          </w14:textFill>
        </w:rPr>
        <w:t>（1）</w:t>
      </w:r>
      <w:bookmarkEnd w:id="1556"/>
      <w:r>
        <w:rPr>
          <w:rFonts w:hint="eastAsia" w:ascii="宋体" w:hAnsi="宋体"/>
          <w:color w:val="000000" w:themeColor="text1"/>
          <w:szCs w:val="21"/>
          <w:highlight w:val="none"/>
          <w14:textFill>
            <w14:solidFill>
              <w14:schemeClr w14:val="tx1"/>
            </w14:solidFill>
          </w14:textFill>
        </w:rPr>
        <w:t>承包人按合同约定承担违约金、赔偿金等费用，发包人均有权直接从向承包人支付的当期进度款中直接扣除。</w:t>
      </w:r>
    </w:p>
    <w:p>
      <w:pPr>
        <w:autoSpaceDE w:val="0"/>
        <w:autoSpaceDN w:val="0"/>
        <w:adjustRightInd w:val="0"/>
        <w:spacing w:before="156" w:beforeLines="50" w:after="156" w:afterLines="50"/>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）工程每次付款时需经发包人审核，承包人请款时，应附当期主要材料的购买凭证和供应商开具的发票（或发票复印件）。</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3</w:t>
      </w:r>
      <w:r>
        <w:rPr>
          <w:rFonts w:hint="eastAsia" w:ascii="宋体" w:hAnsi="宋体"/>
          <w:color w:val="000000" w:themeColor="text1"/>
          <w:szCs w:val="21"/>
          <w:highlight w:val="none"/>
          <w14:textFill>
            <w14:solidFill>
              <w14:schemeClr w14:val="tx1"/>
            </w14:solidFill>
          </w14:textFill>
        </w:rPr>
        <w:t>）每次支付前，应由承包人提交支付申请，经发包人审核同意后按发包人要求及财政国库集中支付程序办理支付，承包人需开具等值、合法、有效的增值税发票。财政部门集中支付程序办理支付时间不计算在发包人付款时间内，不视为发包人逾期付款。</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17.4 质量保证金</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17.4.1 质量保证金金额及扣留：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1）质量保证金的金额：</w:t>
      </w:r>
      <w:r>
        <w:rPr>
          <w:rFonts w:ascii="宋体" w:hAnsi="宋体" w:cs="宋体"/>
          <w:color w:val="000000" w:themeColor="text1"/>
          <w:kern w:val="0"/>
          <w:szCs w:val="21"/>
          <w:highlight w:val="none"/>
          <w:u w:val="single"/>
          <w14:textFill>
            <w14:solidFill>
              <w14:schemeClr w14:val="tx1"/>
            </w14:solidFill>
          </w14:textFill>
        </w:rPr>
        <w:t xml:space="preserve">     /      </w:t>
      </w: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 xml:space="preserve"> </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2）质量保证金的扣留：</w:t>
      </w:r>
      <w:r>
        <w:rPr>
          <w:rFonts w:ascii="宋体" w:hAnsi="宋体" w:cs="宋体"/>
          <w:color w:val="000000" w:themeColor="text1"/>
          <w:kern w:val="0"/>
          <w:szCs w:val="21"/>
          <w:highlight w:val="none"/>
          <w:u w:val="single"/>
          <w14:textFill>
            <w14:solidFill>
              <w14:schemeClr w14:val="tx1"/>
            </w14:solidFill>
          </w14:textFill>
        </w:rPr>
        <w:t xml:space="preserve">     /      </w:t>
      </w: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 xml:space="preserve"> </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17.4.2 双方一致同意通用合同条款第17.4.2项修改为：工程保修期满且竣工验收后，承包人在保修期内履行了保修责任，监理人出具支付质量保证金的付款证书。发包人应在收到上述付款证书后，按合同条款第17.3.4款将质量保证金支付给承包人，若保修期后尚需承包人完成剩余工作，则监理人有权扣留部分质量保证金用于完成剩余工作。</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17.5 竣工结算</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本款“竣工结算”修改为“工程结算”并按下列约定执行：</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删去本款条文，代之以：</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17.5.1勘察设计服务费：</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按本合同17.1款约定执行；</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17.5.2工程费：</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17.5.2.1完工验收后30天内，承包人向监理人提交完工结算申请单，监理人收到承包人提出的完工结算申请单后</w:t>
      </w:r>
      <w:r>
        <w:rPr>
          <w:rFonts w:ascii="宋体" w:hAnsi="宋体"/>
          <w:color w:val="000000" w:themeColor="text1"/>
          <w:szCs w:val="21"/>
          <w:highlight w:val="none"/>
          <w14:textFill>
            <w14:solidFill>
              <w14:schemeClr w14:val="tx1"/>
            </w14:solidFill>
          </w14:textFill>
        </w:rPr>
        <w:t>10</w:t>
      </w:r>
      <w:r>
        <w:rPr>
          <w:rFonts w:hint="eastAsia" w:ascii="宋体" w:hAnsi="宋体"/>
          <w:color w:val="000000" w:themeColor="text1"/>
          <w:szCs w:val="21"/>
          <w:highlight w:val="none"/>
          <w14:textFill>
            <w14:solidFill>
              <w14:schemeClr w14:val="tx1"/>
            </w14:solidFill>
          </w14:textFill>
        </w:rPr>
        <w:t>天内完成与承包人协商修改和复核，并提交发包人，发包人收到监理人送来的完工结算申请单后</w:t>
      </w:r>
      <w:r>
        <w:rPr>
          <w:rFonts w:ascii="宋体" w:hAnsi="宋体"/>
          <w:color w:val="000000" w:themeColor="text1"/>
          <w:szCs w:val="21"/>
          <w:highlight w:val="none"/>
          <w14:textFill>
            <w14:solidFill>
              <w14:schemeClr w14:val="tx1"/>
            </w14:solidFill>
          </w14:textFill>
        </w:rPr>
        <w:t>10</w:t>
      </w:r>
      <w:r>
        <w:rPr>
          <w:rFonts w:hint="eastAsia" w:ascii="宋体" w:hAnsi="宋体"/>
          <w:color w:val="000000" w:themeColor="text1"/>
          <w:szCs w:val="21"/>
          <w:highlight w:val="none"/>
          <w14:textFill>
            <w14:solidFill>
              <w14:schemeClr w14:val="tx1"/>
            </w14:solidFill>
          </w14:textFill>
        </w:rPr>
        <w:t>天内完成复核并送有审核权限部门审定。完工结算申请单必须附有关结算书及证明材料，并装订成册。结算金额以有审核权限部门最终审定的为准。发包人不对有审核权限部门的审定时间作任何承诺及保证。如果有审核权限部门审定时间延迟的，不视为发包人的违约行为。</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17.5.2.2在完工结算经有审核权限部门审核确认后，承包人应按规定格式提交一份完工付款申请单（一式</w:t>
      </w:r>
      <w:r>
        <w:rPr>
          <w:rFonts w:ascii="宋体" w:hAnsi="宋体"/>
          <w:color w:val="000000" w:themeColor="text1"/>
          <w:szCs w:val="21"/>
          <w:highlight w:val="none"/>
          <w14:textFill>
            <w14:solidFill>
              <w14:schemeClr w14:val="tx1"/>
            </w14:solidFill>
          </w14:textFill>
        </w:rPr>
        <w:t>5</w:t>
      </w:r>
      <w:r>
        <w:rPr>
          <w:rFonts w:hint="eastAsia" w:ascii="宋体" w:hAnsi="宋体"/>
          <w:color w:val="000000" w:themeColor="text1"/>
          <w:szCs w:val="21"/>
          <w:highlight w:val="none"/>
          <w14:textFill>
            <w14:solidFill>
              <w14:schemeClr w14:val="tx1"/>
            </w14:solidFill>
          </w14:textFill>
        </w:rPr>
        <w:t>份），并附有审核权限部门完工结算核定确认通知书。</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17.5.2.3完工付款证书及支付时间</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监理人应在收到承包人提交的完工付款申请单后的</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天内完成复核，在完工付款申请单上签字和出具完工付款证书报送发包人审批。发包人应在收到上述完工付款证书后的</w:t>
      </w:r>
      <w:r>
        <w:rPr>
          <w:rFonts w:ascii="宋体" w:hAnsi="宋体" w:cs="宋体"/>
          <w:color w:val="000000" w:themeColor="text1"/>
          <w:kern w:val="0"/>
          <w:szCs w:val="21"/>
          <w:highlight w:val="none"/>
          <w14:textFill>
            <w14:solidFill>
              <w14:schemeClr w14:val="tx1"/>
            </w14:solidFill>
          </w14:textFill>
        </w:rPr>
        <w:t>14</w:t>
      </w:r>
      <w:r>
        <w:rPr>
          <w:rFonts w:hint="eastAsia" w:ascii="宋体" w:hAnsi="宋体" w:cs="宋体"/>
          <w:color w:val="000000" w:themeColor="text1"/>
          <w:kern w:val="0"/>
          <w:szCs w:val="21"/>
          <w:highlight w:val="none"/>
          <w14:textFill>
            <w14:solidFill>
              <w14:schemeClr w14:val="tx1"/>
            </w14:solidFill>
          </w14:textFill>
        </w:rPr>
        <w:t>天内审批，并按合同条款17.3.2款的规定支付给承包人。</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17.5.2.4勘察、设计、施工工作任务由不同单位组成联合体共同完成本项目时，结算支付申请应由完成勘察、设计、施工工作任务的各成员方提出结算申请经联合体牵头方确认后报批。</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17.6 最终结清</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本款“最终结清”修改为“竣工结清”并按下列约定执行：</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删去本款条文，代之以：</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17.6</w:t>
      </w:r>
      <w:r>
        <w:rPr>
          <w:rFonts w:ascii="宋体" w:hAnsi="宋体"/>
          <w:color w:val="000000" w:themeColor="text1"/>
          <w:szCs w:val="21"/>
          <w:highlight w:val="none"/>
          <w14:textFill>
            <w14:solidFill>
              <w14:schemeClr w14:val="tx1"/>
            </w14:solidFill>
          </w14:textFill>
        </w:rPr>
        <w:t xml:space="preserve">.1 </w:t>
      </w:r>
      <w:r>
        <w:rPr>
          <w:rFonts w:hint="eastAsia" w:ascii="宋体" w:hAnsi="宋体"/>
          <w:color w:val="000000" w:themeColor="text1"/>
          <w:szCs w:val="21"/>
          <w:highlight w:val="none"/>
          <w14:textFill>
            <w14:solidFill>
              <w14:schemeClr w14:val="tx1"/>
            </w14:solidFill>
          </w14:textFill>
        </w:rPr>
        <w:t>最终付款申请单</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1</w:t>
      </w:r>
      <w:r>
        <w:rPr>
          <w:rFonts w:hint="eastAsia" w:ascii="宋体" w:hAnsi="宋体"/>
          <w:color w:val="000000" w:themeColor="text1"/>
          <w:szCs w:val="21"/>
          <w:highlight w:val="none"/>
          <w14:textFill>
            <w14:solidFill>
              <w14:schemeClr w14:val="tx1"/>
            </w14:solidFill>
          </w14:textFill>
        </w:rPr>
        <w:t>） 承包人在收到按规定颁发的保修责任终止证书且竣工验收通过后的14天内，按监理人批准的格式向监理人提交一份最终付款申请单</w:t>
      </w:r>
      <w:r>
        <w:rPr>
          <w:rFonts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一式</w:t>
      </w:r>
      <w:r>
        <w:rPr>
          <w:rFonts w:ascii="宋体" w:hAnsi="宋体"/>
          <w:color w:val="000000" w:themeColor="text1"/>
          <w:szCs w:val="21"/>
          <w:highlight w:val="none"/>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份</w:t>
      </w:r>
      <w:r>
        <w:rPr>
          <w:rFonts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，该申请单应包括以下内容，并附有关的证明文件。</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①按合同规定已经完成的全部工程价款金额：</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②按合同规定应付给承包人的追加金额：</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③承包人认为应付给他的其它金额。</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2</w:t>
      </w:r>
      <w:r>
        <w:rPr>
          <w:rFonts w:hint="eastAsia" w:ascii="宋体" w:hAnsi="宋体"/>
          <w:color w:val="000000" w:themeColor="text1"/>
          <w:szCs w:val="21"/>
          <w:highlight w:val="none"/>
          <w14:textFill>
            <w14:solidFill>
              <w14:schemeClr w14:val="tx1"/>
            </w14:solidFill>
          </w14:textFill>
        </w:rPr>
        <w:t>）若监理人对最终付款申请单中的某些内容有异议时，有权要求承包人进行修改和提供补充资料，直至监理人同意后，由承包人再次提交经修改后的最终付款申请单。</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17.6</w:t>
      </w:r>
      <w:r>
        <w:rPr>
          <w:rFonts w:ascii="宋体" w:hAnsi="宋体"/>
          <w:color w:val="000000" w:themeColor="text1"/>
          <w:szCs w:val="21"/>
          <w:highlight w:val="none"/>
          <w14:textFill>
            <w14:solidFill>
              <w14:schemeClr w14:val="tx1"/>
            </w14:solidFill>
          </w14:textFill>
        </w:rPr>
        <w:t xml:space="preserve">.2 </w:t>
      </w:r>
      <w:r>
        <w:rPr>
          <w:rFonts w:hint="eastAsia" w:ascii="宋体" w:hAnsi="宋体"/>
          <w:color w:val="000000" w:themeColor="text1"/>
          <w:szCs w:val="21"/>
          <w:highlight w:val="none"/>
          <w14:textFill>
            <w14:solidFill>
              <w14:schemeClr w14:val="tx1"/>
            </w14:solidFill>
          </w14:textFill>
        </w:rPr>
        <w:t>结清单</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人向监理人提交最终付款申请单的同时，应向发包人提交一份结清单，并将结清单的副本提交监理人。该结清单应证实最终付款申请单的总金额是根据合同规定应付给承包人的全部款项的最终结算金额。但结清单只在承包人收到退还履约担保证件和发包人已向承包人付清监理人出具的最终付款证书中应付的金额后才生效。</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17.6</w:t>
      </w:r>
      <w:r>
        <w:rPr>
          <w:rFonts w:ascii="宋体" w:hAnsi="宋体"/>
          <w:color w:val="000000" w:themeColor="text1"/>
          <w:szCs w:val="21"/>
          <w:highlight w:val="none"/>
          <w14:textFill>
            <w14:solidFill>
              <w14:schemeClr w14:val="tx1"/>
            </w14:solidFill>
          </w14:textFill>
        </w:rPr>
        <w:t xml:space="preserve">.3 </w:t>
      </w:r>
      <w:r>
        <w:rPr>
          <w:rFonts w:hint="eastAsia" w:ascii="宋体" w:hAnsi="宋体"/>
          <w:color w:val="000000" w:themeColor="text1"/>
          <w:szCs w:val="21"/>
          <w:highlight w:val="none"/>
          <w14:textFill>
            <w14:solidFill>
              <w14:schemeClr w14:val="tx1"/>
            </w14:solidFill>
          </w14:textFill>
        </w:rPr>
        <w:t>最终付款证书和支付时间</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监理人收到经其同意的最终付款申请单和结清单副本后的</w:t>
      </w:r>
      <w:r>
        <w:rPr>
          <w:rFonts w:ascii="宋体" w:hAnsi="宋体"/>
          <w:color w:val="000000" w:themeColor="text1"/>
          <w:szCs w:val="21"/>
          <w:highlight w:val="none"/>
          <w14:textFill>
            <w14:solidFill>
              <w14:schemeClr w14:val="tx1"/>
            </w14:solidFill>
          </w14:textFill>
        </w:rPr>
        <w:t>14</w:t>
      </w:r>
      <w:r>
        <w:rPr>
          <w:rFonts w:hint="eastAsia" w:ascii="宋体" w:hAnsi="宋体"/>
          <w:color w:val="000000" w:themeColor="text1"/>
          <w:szCs w:val="21"/>
          <w:highlight w:val="none"/>
          <w14:textFill>
            <w14:solidFill>
              <w14:schemeClr w14:val="tx1"/>
            </w14:solidFill>
          </w14:textFill>
        </w:rPr>
        <w:t>天内，向发包人出具一份最终付款证书提交发包人审批。最终付款证书应说明：</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l</w:t>
      </w:r>
      <w:r>
        <w:rPr>
          <w:rFonts w:hint="eastAsia" w:ascii="宋体" w:hAnsi="宋体"/>
          <w:color w:val="000000" w:themeColor="text1"/>
          <w:szCs w:val="21"/>
          <w:highlight w:val="none"/>
          <w14:textFill>
            <w14:solidFill>
              <w14:schemeClr w14:val="tx1"/>
            </w14:solidFill>
          </w14:textFill>
        </w:rPr>
        <w:t>）按合同规定和其它情况应最终支付给承包人的合同总金额。</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2</w:t>
      </w:r>
      <w:r>
        <w:rPr>
          <w:rFonts w:hint="eastAsia" w:ascii="宋体" w:hAnsi="宋体"/>
          <w:color w:val="000000" w:themeColor="text1"/>
          <w:szCs w:val="21"/>
          <w:highlight w:val="none"/>
          <w14:textFill>
            <w14:solidFill>
              <w14:schemeClr w14:val="tx1"/>
            </w14:solidFill>
          </w14:textFill>
        </w:rPr>
        <w:t>）发包人已支付的所有金额以及发包人有权得到的全部金额。</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发包人审查最终付款证书后，若确认还应向承包人付款，则按发包人支付方式支付给承包人。若确认承包人应向发包人付款，则发包人应通知承包人，承包人应在收到通知后的</w:t>
      </w:r>
      <w:r>
        <w:rPr>
          <w:rFonts w:ascii="宋体" w:hAnsi="宋体"/>
          <w:color w:val="000000" w:themeColor="text1"/>
          <w:szCs w:val="21"/>
          <w:highlight w:val="none"/>
          <w14:textFill>
            <w14:solidFill>
              <w14:schemeClr w14:val="tx1"/>
            </w14:solidFill>
          </w14:textFill>
        </w:rPr>
        <w:t>42</w:t>
      </w:r>
      <w:r>
        <w:rPr>
          <w:rFonts w:hint="eastAsia" w:ascii="宋体" w:hAnsi="宋体"/>
          <w:color w:val="000000" w:themeColor="text1"/>
          <w:szCs w:val="21"/>
          <w:highlight w:val="none"/>
          <w14:textFill>
            <w14:solidFill>
              <w14:schemeClr w14:val="tx1"/>
            </w14:solidFill>
          </w14:textFill>
        </w:rPr>
        <w:t>天内付还给发包人。</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若承包人和发包人始终未能就最终付款的内容和额度取得一致意见，监理人还对双方已同意的部分出具临时付款证书，双方应按上述规定执行，对于未取得一致的部分，双方均有权按第24</w:t>
      </w:r>
      <w:r>
        <w:rPr>
          <w:rFonts w:ascii="宋体" w:hAnsi="宋体"/>
          <w:color w:val="000000" w:themeColor="text1"/>
          <w:szCs w:val="21"/>
          <w:highlight w:val="none"/>
          <w14:textFill>
            <w14:solidFill>
              <w14:schemeClr w14:val="tx1"/>
            </w14:solidFill>
          </w14:textFill>
        </w:rPr>
        <w:t>.1</w:t>
      </w:r>
      <w:r>
        <w:rPr>
          <w:rFonts w:hint="eastAsia" w:ascii="宋体" w:hAnsi="宋体"/>
          <w:color w:val="000000" w:themeColor="text1"/>
          <w:szCs w:val="21"/>
          <w:highlight w:val="none"/>
          <w14:textFill>
            <w14:solidFill>
              <w14:schemeClr w14:val="tx1"/>
            </w14:solidFill>
          </w14:textFill>
        </w:rPr>
        <w:t>款规定提起诉讼。</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17.6</w:t>
      </w:r>
      <w:r>
        <w:rPr>
          <w:rFonts w:ascii="宋体" w:hAnsi="宋体"/>
          <w:color w:val="000000" w:themeColor="text1"/>
          <w:szCs w:val="21"/>
          <w:highlight w:val="none"/>
          <w14:textFill>
            <w14:solidFill>
              <w14:schemeClr w14:val="tx1"/>
            </w14:solidFill>
          </w14:textFill>
        </w:rPr>
        <w:t xml:space="preserve">.4 </w:t>
      </w:r>
      <w:r>
        <w:rPr>
          <w:rFonts w:hint="eastAsia" w:ascii="宋体" w:hAnsi="宋体"/>
          <w:color w:val="000000" w:themeColor="text1"/>
          <w:szCs w:val="21"/>
          <w:highlight w:val="none"/>
          <w14:textFill>
            <w14:solidFill>
              <w14:schemeClr w14:val="tx1"/>
            </w14:solidFill>
          </w14:textFill>
        </w:rPr>
        <w:t>最终结算办理</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1</w:t>
      </w:r>
      <w:r>
        <w:rPr>
          <w:rFonts w:hint="eastAsia" w:ascii="宋体" w:hAnsi="宋体"/>
          <w:color w:val="000000" w:themeColor="text1"/>
          <w:szCs w:val="21"/>
          <w:highlight w:val="none"/>
          <w14:textFill>
            <w14:solidFill>
              <w14:schemeClr w14:val="tx1"/>
            </w14:solidFill>
          </w14:textFill>
        </w:rPr>
        <w:t>）全部工程验收合格并取得《工程验收鉴定书》后，承包人在三个月内按国家有关规定办理结算，发包人接到结算报告后三个月内审定完毕，双方对结算确认后七天内应进行退补结算。承包人应及时提交结算申请书文件，在具备结算条件但未在四个月内提交或者不按规定提交的，发包人有权依据已有资料做出判断并报送给结算审核方，以保证结算的连续性，承包人应被视为对发包人送出结算已予以认可。如涉及相关政府部门审核的，还应符合相关政府部门审核的时间要求。</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工程最终结算的工程量按竣工图为依据进行计算，单价以经审定的预算清单为准，</w:t>
      </w:r>
      <w:r>
        <w:rPr>
          <w:rFonts w:hint="eastAsia" w:ascii="宋体" w:hAnsi="宋体" w:cs="宋体"/>
          <w:b/>
          <w:color w:val="000000" w:themeColor="text1"/>
          <w:kern w:val="0"/>
          <w:szCs w:val="21"/>
          <w:highlight w:val="none"/>
          <w14:textFill>
            <w14:solidFill>
              <w14:schemeClr w14:val="tx1"/>
            </w14:solidFill>
          </w14:textFill>
        </w:rPr>
        <w:t>除合同条款第16和第17条规定以外不作任何调整。</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（3）承包人收到结算文件核对意见，逾期未提出异议或者无正当理由不认可评审结果的，发包人有权向有审核权限</w:t>
      </w:r>
      <w:r>
        <w:rPr>
          <w:rFonts w:hint="eastAsia" w:ascii="宋体" w:hAnsi="宋体"/>
          <w:color w:val="000000" w:themeColor="text1"/>
          <w:szCs w:val="21"/>
          <w:highlight w:val="none"/>
          <w:lang w:eastAsia="zh-Hans"/>
          <w14:textFill>
            <w14:solidFill>
              <w14:schemeClr w14:val="tx1"/>
            </w14:solidFill>
          </w14:textFill>
        </w:rPr>
        <w:t>部门的</w:t>
      </w:r>
      <w:r>
        <w:rPr>
          <w:rFonts w:hint="eastAsia" w:ascii="宋体" w:hAnsi="宋体"/>
          <w:color w:val="000000" w:themeColor="text1"/>
          <w:szCs w:val="21"/>
          <w:highlight w:val="none"/>
          <w14:textFill>
            <w14:solidFill>
              <w14:schemeClr w14:val="tx1"/>
            </w14:solidFill>
          </w14:textFill>
        </w:rPr>
        <w:t>行政主管部门申请单方确认或退审。</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17.7支付管理</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17.7.1承包人工程资金的管理。未经发包人同意，承包人在投标过程中使用的银行名称及帐号至完成竣工结算不得变更，若承包人违反上述约定的，发包人有权停止工程款项的拨付及至解除合同，由此造成的一切责任由承包人承担。</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17.7.2承包人的所有建设资金（包含但不限于进度款、预付款等），发包人均采用直接转入承包人项目专用账户的拨款方式。承包人须保证实行专款专用，不得转移或用于其他工程。</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17.7.3承包人须按发包人要求上报项目资金使用情况等有利于发包人了解和监控项目资金的财务资料。如经发包人发现承包人的资金未使用于本项目的建设，发包人可暂停对该承包人的支付，直至承包人改正上述行为。</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17.7.4本合同中涉及的所有应由发包人支付的款项，包括但不限于工程预付款、安全文明施工费、进度款、合同实施过程中发生的工程变更、调整、竣工验收进行的结算、质量保证金、最终清算款等，除按照上述条款执行以外还应按照发包人《施工合同计量支付管理办法》、《资金支付管理办法》等管理制度执行，最终以南沙区有审核权限</w:t>
      </w:r>
      <w:r>
        <w:rPr>
          <w:rFonts w:hint="eastAsia" w:ascii="宋体" w:hAnsi="宋体"/>
          <w:color w:val="000000" w:themeColor="text1"/>
          <w:szCs w:val="21"/>
          <w:highlight w:val="none"/>
          <w:lang w:eastAsia="zh-Hans"/>
          <w14:textFill>
            <w14:solidFill>
              <w14:schemeClr w14:val="tx1"/>
            </w14:solidFill>
          </w14:textFill>
        </w:rPr>
        <w:t>部门</w:t>
      </w:r>
      <w:r>
        <w:rPr>
          <w:rFonts w:hint="eastAsia" w:ascii="宋体" w:hAnsi="宋体"/>
          <w:color w:val="000000" w:themeColor="text1"/>
          <w:szCs w:val="21"/>
          <w:highlight w:val="none"/>
          <w14:textFill>
            <w14:solidFill>
              <w14:schemeClr w14:val="tx1"/>
            </w14:solidFill>
          </w14:textFill>
        </w:rPr>
        <w:t>审定的结果为准。</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17.7.5</w:t>
      </w:r>
      <w:r>
        <w:rPr>
          <w:rFonts w:hint="eastAsia" w:ascii="宋体" w:hAnsi="宋体"/>
          <w:b/>
          <w:bCs/>
          <w:color w:val="000000" w:themeColor="text1"/>
          <w:szCs w:val="21"/>
          <w:highlight w:val="none"/>
          <w14:textFill>
            <w14:solidFill>
              <w14:schemeClr w14:val="tx1"/>
            </w14:solidFill>
          </w14:textFill>
        </w:rPr>
        <w:t>发包人按合同规定向承包人开出任何违约惩罚金，除合同另有规定外，均从发包人向承包人支付的工程款中直接扣除。</w:t>
      </w:r>
      <w:r>
        <w:rPr>
          <w:rFonts w:hint="eastAsia" w:ascii="宋体" w:hAnsi="宋体"/>
          <w:color w:val="000000" w:themeColor="text1"/>
          <w:szCs w:val="21"/>
          <w:highlight w:val="none"/>
          <w14:textFill>
            <w14:solidFill>
              <w14:schemeClr w14:val="tx1"/>
            </w14:solidFill>
          </w14:textFill>
        </w:rPr>
        <w:t>除非合同另有规定，发包人向承包人开出的任何违约金将导致承包人最终的应得结算价款相应地减少。承包人必须完全接受此条款。</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发包人按合同规定向承包人开出的任何和违约金的扣除时间会在发包人任何合适的任何计量月中扣除。发包人扣除违约金时间的延迟或滞后并不代表对承包人当时各种行为的认可。</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57" w:name="_Toc939101369"/>
      <w:bookmarkStart w:id="1558" w:name="_Toc20857"/>
      <w:bookmarkStart w:id="1559" w:name="_Toc147856232"/>
      <w:bookmarkStart w:id="1560" w:name="_Toc4420"/>
      <w:r>
        <w:rPr>
          <w:rStyle w:val="114"/>
          <w:rFonts w:hint="eastAsia"/>
          <w:bCs w:val="0"/>
          <w:color w:val="000000" w:themeColor="text1"/>
          <w:highlight w:val="none"/>
          <w14:textFill>
            <w14:solidFill>
              <w14:schemeClr w14:val="tx1"/>
            </w14:solidFill>
          </w14:textFill>
        </w:rPr>
        <w:t>18. 竣工试验和竣工验收</w:t>
      </w:r>
      <w:bookmarkEnd w:id="1557"/>
      <w:bookmarkEnd w:id="1558"/>
      <w:bookmarkEnd w:id="1559"/>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18.1 竣工试验</w:t>
      </w:r>
    </w:p>
    <w:p>
      <w:pPr>
        <w:pStyle w:val="48"/>
        <w:spacing w:before="156" w:beforeLines="50" w:after="0" w:line="360" w:lineRule="auto"/>
        <w:ind w:left="0" w:leftChars="0" w:firstLine="420" w:firstLineChars="20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删除该条款</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18.9 竣工后试验（B）</w:t>
      </w:r>
    </w:p>
    <w:p>
      <w:pPr>
        <w:pStyle w:val="48"/>
        <w:spacing w:before="156" w:beforeLines="50" w:after="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删除该条款</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61" w:name="_Toc1619386980"/>
      <w:bookmarkStart w:id="1562" w:name="_Toc25957"/>
      <w:bookmarkStart w:id="1563" w:name="_Toc147856233"/>
      <w:r>
        <w:rPr>
          <w:rStyle w:val="114"/>
          <w:rFonts w:hint="eastAsia"/>
          <w:bCs w:val="0"/>
          <w:color w:val="000000" w:themeColor="text1"/>
          <w:highlight w:val="none"/>
          <w14:textFill>
            <w14:solidFill>
              <w14:schemeClr w14:val="tx1"/>
            </w14:solidFill>
          </w14:textFill>
        </w:rPr>
        <w:t>19. 缺陷责任与保修责任</w:t>
      </w:r>
      <w:bookmarkEnd w:id="1560"/>
      <w:bookmarkEnd w:id="1561"/>
      <w:bookmarkEnd w:id="1562"/>
      <w:bookmarkEnd w:id="1563"/>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19.1 缺陷责任期的起算时间</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缺陷责任期自单位工程验收合格之日起计算，保修期为2年，并补充以下内容：</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在缺陷责任期内，因承包人责任造成的工程缺陷或损坏，承包人应按发包人或监理人的保修通知的要求履行保修责任。</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19.7 保修责任</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按《建设工程质量管理条例》等相关规定执行。</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64" w:name="_Toc7770"/>
      <w:bookmarkStart w:id="1565" w:name="_Toc1976714429"/>
      <w:bookmarkStart w:id="1566" w:name="_Toc13195"/>
      <w:bookmarkStart w:id="1567" w:name="_Toc147856234"/>
      <w:r>
        <w:rPr>
          <w:rStyle w:val="114"/>
          <w:rFonts w:hint="eastAsia"/>
          <w:bCs w:val="0"/>
          <w:color w:val="000000" w:themeColor="text1"/>
          <w:highlight w:val="none"/>
          <w14:textFill>
            <w14:solidFill>
              <w14:schemeClr w14:val="tx1"/>
            </w14:solidFill>
          </w14:textFill>
        </w:rPr>
        <w:t>20. 保险</w:t>
      </w:r>
      <w:bookmarkEnd w:id="1564"/>
      <w:bookmarkEnd w:id="1565"/>
      <w:bookmarkEnd w:id="1566"/>
      <w:bookmarkEnd w:id="1567"/>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20.1 设计和工程保险</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删除本款全文，代之以：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21.1.1工程保险</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）工程险（包括材料和工程设备）的投保由承包人自行确定。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承包人应以承包人的名义投保施工设备险，投保项目及其保险金额由承包人根据其配备的施工设备状况自行确定，但承包人应充分估计主要施工设备可能发生的重大事故以及自然灾害造成施工设备的损失和损坏对工程的影响。</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）工程和施工设备的保险期限及其保险责任范围为；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①从承包人进点至颁发工程移交证书期间，除保险公司规定的除外责任以外的工程</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包括材料和工程设备</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和施工设备的损失和损坏。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②在保修期内，由于保修期以前的原因造成上述工程和施工设备的损失和损坏。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③承包人在履行保修责任的施工中造成上述工程和施工设备的损失和损坏。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1.</w:t>
      </w:r>
      <w:r>
        <w:rPr>
          <w:rFonts w:ascii="宋体" w:hAnsi="宋体" w:cs="宋体"/>
          <w:color w:val="000000" w:themeColor="text1"/>
          <w:kern w:val="0"/>
          <w:szCs w:val="21"/>
          <w:highlight w:val="none"/>
          <w14:textFill>
            <w14:solidFill>
              <w14:schemeClr w14:val="tx1"/>
            </w14:solidFill>
          </w14:textFill>
        </w:rPr>
        <w:t xml:space="preserve">2 </w:t>
      </w:r>
      <w:r>
        <w:rPr>
          <w:rFonts w:hint="eastAsia" w:ascii="宋体" w:hAnsi="宋体" w:cs="宋体"/>
          <w:color w:val="000000" w:themeColor="text1"/>
          <w:kern w:val="0"/>
          <w:szCs w:val="21"/>
          <w:highlight w:val="none"/>
          <w14:textFill>
            <w14:solidFill>
              <w14:schemeClr w14:val="tx1"/>
            </w14:solidFill>
          </w14:textFill>
        </w:rPr>
        <w:t>损失和损坏的费用补偿</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）自工程开工至完工移交期间，任何未保险的或从保险部门得到的赔偿费尚不能弥补工程损失和修复损坏所需的费用时，应由发包人或承包人根据第25</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1款规定的风险责任承担所需的费用，包括由于修复风险损坏过程中造成的工程损失和损坏所需的全部费用。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）若发生的工程风险包含第25</w:t>
      </w: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款所述的发包人和承包人的共同风险，则应由监理人与发包人和承包人通过友好协商，按各自的风险责任分担工程的损失和修复损坏所需的全部费用。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）若发生承包人设备（包括其租用的施工设备）的损失或损坏，其所得到的保险金尚不能弥补其损失或损坏的费用时,应由承包人自行承担其所需的全部费用。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）在工程完工移交给发包人后，除了在保修期内发现的由于保修期前承包人原因造成的损失或损坏外，应由发包人承担任何风险造成工程</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包括工程设备）的损失和修复损坏所需的全部费用。</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20.5 对各项保险的一般要求</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20.5.1 保险凭证</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承包人提供保险凭证的时间：</w:t>
      </w:r>
      <w:r>
        <w:rPr>
          <w:rFonts w:hint="eastAsia" w:ascii="宋体" w:hAnsi="宋体" w:cs="宋体"/>
          <w:color w:val="000000" w:themeColor="text1"/>
          <w:kern w:val="0"/>
          <w:szCs w:val="21"/>
          <w:highlight w:val="none"/>
          <w:u w:val="single"/>
          <w14:textFill>
            <w14:solidFill>
              <w14:schemeClr w14:val="tx1"/>
            </w14:solidFill>
          </w14:textFill>
        </w:rPr>
        <w:t>项目正式开工前</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20.5.4 保险金不足的补偿</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由承包人负责办理的保险，如保险金不足以补偿损失的，应由承包人自行负责补偿。</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68" w:name="_Toc1067389113"/>
      <w:bookmarkStart w:id="1569" w:name="_Toc19388"/>
      <w:bookmarkStart w:id="1570" w:name="_Toc28494"/>
      <w:bookmarkStart w:id="1571" w:name="_Toc147856235"/>
      <w:r>
        <w:rPr>
          <w:rStyle w:val="114"/>
          <w:rFonts w:hint="eastAsia"/>
          <w:bCs w:val="0"/>
          <w:color w:val="000000" w:themeColor="text1"/>
          <w:highlight w:val="none"/>
          <w14:textFill>
            <w14:solidFill>
              <w14:schemeClr w14:val="tx1"/>
            </w14:solidFill>
          </w14:textFill>
        </w:rPr>
        <w:t>22. 违约</w:t>
      </w:r>
      <w:bookmarkEnd w:id="1568"/>
      <w:bookmarkEnd w:id="1569"/>
      <w:bookmarkEnd w:id="1570"/>
      <w:bookmarkEnd w:id="1571"/>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删除本款全文，代之以：</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22.1 勘察设计单位违约</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勘察设计单位违约，应支付给发包人违约金。违约金的支付采取扣减勘察设计服务酬金的方式，同时给发包人带来经济损失，勘察设计单位负责赔偿，赔偿金为直接经济损失×10%。</w:t>
      </w:r>
    </w:p>
    <w:p>
      <w:pPr>
        <w:autoSpaceDE w:val="0"/>
        <w:autoSpaceDN w:val="0"/>
        <w:adjustRightInd w:val="0"/>
        <w:spacing w:before="50" w:after="50" w:line="360" w:lineRule="auto"/>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22.1.1因勘察设计单位违约，违反规定，发生不良行为，给发包人勘察设计工作造成不良影响和后果的，按以下方式处理：</w:t>
      </w:r>
    </w:p>
    <w:p>
      <w:pPr>
        <w:spacing w:before="156" w:beforeLines="50" w:after="156" w:afterLines="50" w:line="360" w:lineRule="auto"/>
        <w:ind w:left="420" w:left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（一）符合下列条件之一的，认定1次轻微不良行为，给予警告和暂停入库资格3个月处罚：</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设计方案未充分考虑征地拆迁对工程实施影响，未充分考虑工程实施对工程周边环境造成不利影响引发纠纷，造成一定影响和后果的；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不仔细踏勘现场，不主动积极配合发包人、项目管理单位等相关单位摸清征地拆迁情况，不主动积极配合相关单位开展征地拆迁工作，导致工程延误一个月的；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设计参数采用不合理导致工程滑坡、失稳等造成一定影响和后果的；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不按时向咨询单位提供资料的，不接受咨询单位合理建议造成一定影响和后果的；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不按发包人、项目管理单位要求出具临时工程施工图造成一定影响和后果的；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不按时提交勘测设计成果，造成一定影响和后果的；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不主动积极配合发包人、项目管理单位开展立项、环评、规划、国土、航道部门报批及概算评审等相关工作，造成一定影响和后果的；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不按时提供招标所需的技术条款、施工图纸、工程量清单及预算书或提供的技术条款、施工图纸、工程量清单及预算书有误，对工程招标工作造成较一定影响和后果的；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不提供优质后期服务，造成一定影响和后果的；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估算、概算、预算编制依据错误，未按我区相关规定确定相关费率的；估算、概算、预算漏项，对工程投资造成一定影响和后果的；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设计报告不符合规范规程要求的深度，以及工程估算概算预算书和工程量清单内容不完整、工程量计算不准确、单价确定不规范，造成一定影响和后果的；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不依据《广州南沙区水务局工程设计变更工作指引（试行）》（穗南区水〔2010〕17号）开展设计变更工作，造成一定影响和后果的；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其他未依法依规和依据合同及勘察设计单位内部管理规章制度和发包人公布实施的有关制度、办法、指引等开展设计工作，情节轻微，积极整改，对设计工作造成一定影响和后果的；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由发包人对每次开展的设计业务进行考核评价，发生评价得分并被认定低于80分（不含80分）1次的；</w:t>
      </w:r>
    </w:p>
    <w:p>
      <w:pPr>
        <w:numPr>
          <w:ilvl w:val="1"/>
          <w:numId w:val="3"/>
        </w:numPr>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被各级政府和行政主管部门认定为不良行为，积极整改，对工程实施造成一定影响和后果1次的。</w:t>
      </w:r>
    </w:p>
    <w:p>
      <w:pPr>
        <w:tabs>
          <w:tab w:val="left" w:pos="144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（二）符合下列条件之一的，认定1次比较严重不良行为，给予通报和暂停入库资格6个月处罚，并扣减勘察或设计服务酬金10%：</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未按承诺和合同及时选派满足勘察设计工作要求的项目负责人和技术负责人、各专业勘察设计单位员等组建项目勘察设计工作机构的；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工程勘察设计工作开始前未向发包人报送符合实际和规定要求的勘察设计工作大纲和勘察设计工作进度计划的；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未履行相关手续，擅自更换项目负责人、技术负责人和各专业主要勘察设计单位员的；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无正当理由中标后不按时签订合同、不接受委托业务、放弃中标1次的；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拒签发包人文件或拒绝执行发包人已经生效的指令（违反相关规范或危及生命财产安全的指令除外）的；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设计方案未充分考虑征地拆迁对工程实施影响，未充分考虑工程实施对工程周边环境造成不利影响引发纠纷，造成较大影响和后果的；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不仔细踏勘现场，不主动积极配合发包人、项目管理单位等相关单位摸清征地拆迁情况，不主动积极配合相关单位开展征地拆迁工作，导致工程延误一个月以上、三个月以下的；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设计参数采用不合理导致工程滑坡、失稳等造成较大影响和后果的；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不按时向咨询单位提供资料的，不接受咨询单位合理建议造成较大影响和后果的；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不按发包人、项目管理单位要求出具临时工程施工图造成较大影响和后果的；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不按时提交勘测设计成果，造成较大影响和后果的；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不主动积极配合发包人、项目管理单位开展立项、环评、规划、国土、航道部门报批及概算评审等相关工作，造成较大影响和后果的；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不按时提供招标所需的技术条款、施工图纸、工程量清单及预算书或提供的技术条款、施工图纸、工程量清单及预算书有误，对工程招标工作造成较大影响和后果的；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不提供优质后期服务，造成较大影响和后果的；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概算、预算编制依据错误，未按我区相关规定确定相关费率的；概算、预算漏项，对工程投资造成较大影响和后果的；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设计报告不符合规范规程要求的深度，以及工程估算概算预算书和工程量清单内容不完整、工程量计算不准确、单价确定不规范，造成较大影响和后果的；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因勘察设计原因导致一般设计变更的，一般设计变更及重大设计变更划分标准依据《广州南沙区水务局工程设计变更工作指引（试行）》（穗南区水〔2010〕17号）；</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不依据《广州南沙区水务局工程设计变更工作指引（试行）》（穗南区水〔2010〕17号）开展设计变更工作，造成较大影响和后果的；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其他未依法依规和依据合同及勘察设计单位内部管理规章制度和发包人公布实施的有关制度、办法、指引等开展设计工作，情节轻微，积极整改，对勘察设计工作造成较大影响和后果的；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由发包人对每次开展的勘察设计业务进行考核评价，发生评价得分并被认定低于70分（不含70分）1次的；</w:t>
      </w:r>
    </w:p>
    <w:p>
      <w:pPr>
        <w:numPr>
          <w:ilvl w:val="0"/>
          <w:numId w:val="4"/>
        </w:numPr>
        <w:tabs>
          <w:tab w:val="left" w:pos="1050"/>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被各级政府和行政主管部门认定为不良行为，积极整改，对工程实施造成较大影响和后果1次的。</w:t>
      </w:r>
    </w:p>
    <w:p>
      <w:pPr>
        <w:tabs>
          <w:tab w:val="left" w:pos="144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（三）符合下列条件之一的，认定1次严重不良行为，给予上报上级有关部门处理和暂停入库资格1年的处罚,并扣减勘察或设计服务酬金20%：</w:t>
      </w:r>
    </w:p>
    <w:p>
      <w:pPr>
        <w:numPr>
          <w:ilvl w:val="0"/>
          <w:numId w:val="5"/>
        </w:numPr>
        <w:tabs>
          <w:tab w:val="left" w:pos="1050"/>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项目勘察设计单位人员无相应岗位证书的；</w:t>
      </w:r>
    </w:p>
    <w:p>
      <w:pPr>
        <w:numPr>
          <w:ilvl w:val="0"/>
          <w:numId w:val="5"/>
        </w:numPr>
        <w:tabs>
          <w:tab w:val="left" w:pos="1050"/>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项目勘察设计单位人员和设备不满足相关项目勘察设计工作需要的；</w:t>
      </w:r>
    </w:p>
    <w:p>
      <w:pPr>
        <w:numPr>
          <w:ilvl w:val="0"/>
          <w:numId w:val="5"/>
        </w:numPr>
        <w:tabs>
          <w:tab w:val="left" w:pos="420"/>
          <w:tab w:val="left" w:pos="1050"/>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利用工作便利与监理人、承包人以及建筑材料、建筑构配件和设备供应单位串通，谋取不正当利益的；</w:t>
      </w:r>
    </w:p>
    <w:p>
      <w:pPr>
        <w:numPr>
          <w:ilvl w:val="0"/>
          <w:numId w:val="5"/>
        </w:numPr>
        <w:tabs>
          <w:tab w:val="left" w:pos="1050"/>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隐瞒有关情况、拒绝提供材料或者提供虚假材料的；</w:t>
      </w:r>
    </w:p>
    <w:p>
      <w:pPr>
        <w:numPr>
          <w:ilvl w:val="0"/>
          <w:numId w:val="5"/>
        </w:numPr>
        <w:tabs>
          <w:tab w:val="left" w:pos="1050"/>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勘察设计单位人员利用执 （从）业上的便利，索取或者收受监理人、承包人以及建筑材料、建筑构配件和设备供应单位财物的；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勘察设计单位人员与监理人、承包人以及建筑材料、建筑构配件和设备供应单位串通，谋取不正当利益的；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勘察设计单位人员非法泄露本工程应当保守的秘密的；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勘察设计单位人员故意刁难监理人、承包人，以谋取私利的；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设计方案未充分考虑征地拆迁对工程实施影响，未充分考虑工程实施对工程周边环境造成不利影响引发纠纷，造成重大影响和后果的；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不仔细踏勘现场，不主动积极配合发包人、项目管理单位等相关单位摸清征地拆迁情况，不主动积极配合相关单位开展征地拆迁工作，导致工程三个月以上的；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设计参数采用不合理导致工程滑坡、失稳造成重大影响和后果的；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不按时向咨询单位提供资料的，不接受咨询单位合理建议造成重大影响和后果的；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不按发包人、项目管理单位要求出具临时工程施工图造成重大影响和后果的；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不按时提交勘测设计成果，造成重大影响和后果的；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不主动积极配合发包人、项目管理单位开展立项、环评、规划、国土、航道部门报批及概算评审等相关工作，造成重大影响和后果的；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不按时提供招标所需的技术条款、施工图纸、工程量清单及预算书或提供的技术条款、施工图纸、工程量清单及预算书有误，对工程招标工作造成重大影响和后果的；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不提供优质后期服务，造成重大影响和后果的；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估算、概算、预算编制依据错误，未按我区相关规定确定相关费率的；估算、概算、预算漏项，对工程投资造成重大影响和后果的；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设计报告不符合规范规程要求的深度，以及工程估算概算预算书和工程量清单内容不完整、工程量计算不准确、单价确定不规范，造成重大影响和后果的；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因勘测设计原因导致重大设计变更的，一般变更及重大变更划分标准依据《广州南沙区水务局工程设计变更工作指引（试行）》（穗南区水〔2010〕17号）；</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不依据《广州南沙区水务局工程设计变更工作指引（试行）》（穗南区水〔2010〕17号）开展设计变更工作，造成重大影响和后果的；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其他未依法依规和依据合同及勘察设计单位内部管理规章制度和发包人公布实施的有关制度、办法、指引等开展设计工作，情节轻微，积极整改，对设计工作造成重大影响和后果的；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由发包人对每次开展的设计业务进行考核评价，发生评价得分并被认定低于60分（不含60分）1次的；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被各级政府和行政主管部门认定为不良行为，积极整改，对工程实施造成重大影响和后果1次的。</w:t>
      </w:r>
    </w:p>
    <w:p>
      <w:pPr>
        <w:numPr>
          <w:ilvl w:val="0"/>
          <w:numId w:val="5"/>
        </w:numPr>
        <w:tabs>
          <w:tab w:val="clear" w:pos="1428"/>
        </w:tabs>
        <w:spacing w:before="156" w:beforeLines="50" w:after="156" w:afterLines="50" w:line="360" w:lineRule="auto"/>
        <w:ind w:left="0"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违法违规违纪行为被审计、稽查、纪检、监察等部门确认但未被问责的，或发生一般举报投诉并被确认有效的。</w:t>
      </w:r>
    </w:p>
    <w:p>
      <w:pPr>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（四）符合下列条件之一的，认定1次特别严重不良行为，给予上报上级有关部门处理和取消入库资格的处罚，并扣减勘察或设计服务酬金50%：</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（1）允许其他单位或者个人以本单位名义承揽工程勘察设计业务的；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（2）与监理人、承包人以及建筑材料、建筑构配件和设备供应单位有隶属关系或者其他利害关系，却承担本项工程勘察设计业务的；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（3）因勘察设计单位人员过错或管理不力，造成质量事故、安全生产事故、环境污染事故的；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（4）蓄意损害发包人或监理人、承包人利益的；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（5）与监理人、承包人串通，弄虚作假，降低工程质量或骗取国家建设资金的；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（6）设计方案未充分考虑征地拆迁对工程实施影响，未充分考虑工程实施对工程周边环境造成不利影响引发纠纷，造成特别重大影响和后果的；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（7）设计参数采用不合理导致工程滑坡、失稳造成特别重大影响和后果的；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（8）不按时提供咨询单位资料的，不接受咨询单位合理建议造成特别重大影响和后果的；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（9）不按发包人、项目管理单位要求出具临时工程施工图造成特别重大影响和后果的；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（10）不按时提交勘测设计成果，造成特别重大影响和后果的；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（11）不主动积极配合发包人、项目管理单位开展立项、环评、规划、国土、航道部门报批及概算评审等相关工作，造成特别重大影响和后果的；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（12）不按时提供招标所需的技术条款、施工图纸、工程量清单及预算书或提供的技术条款、施工图纸、工程量清单及预算书有误，对工程招标工作造成特别重大影响和后果的；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（13）不提供优质后期服务，造成特别重大影响和后果的；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（14）估算、概算、预算编制依据错误，未按我区相关规定确定相关费率的；估算、概算、预算漏项，对工程投资造成特别重大影响和后果的；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（15）设计报告不符合规范规程要求的深度，以及工程估算概算预算书和工程量清单内容不完整、工程量计算不准确、单价确定不规范，造成特别重大影响和后果的；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（16）不依据《广州南沙区水务局工程设计变更工作指引（试行）》（穗南区水〔2010〕17号）开展设计变更工作，造成特别重大影响和后果的；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（17）违反国家法律、法规或有关工程建设强制性标准的； </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（18）经发包人对勘察设计单位进行资质复核审查，所提交的资料无效、有虚假情况或不满足资质条件的；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（19）其他未依法依规和依据合同及勘察设计单位内部管理规章制度和发包人公布实施的有关制度、办法、指引等开展勘察设计工作，情节特别严重，造成特别重大影响和后果的；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（20）由发包人对每次开展的设计业务进行考核评价，在库累计发生评价得分并被认定低于60分（不含60分）累计2次；</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（21）被各级政府和行政主管部门认定为不良行为，对勘察设计工作造成特别重大影响和后果的。</w:t>
      </w:r>
    </w:p>
    <w:p>
      <w:pPr>
        <w:tabs>
          <w:tab w:val="left" w:pos="126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（22）其他特别严重的工作失误或违法违规行为，或违法违规违纪行为被审计、稽查、纪检、监察等部门确认并被问责的，或发生重大举报投诉并被确认有效的，或构成犯罪的。</w:t>
      </w:r>
    </w:p>
    <w:p>
      <w:pPr>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（五）符合下列条件之一的，除相应给予上述（一）至（四）的处罚外，同时处以取消当次勘察设计资格、终止相关勘察设计合同且不予支付任何勘察设计服务费用的处罚；</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（1）经非招标方式或区政府规定的方式确定为中标第一候选人，但经发包人复审不具备项目服务资格或不满足项目要求的；</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（2）超越勘察设计资质证书规定的等级和业务范围承接业务的；</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（3）未经发包人同意转包分包勘察设计业务的；</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以上“一般举报投诉”是指：举报投诉人关于非招标方式或区政府规定的方式或招投标过程中存在一般违法违规违纪行为但尚不影响中标结果，或关于勘察设计工作存在一般违法违规违纪行为，造成较大及以下经济和社会影响的举报投诉。</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重大举报投诉”是指：举报投诉人关于非招标方式或区政府规定的方式或招投标过程中存在重大违法违规违纪行为，实质性影响中标结果，或关于勘察设计工作存在重大违法违规违纪行为，造成重大及以上经济和社会影响的的举报投诉。</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以上“一定影响和后果”是指：不良行为情节轻微，经整改后，工程实施所受影响轻微，尚未造成不良经济和社会影响，因勘察设计单位过错违反勘察设计工作目标符合附表关于工程实施中违反勘察设计工作目标认定标准所列情形的。</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较大影响和后果”是指：不良行为情节比较严重，经整改后，工程实施受到较大影响但尚未受到实质性影响，造成一定经济和社会影响，因勘察设计单位过错违反勘察设计工作目标符合附表关于工程实施中违反勘察设计工作目标认定标准所列情形的。</w:t>
      </w:r>
    </w:p>
    <w:p>
      <w:pPr>
        <w:tabs>
          <w:tab w:val="left" w:pos="900"/>
        </w:tabs>
        <w:spacing w:before="156" w:beforeLines="50" w:after="156" w:afterLines="50"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重大影响和后果”是指：不良行为情节严重，经整改后，勘察设计工作受到实质性影响，但勘察设计工作仍可以继续推进，造成严重经济和社会影响，因勘察设计单位过错违反勘察设计工作目标符合附表关于工程实施中违反勘察设计工作目标认定标准所列情形的。</w:t>
      </w:r>
    </w:p>
    <w:p>
      <w:pPr>
        <w:spacing w:line="360" w:lineRule="auto"/>
        <w:ind w:firstLine="360"/>
        <w:jc w:val="left"/>
        <w:rPr>
          <w:rFonts w:ascii="宋体" w:hAnsi="宋体"/>
          <w:b/>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特别重大影响和后果”是指：不良行为情节特别严重，且已经不具备整改条件，对工程实施造成特别严重经济和社会影响，因勘察设计单位过错违反勘察设计工作目标符合附表关于工程实施中违反勘察设计工作目标认定标准所列情形的。</w:t>
      </w:r>
      <w:r>
        <w:rPr>
          <w:rFonts w:hint="eastAsia" w:ascii="宋体" w:hAnsi="宋体"/>
          <w:color w:val="000000" w:themeColor="text1"/>
          <w:szCs w:val="21"/>
          <w:highlight w:val="none"/>
          <w14:textFill>
            <w14:solidFill>
              <w14:schemeClr w14:val="tx1"/>
            </w14:solidFill>
          </w14:textFill>
        </w:rPr>
        <w:br w:type="column"/>
      </w:r>
      <w:r>
        <w:rPr>
          <w:rFonts w:hint="eastAsia" w:ascii="宋体" w:hAnsi="宋体"/>
          <w:b/>
          <w:color w:val="000000" w:themeColor="text1"/>
          <w:szCs w:val="21"/>
          <w:highlight w:val="none"/>
          <w14:textFill>
            <w14:solidFill>
              <w14:schemeClr w14:val="tx1"/>
            </w14:solidFill>
          </w14:textFill>
        </w:rPr>
        <w:t>附表：工程实施中违反设计工作目标认定标准</w:t>
      </w: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2371"/>
        <w:gridCol w:w="2371"/>
        <w:gridCol w:w="2371"/>
        <w:gridCol w:w="2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restart"/>
            <w:vAlign w:val="center"/>
          </w:tcPr>
          <w:p>
            <w:pPr>
              <w:spacing w:line="360" w:lineRule="auto"/>
              <w:jc w:val="center"/>
              <w:rPr>
                <w:rFonts w:ascii="宋体" w:hAnsi="宋体"/>
                <w:b/>
                <w:color w:val="000000" w:themeColor="text1"/>
                <w:szCs w:val="21"/>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工作</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目标</w:t>
            </w:r>
          </w:p>
        </w:tc>
        <w:tc>
          <w:tcPr>
            <w:tcW w:w="9291" w:type="dxa"/>
            <w:gridSpan w:val="4"/>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对工程实施造成影响的认定标准（各目标对应影响等级以满足表格所列条件之一为准）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p>
        </w:tc>
        <w:tc>
          <w:tcPr>
            <w:tcW w:w="2371"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一定影响和后果</w:t>
            </w:r>
          </w:p>
        </w:tc>
        <w:tc>
          <w:tcPr>
            <w:tcW w:w="2371"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较大影响和后果</w:t>
            </w:r>
          </w:p>
        </w:tc>
        <w:tc>
          <w:tcPr>
            <w:tcW w:w="2371"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重大影响和后果</w:t>
            </w:r>
          </w:p>
        </w:tc>
        <w:tc>
          <w:tcPr>
            <w:tcW w:w="2178"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b/>
                <w:color w:val="000000" w:themeColor="text1"/>
                <w:szCs w:val="21"/>
                <w:highlight w:val="none"/>
                <w14:textFill>
                  <w14:solidFill>
                    <w14:schemeClr w14:val="tx1"/>
                  </w14:solidFill>
                </w14:textFill>
              </w:rPr>
              <w:t>特别重大影响和后果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工期</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控制</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1、延误超出合同工期1/10</w:t>
            </w:r>
            <w:r>
              <w:rPr>
                <w:rFonts w:hint="eastAsia" w:ascii="宋体" w:hAnsi="宋体"/>
                <w:color w:val="000000" w:themeColor="text1"/>
                <w:sz w:val="18"/>
                <w:szCs w:val="18"/>
                <w:highlight w:val="none"/>
                <w14:textFill>
                  <w14:solidFill>
                    <w14:schemeClr w14:val="tx1"/>
                  </w14:solidFill>
                </w14:textFill>
              </w:rPr>
              <w:t>以内</w:t>
            </w:r>
            <w:r>
              <w:rPr>
                <w:rFonts w:ascii="宋体" w:hAnsi="宋体"/>
                <w:color w:val="000000" w:themeColor="text1"/>
                <w:sz w:val="18"/>
                <w:szCs w:val="18"/>
                <w:highlight w:val="none"/>
                <w14:textFill>
                  <w14:solidFill>
                    <w14:schemeClr w14:val="tx1"/>
                  </w14:solidFill>
                </w14:textFill>
              </w:rPr>
              <w:t>；</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2、延误15天及以内的。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1、延误超出合同工期1/10-1/5(含)；</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2、延误15-30天（含）。</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1、延误超出合同工期1/5-1/3（含）；</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2、延误30-60天（含）。</w:t>
            </w:r>
          </w:p>
        </w:tc>
        <w:tc>
          <w:tcPr>
            <w:tcW w:w="2178"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1、延误超出合同工期1/3；</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2、延误60天以上的。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勘察</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设计</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质量</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控制</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1、工程勘察设计成果和文件不完整不准确不可靠但尚未造成工程变更或给委托单位造成损失的；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2、工程概算预算书和工程量清单内容不完整、工程量计算不准确、单价确定不规范，设计图纸不完整，导致工程概算预算值偏离合理值5%-10%（含）的。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1、工程勘察设计成果和文件不完整不准确不可靠，造成单项变更增减不超过50万元或累计变更造价变化不超过合同价10%或给委托单位带来经济损害10万元（含）以下的。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2、工程概算预算书和工程量清单内容不完整、工程量计算不准确、单价确定不规范，设计图纸不完整，导致工程概算预算值偏离合理值10%-20%（含）的；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3、经专家或审批机关认定，勘察设计报告存在较多错误或缺陷，需要做出较多修改或补充论证的；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4、因勘察设计质量问题发生较大及以下质量安全问题或隐患但尚未造成质量安全事故的。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1、工程勘察设计成果和文件不完整不准确不可靠，造成单项变更增减超过50万元或累计变更造价变化超过合同价10%或给委托单位带来10-50万元（含）经济损害的。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2、工程概算预算书和工程量清单内容不完整、工程量计算不准确、单价确定不规范，设计图纸不完整，导致工程概算预算值偏离合理值20%以上的；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3、经专家或审批机关认定，勘察设计报告存在重大错误或缺陷，包括选址、规模、主要技术方案、主要建筑物布置等，需要做出重大修改或补充论证的。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4、因勘察设计质量问题发生重大及以上质量安全问题或隐患但尚未造成质量安全事故的。</w:t>
            </w:r>
          </w:p>
        </w:tc>
        <w:tc>
          <w:tcPr>
            <w:tcW w:w="2178"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1、工程勘察设计成果和文件不完整不准确不可靠，给委托单位带来50万元以上经济损害的；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3、经专家或审批机关认定，勘察设计报告被否定，需要重新编制和报批的；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3、因勘察设计质量问题发生质量安全事故的。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投资</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控制</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1、工程概算达到工程估算100%-110%（含）的；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2、工程预算达到工程概算100%-110%（含）的；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3、工程结算送审前工程预计总投资达到工程概算95%-100%（含）的。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1、工程概算达到工程估算110%以上的；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2、工程预算达到工程概算110%以上的；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3、工程结算送审前工程预计总投资达到工程概算100%以上的。</w:t>
            </w:r>
          </w:p>
        </w:tc>
        <w:tc>
          <w:tcPr>
            <w:tcW w:w="2178" w:type="dxa"/>
            <w:vAlign w:val="center"/>
          </w:tcPr>
          <w:p>
            <w:pPr>
              <w:ind w:firstLine="32"/>
              <w:rPr>
                <w:rFonts w:ascii="宋体" w:hAnsi="宋体"/>
                <w:color w:val="000000" w:themeColor="text1"/>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工程</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概预算</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1、超出合同规定时间10天及以内审核并完成上报工程概预算书和设计图纸的；</w:t>
            </w:r>
          </w:p>
          <w:p>
            <w:pPr>
              <w:ind w:firstLine="32"/>
              <w:rPr>
                <w:rFonts w:ascii="宋体" w:hAnsi="宋体"/>
                <w:color w:val="000000" w:themeColor="text1"/>
                <w:sz w:val="18"/>
                <w:szCs w:val="18"/>
                <w:highlight w:val="none"/>
                <w14:textFill>
                  <w14:solidFill>
                    <w14:schemeClr w14:val="tx1"/>
                  </w14:solidFill>
                </w14:textFill>
              </w:rPr>
            </w:pPr>
            <w:r>
              <w:rPr>
                <w:rFonts w:hint="eastAsia" w:ascii="宋体" w:hAnsi="宋体"/>
                <w:color w:val="000000" w:themeColor="text1"/>
                <w:sz w:val="18"/>
                <w:szCs w:val="18"/>
                <w:highlight w:val="none"/>
                <w14:textFill>
                  <w14:solidFill>
                    <w14:schemeClr w14:val="tx1"/>
                  </w14:solidFill>
                </w14:textFill>
              </w:rPr>
              <w:t>2</w:t>
            </w:r>
            <w:r>
              <w:rPr>
                <w:rFonts w:ascii="宋体" w:hAnsi="宋体"/>
                <w:color w:val="000000" w:themeColor="text1"/>
                <w:sz w:val="18"/>
                <w:szCs w:val="18"/>
                <w:highlight w:val="none"/>
                <w14:textFill>
                  <w14:solidFill>
                    <w14:schemeClr w14:val="tx1"/>
                  </w14:solidFill>
                </w14:textFill>
              </w:rPr>
              <w:t>、概算被</w:t>
            </w:r>
            <w:r>
              <w:rPr>
                <w:rFonts w:hint="eastAsia" w:ascii="宋体" w:hAnsi="宋体"/>
                <w:color w:val="000000" w:themeColor="text1"/>
                <w:sz w:val="18"/>
                <w:szCs w:val="18"/>
                <w:highlight w:val="none"/>
                <w14:textFill>
                  <w14:solidFill>
                    <w14:schemeClr w14:val="tx1"/>
                  </w14:solidFill>
                </w14:textFill>
              </w:rPr>
              <w:t>有审核权限</w:t>
            </w:r>
            <w:r>
              <w:rPr>
                <w:rFonts w:ascii="宋体" w:hAnsi="宋体"/>
                <w:color w:val="000000" w:themeColor="text1"/>
                <w:sz w:val="18"/>
                <w:szCs w:val="18"/>
                <w:highlight w:val="none"/>
                <w14:textFill>
                  <w14:solidFill>
                    <w14:schemeClr w14:val="tx1"/>
                  </w14:solidFill>
                </w14:textFill>
              </w:rPr>
              <w:t>部门审定和批复后，但经复核，不应核减部分投资与审定价相比，被错误核减率在0.5%-1%（含）的；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1、超出合同规定时间10天以上审核并完成上报工程概预算书和设计图纸的；</w:t>
            </w:r>
          </w:p>
          <w:p>
            <w:pPr>
              <w:ind w:firstLine="32"/>
              <w:rPr>
                <w:rFonts w:ascii="宋体" w:hAnsi="宋体"/>
                <w:color w:val="000000" w:themeColor="text1"/>
                <w:sz w:val="18"/>
                <w:szCs w:val="18"/>
                <w:highlight w:val="none"/>
                <w14:textFill>
                  <w14:solidFill>
                    <w14:schemeClr w14:val="tx1"/>
                  </w14:solidFill>
                </w14:textFill>
              </w:rPr>
            </w:pPr>
            <w:r>
              <w:rPr>
                <w:rFonts w:hint="eastAsia" w:ascii="宋体" w:hAnsi="宋体"/>
                <w:color w:val="000000" w:themeColor="text1"/>
                <w:sz w:val="18"/>
                <w:szCs w:val="18"/>
                <w:highlight w:val="none"/>
                <w14:textFill>
                  <w14:solidFill>
                    <w14:schemeClr w14:val="tx1"/>
                  </w14:solidFill>
                </w14:textFill>
              </w:rPr>
              <w:t>2</w:t>
            </w:r>
            <w:r>
              <w:rPr>
                <w:rFonts w:ascii="宋体" w:hAnsi="宋体"/>
                <w:color w:val="000000" w:themeColor="text1"/>
                <w:sz w:val="18"/>
                <w:szCs w:val="18"/>
                <w:highlight w:val="none"/>
                <w14:textFill>
                  <w14:solidFill>
                    <w14:schemeClr w14:val="tx1"/>
                  </w14:solidFill>
                </w14:textFill>
              </w:rPr>
              <w:t>、概算被</w:t>
            </w:r>
            <w:r>
              <w:rPr>
                <w:rFonts w:hint="eastAsia" w:ascii="宋体" w:hAnsi="宋体"/>
                <w:color w:val="000000" w:themeColor="text1"/>
                <w:sz w:val="18"/>
                <w:szCs w:val="18"/>
                <w:highlight w:val="none"/>
                <w14:textFill>
                  <w14:solidFill>
                    <w14:schemeClr w14:val="tx1"/>
                  </w14:solidFill>
                </w14:textFill>
              </w:rPr>
              <w:t>有审核权限</w:t>
            </w:r>
            <w:r>
              <w:rPr>
                <w:rFonts w:ascii="宋体" w:hAnsi="宋体"/>
                <w:color w:val="000000" w:themeColor="text1"/>
                <w:sz w:val="18"/>
                <w:szCs w:val="18"/>
                <w:highlight w:val="none"/>
                <w14:textFill>
                  <w14:solidFill>
                    <w14:schemeClr w14:val="tx1"/>
                  </w14:solidFill>
                </w14:textFill>
              </w:rPr>
              <w:t>部门审定和批复后，但经复核，不应核减部分投资与审定价相比，被错误核减率在1%-2%（含）的；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1、初步设计概算送审价与审定价相比，核减率在20%以上的；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2、概算被</w:t>
            </w:r>
            <w:r>
              <w:rPr>
                <w:rFonts w:hint="eastAsia" w:ascii="宋体" w:hAnsi="宋体"/>
                <w:color w:val="000000" w:themeColor="text1"/>
                <w:sz w:val="18"/>
                <w:szCs w:val="18"/>
                <w:highlight w:val="none"/>
                <w14:textFill>
                  <w14:solidFill>
                    <w14:schemeClr w14:val="tx1"/>
                  </w14:solidFill>
                </w14:textFill>
              </w:rPr>
              <w:t>有审核权限</w:t>
            </w:r>
            <w:r>
              <w:rPr>
                <w:rFonts w:ascii="宋体" w:hAnsi="宋体"/>
                <w:color w:val="000000" w:themeColor="text1"/>
                <w:sz w:val="18"/>
                <w:szCs w:val="18"/>
                <w:highlight w:val="none"/>
                <w14:textFill>
                  <w14:solidFill>
                    <w14:schemeClr w14:val="tx1"/>
                  </w14:solidFill>
                </w14:textFill>
              </w:rPr>
              <w:t>部门审定和批复后，但经复核，不应核减部分投资与审定价相比，被错误核减率在2%以上的。</w:t>
            </w:r>
          </w:p>
        </w:tc>
        <w:tc>
          <w:tcPr>
            <w:tcW w:w="2178" w:type="dxa"/>
            <w:vAlign w:val="center"/>
          </w:tcPr>
          <w:p>
            <w:pPr>
              <w:ind w:firstLine="32"/>
              <w:rPr>
                <w:rFonts w:ascii="宋体" w:hAnsi="宋体"/>
                <w:color w:val="000000" w:themeColor="text1"/>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施工</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质量</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控制</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1、被发现1次及以上较大及以下质量问题或隐患，尚未造成质量缺陷；</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2、发生一般质量缺陷的。</w:t>
            </w:r>
          </w:p>
          <w:p>
            <w:pPr>
              <w:ind w:firstLine="32"/>
              <w:rPr>
                <w:rFonts w:ascii="宋体" w:hAnsi="宋体"/>
                <w:color w:val="000000" w:themeColor="text1"/>
                <w:sz w:val="18"/>
                <w:szCs w:val="18"/>
                <w:highlight w:val="none"/>
                <w14:textFill>
                  <w14:solidFill>
                    <w14:schemeClr w14:val="tx1"/>
                  </w14:solidFill>
                </w14:textFill>
              </w:rPr>
            </w:pP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1、被发现1次及以上较大及以下质量问题或隐患，造成严重及以上质量缺陷的；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2、被发现1次及以上重大及以上质量问题或隐患，尚未造成严重及以上质量缺陷的。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1、被发现1次及以上重大及以上质量问题或隐患，造成严重及以上质量缺陷但尚未造成质量事故的；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2、经质量监督部门核定达不到施工合同质量等级的。</w:t>
            </w:r>
          </w:p>
        </w:tc>
        <w:tc>
          <w:tcPr>
            <w:tcW w:w="2178" w:type="dxa"/>
            <w:vAlign w:val="center"/>
          </w:tcPr>
          <w:p>
            <w:pPr>
              <w:spacing w:line="360" w:lineRule="auto"/>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发生质量事故的。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安全</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生产</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1、被发现1次及以上较大及以下安全问题或隐患，尚未造成人员受伤或经济损失的；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3、发生不安全不文明施工行为且未造成社会影响的。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1、被发现1次及以上较大及以下安全问题或隐患，造成一定人员受伤或经济损失且尚未构成安全生产事故的；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2、被发现1次及以上重大及以上安全问题或隐患，尚未造成人员受伤或经济损失的；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3、发生不安全不文明施工行为且造成较大及以下社会影响的。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1、被发现1次及以上重大及以上安全问题或隐患，造成一定人员受伤和经济损失的但尚未构成安全生产事故的；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2、发生不安全不文明施工行为且造成重大及以上社会影响的。</w:t>
            </w:r>
          </w:p>
        </w:tc>
        <w:tc>
          <w:tcPr>
            <w:tcW w:w="2178" w:type="dxa"/>
            <w:vAlign w:val="center"/>
          </w:tcPr>
          <w:p>
            <w:pPr>
              <w:spacing w:line="360" w:lineRule="auto"/>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发生安全生产事故的。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进度</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控制</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1、延误超出进度计划工期1/10；</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2、延误15天及以内的。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1、延误超出进度计划工期1/10-1/5(含)；</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2、延误15-30天（含）。</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1、延误超出进度计划工期1/5-1/3（含）；</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2、延误30-45天（含）。</w:t>
            </w:r>
          </w:p>
        </w:tc>
        <w:tc>
          <w:tcPr>
            <w:tcW w:w="2178"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1、延误超出进度计划工期1/3；</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2、延误45天以上的。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变更</w:t>
            </w:r>
          </w:p>
          <w:p>
            <w:pPr>
              <w:spacing w:line="360" w:lineRule="auto"/>
              <w:jc w:val="center"/>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控制</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发生1次违规变更行为，但尚未造成不良后果的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1、发生2 次及以上违规变更行为，但尚未造成不良后果的；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2、发生1次违规变更行为，单项变更增减不超过50万元或累计变更造价变化不超过合同价10%的且未给委托单位带来经济损害的。</w:t>
            </w:r>
          </w:p>
        </w:tc>
        <w:tc>
          <w:tcPr>
            <w:tcW w:w="2371"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1、发生2次及以上违规变更行为，单项变更增减不超过50万元或累计变更造价变化不超过合同价10%的；</w:t>
            </w:r>
          </w:p>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2、发生违规变更行为，给委托单位带来经济损害10万元及以下的。</w:t>
            </w:r>
          </w:p>
        </w:tc>
        <w:tc>
          <w:tcPr>
            <w:tcW w:w="2178" w:type="dxa"/>
            <w:vAlign w:val="center"/>
          </w:tcPr>
          <w:p>
            <w:pPr>
              <w:ind w:firstLine="32"/>
              <w:rPr>
                <w:rFonts w:ascii="宋体" w:hAnsi="宋体"/>
                <w:color w:val="000000" w:themeColor="text1"/>
                <w:sz w:val="18"/>
                <w:szCs w:val="18"/>
                <w:highlight w:val="none"/>
                <w14:textFill>
                  <w14:solidFill>
                    <w14:schemeClr w14:val="tx1"/>
                  </w14:solidFill>
                </w14:textFill>
              </w:rPr>
            </w:pPr>
            <w:r>
              <w:rPr>
                <w:rFonts w:ascii="宋体" w:hAnsi="宋体"/>
                <w:color w:val="000000" w:themeColor="text1"/>
                <w:sz w:val="18"/>
                <w:szCs w:val="18"/>
                <w:highlight w:val="none"/>
                <w14:textFill>
                  <w14:solidFill>
                    <w14:schemeClr w14:val="tx1"/>
                  </w14:solidFill>
                </w14:textFill>
              </w:rPr>
              <w:t>发生违规变更行为，给委托单位带来经济损害10万元以上的。</w:t>
            </w:r>
          </w:p>
        </w:tc>
      </w:tr>
    </w:tbl>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备注：1、质量或安全问题或隐患的等级以可能造成的最高质量或安全事故等级来确定，质量缺陷等级以返工所需的施工直接费来确定，一般质量缺陷为5万元（含），严重质量缺陷为5-10万元（含），特别严重质量缺陷为10-20万元。</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22.1.2责任的期限</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勘察设计单位与发包人双方的责任与义务期限为合同书中规定的时间范围。但勘察设计单位对本合同工程勘察设计质量的责任则是勘察设计使用年限内的终身责任。</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22.2 施工单位违约</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施工单位</w:t>
      </w:r>
      <w:r>
        <w:rPr>
          <w:rFonts w:ascii="宋体" w:hAnsi="宋体"/>
          <w:color w:val="000000" w:themeColor="text1"/>
          <w:szCs w:val="21"/>
          <w:highlight w:val="none"/>
          <w14:textFill>
            <w14:solidFill>
              <w14:schemeClr w14:val="tx1"/>
            </w14:solidFill>
          </w14:textFill>
        </w:rPr>
        <w:t>违约，应支付给发包人违约金。违约金的支付采取扣减</w:t>
      </w:r>
      <w:r>
        <w:rPr>
          <w:rFonts w:hint="eastAsia" w:ascii="宋体" w:hAnsi="宋体"/>
          <w:color w:val="000000" w:themeColor="text1"/>
          <w:szCs w:val="21"/>
          <w:highlight w:val="none"/>
          <w14:textFill>
            <w14:solidFill>
              <w14:schemeClr w14:val="tx1"/>
            </w14:solidFill>
          </w14:textFill>
        </w:rPr>
        <w:t>工程进度款</w:t>
      </w:r>
      <w:r>
        <w:rPr>
          <w:rFonts w:ascii="宋体" w:hAnsi="宋体"/>
          <w:color w:val="000000" w:themeColor="text1"/>
          <w:szCs w:val="21"/>
          <w:highlight w:val="none"/>
          <w14:textFill>
            <w14:solidFill>
              <w14:schemeClr w14:val="tx1"/>
            </w14:solidFill>
          </w14:textFill>
        </w:rPr>
        <w:t>的方式，同时给发包人带来经济损失，</w:t>
      </w:r>
      <w:r>
        <w:rPr>
          <w:rFonts w:hint="eastAsia" w:ascii="宋体" w:hAnsi="宋体"/>
          <w:color w:val="000000" w:themeColor="text1"/>
          <w:szCs w:val="21"/>
          <w:highlight w:val="none"/>
          <w14:textFill>
            <w14:solidFill>
              <w14:schemeClr w14:val="tx1"/>
            </w14:solidFill>
          </w14:textFill>
        </w:rPr>
        <w:t>施工单位</w:t>
      </w:r>
      <w:r>
        <w:rPr>
          <w:rFonts w:ascii="宋体" w:hAnsi="宋体"/>
          <w:color w:val="000000" w:themeColor="text1"/>
          <w:szCs w:val="21"/>
          <w:highlight w:val="none"/>
          <w14:textFill>
            <w14:solidFill>
              <w14:schemeClr w14:val="tx1"/>
            </w14:solidFill>
          </w14:textFill>
        </w:rPr>
        <w:t>负责赔偿，赔偿金为直接经济损失×10%。</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具体的规定及执行标准，见本合同附件</w:t>
      </w:r>
      <w:r>
        <w:rPr>
          <w:rFonts w:ascii="宋体" w:hAnsi="宋体"/>
          <w:color w:val="000000" w:themeColor="text1"/>
          <w:szCs w:val="21"/>
          <w:highlight w:val="none"/>
          <w14:textFill>
            <w14:solidFill>
              <w14:schemeClr w14:val="tx1"/>
            </w14:solidFill>
          </w14:textFill>
        </w:rPr>
        <w:t>5</w:t>
      </w:r>
      <w:r>
        <w:rPr>
          <w:rFonts w:hint="eastAsia" w:ascii="宋体" w:hAnsi="宋体"/>
          <w:color w:val="000000" w:themeColor="text1"/>
          <w:szCs w:val="21"/>
          <w:highlight w:val="none"/>
          <w14:textFill>
            <w14:solidFill>
              <w14:schemeClr w14:val="tx1"/>
            </w14:solidFill>
          </w14:textFill>
        </w:rPr>
        <w:t>。</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承包人违约责任认定程序</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22.4.1勘察设计违约责任认定程序</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（1）承包人轻微不良行为、比较严重不良行为，由代建单位组织认定，其他相关单位予以协助。承包人对代建单位认定的违约行为持有异议的，可在收到违约通知书7天内向发包人提出申诉。</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（2）承包人严重不良行为、特别严重不良行为及其他违约行为，由代建单位组织初步认定，报发包人批准。承包人对发包人认定的违约行为持有异议的，可在收到违约通知书7天内向有关主管部门提出申诉。</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22.4.2施工违约责任认定程序</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（1）对于书面警告、限期整改的违约行为，由监理人直接组织认定，其他相关单位予以协助。承包人对监理人认定的违约行为持有异议的，可在收到违约通知书7天内向代建单位提出申诉。</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（2）对于一般违约违约，由监理人组织初步认定，报代建单位审批及报发包人备案。承包人对代建单位认定的违约行为持有异议的，可在收到违约通知书7天内向发包人提出申诉。</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（3）对于严重违约行为，由监理人组织初步认定，代建单位复核，发包人审批。承包人对发包人认定的违约行为持有异议的，可在收到违约通知书7天内向有关主管部门提出申诉。</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22.4.3发包人、监理单位应及时发现违约情形并及时制止，同时按照权限规定及时处罚或上报有处罚权的单位处罚。</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72" w:name="_Toc1677918800"/>
      <w:bookmarkStart w:id="1573" w:name="_Toc31408"/>
      <w:bookmarkStart w:id="1574" w:name="_Toc22407"/>
      <w:bookmarkStart w:id="1575" w:name="_Toc147856236"/>
      <w:r>
        <w:rPr>
          <w:rStyle w:val="114"/>
          <w:rFonts w:hint="eastAsia"/>
          <w:bCs w:val="0"/>
          <w:color w:val="000000" w:themeColor="text1"/>
          <w:highlight w:val="none"/>
          <w14:textFill>
            <w14:solidFill>
              <w14:schemeClr w14:val="tx1"/>
            </w14:solidFill>
          </w14:textFill>
        </w:rPr>
        <w:t>2</w:t>
      </w:r>
      <w:r>
        <w:rPr>
          <w:rStyle w:val="114"/>
          <w:bCs w:val="0"/>
          <w:color w:val="000000" w:themeColor="text1"/>
          <w:highlight w:val="none"/>
          <w14:textFill>
            <w14:solidFill>
              <w14:schemeClr w14:val="tx1"/>
            </w14:solidFill>
          </w14:textFill>
        </w:rPr>
        <w:t>4</w:t>
      </w:r>
      <w:r>
        <w:rPr>
          <w:rStyle w:val="114"/>
          <w:rFonts w:hint="eastAsia"/>
          <w:bCs w:val="0"/>
          <w:color w:val="000000" w:themeColor="text1"/>
          <w:highlight w:val="none"/>
          <w14:textFill>
            <w14:solidFill>
              <w14:schemeClr w14:val="tx1"/>
            </w14:solidFill>
          </w14:textFill>
        </w:rPr>
        <w:t>. 争议的解决</w:t>
      </w:r>
      <w:bookmarkEnd w:id="1572"/>
      <w:bookmarkEnd w:id="1573"/>
      <w:bookmarkEnd w:id="1574"/>
      <w:bookmarkEnd w:id="1575"/>
    </w:p>
    <w:p>
      <w:pPr>
        <w:pStyle w:val="6"/>
        <w:spacing w:before="240" w:after="120" w:line="360" w:lineRule="auto"/>
        <w:rPr>
          <w:color w:val="000000" w:themeColor="text1"/>
          <w:highlight w:val="none"/>
          <w14:textFill>
            <w14:solidFill>
              <w14:schemeClr w14:val="tx1"/>
            </w14:solidFill>
          </w14:textFill>
        </w:rPr>
      </w:pPr>
      <w:bookmarkStart w:id="1576" w:name="_Toc1665"/>
      <w:bookmarkStart w:id="1577" w:name="_Toc31204"/>
      <w:r>
        <w:rPr>
          <w:rFonts w:hint="eastAsia"/>
          <w:color w:val="000000" w:themeColor="text1"/>
          <w:highlight w:val="none"/>
          <w14:textFill>
            <w14:solidFill>
              <w14:schemeClr w14:val="tx1"/>
            </w14:solidFill>
          </w14:textFill>
        </w:rPr>
        <w:t>24.1 争议的解决方式</w:t>
      </w:r>
      <w:bookmarkEnd w:id="1576"/>
      <w:bookmarkEnd w:id="1577"/>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因合同及合同有关事项发生的争议，按下列第</w:t>
      </w:r>
      <w:r>
        <w:rPr>
          <w:rFonts w:hint="eastAsia" w:ascii="宋体" w:hAnsi="宋体"/>
          <w:color w:val="000000" w:themeColor="text1"/>
          <w:szCs w:val="21"/>
          <w:highlight w:val="none"/>
          <w:u w:val="single"/>
          <w14:textFill>
            <w14:solidFill>
              <w14:schemeClr w14:val="tx1"/>
            </w14:solidFill>
          </w14:textFill>
        </w:rPr>
        <w:t>（2）</w:t>
      </w:r>
      <w:r>
        <w:rPr>
          <w:rFonts w:hint="eastAsia" w:ascii="宋体" w:hAnsi="宋体"/>
          <w:color w:val="000000" w:themeColor="text1"/>
          <w:szCs w:val="21"/>
          <w:highlight w:val="none"/>
          <w14:textFill>
            <w14:solidFill>
              <w14:schemeClr w14:val="tx1"/>
            </w14:solidFill>
          </w14:textFill>
        </w:rPr>
        <w:t>种方式解决：</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（1）向</w:t>
      </w:r>
      <w:r>
        <w:rPr>
          <w:rFonts w:hint="eastAsia" w:ascii="宋体" w:hAnsi="宋体"/>
          <w:color w:val="000000" w:themeColor="text1"/>
          <w:szCs w:val="21"/>
          <w:highlight w:val="none"/>
          <w:u w:val="single"/>
          <w14:textFill>
            <w14:solidFill>
              <w14:schemeClr w14:val="tx1"/>
            </w14:solidFill>
          </w14:textFill>
        </w:rPr>
        <w:t xml:space="preserve">   /    </w:t>
      </w:r>
      <w:r>
        <w:rPr>
          <w:rFonts w:hint="eastAsia" w:ascii="宋体" w:hAnsi="宋体"/>
          <w:color w:val="000000" w:themeColor="text1"/>
          <w:szCs w:val="21"/>
          <w:highlight w:val="none"/>
          <w14:textFill>
            <w14:solidFill>
              <w14:schemeClr w14:val="tx1"/>
            </w14:solidFill>
          </w14:textFill>
        </w:rPr>
        <w:t>仲裁委员会申请仲裁；</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（2）向项目所在地人民法院起诉。</w:t>
      </w:r>
    </w:p>
    <w:p>
      <w:pPr>
        <w:pStyle w:val="6"/>
        <w:spacing w:before="240" w:after="120" w:line="360" w:lineRule="auto"/>
        <w:rPr>
          <w:color w:val="000000" w:themeColor="text1"/>
          <w:highlight w:val="none"/>
          <w14:textFill>
            <w14:solidFill>
              <w14:schemeClr w14:val="tx1"/>
            </w14:solidFill>
          </w14:textFill>
        </w:rPr>
      </w:pPr>
      <w:bookmarkStart w:id="1578" w:name="_Toc17527"/>
      <w:bookmarkStart w:id="1579" w:name="_Toc4182"/>
      <w:r>
        <w:rPr>
          <w:rFonts w:hint="eastAsia"/>
          <w:color w:val="000000" w:themeColor="text1"/>
          <w:highlight w:val="none"/>
          <w14:textFill>
            <w14:solidFill>
              <w14:schemeClr w14:val="tx1"/>
            </w14:solidFill>
          </w14:textFill>
        </w:rPr>
        <w:t>24.3 争议评审</w:t>
      </w:r>
      <w:bookmarkEnd w:id="1578"/>
      <w:bookmarkEnd w:id="1579"/>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双方一致同意通用合同条款第24.3款内容不适用于本项目，删除本条通用合同条款。</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双方一致同意专用合同条款增加第24.4款：</w:t>
      </w:r>
    </w:p>
    <w:p>
      <w:pPr>
        <w:pStyle w:val="6"/>
        <w:spacing w:before="240" w:after="120" w:line="360" w:lineRule="auto"/>
        <w:rPr>
          <w:color w:val="000000" w:themeColor="text1"/>
          <w:highlight w:val="none"/>
          <w14:textFill>
            <w14:solidFill>
              <w14:schemeClr w14:val="tx1"/>
            </w14:solidFill>
          </w14:textFill>
        </w:rPr>
      </w:pPr>
      <w:bookmarkStart w:id="1580" w:name="_Toc15126"/>
      <w:bookmarkStart w:id="1581" w:name="_Toc25173"/>
      <w:r>
        <w:rPr>
          <w:rFonts w:hint="eastAsia"/>
          <w:color w:val="000000" w:themeColor="text1"/>
          <w:highlight w:val="none"/>
          <w14:textFill>
            <w14:solidFill>
              <w14:schemeClr w14:val="tx1"/>
            </w14:solidFill>
          </w14:textFill>
        </w:rPr>
        <w:t>24.4争议费用约定</w:t>
      </w:r>
      <w:bookmarkEnd w:id="1580"/>
      <w:bookmarkEnd w:id="1581"/>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因承包人原因给发包人造成的损失（包括但不限于实际经济损失、预期利益损失以及因追究承包人责任所产生的律师费、诉讼费、鉴定费、评估费、差旅费、公证费等合理费用），发包人有权要求承包人承担全部赔偿责任。</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若承包人向发包人提出赔偿或支付相关款项等诉求经法院认定不成立时，承包人应赔偿因前述要求（或诉求）所导致发包人的各种费用支出（包括但不限于因承包人原因导致发包人支出的律师费、鉴定费、评估费、差旅费、公证费等合理费用）。</w:t>
      </w:r>
    </w:p>
    <w:p>
      <w:pPr>
        <w:autoSpaceDE w:val="0"/>
        <w:autoSpaceDN w:val="0"/>
        <w:adjustRightInd w:val="0"/>
        <w:spacing w:line="360" w:lineRule="auto"/>
        <w:ind w:firstLine="422" w:firstLineChars="200"/>
        <w:jc w:val="left"/>
        <w:rPr>
          <w:rFonts w:ascii="宋体" w:hAnsi="宋体"/>
          <w:b/>
          <w:bCs/>
          <w:color w:val="000000" w:themeColor="text1"/>
          <w:szCs w:val="21"/>
          <w:highlight w:val="none"/>
          <w14:textFill>
            <w14:solidFill>
              <w14:schemeClr w14:val="tx1"/>
            </w14:solidFill>
          </w14:textFill>
        </w:rPr>
      </w:pPr>
      <w:bookmarkStart w:id="1582" w:name="_Toc247514198"/>
      <w:bookmarkStart w:id="1583" w:name="_Toc184635123"/>
      <w:bookmarkStart w:id="1584" w:name="_Toc247527799"/>
    </w:p>
    <w:p>
      <w:pPr>
        <w:autoSpaceDE w:val="0"/>
        <w:autoSpaceDN w:val="0"/>
        <w:adjustRightInd w:val="0"/>
        <w:spacing w:line="360" w:lineRule="auto"/>
        <w:ind w:firstLine="422" w:firstLineChars="200"/>
        <w:jc w:val="left"/>
        <w:rPr>
          <w:rFonts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本合同增加以下内容：</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85" w:name="_Toc26019196"/>
      <w:bookmarkStart w:id="1586" w:name="_Toc26935"/>
      <w:bookmarkStart w:id="1587" w:name="_Toc25154"/>
      <w:bookmarkStart w:id="1588" w:name="_Toc147856237"/>
      <w:r>
        <w:rPr>
          <w:rStyle w:val="114"/>
          <w:rFonts w:hint="eastAsia"/>
          <w:bCs w:val="0"/>
          <w:color w:val="000000" w:themeColor="text1"/>
          <w:highlight w:val="none"/>
          <w14:textFill>
            <w14:solidFill>
              <w14:schemeClr w14:val="tx1"/>
            </w14:solidFill>
          </w14:textFill>
        </w:rPr>
        <w:t>2</w:t>
      </w:r>
      <w:r>
        <w:rPr>
          <w:rStyle w:val="114"/>
          <w:bCs w:val="0"/>
          <w:color w:val="000000" w:themeColor="text1"/>
          <w:highlight w:val="none"/>
          <w14:textFill>
            <w14:solidFill>
              <w14:schemeClr w14:val="tx1"/>
            </w14:solidFill>
          </w14:textFill>
        </w:rPr>
        <w:t>5</w:t>
      </w:r>
      <w:r>
        <w:rPr>
          <w:rStyle w:val="114"/>
          <w:rFonts w:hint="eastAsia"/>
          <w:bCs w:val="0"/>
          <w:color w:val="000000" w:themeColor="text1"/>
          <w:highlight w:val="none"/>
          <w14:textFill>
            <w14:solidFill>
              <w14:schemeClr w14:val="tx1"/>
            </w14:solidFill>
          </w14:textFill>
        </w:rPr>
        <w:t>. 承包人风险</w:t>
      </w:r>
      <w:bookmarkEnd w:id="1585"/>
      <w:bookmarkEnd w:id="1586"/>
      <w:bookmarkEnd w:id="1587"/>
      <w:bookmarkEnd w:id="1588"/>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1承包人的风险</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.1.1工程</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包括材料和工程设备</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发生以下各种风险造成的损失和损坏，均应由承包人承担风险责任。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）由于承包人对工程</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包括材料和工程设备</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照管不周造成的损失和损坏。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）由于承包人的施工组织措施失误造成的损失和损坏。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）其它由于承包人原因造成的损失和损坏。</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1.2承包人投标总报价中应包含风险金，发包人不再另行支付风险金。风险金是工程实施过程中因不利因素对工程影响所造成承包人增加的费用，风险金额度由承包人在仔细审阅招标文件、招标图纸和现场调查分析的基础上自行测算确定。风险金包含以下因素：</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）工程量清单中所列工程量漏项或计算误差给承包人造成的损失；</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）施工图纸中地面线与实际地形不符给承包人造成的损失；</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）设计变更给投标人造成的损失，以及变更引起的施工组织和进度计划变动给投标人造成的损失；</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）人工工资及费用标准、施工方案、地形、一般地质变化给承包人带来的风险，主要材料单项价格变化幅度在</w:t>
      </w: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以内及其他材料价格变化所带来的风险；</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）征地拆迁、当地群众对工程施工的干扰给承包人造成的损失；</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）因施工对现场地下管线和邻近建筑物、构造物造成损害的赔偿，或设计未考虑但现场必须采取的对相邻建筑物、构造物的应急防护措施所涉及的费用；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）由于施工图不清晰造成的工程量计算误差，以设计单位补充出具的施工详图为准，视为招标图纸不变，不予调整施工合同价。</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8</w:t>
      </w:r>
      <w:r>
        <w:rPr>
          <w:rFonts w:hint="eastAsia" w:ascii="宋体" w:hAnsi="宋体" w:cs="宋体"/>
          <w:color w:val="000000" w:themeColor="text1"/>
          <w:kern w:val="0"/>
          <w:szCs w:val="21"/>
          <w:highlight w:val="none"/>
          <w14:textFill>
            <w14:solidFill>
              <w14:schemeClr w14:val="tx1"/>
            </w14:solidFill>
          </w14:textFill>
        </w:rPr>
        <w:t>）对于搅拌桩工程量，因在设计阶段难以准确设计桩长，因此，以搅拌桩施工达到设计技术要求和质量验收标准为准，视为招标图纸不变，不予调整施工合同价。本合同项目其他桩基础处理工程参照该原则执行。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9</w:t>
      </w:r>
      <w:r>
        <w:rPr>
          <w:rFonts w:hint="eastAsia" w:ascii="宋体" w:hAnsi="宋体" w:cs="宋体"/>
          <w:color w:val="000000" w:themeColor="text1"/>
          <w:kern w:val="0"/>
          <w:szCs w:val="21"/>
          <w:highlight w:val="none"/>
          <w14:textFill>
            <w14:solidFill>
              <w14:schemeClr w14:val="tx1"/>
            </w14:solidFill>
          </w14:textFill>
        </w:rPr>
        <w:t>）其他本合同没有约定的不可预见的因素给承包人造成的损失。</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2 风险责任的转移</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工程通过完工验收并移交给发包人后，原由承包人按上述第25</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1款规定承担的风险责任同时转移给发包人</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在保修期发生的在保修期前因承包人原因造成的损失和损坏除外</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3不可抗力解除合同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合同签定后发生第25</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.2款</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和</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项的风险造成工程的巨大损失和严重损坏，使双方或任何一方无法继续履行合同时，经双方协商后可解除合同、解除合同后的付款由双方协商处理。</w:t>
      </w:r>
    </w:p>
    <w:p>
      <w:pPr>
        <w:pStyle w:val="5"/>
        <w:spacing w:before="360" w:after="240" w:line="360" w:lineRule="auto"/>
        <w:ind w:firstLine="0" w:firstLineChars="0"/>
        <w:rPr>
          <w:rStyle w:val="114"/>
          <w:bCs w:val="0"/>
          <w:color w:val="000000" w:themeColor="text1"/>
          <w:highlight w:val="none"/>
          <w14:textFill>
            <w14:solidFill>
              <w14:schemeClr w14:val="tx1"/>
            </w14:solidFill>
          </w14:textFill>
        </w:rPr>
      </w:pPr>
      <w:bookmarkStart w:id="1589" w:name="_Toc17803"/>
      <w:bookmarkStart w:id="1590" w:name="_Toc1365446831"/>
      <w:bookmarkStart w:id="1591" w:name="_Toc14830"/>
      <w:bookmarkStart w:id="1592" w:name="_Toc147856238"/>
      <w:r>
        <w:rPr>
          <w:rStyle w:val="114"/>
          <w:rFonts w:hint="eastAsia"/>
          <w:bCs w:val="0"/>
          <w:color w:val="000000" w:themeColor="text1"/>
          <w:highlight w:val="none"/>
          <w14:textFill>
            <w14:solidFill>
              <w14:schemeClr w14:val="tx1"/>
            </w14:solidFill>
          </w14:textFill>
        </w:rPr>
        <w:t>2</w:t>
      </w:r>
      <w:r>
        <w:rPr>
          <w:rStyle w:val="114"/>
          <w:bCs w:val="0"/>
          <w:color w:val="000000" w:themeColor="text1"/>
          <w:highlight w:val="none"/>
          <w14:textFill>
            <w14:solidFill>
              <w14:schemeClr w14:val="tx1"/>
            </w14:solidFill>
          </w14:textFill>
        </w:rPr>
        <w:t>6.</w:t>
      </w:r>
      <w:r>
        <w:rPr>
          <w:rStyle w:val="114"/>
          <w:rFonts w:hint="eastAsia"/>
          <w:bCs w:val="0"/>
          <w:color w:val="000000" w:themeColor="text1"/>
          <w:highlight w:val="none"/>
          <w14:textFill>
            <w14:solidFill>
              <w14:schemeClr w14:val="tx1"/>
            </w14:solidFill>
          </w14:textFill>
        </w:rPr>
        <w:t xml:space="preserve"> 完工验收</w:t>
      </w:r>
      <w:bookmarkEnd w:id="1589"/>
      <w:bookmarkEnd w:id="1590"/>
      <w:bookmarkEnd w:id="1591"/>
      <w:bookmarkEnd w:id="1592"/>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6.1 </w:t>
      </w:r>
      <w:r>
        <w:rPr>
          <w:rFonts w:hint="eastAsia"/>
          <w:color w:val="000000" w:themeColor="text1"/>
          <w:highlight w:val="none"/>
          <w14:textFill>
            <w14:solidFill>
              <w14:schemeClr w14:val="tx1"/>
            </w14:solidFill>
          </w14:textFill>
        </w:rPr>
        <w:t>完工验收申请报告</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当工程具备以下条件时，承包人即可向发包人和监理人提交完工验收申请报告（附完工资料）。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已完成了合同范围内的全部单位工程以及有关的工作项目，但经监理人同意列入保修期内完成的尾工项目除外。</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）已按第26</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款的规定备齐了符合合同要求的完工资料。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已按监理人的要求编制了在保修期内实施的尾工工程项目清单和未修补的缺陷项目清单以及相应的施工措施计划。</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6.2</w:t>
      </w:r>
      <w:r>
        <w:rPr>
          <w:rFonts w:hint="eastAsia"/>
          <w:color w:val="000000" w:themeColor="text1"/>
          <w:highlight w:val="none"/>
          <w14:textFill>
            <w14:solidFill>
              <w14:schemeClr w14:val="tx1"/>
            </w14:solidFill>
          </w14:textFill>
        </w:rPr>
        <w:t>完工资料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完工资料（一式</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份）应包括：</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工程实施概况和大事记。</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已完工程移交清单（包括工程设备）。</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永久工程竣工图。</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列入保修期继续施工的尾工工程项目清单。</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未完成的缺陷修复清单。</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施工期的观测资料。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监理人指示应列入完工报告的各类施工文件、施工原始记录（含图片和录相资料）以及其它应补充的完工资料。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（8）</w:t>
      </w:r>
      <w:r>
        <w:rPr>
          <w:rFonts w:hint="eastAsia" w:ascii="宋体" w:hAnsi="宋体" w:cs="宋体"/>
          <w:color w:val="000000" w:themeColor="text1"/>
          <w:kern w:val="0"/>
          <w:szCs w:val="21"/>
          <w:highlight w:val="none"/>
          <w14:textFill>
            <w14:solidFill>
              <w14:schemeClr w14:val="tx1"/>
            </w14:solidFill>
          </w14:textFill>
        </w:rPr>
        <w:t>其他发包人要求的资料。</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w:t>
      </w:r>
      <w:r>
        <w:rPr>
          <w:rFonts w:hint="eastAsia" w:ascii="宋体" w:hAnsi="宋体" w:cs="宋体"/>
          <w:color w:val="000000" w:themeColor="text1"/>
          <w:kern w:val="0"/>
          <w:szCs w:val="21"/>
          <w:highlight w:val="none"/>
          <w14:textFill>
            <w14:solidFill>
              <w14:schemeClr w14:val="tx1"/>
            </w14:solidFill>
          </w14:textFill>
        </w:rPr>
        <w:t>以上资料电子资料（四份）。</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6.3 </w:t>
      </w:r>
      <w:r>
        <w:rPr>
          <w:rFonts w:hint="eastAsia"/>
          <w:color w:val="000000" w:themeColor="text1"/>
          <w:highlight w:val="none"/>
          <w14:textFill>
            <w14:solidFill>
              <w14:schemeClr w14:val="tx1"/>
            </w14:solidFill>
          </w14:textFill>
        </w:rPr>
        <w:t>工程完工的验收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监理人收到承包人按第26</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款规定提交的完工验收申请报告后，应审核其报告的各项内容，并按以下不同情况进行处理。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（l）</w:t>
      </w:r>
      <w:r>
        <w:rPr>
          <w:rFonts w:hint="eastAsia" w:ascii="宋体" w:hAnsi="宋体" w:cs="宋体"/>
          <w:color w:val="000000" w:themeColor="text1"/>
          <w:kern w:val="0"/>
          <w:szCs w:val="21"/>
          <w:highlight w:val="none"/>
          <w14:textFill>
            <w14:solidFill>
              <w14:schemeClr w14:val="tx1"/>
            </w14:solidFill>
          </w14:textFill>
        </w:rPr>
        <w:t>监理人审核后发现工程尚有重大缺陷时，可拒绝或推迟进行完工验收，但监理人应在收到完工验收申请报告后的7天内通知承包人，指出完工验收前应完成的工程缺陷修复和其它的工作内容和要求，并将完工验收申请报告同时退还给承包人。承包人应在具备完工验收条件后重新申报。</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监理人审核后对上述报告及报告中所列的工作项目和工作内容持有异议时，应在收到报告后的7天内将意见通知承包人，承包人应在收到上述通知后的7天内重新提交修改后的完工验收申请报告，直至监理人同意为止。</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监理人审核后认为工程已具备完工验收条件，应在收到完工验收申请报告后的7天内提请发包人进行工程验收。发包人在收到完工验收申请报告后的7天内签署工程移交证书，颁发给承包人。</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在签署移交证书前，应由监理人与发包人和承包人协商核定工程的实际完工日期，并在移交证书中写明。</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6.4 </w:t>
      </w:r>
      <w:r>
        <w:rPr>
          <w:rFonts w:hint="eastAsia"/>
          <w:color w:val="000000" w:themeColor="text1"/>
          <w:highlight w:val="none"/>
          <w14:textFill>
            <w14:solidFill>
              <w14:schemeClr w14:val="tx1"/>
            </w14:solidFill>
          </w14:textFill>
        </w:rPr>
        <w:t>单位工程验收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在单位工程完工后，经发包人同意，承包人可申请对本合同专用合同条款第</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.1</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款所列的单位工程项目中某些需要进行验收的项目进行验收，其验收的内容和程序应按第26</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款至第26</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款的规定进行。单位工程的验收成果和结论可作为本合同工程完工验收申请报告的附件，验收后应由发包人或授权监理人按第26</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款的规定签发该单位工程的移交证书。</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）承包人应在分部工程所有单元工程验收合格后</w:t>
      </w:r>
      <w:r>
        <w:rPr>
          <w:rFonts w:ascii="宋体" w:hAnsi="宋体" w:cs="宋体"/>
          <w:color w:val="000000" w:themeColor="text1"/>
          <w:kern w:val="0"/>
          <w:szCs w:val="21"/>
          <w:highlight w:val="none"/>
          <w14:textFill>
            <w14:solidFill>
              <w14:schemeClr w14:val="tx1"/>
            </w14:solidFill>
          </w14:textFill>
        </w:rPr>
        <w:t>15</w:t>
      </w:r>
      <w:r>
        <w:rPr>
          <w:rFonts w:hint="eastAsia" w:ascii="宋体" w:hAnsi="宋体" w:cs="宋体"/>
          <w:color w:val="000000" w:themeColor="text1"/>
          <w:kern w:val="0"/>
          <w:szCs w:val="21"/>
          <w:highlight w:val="none"/>
          <w14:textFill>
            <w14:solidFill>
              <w14:schemeClr w14:val="tx1"/>
            </w14:solidFill>
          </w14:textFill>
        </w:rPr>
        <w:t>天之内提交合格的分部工程验收资料。如承包人未能按标准在规定时间内提交的，每拖延一天，扣除工程款</w:t>
      </w:r>
      <w:r>
        <w:rPr>
          <w:rFonts w:ascii="宋体" w:hAnsi="宋体" w:cs="宋体"/>
          <w:color w:val="000000" w:themeColor="text1"/>
          <w:kern w:val="0"/>
          <w:szCs w:val="21"/>
          <w:highlight w:val="none"/>
          <w14:textFill>
            <w14:solidFill>
              <w14:schemeClr w14:val="tx1"/>
            </w14:solidFill>
          </w14:textFill>
        </w:rPr>
        <w:t>500</w:t>
      </w:r>
      <w:r>
        <w:rPr>
          <w:rFonts w:hint="eastAsia" w:ascii="宋体" w:hAnsi="宋体" w:cs="宋体"/>
          <w:color w:val="000000" w:themeColor="text1"/>
          <w:kern w:val="0"/>
          <w:szCs w:val="21"/>
          <w:highlight w:val="none"/>
          <w14:textFill>
            <w14:solidFill>
              <w14:schemeClr w14:val="tx1"/>
            </w14:solidFill>
          </w14:textFill>
        </w:rPr>
        <w:t>元，但不超过合同总价的2%。</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）承包人应在所有分部工程验收合格后</w:t>
      </w:r>
      <w:r>
        <w:rPr>
          <w:rFonts w:ascii="宋体" w:hAnsi="宋体" w:cs="宋体"/>
          <w:color w:val="000000" w:themeColor="text1"/>
          <w:kern w:val="0"/>
          <w:szCs w:val="21"/>
          <w:highlight w:val="none"/>
          <w14:textFill>
            <w14:solidFill>
              <w14:schemeClr w14:val="tx1"/>
            </w14:solidFill>
          </w14:textFill>
        </w:rPr>
        <w:t>15</w:t>
      </w:r>
      <w:r>
        <w:rPr>
          <w:rFonts w:hint="eastAsia" w:ascii="宋体" w:hAnsi="宋体" w:cs="宋体"/>
          <w:color w:val="000000" w:themeColor="text1"/>
          <w:kern w:val="0"/>
          <w:szCs w:val="21"/>
          <w:highlight w:val="none"/>
          <w14:textFill>
            <w14:solidFill>
              <w14:schemeClr w14:val="tx1"/>
            </w14:solidFill>
          </w14:textFill>
        </w:rPr>
        <w:t>天内提交合格的单位工程验收资料。承包人未能按标准在规定的时间内提交的，每拖延一天，扣除工程款</w:t>
      </w:r>
      <w:r>
        <w:rPr>
          <w:rFonts w:ascii="宋体" w:hAnsi="宋体" w:cs="宋体"/>
          <w:color w:val="000000" w:themeColor="text1"/>
          <w:kern w:val="0"/>
          <w:szCs w:val="21"/>
          <w:highlight w:val="none"/>
          <w14:textFill>
            <w14:solidFill>
              <w14:schemeClr w14:val="tx1"/>
            </w14:solidFill>
          </w14:textFill>
        </w:rPr>
        <w:t>1000</w:t>
      </w:r>
      <w:r>
        <w:rPr>
          <w:rFonts w:hint="eastAsia" w:ascii="宋体" w:hAnsi="宋体" w:cs="宋体"/>
          <w:color w:val="000000" w:themeColor="text1"/>
          <w:kern w:val="0"/>
          <w:szCs w:val="21"/>
          <w:highlight w:val="none"/>
          <w14:textFill>
            <w14:solidFill>
              <w14:schemeClr w14:val="tx1"/>
            </w14:solidFill>
          </w14:textFill>
        </w:rPr>
        <w:t>元，但不超过合同总价的2%。</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）根据工程需要，承包人应按照设计要求或监理人的指示在指定的位置设置变形观测基点进行观测，并按规定的时间定期向监理人报告观测成果。承包人未在规定的时限内完成的，扣除工程款20</w:t>
      </w:r>
      <w:r>
        <w:rPr>
          <w:rFonts w:ascii="宋体" w:hAnsi="宋体" w:cs="宋体"/>
          <w:color w:val="000000" w:themeColor="text1"/>
          <w:kern w:val="0"/>
          <w:szCs w:val="21"/>
          <w:highlight w:val="none"/>
          <w14:textFill>
            <w14:solidFill>
              <w14:schemeClr w14:val="tx1"/>
            </w14:solidFill>
          </w14:textFill>
        </w:rPr>
        <w:t>00</w:t>
      </w:r>
      <w:r>
        <w:rPr>
          <w:rFonts w:hint="eastAsia" w:ascii="宋体" w:hAnsi="宋体" w:cs="宋体"/>
          <w:color w:val="000000" w:themeColor="text1"/>
          <w:kern w:val="0"/>
          <w:szCs w:val="21"/>
          <w:highlight w:val="none"/>
          <w14:textFill>
            <w14:solidFill>
              <w14:schemeClr w14:val="tx1"/>
            </w14:solidFill>
          </w14:textFill>
        </w:rPr>
        <w:t>元</w:t>
      </w:r>
      <w:r>
        <w:rPr>
          <w:rFonts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日，但不超过合同总价的2%。</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）承包人应在单位工程验收后9</w:t>
      </w:r>
      <w:r>
        <w:rPr>
          <w:rFonts w:ascii="宋体" w:hAnsi="宋体" w:cs="宋体"/>
          <w:color w:val="000000" w:themeColor="text1"/>
          <w:kern w:val="0"/>
          <w:szCs w:val="21"/>
          <w:highlight w:val="none"/>
          <w14:textFill>
            <w14:solidFill>
              <w14:schemeClr w14:val="tx1"/>
            </w14:solidFill>
          </w14:textFill>
        </w:rPr>
        <w:t>0</w:t>
      </w:r>
      <w:r>
        <w:rPr>
          <w:rFonts w:hint="eastAsia" w:ascii="宋体" w:hAnsi="宋体" w:cs="宋体"/>
          <w:color w:val="000000" w:themeColor="text1"/>
          <w:kern w:val="0"/>
          <w:szCs w:val="21"/>
          <w:highlight w:val="none"/>
          <w14:textFill>
            <w14:solidFill>
              <w14:schemeClr w14:val="tx1"/>
            </w14:solidFill>
          </w14:textFill>
        </w:rPr>
        <w:t>天内提交合格的工程结算资料，否则每拖延一天，扣除工程款</w:t>
      </w:r>
      <w:r>
        <w:rPr>
          <w:rFonts w:ascii="宋体" w:hAnsi="宋体" w:cs="宋体"/>
          <w:color w:val="000000" w:themeColor="text1"/>
          <w:kern w:val="0"/>
          <w:szCs w:val="21"/>
          <w:highlight w:val="none"/>
          <w14:textFill>
            <w14:solidFill>
              <w14:schemeClr w14:val="tx1"/>
            </w14:solidFill>
          </w14:textFill>
        </w:rPr>
        <w:t>3000</w:t>
      </w:r>
      <w:r>
        <w:rPr>
          <w:rFonts w:hint="eastAsia" w:ascii="宋体" w:hAnsi="宋体" w:cs="宋体"/>
          <w:color w:val="000000" w:themeColor="text1"/>
          <w:kern w:val="0"/>
          <w:szCs w:val="21"/>
          <w:highlight w:val="none"/>
          <w14:textFill>
            <w14:solidFill>
              <w14:schemeClr w14:val="tx1"/>
            </w14:solidFill>
          </w14:textFill>
        </w:rPr>
        <w:t>元，但不超过合同总价的2%。</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6.5 </w:t>
      </w:r>
      <w:r>
        <w:rPr>
          <w:rFonts w:hint="eastAsia"/>
          <w:color w:val="000000" w:themeColor="text1"/>
          <w:highlight w:val="none"/>
          <w14:textFill>
            <w14:solidFill>
              <w14:schemeClr w14:val="tx1"/>
            </w14:solidFill>
          </w14:textFill>
        </w:rPr>
        <w:t>部分工程验收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在全部工程完工验收前，发包人根据合同进度计划的安排，需要提前使用尚未全部完工的某项工程时，可以对已完成的部分工程进行验收，其验收的内容和程序可参照第2</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.1款至第2</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.3款的规定进行，并应由发包人或授权监理人签发临时移交证书，其完工验收申请报告应说明已验收的该部分工程的项目或部位，还需列出应由承包人负责修复的未完成缺陷修复项目清单。</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6.6 </w:t>
      </w:r>
      <w:r>
        <w:rPr>
          <w:rFonts w:hint="eastAsia"/>
          <w:color w:val="000000" w:themeColor="text1"/>
          <w:highlight w:val="none"/>
          <w14:textFill>
            <w14:solidFill>
              <w14:schemeClr w14:val="tx1"/>
            </w14:solidFill>
          </w14:textFill>
        </w:rPr>
        <w:t>施工期运行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按第2</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.4款、第2</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.5款进行验收的单位工程或部分工程，发包人需要在施工期投入运行时，应对其局部建筑物承受施工运行荷载的安全性进行复核，在证明其能确保安全时才能投入施工期运行。</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在施工期运行中新发现的工程缺陷和损坏，应按第2</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.3款</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项的规定办理。</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因施工期运行增加了承包人修复缺陷和损坏工作的困难而导致费用增加时，应由监理人与承包人和发包人协商确定需由发包人合理分担的费用。</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6.7 </w:t>
      </w:r>
      <w:r>
        <w:rPr>
          <w:rFonts w:hint="eastAsia"/>
          <w:color w:val="000000" w:themeColor="text1"/>
          <w:highlight w:val="none"/>
          <w14:textFill>
            <w14:solidFill>
              <w14:schemeClr w14:val="tx1"/>
            </w14:solidFill>
          </w14:textFill>
        </w:rPr>
        <w:t>发包人不及时验收</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若监理人确认承包人已完成或基本完成合同规定的工程，并具备了完工验收条件，但由于非承包人原因使完工验收不能进行时，应由发包人或授权监理人进行初步验收，并签发临时移交证书。但承包人仍应执行监理人在此后进行正式完工验收所发出的指示，由此增加的费用由发包人承担。当正式完工验收发现工程未符合合同要求时，承包人应有责任按监理人指示完成其缺陷修复工作，并承担缺陷修复的费用。</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若发包人或监理人在收到承包人的完工申请报告后不及时进行验收，或在验收后不颁发工程移交证书（即不接收工程），则发包人应从承包人发出完工申请报告</w:t>
      </w:r>
      <w:r>
        <w:rPr>
          <w:rFonts w:ascii="宋体" w:hAnsi="宋体" w:cs="宋体"/>
          <w:color w:val="000000" w:themeColor="text1"/>
          <w:kern w:val="0"/>
          <w:szCs w:val="21"/>
          <w:highlight w:val="none"/>
          <w14:textFill>
            <w14:solidFill>
              <w14:schemeClr w14:val="tx1"/>
            </w14:solidFill>
          </w14:textFill>
        </w:rPr>
        <w:t>56</w:t>
      </w:r>
      <w:r>
        <w:rPr>
          <w:rFonts w:hint="eastAsia" w:ascii="宋体" w:hAnsi="宋体" w:cs="宋体"/>
          <w:color w:val="000000" w:themeColor="text1"/>
          <w:kern w:val="0"/>
          <w:szCs w:val="21"/>
          <w:highlight w:val="none"/>
          <w14:textFill>
            <w14:solidFill>
              <w14:schemeClr w14:val="tx1"/>
            </w14:solidFill>
          </w14:textFill>
        </w:rPr>
        <w:t>天后的次日起承担工程保管费用。</w:t>
      </w:r>
    </w:p>
    <w:p>
      <w:pPr>
        <w:pStyle w:val="6"/>
        <w:spacing w:before="240" w:after="12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6.8 </w:t>
      </w:r>
      <w:r>
        <w:rPr>
          <w:rFonts w:hint="eastAsia"/>
          <w:color w:val="000000" w:themeColor="text1"/>
          <w:highlight w:val="none"/>
          <w14:textFill>
            <w14:solidFill>
              <w14:schemeClr w14:val="tx1"/>
            </w14:solidFill>
          </w14:textFill>
        </w:rPr>
        <w:t>完工验收还应执行以下规定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）《水利水电建设工程验收规程》（</w:t>
      </w:r>
      <w:r>
        <w:rPr>
          <w:rFonts w:ascii="宋体" w:hAnsi="宋体" w:cs="宋体"/>
          <w:color w:val="000000" w:themeColor="text1"/>
          <w:kern w:val="0"/>
          <w:szCs w:val="21"/>
          <w:highlight w:val="none"/>
          <w14:textFill>
            <w14:solidFill>
              <w14:schemeClr w14:val="tx1"/>
            </w14:solidFill>
          </w14:textFill>
        </w:rPr>
        <w:t>SL223-2008</w:t>
      </w:r>
      <w:r>
        <w:rPr>
          <w:rFonts w:hint="eastAsia" w:ascii="宋体" w:hAnsi="宋体" w:cs="宋体"/>
          <w:color w:val="000000" w:themeColor="text1"/>
          <w:kern w:val="0"/>
          <w:szCs w:val="21"/>
          <w:highlight w:val="none"/>
          <w14:textFill>
            <w14:solidFill>
              <w14:schemeClr w14:val="tx1"/>
            </w14:solidFill>
          </w14:textFill>
        </w:rPr>
        <w:t>）。</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）水利工程建设项目档案资料管理相关规定。</w:t>
      </w:r>
    </w:p>
    <w:p>
      <w:pPr>
        <w:autoSpaceDE w:val="0"/>
        <w:autoSpaceDN w:val="0"/>
        <w:adjustRightInd w:val="0"/>
        <w:spacing w:before="156" w:beforeLines="50" w:after="156" w:afterLines="50" w:line="360" w:lineRule="auto"/>
        <w:ind w:firstLine="42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）水利工程验收的其他管理规定。</w:t>
      </w:r>
    </w:p>
    <w:p>
      <w:pPr>
        <w:pStyle w:val="4"/>
        <w:spacing w:before="156" w:beforeLines="50" w:after="156" w:afterLines="50" w:line="360" w:lineRule="auto"/>
        <w:jc w:val="center"/>
        <w:rPr>
          <w:rFonts w:ascii="宋体" w:hAnsi="宋体" w:eastAsia="宋体"/>
          <w:color w:val="000000" w:themeColor="text1"/>
          <w:highlight w:val="none"/>
          <w:lang w:val="en-US" w:eastAsia="zh-Hans"/>
          <w14:textFill>
            <w14:solidFill>
              <w14:schemeClr w14:val="tx1"/>
            </w14:solidFill>
          </w14:textFill>
        </w:rPr>
      </w:pPr>
      <w:bookmarkStart w:id="1593" w:name="_Toc27403"/>
      <w:bookmarkStart w:id="1594" w:name="_Toc1211"/>
      <w:r>
        <w:rPr>
          <w:rStyle w:val="114"/>
          <w:rFonts w:hint="eastAsia"/>
          <w:b w:val="0"/>
          <w:bCs w:val="0"/>
          <w:color w:val="000000" w:themeColor="text1"/>
          <w:highlight w:val="none"/>
          <w14:textFill>
            <w14:solidFill>
              <w14:schemeClr w14:val="tx1"/>
            </w14:solidFill>
          </w14:textFill>
        </w:rPr>
        <w:br w:type="page"/>
      </w:r>
      <w:bookmarkStart w:id="1595" w:name="_Toc1054636775"/>
      <w:bookmarkStart w:id="1596" w:name="_Toc147856239"/>
      <w:r>
        <w:rPr>
          <w:rFonts w:hint="eastAsia" w:ascii="宋体" w:hAnsi="宋体" w:eastAsia="宋体"/>
          <w:color w:val="000000" w:themeColor="text1"/>
          <w:highlight w:val="none"/>
          <w14:textFill>
            <w14:solidFill>
              <w14:schemeClr w14:val="tx1"/>
            </w14:solidFill>
          </w14:textFill>
        </w:rPr>
        <w:t>第</w:t>
      </w:r>
      <w:r>
        <w:rPr>
          <w:rFonts w:hint="eastAsia" w:ascii="宋体" w:hAnsi="宋体" w:eastAsia="宋体"/>
          <w:color w:val="000000" w:themeColor="text1"/>
          <w:highlight w:val="none"/>
          <w:lang w:val="en-US" w:eastAsia="zh-Hans"/>
          <w14:textFill>
            <w14:solidFill>
              <w14:schemeClr w14:val="tx1"/>
            </w14:solidFill>
          </w14:textFill>
        </w:rPr>
        <w:t>四</w:t>
      </w:r>
      <w:r>
        <w:rPr>
          <w:rFonts w:hint="eastAsia" w:ascii="宋体" w:hAnsi="宋体" w:eastAsia="宋体"/>
          <w:color w:val="000000" w:themeColor="text1"/>
          <w:highlight w:val="none"/>
          <w14:textFill>
            <w14:solidFill>
              <w14:schemeClr w14:val="tx1"/>
            </w14:solidFill>
          </w14:textFill>
        </w:rPr>
        <w:t xml:space="preserve">部分   </w:t>
      </w:r>
      <w:r>
        <w:rPr>
          <w:rFonts w:hint="eastAsia" w:ascii="宋体" w:hAnsi="宋体" w:eastAsia="宋体"/>
          <w:color w:val="000000" w:themeColor="text1"/>
          <w:highlight w:val="none"/>
          <w:lang w:val="en-US" w:eastAsia="zh-Hans"/>
          <w14:textFill>
            <w14:solidFill>
              <w14:schemeClr w14:val="tx1"/>
            </w14:solidFill>
          </w14:textFill>
        </w:rPr>
        <w:t>合同附件</w:t>
      </w:r>
      <w:bookmarkEnd w:id="1595"/>
      <w:bookmarkEnd w:id="1596"/>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1</w:t>
      </w:r>
      <w:r>
        <w:rPr>
          <w:rFonts w:hint="eastAsia"/>
          <w:color w:val="000000" w:themeColor="text1"/>
          <w:highlight w:val="none"/>
          <w:lang w:eastAsia="zh-Hans"/>
          <w14:textFill>
            <w14:solidFill>
              <w14:schemeClr w14:val="tx1"/>
            </w14:solidFill>
          </w14:textFill>
        </w:rPr>
        <w:t>：工程质量保修书</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2</w:t>
      </w:r>
      <w:r>
        <w:rPr>
          <w:rFonts w:hint="eastAsia"/>
          <w:color w:val="000000" w:themeColor="text1"/>
          <w:highlight w:val="none"/>
          <w:lang w:eastAsia="zh-Hans"/>
          <w14:textFill>
            <w14:solidFill>
              <w14:schemeClr w14:val="tx1"/>
            </w14:solidFill>
          </w14:textFill>
        </w:rPr>
        <w:t>：南沙区建设工程项目廉洁责任合同</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3</w:t>
      </w:r>
      <w:r>
        <w:rPr>
          <w:rFonts w:hint="eastAsia"/>
          <w:color w:val="000000" w:themeColor="text1"/>
          <w:highlight w:val="none"/>
          <w:lang w:eastAsia="zh-Hans"/>
          <w14:textFill>
            <w14:solidFill>
              <w14:schemeClr w14:val="tx1"/>
            </w14:solidFill>
          </w14:textFill>
        </w:rPr>
        <w:t>：安全生产合同</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4</w:t>
      </w:r>
      <w:r>
        <w:rPr>
          <w:rFonts w:hint="eastAsia"/>
          <w:color w:val="000000" w:themeColor="text1"/>
          <w:highlight w:val="none"/>
          <w:lang w:eastAsia="zh-Hans"/>
          <w14:textFill>
            <w14:solidFill>
              <w14:schemeClr w14:val="tx1"/>
            </w14:solidFill>
          </w14:textFill>
        </w:rPr>
        <w:t>：工程质量终身负责承诺书</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5</w:t>
      </w:r>
      <w:r>
        <w:rPr>
          <w:rFonts w:hint="eastAsia"/>
          <w:color w:val="000000" w:themeColor="text1"/>
          <w:highlight w:val="none"/>
          <w:lang w:eastAsia="zh-Hans"/>
          <w14:textFill>
            <w14:solidFill>
              <w14:schemeClr w14:val="tx1"/>
            </w14:solidFill>
          </w14:textFill>
        </w:rPr>
        <w:t>：承包人违约责任明细表</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6</w:t>
      </w:r>
      <w:r>
        <w:rPr>
          <w:rFonts w:hint="eastAsia"/>
          <w:color w:val="000000" w:themeColor="text1"/>
          <w:highlight w:val="none"/>
          <w:lang w:eastAsia="zh-Hans"/>
          <w14:textFill>
            <w14:solidFill>
              <w14:schemeClr w14:val="tx1"/>
            </w14:solidFill>
          </w14:textFill>
        </w:rPr>
        <w:t>：预付款担保格式</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7</w:t>
      </w:r>
      <w:r>
        <w:rPr>
          <w:rFonts w:hint="eastAsia"/>
          <w:color w:val="000000" w:themeColor="text1"/>
          <w:highlight w:val="none"/>
          <w:lang w:eastAsia="zh-Hans"/>
          <w14:textFill>
            <w14:solidFill>
              <w14:schemeClr w14:val="tx1"/>
            </w14:solidFill>
          </w14:textFill>
        </w:rPr>
        <w:t>：履约担保格式</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8</w:t>
      </w:r>
      <w:r>
        <w:rPr>
          <w:rFonts w:hint="eastAsia"/>
          <w:color w:val="000000" w:themeColor="text1"/>
          <w:highlight w:val="none"/>
          <w:lang w:eastAsia="zh-Hans"/>
          <w14:textFill>
            <w14:solidFill>
              <w14:schemeClr w14:val="tx1"/>
            </w14:solidFill>
          </w14:textFill>
        </w:rPr>
        <w:t>：南沙全民文化体育综合体生态堤建设工程（21涌以北）一期勘察设计施工总承包绩效考核办法（试行）</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9</w:t>
      </w:r>
      <w:r>
        <w:rPr>
          <w:rFonts w:hint="eastAsia"/>
          <w:color w:val="000000" w:themeColor="text1"/>
          <w:highlight w:val="none"/>
          <w:lang w:eastAsia="zh-Hans"/>
          <w14:textFill>
            <w14:solidFill>
              <w14:schemeClr w14:val="tx1"/>
            </w14:solidFill>
          </w14:textFill>
        </w:rPr>
        <w:t>：《南沙全民文化体育综合体及配套设施工程数字化应用指引》</w:t>
      </w:r>
    </w:p>
    <w:p>
      <w:pPr>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附件</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：联合体协议书</w:t>
      </w:r>
    </w:p>
    <w:p>
      <w:pPr>
        <w:ind w:firstLine="42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附件11：联合体支付协议书</w:t>
      </w:r>
    </w:p>
    <w:p>
      <w:pPr>
        <w:ind w:firstLine="420" w:firstLineChars="200"/>
        <w:rPr>
          <w:color w:val="000000" w:themeColor="text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t>附件</w:t>
      </w:r>
      <w:r>
        <w:rPr>
          <w:color w:val="000000" w:themeColor="text1"/>
          <w:highlight w:val="none"/>
          <w:lang w:eastAsia="zh-Hans"/>
          <w14:textFill>
            <w14:solidFill>
              <w14:schemeClr w14:val="tx1"/>
            </w14:solidFill>
          </w14:textFill>
        </w:rPr>
        <w:t>12</w:t>
      </w:r>
      <w:r>
        <w:rPr>
          <w:rFonts w:hint="eastAsia"/>
          <w:color w:val="000000" w:themeColor="text1"/>
          <w:highlight w:val="none"/>
          <w:lang w:eastAsia="zh-Hans"/>
          <w14:textFill>
            <w14:solidFill>
              <w14:schemeClr w14:val="tx1"/>
            </w14:solidFill>
          </w14:textFill>
        </w:rPr>
        <w:t>：招投标文件关键页（含招标答疑纪要、任务书、投标函、投标报价、承包人拟投入人员表、拟投入本工程的主要施工设备表等）</w:t>
      </w:r>
    </w:p>
    <w:p>
      <w:pPr>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附件13：立项及相关会纪函件关键页（如有）</w:t>
      </w:r>
      <w:bookmarkEnd w:id="1593"/>
      <w:bookmarkEnd w:id="1594"/>
    </w:p>
    <w:p>
      <w:pPr>
        <w:ind w:firstLine="420" w:firstLineChars="200"/>
        <w:jc w:val="left"/>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autoSpaceDE w:val="0"/>
        <w:autoSpaceDN w:val="0"/>
        <w:adjustRightInd w:val="0"/>
        <w:spacing w:before="156" w:beforeLines="50" w:after="156" w:afterLines="50" w:line="360" w:lineRule="auto"/>
        <w:jc w:val="left"/>
        <w:rPr>
          <w:rFonts w:ascii="宋体" w:hAnsi="宋体" w:cs="宋体"/>
          <w:color w:val="000000" w:themeColor="text1"/>
          <w:kern w:val="0"/>
          <w:szCs w:val="21"/>
          <w:highlight w:val="none"/>
          <w14:textFill>
            <w14:solidFill>
              <w14:schemeClr w14:val="tx1"/>
            </w14:solidFill>
          </w14:textFill>
        </w:rPr>
        <w:sectPr>
          <w:pgSz w:w="11906" w:h="16838"/>
          <w:pgMar w:top="1440" w:right="1440" w:bottom="1440" w:left="1440" w:header="851" w:footer="992" w:gutter="0"/>
          <w:cols w:space="720" w:num="1"/>
          <w:docGrid w:type="lines" w:linePitch="312" w:charSpace="0"/>
        </w:sectPr>
      </w:pPr>
    </w:p>
    <w:p>
      <w:pPr>
        <w:pStyle w:val="4"/>
        <w:spacing w:line="360" w:lineRule="auto"/>
        <w:rPr>
          <w:rFonts w:ascii="宋体" w:hAnsi="宋体" w:eastAsia="宋体"/>
          <w:b w:val="0"/>
          <w:color w:val="000000" w:themeColor="text1"/>
          <w:kern w:val="2"/>
          <w:sz w:val="24"/>
          <w:szCs w:val="24"/>
          <w:highlight w:val="none"/>
          <w:lang w:val="en-US" w:eastAsia="zh-Hans"/>
          <w14:textFill>
            <w14:solidFill>
              <w14:schemeClr w14:val="tx1"/>
            </w14:solidFill>
          </w14:textFill>
        </w:rPr>
      </w:pPr>
      <w:bookmarkStart w:id="1597" w:name="_Toc2097738734"/>
      <w:bookmarkStart w:id="1598" w:name="_Toc147856240"/>
      <w:r>
        <w:rPr>
          <w:rFonts w:hint="eastAsia" w:ascii="宋体" w:hAnsi="宋体" w:eastAsia="宋体" w:cs="宋体"/>
          <w:b w:val="0"/>
          <w:bCs w:val="0"/>
          <w:color w:val="000000" w:themeColor="text1"/>
          <w:sz w:val="21"/>
          <w:szCs w:val="21"/>
          <w:highlight w:val="none"/>
          <w:lang w:val="en-US"/>
          <w14:textFill>
            <w14:solidFill>
              <w14:schemeClr w14:val="tx1"/>
            </w14:solidFill>
          </w14:textFill>
        </w:rPr>
        <w:t>附件</w:t>
      </w:r>
      <w:r>
        <w:rPr>
          <w:rFonts w:ascii="宋体" w:hAnsi="宋体" w:eastAsia="宋体" w:cs="宋体"/>
          <w:b w:val="0"/>
          <w:bCs w:val="0"/>
          <w:color w:val="000000" w:themeColor="text1"/>
          <w:sz w:val="21"/>
          <w:szCs w:val="21"/>
          <w:highlight w:val="none"/>
          <w14:textFill>
            <w14:solidFill>
              <w14:schemeClr w14:val="tx1"/>
            </w14:solidFill>
          </w14:textFill>
        </w:rPr>
        <w:t>1</w:t>
      </w:r>
      <w:r>
        <w:rPr>
          <w:rFonts w:hint="eastAsia" w:ascii="宋体" w:hAnsi="宋体" w:eastAsia="宋体" w:cs="宋体"/>
          <w:b w:val="0"/>
          <w:bCs w:val="0"/>
          <w:color w:val="000000" w:themeColor="text1"/>
          <w:sz w:val="21"/>
          <w:szCs w:val="21"/>
          <w:highlight w:val="none"/>
          <w:lang w:val="en-US"/>
          <w14:textFill>
            <w14:solidFill>
              <w14:schemeClr w14:val="tx1"/>
            </w14:solidFill>
          </w14:textFill>
        </w:rPr>
        <w:t>：</w:t>
      </w:r>
      <w:r>
        <w:rPr>
          <w:rFonts w:hint="eastAsia" w:ascii="宋体" w:hAnsi="宋体" w:eastAsia="宋体" w:cs="宋体"/>
          <w:b w:val="0"/>
          <w:bCs w:val="0"/>
          <w:color w:val="000000" w:themeColor="text1"/>
          <w:sz w:val="21"/>
          <w:szCs w:val="21"/>
          <w:highlight w:val="none"/>
          <w:lang w:val="en-US" w:eastAsia="zh-Hans"/>
          <w14:textFill>
            <w14:solidFill>
              <w14:schemeClr w14:val="tx1"/>
            </w14:solidFill>
          </w14:textFill>
        </w:rPr>
        <w:t>工程质量保修书</w:t>
      </w:r>
      <w:bookmarkEnd w:id="1597"/>
      <w:bookmarkEnd w:id="1598"/>
    </w:p>
    <w:p>
      <w:pPr>
        <w:adjustRightInd w:val="0"/>
        <w:snapToGrid w:val="0"/>
        <w:spacing w:line="360" w:lineRule="auto"/>
        <w:jc w:val="center"/>
        <w:rPr>
          <w:rFonts w:ascii="宋体" w:hAnsi="宋体"/>
          <w:color w:val="000000" w:themeColor="text1"/>
          <w:sz w:val="30"/>
          <w:szCs w:val="30"/>
          <w:highlight w:val="none"/>
          <w14:textFill>
            <w14:solidFill>
              <w14:schemeClr w14:val="tx1"/>
            </w14:solidFill>
          </w14:textFill>
        </w:rPr>
      </w:pPr>
      <w:r>
        <w:rPr>
          <w:rFonts w:hint="eastAsia" w:ascii="宋体" w:hAnsi="宋体"/>
          <w:b/>
          <w:color w:val="000000" w:themeColor="text1"/>
          <w:sz w:val="30"/>
          <w:szCs w:val="30"/>
          <w:highlight w:val="none"/>
          <w14:textFill>
            <w14:solidFill>
              <w14:schemeClr w14:val="tx1"/>
            </w14:solidFill>
          </w14:textFill>
        </w:rPr>
        <w:t>工程质量保修书</w:t>
      </w:r>
    </w:p>
    <w:p>
      <w:pPr>
        <w:adjustRightInd w:val="0"/>
        <w:snapToGrid w:val="0"/>
        <w:spacing w:line="360" w:lineRule="auto"/>
        <w:rPr>
          <w:rFonts w:ascii="宋体" w:hAnsi="宋体"/>
          <w:color w:val="000000" w:themeColor="text1"/>
          <w:szCs w:val="21"/>
          <w:highlight w:val="none"/>
          <w14:textFill>
            <w14:solidFill>
              <w14:schemeClr w14:val="tx1"/>
            </w14:solidFill>
          </w14:textFill>
        </w:rPr>
      </w:pPr>
    </w:p>
    <w:p>
      <w:pPr>
        <w:adjustRightInd w:val="0"/>
        <w:snapToGrid w:val="0"/>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发包人（全称）：广州南沙交通投资集团有限公司 </w:t>
      </w:r>
    </w:p>
    <w:p>
      <w:pPr>
        <w:adjustRightInd w:val="0"/>
        <w:snapToGrid w:val="0"/>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承包人（全称）：</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发包人和承包人根据《中华人民共和国建筑法》和《房屋建筑工程质量保修办法》《建设工程质量管理条例》，经协商一致就（工程全称）签订工程质量保修书。</w:t>
      </w:r>
    </w:p>
    <w:p>
      <w:pPr>
        <w:spacing w:line="360" w:lineRule="auto"/>
        <w:ind w:left="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一、工程质量保修范围和内容</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承包人在质量保修期内，按照有关法律规定和合同约定，承担工程设计、施工质量保修责任。</w:t>
      </w:r>
    </w:p>
    <w:p>
      <w:pPr>
        <w:spacing w:line="360" w:lineRule="auto"/>
        <w:ind w:firstLine="49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二、质量保修期</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工程根据《建设工程质量管理条例》等规定，质量保修责任期为2年，保修期自单位工程验收合格之日起计，在全部工程竣工验收前，已经发包人提前验收的区段工程或提前投入使用的，其缺陷责任期的起算日期相应提前到相应单位工程验收通过日或投入使用交付日。</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三、质量保修责任</w:t>
      </w:r>
    </w:p>
    <w:p>
      <w:pPr>
        <w:spacing w:line="360" w:lineRule="auto"/>
        <w:ind w:left="105" w:leftChars="50" w:firstLine="430" w:firstLineChars="20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1．属于保修范围、内容的项目，承包人应当在接到保修通知之日起7天内派人保修。承包人不在约定期限内派人保修的，发包人可以委托他人修理。</w:t>
      </w:r>
    </w:p>
    <w:p>
      <w:pPr>
        <w:spacing w:line="360" w:lineRule="auto"/>
        <w:ind w:left="105" w:leftChars="50" w:firstLine="430" w:firstLineChars="20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2．发生紧急事故需抢修的，承包人在接到事故通知后，应当立即到达事故现场抢修。</w:t>
      </w:r>
    </w:p>
    <w:p>
      <w:pPr>
        <w:spacing w:line="360" w:lineRule="auto"/>
        <w:ind w:left="105" w:leftChars="50" w:firstLine="430" w:firstLineChars="205"/>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对于涉及结构安全的质量问题，应当按照《建设工程质量管理条例》的规定，立即向当地建设行政主管部门和有关部门报告，采取安全防范措施，并由原设计人或者具有相应资质等级的设计人提出保修方案，承包人实施保修。</w:t>
      </w:r>
    </w:p>
    <w:p>
      <w:pPr>
        <w:spacing w:line="360" w:lineRule="auto"/>
        <w:ind w:left="420" w:leftChars="200" w:firstLine="105" w:firstLineChars="5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4．质量保修完成后，由发包人组织验收。</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四、保修费用</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保修费用由造成质量缺陷的责任方承担。</w:t>
      </w:r>
    </w:p>
    <w:p>
      <w:pPr>
        <w:spacing w:line="360" w:lineRule="auto"/>
        <w:ind w:firstLine="48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五、双方约定的其他工程质量保修事项：</w:t>
      </w:r>
    </w:p>
    <w:p>
      <w:pPr>
        <w:spacing w:line="360" w:lineRule="auto"/>
        <w:ind w:firstLine="399" w:firstLineChars="19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工程质量保修书由发包人、承包人在工程竣工验收前共同签署，作为施工合同附件，其有效期限至保修期满。</w:t>
      </w:r>
    </w:p>
    <w:p>
      <w:pPr>
        <w:adjustRightInd w:val="0"/>
        <w:snapToGrid w:val="0"/>
        <w:spacing w:line="360" w:lineRule="auto"/>
        <w:ind w:right="11"/>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br w:type="page"/>
      </w:r>
      <w:r>
        <w:rPr>
          <w:rFonts w:hint="eastAsia" w:ascii="宋体" w:hAnsi="宋体" w:cs="宋体"/>
          <w:color w:val="000000" w:themeColor="text1"/>
          <w:szCs w:val="21"/>
          <w:highlight w:val="none"/>
          <w:lang w:eastAsia="zh-Hans"/>
          <w14:textFill>
            <w14:solidFill>
              <w14:schemeClr w14:val="tx1"/>
            </w14:solidFill>
          </w14:textFill>
        </w:rPr>
        <w:t>（以下为签署处，无正文）</w:t>
      </w:r>
    </w:p>
    <w:p>
      <w:pPr>
        <w:adjustRightInd w:val="0"/>
        <w:snapToGrid w:val="0"/>
        <w:spacing w:line="360" w:lineRule="auto"/>
        <w:ind w:right="1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发包人（公章）：广州南沙交通投资集团有限公司</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法定代表人（或其委托代理人）：</w:t>
      </w:r>
      <w:r>
        <w:rPr>
          <w:rFonts w:ascii="宋体" w:hAnsi="宋体" w:cs="宋体"/>
          <w:color w:val="000000" w:themeColor="text1"/>
          <w:szCs w:val="21"/>
          <w:highlight w:val="none"/>
          <w14:textFill>
            <w14:solidFill>
              <w14:schemeClr w14:val="tx1"/>
            </w14:solidFill>
          </w14:textFill>
        </w:rPr>
        <w:t xml:space="preserve">        </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（签章）</w:t>
      </w:r>
      <w:r>
        <w:rPr>
          <w:rFonts w:ascii="宋体" w:hAnsi="宋体" w:cs="宋体"/>
          <w:color w:val="000000" w:themeColor="text1"/>
          <w:szCs w:val="21"/>
          <w:highlight w:val="none"/>
          <w14:textFill>
            <w14:solidFill>
              <w14:schemeClr w14:val="tx1"/>
            </w14:solidFill>
          </w14:textFill>
        </w:rPr>
        <w:t xml:space="preserve">                             </w:t>
      </w:r>
    </w:p>
    <w:p>
      <w:pPr>
        <w:spacing w:line="360" w:lineRule="auto"/>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地址：</w:t>
      </w:r>
    </w:p>
    <w:p>
      <w:pPr>
        <w:pStyle w:val="2"/>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联系人：</w:t>
      </w:r>
    </w:p>
    <w:p>
      <w:pPr>
        <w:rPr>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联系电话：</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日</w:t>
      </w:r>
      <w:r>
        <w:rPr>
          <w:rFonts w:ascii="宋体" w:hAnsi="宋体" w:cs="宋体"/>
          <w:color w:val="000000" w:themeColor="text1"/>
          <w:szCs w:val="21"/>
          <w:highlight w:val="none"/>
          <w14:textFill>
            <w14:solidFill>
              <w14:schemeClr w14:val="tx1"/>
            </w14:solidFill>
          </w14:textFill>
        </w:rPr>
        <w:t xml:space="preserve">  期：                             </w:t>
      </w:r>
    </w:p>
    <w:p>
      <w:pPr>
        <w:spacing w:line="360" w:lineRule="auto"/>
        <w:rPr>
          <w:rFonts w:ascii="宋体" w:hAnsi="宋体" w:cs="宋体"/>
          <w:bCs/>
          <w:color w:val="000000" w:themeColor="text1"/>
          <w:szCs w:val="2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adjustRightInd w:val="0"/>
        <w:snapToGrid w:val="0"/>
        <w:spacing w:line="360" w:lineRule="auto"/>
        <w:ind w:right="1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承包人（公章）：</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法定代表人（或其委托代理人）：</w:t>
      </w:r>
      <w:r>
        <w:rPr>
          <w:rFonts w:ascii="宋体" w:hAnsi="宋体" w:cs="宋体"/>
          <w:color w:val="000000" w:themeColor="text1"/>
          <w:szCs w:val="21"/>
          <w:highlight w:val="none"/>
          <w14:textFill>
            <w14:solidFill>
              <w14:schemeClr w14:val="tx1"/>
            </w14:solidFill>
          </w14:textFill>
        </w:rPr>
        <w:t xml:space="preserve">        </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（签章）</w:t>
      </w:r>
      <w:r>
        <w:rPr>
          <w:rFonts w:ascii="宋体" w:hAnsi="宋体" w:cs="宋体"/>
          <w:color w:val="000000" w:themeColor="text1"/>
          <w:szCs w:val="21"/>
          <w:highlight w:val="none"/>
          <w14:textFill>
            <w14:solidFill>
              <w14:schemeClr w14:val="tx1"/>
            </w14:solidFill>
          </w14:textFill>
        </w:rPr>
        <w:t xml:space="preserve">                              </w:t>
      </w:r>
    </w:p>
    <w:p>
      <w:pPr>
        <w:spacing w:line="360" w:lineRule="auto"/>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地址：</w:t>
      </w:r>
    </w:p>
    <w:p>
      <w:pPr>
        <w:pStyle w:val="2"/>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联系人：</w:t>
      </w:r>
    </w:p>
    <w:p>
      <w:pPr>
        <w:rPr>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联系电话：</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日</w:t>
      </w:r>
      <w:r>
        <w:rPr>
          <w:rFonts w:ascii="宋体" w:hAnsi="宋体" w:cs="宋体"/>
          <w:color w:val="000000" w:themeColor="text1"/>
          <w:szCs w:val="21"/>
          <w:highlight w:val="none"/>
          <w14:textFill>
            <w14:solidFill>
              <w14:schemeClr w14:val="tx1"/>
            </w14:solidFill>
          </w14:textFill>
        </w:rPr>
        <w:t xml:space="preserve">  期：                              </w:t>
      </w:r>
    </w:p>
    <w:bookmarkEnd w:id="1582"/>
    <w:bookmarkEnd w:id="1583"/>
    <w:bookmarkEnd w:id="1584"/>
    <w:p>
      <w:pPr>
        <w:pStyle w:val="4"/>
        <w:spacing w:line="360" w:lineRule="auto"/>
        <w:rPr>
          <w:rFonts w:ascii="宋体" w:hAnsi="宋体" w:eastAsia="宋体"/>
          <w:b w:val="0"/>
          <w:color w:val="000000" w:themeColor="text1"/>
          <w:kern w:val="2"/>
          <w:sz w:val="24"/>
          <w:szCs w:val="24"/>
          <w:highlight w:val="none"/>
          <w14:textFill>
            <w14:solidFill>
              <w14:schemeClr w14:val="tx1"/>
            </w14:solidFill>
          </w14:textFill>
        </w:rPr>
      </w:pPr>
      <w:r>
        <w:rPr>
          <w:rFonts w:hint="eastAsia" w:ascii="宋体" w:hAnsi="宋体" w:eastAsia="宋体" w:cs="宋体"/>
          <w:b w:val="0"/>
          <w:bCs w:val="0"/>
          <w:color w:val="000000" w:themeColor="text1"/>
          <w:sz w:val="21"/>
          <w:szCs w:val="21"/>
          <w:highlight w:val="none"/>
          <w:lang w:val="en-US"/>
          <w14:textFill>
            <w14:solidFill>
              <w14:schemeClr w14:val="tx1"/>
            </w14:solidFill>
          </w14:textFill>
        </w:rPr>
        <w:br w:type="page"/>
      </w:r>
      <w:bookmarkStart w:id="1599" w:name="_Toc17041"/>
      <w:bookmarkStart w:id="1600" w:name="_Toc1455869539"/>
      <w:bookmarkStart w:id="1601" w:name="_Toc147856241"/>
      <w:r>
        <w:rPr>
          <w:rFonts w:hint="eastAsia" w:ascii="宋体" w:hAnsi="宋体" w:eastAsia="宋体" w:cs="宋体"/>
          <w:b w:val="0"/>
          <w:bCs w:val="0"/>
          <w:color w:val="000000" w:themeColor="text1"/>
          <w:sz w:val="21"/>
          <w:szCs w:val="21"/>
          <w:highlight w:val="none"/>
          <w:lang w:val="en-US"/>
          <w14:textFill>
            <w14:solidFill>
              <w14:schemeClr w14:val="tx1"/>
            </w14:solidFill>
          </w14:textFill>
        </w:rPr>
        <w:t>附件</w:t>
      </w:r>
      <w:r>
        <w:rPr>
          <w:rFonts w:ascii="宋体" w:hAnsi="宋体" w:eastAsia="宋体" w:cs="宋体"/>
          <w:b w:val="0"/>
          <w:bCs w:val="0"/>
          <w:color w:val="000000" w:themeColor="text1"/>
          <w:sz w:val="21"/>
          <w:szCs w:val="21"/>
          <w:highlight w:val="none"/>
          <w14:textFill>
            <w14:solidFill>
              <w14:schemeClr w14:val="tx1"/>
            </w14:solidFill>
          </w14:textFill>
        </w:rPr>
        <w:t>2</w:t>
      </w:r>
      <w:r>
        <w:rPr>
          <w:rFonts w:hint="eastAsia" w:ascii="宋体" w:hAnsi="宋体" w:eastAsia="宋体" w:cs="宋体"/>
          <w:b w:val="0"/>
          <w:bCs w:val="0"/>
          <w:color w:val="000000" w:themeColor="text1"/>
          <w:sz w:val="21"/>
          <w:szCs w:val="21"/>
          <w:highlight w:val="none"/>
          <w:lang w:val="en-US"/>
          <w14:textFill>
            <w14:solidFill>
              <w14:schemeClr w14:val="tx1"/>
            </w14:solidFill>
          </w14:textFill>
        </w:rPr>
        <w:t>：</w:t>
      </w:r>
      <w:bookmarkEnd w:id="1599"/>
      <w:r>
        <w:rPr>
          <w:rFonts w:hint="eastAsia" w:ascii="宋体" w:hAnsi="宋体" w:eastAsia="宋体" w:cs="宋体"/>
          <w:b w:val="0"/>
          <w:bCs w:val="0"/>
          <w:color w:val="000000" w:themeColor="text1"/>
          <w:sz w:val="21"/>
          <w:szCs w:val="21"/>
          <w:highlight w:val="none"/>
          <w:lang w:val="en-US"/>
          <w14:textFill>
            <w14:solidFill>
              <w14:schemeClr w14:val="tx1"/>
            </w14:solidFill>
          </w14:textFill>
        </w:rPr>
        <w:t>南沙区建设工程项目廉洁责任合同</w:t>
      </w:r>
      <w:bookmarkEnd w:id="1600"/>
      <w:bookmarkEnd w:id="1601"/>
    </w:p>
    <w:p>
      <w:pPr>
        <w:pStyle w:val="107"/>
        <w:spacing w:before="156" w:after="156"/>
        <w:ind w:firstLine="0" w:firstLineChars="0"/>
        <w:jc w:val="center"/>
        <w:rPr>
          <w:rFonts w:ascii="宋体" w:hAnsi="宋体" w:cs="宋体"/>
          <w:b/>
          <w:color w:val="000000" w:themeColor="text1"/>
          <w:sz w:val="32"/>
          <w:szCs w:val="32"/>
          <w:highlight w:val="none"/>
          <w14:textFill>
            <w14:solidFill>
              <w14:schemeClr w14:val="tx1"/>
            </w14:solidFill>
          </w14:textFill>
        </w:rPr>
      </w:pPr>
      <w:r>
        <w:rPr>
          <w:rFonts w:hint="eastAsia" w:ascii="宋体" w:hAnsi="宋体" w:cs="宋体"/>
          <w:b/>
          <w:color w:val="000000" w:themeColor="text1"/>
          <w:sz w:val="32"/>
          <w:szCs w:val="32"/>
          <w:highlight w:val="none"/>
          <w14:textFill>
            <w14:solidFill>
              <w14:schemeClr w14:val="tx1"/>
            </w14:solidFill>
          </w14:textFill>
        </w:rPr>
        <w:t>南沙区建设工程项目廉洁责任合同</w:t>
      </w:r>
    </w:p>
    <w:p>
      <w:pPr>
        <w:spacing w:line="360" w:lineRule="auto"/>
        <w:rPr>
          <w:rFonts w:ascii="宋体" w:hAnsi="宋体" w:cs="宋体"/>
          <w:color w:val="000000" w:themeColor="text1"/>
          <w:kern w:val="0"/>
          <w:szCs w:val="21"/>
          <w:highlight w:val="none"/>
          <w:u w:val="singl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委托人（发包人）：</w:t>
      </w:r>
      <w:r>
        <w:rPr>
          <w:rFonts w:hint="eastAsia" w:ascii="宋体" w:hAnsi="宋体" w:cs="宋体"/>
          <w:color w:val="000000" w:themeColor="text1"/>
          <w:szCs w:val="21"/>
          <w:highlight w:val="none"/>
          <w:u w:val="single"/>
          <w14:textFill>
            <w14:solidFill>
              <w14:schemeClr w14:val="tx1"/>
            </w14:solidFill>
          </w14:textFill>
        </w:rPr>
        <w:t>广州南沙交通投资集团有限公司</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承包人（受托人）：</w:t>
      </w:r>
      <w:r>
        <w:rPr>
          <w:rFonts w:ascii="宋体" w:hAnsi="宋体" w:cs="宋体"/>
          <w:color w:val="000000" w:themeColor="text1"/>
          <w:kern w:val="0"/>
          <w:szCs w:val="21"/>
          <w:highlight w:val="none"/>
          <w:u w:val="single"/>
          <w14:textFill>
            <w14:solidFill>
              <w14:schemeClr w14:val="tx1"/>
            </w14:solidFill>
          </w14:textFill>
        </w:rPr>
        <w:t xml:space="preserve">                            </w:t>
      </w:r>
    </w:p>
    <w:p>
      <w:pPr>
        <w:spacing w:line="360" w:lineRule="auto"/>
        <w:rPr>
          <w:rFonts w:ascii="宋体" w:hAnsi="宋体" w:cs="宋体"/>
          <w:color w:val="000000" w:themeColor="text1"/>
          <w:szCs w:val="21"/>
          <w:highlight w:val="none"/>
          <w:u w:val="singl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建设工程项目：</w:t>
      </w:r>
      <w:r>
        <w:rPr>
          <w:rFonts w:hint="eastAsia" w:ascii="宋体" w:hAnsi="宋体" w:cs="宋体"/>
          <w:color w:val="000000" w:themeColor="text1"/>
          <w:szCs w:val="21"/>
          <w:highlight w:val="none"/>
          <w:u w:val="single"/>
          <w14:textFill>
            <w14:solidFill>
              <w14:schemeClr w14:val="tx1"/>
            </w14:solidFill>
          </w14:textFill>
        </w:rPr>
        <w:t>南沙全民文化体育综合体生态堤建设工程（21涌以北）一期</w:t>
      </w:r>
    </w:p>
    <w:p>
      <w:pPr>
        <w:spacing w:line="360" w:lineRule="auto"/>
        <w:rPr>
          <w:rFonts w:ascii="宋体" w:hAnsi="宋体" w:cs="宋体"/>
          <w:color w:val="000000" w:themeColor="text1"/>
          <w:szCs w:val="21"/>
          <w:highlight w:val="none"/>
          <w:u w:val="singl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建设工程地点：</w:t>
      </w:r>
      <w:r>
        <w:rPr>
          <w:rFonts w:hint="eastAsia" w:ascii="宋体" w:hAnsi="宋体" w:cs="宋体"/>
          <w:color w:val="000000" w:themeColor="text1"/>
          <w:szCs w:val="21"/>
          <w:highlight w:val="none"/>
          <w:u w:val="single"/>
          <w14:textFill>
            <w14:solidFill>
              <w14:schemeClr w14:val="tx1"/>
            </w14:solidFill>
          </w14:textFill>
        </w:rPr>
        <w:t>广州市南沙区</w:t>
      </w:r>
    </w:p>
    <w:p>
      <w:pPr>
        <w:spacing w:line="360" w:lineRule="auto"/>
        <w:ind w:firstLine="525" w:firstLineChars="250"/>
        <w:rPr>
          <w:rFonts w:ascii="宋体" w:hAnsi="宋体" w:cs="宋体"/>
          <w:color w:val="000000" w:themeColor="text1"/>
          <w:szCs w:val="21"/>
          <w:highlight w:val="none"/>
          <w14:textFill>
            <w14:solidFill>
              <w14:schemeClr w14:val="tx1"/>
            </w14:solidFill>
          </w14:textFill>
        </w:rPr>
      </w:pP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为贯彻落实国家、省、市有关廉洁规定，深化廉洁南沙自贸试验区建设，加强工程建设领域廉洁风险防控，构建亲清政商关系，营造风清气正的市场环境，根据《中华人民共和国反不正当竞争法》《中华人民共和国招标投标法》及其实施条例等法律法规及政策的规定，双方同意签订本合同。</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第一条</w:t>
      </w:r>
      <w:r>
        <w:rPr>
          <w:rFonts w:ascii="宋体" w:hAnsi="宋体" w:cs="宋体"/>
          <w:b/>
          <w:color w:val="000000" w:themeColor="text1"/>
          <w:szCs w:val="21"/>
          <w:highlight w:val="none"/>
          <w14:textFill>
            <w14:solidFill>
              <w14:schemeClr w14:val="tx1"/>
            </w14:solidFill>
          </w14:textFill>
        </w:rPr>
        <w:t xml:space="preserve">  </w:t>
      </w:r>
      <w:r>
        <w:rPr>
          <w:rFonts w:hint="eastAsia" w:ascii="宋体" w:hAnsi="宋体" w:cs="宋体"/>
          <w:b/>
          <w:color w:val="000000" w:themeColor="text1"/>
          <w:szCs w:val="21"/>
          <w:highlight w:val="none"/>
          <w14:textFill>
            <w14:solidFill>
              <w14:schemeClr w14:val="tx1"/>
            </w14:solidFill>
          </w14:textFill>
        </w:rPr>
        <w:t>本合同适用于南沙区政府财政资金和国有资金占控股或主导地位的公开招标类建设工程项目，涵盖工程施工类及服务类合同。辖区范围内其他工程项目可参照执行。</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第二条</w:t>
      </w:r>
      <w:r>
        <w:rPr>
          <w:rFonts w:ascii="宋体" w:hAnsi="宋体" w:cs="宋体"/>
          <w:b/>
          <w:color w:val="000000" w:themeColor="text1"/>
          <w:szCs w:val="21"/>
          <w:highlight w:val="none"/>
          <w14:textFill>
            <w14:solidFill>
              <w14:schemeClr w14:val="tx1"/>
            </w14:solidFill>
          </w14:textFill>
        </w:rPr>
        <w:t xml:space="preserve">  </w:t>
      </w:r>
      <w:r>
        <w:rPr>
          <w:rFonts w:hint="eastAsia" w:ascii="宋体" w:hAnsi="宋体" w:cs="宋体"/>
          <w:b/>
          <w:color w:val="000000" w:themeColor="text1"/>
          <w:szCs w:val="21"/>
          <w:highlight w:val="none"/>
          <w14:textFill>
            <w14:solidFill>
              <w14:schemeClr w14:val="tx1"/>
            </w14:solidFill>
          </w14:textFill>
        </w:rPr>
        <w:t>发包人及其工作人员不得利用项目或职权为本人及亲属谋取不正当利益，包括下列行为：</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2.1  </w:t>
      </w:r>
      <w:r>
        <w:rPr>
          <w:rFonts w:hint="eastAsia" w:ascii="宋体" w:hAnsi="宋体" w:cs="宋体"/>
          <w:color w:val="000000" w:themeColor="text1"/>
          <w:szCs w:val="21"/>
          <w:highlight w:val="none"/>
          <w14:textFill>
            <w14:solidFill>
              <w14:schemeClr w14:val="tx1"/>
            </w14:solidFill>
          </w14:textFill>
        </w:rPr>
        <w:t>索取、接受或者以借为名占用承包人的财物，包括但不限于任何形式的礼品礼金、好处费、回扣、各种有价证券、购物卡及其他支付凭证、房产、车辆、贵重物品等。</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2.2  </w:t>
      </w:r>
      <w:r>
        <w:rPr>
          <w:rFonts w:hint="eastAsia" w:ascii="宋体" w:hAnsi="宋体" w:cs="宋体"/>
          <w:color w:val="000000" w:themeColor="text1"/>
          <w:szCs w:val="21"/>
          <w:highlight w:val="none"/>
          <w14:textFill>
            <w14:solidFill>
              <w14:schemeClr w14:val="tx1"/>
            </w14:solidFill>
          </w14:textFill>
        </w:rPr>
        <w:t>接受承包人宴请（工作餐除外）及旅游、健身、娱乐等活动安排。</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2.3  </w:t>
      </w:r>
      <w:r>
        <w:rPr>
          <w:rFonts w:hint="eastAsia" w:ascii="宋体" w:hAnsi="宋体" w:cs="宋体"/>
          <w:color w:val="000000" w:themeColor="text1"/>
          <w:szCs w:val="21"/>
          <w:highlight w:val="none"/>
          <w14:textFill>
            <w14:solidFill>
              <w14:schemeClr w14:val="tx1"/>
            </w14:solidFill>
          </w14:textFill>
        </w:rPr>
        <w:t>向承包人报销任何应由自身承担、支付的费用。</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2.4  </w:t>
      </w:r>
      <w:r>
        <w:rPr>
          <w:rFonts w:hint="eastAsia" w:ascii="宋体" w:hAnsi="宋体" w:cs="宋体"/>
          <w:color w:val="000000" w:themeColor="text1"/>
          <w:szCs w:val="21"/>
          <w:highlight w:val="none"/>
          <w14:textFill>
            <w14:solidFill>
              <w14:schemeClr w14:val="tx1"/>
            </w14:solidFill>
          </w14:textFill>
        </w:rPr>
        <w:t>向承包人推荐分包人，推销材料和设备，要求承包人购买指定的材料和设备。</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2.5  </w:t>
      </w:r>
      <w:r>
        <w:rPr>
          <w:rFonts w:hint="eastAsia" w:ascii="宋体" w:hAnsi="宋体" w:cs="宋体"/>
          <w:color w:val="000000" w:themeColor="text1"/>
          <w:szCs w:val="21"/>
          <w:highlight w:val="none"/>
          <w14:textFill>
            <w14:solidFill>
              <w14:schemeClr w14:val="tx1"/>
            </w14:solidFill>
          </w14:textFill>
        </w:rPr>
        <w:t>私自为建设工程安排施工队伍，从事与建设工程有关的各种有偿中介服务。</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2.6  </w:t>
      </w:r>
      <w:r>
        <w:rPr>
          <w:rFonts w:hint="eastAsia" w:ascii="宋体" w:hAnsi="宋体" w:cs="宋体"/>
          <w:color w:val="000000" w:themeColor="text1"/>
          <w:szCs w:val="21"/>
          <w:highlight w:val="none"/>
          <w14:textFill>
            <w14:solidFill>
              <w14:schemeClr w14:val="tx1"/>
            </w14:solidFill>
          </w14:textFill>
        </w:rPr>
        <w:t>要求或者暗示承包人为本人或亲属的工作安排、职务晋升、经商办企业、出国出境、旅游、留学、探亲、定居等提供资助或便利。</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2.7  </w:t>
      </w:r>
      <w:r>
        <w:rPr>
          <w:rFonts w:hint="eastAsia" w:ascii="宋体" w:hAnsi="宋体" w:cs="宋体"/>
          <w:color w:val="000000" w:themeColor="text1"/>
          <w:szCs w:val="21"/>
          <w:highlight w:val="none"/>
          <w14:textFill>
            <w14:solidFill>
              <w14:schemeClr w14:val="tx1"/>
            </w14:solidFill>
          </w14:textFill>
        </w:rPr>
        <w:t>默许、纵容、授意亲属收受承包人财物，或从事与建设工程有关的材料和设备供应、工程分包、劳务等经济活动。</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2.8  </w:t>
      </w:r>
      <w:r>
        <w:rPr>
          <w:rFonts w:hint="eastAsia" w:ascii="宋体" w:hAnsi="宋体" w:cs="宋体"/>
          <w:color w:val="000000" w:themeColor="text1"/>
          <w:szCs w:val="21"/>
          <w:highlight w:val="none"/>
          <w14:textFill>
            <w14:solidFill>
              <w14:schemeClr w14:val="tx1"/>
            </w14:solidFill>
          </w14:textFill>
        </w:rPr>
        <w:t>其他利用项目或职权谋取不正当利益的行为。</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第三条</w:t>
      </w:r>
      <w:r>
        <w:rPr>
          <w:rFonts w:ascii="宋体" w:hAnsi="宋体" w:cs="宋体"/>
          <w:b/>
          <w:color w:val="000000" w:themeColor="text1"/>
          <w:szCs w:val="21"/>
          <w:highlight w:val="none"/>
          <w14:textFill>
            <w14:solidFill>
              <w14:schemeClr w14:val="tx1"/>
            </w14:solidFill>
          </w14:textFill>
        </w:rPr>
        <w:t xml:space="preserve">  </w:t>
      </w:r>
      <w:r>
        <w:rPr>
          <w:rFonts w:hint="eastAsia" w:ascii="宋体" w:hAnsi="宋体" w:cs="宋体"/>
          <w:b/>
          <w:color w:val="000000" w:themeColor="text1"/>
          <w:szCs w:val="21"/>
          <w:highlight w:val="none"/>
          <w14:textFill>
            <w14:solidFill>
              <w14:schemeClr w14:val="tx1"/>
            </w14:solidFill>
          </w14:textFill>
        </w:rPr>
        <w:t>承包人及其工作人员不得通过商业贿赂等不正当手段谋取利益，包括下列行为：</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3.1  </w:t>
      </w:r>
      <w:r>
        <w:rPr>
          <w:rFonts w:hint="eastAsia" w:ascii="宋体" w:hAnsi="宋体" w:cs="宋体"/>
          <w:color w:val="000000" w:themeColor="text1"/>
          <w:szCs w:val="21"/>
          <w:highlight w:val="none"/>
          <w14:textFill>
            <w14:solidFill>
              <w14:schemeClr w14:val="tx1"/>
            </w14:solidFill>
          </w14:textFill>
        </w:rPr>
        <w:t>同意或主动向发包人及其工作人员提供第二条约定的禁止性行为；</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3.2  </w:t>
      </w:r>
      <w:r>
        <w:rPr>
          <w:rFonts w:hint="eastAsia" w:ascii="宋体" w:hAnsi="宋体" w:cs="宋体"/>
          <w:color w:val="000000" w:themeColor="text1"/>
          <w:szCs w:val="21"/>
          <w:highlight w:val="none"/>
          <w14:textFill>
            <w14:solidFill>
              <w14:schemeClr w14:val="tx1"/>
            </w14:solidFill>
          </w14:textFill>
        </w:rPr>
        <w:t>向与建设工程相关的代建、施工、监理（项目管理）、勘察、设计、咨询等有关单位及其工作人员进行商业贿赂，包括但不限于任何形式的礼品礼金、有价证券、购物卡、回扣、佣金、咨询费、劳务费、赞助费、宣传费，以及支付旅游费用、报销各种消费凭证等。</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3.3</w:t>
      </w:r>
      <w:r>
        <w:rPr>
          <w:rFonts w:hint="eastAsia" w:ascii="宋体" w:hAnsi="宋体" w:cs="宋体"/>
          <w:color w:val="000000" w:themeColor="text1"/>
          <w:szCs w:val="21"/>
          <w:highlight w:val="none"/>
          <w14:textFill>
            <w14:solidFill>
              <w14:schemeClr w14:val="tx1"/>
            </w14:solidFill>
          </w14:textFill>
        </w:rPr>
        <w:t xml:space="preserve">  接受与建设工程相关的代建、施工、监理（项目管理）、勘察、设计、咨询等有关单位及其工作人员的商业贿赂。</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3.4</w:t>
      </w:r>
      <w:r>
        <w:rPr>
          <w:rFonts w:hint="eastAsia" w:ascii="宋体" w:hAnsi="宋体" w:cs="宋体"/>
          <w:color w:val="000000" w:themeColor="text1"/>
          <w:szCs w:val="21"/>
          <w:highlight w:val="none"/>
          <w14:textFill>
            <w14:solidFill>
              <w14:schemeClr w14:val="tx1"/>
            </w14:solidFill>
          </w14:textFill>
        </w:rPr>
        <w:t xml:space="preserve">  接受分包（工程分包、劳务分包等）单位、材料设备供应单位等单位及其工作人员的商业贿赂。</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3.5  </w:t>
      </w:r>
      <w:r>
        <w:rPr>
          <w:rFonts w:hint="eastAsia" w:ascii="宋体" w:hAnsi="宋体" w:cs="宋体"/>
          <w:color w:val="000000" w:themeColor="text1"/>
          <w:szCs w:val="21"/>
          <w:highlight w:val="none"/>
          <w14:textFill>
            <w14:solidFill>
              <w14:schemeClr w14:val="tx1"/>
            </w14:solidFill>
          </w14:textFill>
        </w:rPr>
        <w:t>其他通过不正当手段谋取利益的行为。</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第四条  发包人、承包人及双方工作人员不得违规干预或插手建设工程招投标活动，禁止串通投标（围标）等不正当竞争行为。</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第五条  廉洁风险防控机制</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发包人、承包人双方均有义务建立健全廉洁风险防控机制，排查、梳理建设工程业务流程及关键工作岗位涉及的廉洁风险点，有针对性地逐项制定防控措施，加强对单位工作人员的廉洁教育，预警在先、防范在前，风险定到岗、制度建到位、责任落到人。发现对方在业务活动中有违反廉洁规定的行为，应及时给予提醒和纠正。</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第六条  廉洁违约责任</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6.1  </w:t>
      </w:r>
      <w:r>
        <w:rPr>
          <w:rFonts w:hint="eastAsia" w:ascii="宋体" w:hAnsi="宋体" w:cs="宋体"/>
          <w:color w:val="000000" w:themeColor="text1"/>
          <w:szCs w:val="21"/>
          <w:highlight w:val="none"/>
          <w14:textFill>
            <w14:solidFill>
              <w14:schemeClr w14:val="tx1"/>
            </w14:solidFill>
          </w14:textFill>
        </w:rPr>
        <w:t>发包人及其工作人员违反本合同第二条和第四条规定，相关责任人应受到相应的党纪政务（纪）处分，涉嫌犯罪的，移送司法机关依法处理；给承包人造成经济损失的，应承担相应的赔偿责任。</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 xml:space="preserve">6.2  </w:t>
      </w:r>
      <w:r>
        <w:rPr>
          <w:rFonts w:hint="eastAsia" w:ascii="宋体" w:hAnsi="宋体" w:cs="宋体"/>
          <w:color w:val="000000" w:themeColor="text1"/>
          <w:szCs w:val="21"/>
          <w:highlight w:val="none"/>
          <w14:textFill>
            <w14:solidFill>
              <w14:schemeClr w14:val="tx1"/>
            </w14:solidFill>
          </w14:textFill>
        </w:rPr>
        <w:t>承包人</w:t>
      </w:r>
      <w:r>
        <w:rPr>
          <w:rFonts w:hint="eastAsia" w:ascii="宋体" w:hAnsi="宋体" w:cs="宋体"/>
          <w:bCs/>
          <w:color w:val="000000" w:themeColor="text1"/>
          <w:szCs w:val="21"/>
          <w:highlight w:val="none"/>
          <w14:textFill>
            <w14:solidFill>
              <w14:schemeClr w14:val="tx1"/>
            </w14:solidFill>
          </w14:textFill>
        </w:rPr>
        <w:t>及其工作人员</w:t>
      </w:r>
      <w:r>
        <w:rPr>
          <w:rFonts w:hint="eastAsia" w:ascii="宋体" w:hAnsi="宋体" w:cs="宋体"/>
          <w:color w:val="000000" w:themeColor="text1"/>
          <w:szCs w:val="21"/>
          <w:highlight w:val="none"/>
          <w14:textFill>
            <w14:solidFill>
              <w14:schemeClr w14:val="tx1"/>
            </w14:solidFill>
          </w14:textFill>
        </w:rPr>
        <w:t>违反本合同第三条和第四条规定，经有关主管部门查证属实或者经纪检监察机关认定违纪、经司法机关依法确定构成违法犯罪的，承包人应按次向发包人支付廉洁违约金（施工类建设项目合同价款2%且不超过100万元人民币，服务类建设项目合同价款5%且不超过50万元人民币）；给发包人造成经济损失的，还应承担相应的赔偿责任。同时，发包人有权：（1）如承包人的行为严重影响合同的履行或者严重干扰市场公平竞争营商环境，可单方解除主合同；（2）将承包人的履约评价评为不合格，并拒绝其参与发包人负责实施项目的投标或摇珠；（3）将有关情况报相关主管部门记录，作为企业诚信评分考核，建议给予通报并向社会进行公示。</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第七条  监督举报</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发包人、承包人均有监督举报的权利和义务，发现对方有违反本合同的行为，可向南沙区纪委监委举报。南沙区纪委监委将按照相关规定予以受理，鼓励实名举报，严查诬告陷害，对实名举报有功人员给予一定的现金奖励，对诬告陷害的依规依纪依法给予处理。</w:t>
      </w:r>
    </w:p>
    <w:p>
      <w:pPr>
        <w:spacing w:line="360" w:lineRule="auto"/>
        <w:ind w:firstLine="422"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b/>
          <w:bCs/>
          <w:color w:val="000000" w:themeColor="text1"/>
          <w:szCs w:val="21"/>
          <w:highlight w:val="none"/>
          <w14:textFill>
            <w14:solidFill>
              <w14:schemeClr w14:val="tx1"/>
            </w14:solidFill>
          </w14:textFill>
        </w:rPr>
        <w:t>南沙区纪委监委举报方式</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来信举报：广州市南沙区凤凰大道一号南沙区纪委监委信访室，邮编511455；</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电话举报：020-84986949，</w:t>
      </w:r>
      <w:r>
        <w:rPr>
          <w:rFonts w:ascii="宋体" w:hAnsi="宋体" w:cs="宋体"/>
          <w:color w:val="000000" w:themeColor="text1"/>
          <w:szCs w:val="21"/>
          <w:highlight w:val="none"/>
          <w14:textFill>
            <w14:solidFill>
              <w14:schemeClr w14:val="tx1"/>
            </w14:solidFill>
          </w14:textFill>
        </w:rPr>
        <w:t>020-12388</w:t>
      </w:r>
      <w:r>
        <w:rPr>
          <w:rFonts w:hint="eastAsia" w:ascii="宋体" w:hAnsi="宋体" w:cs="宋体"/>
          <w:color w:val="000000" w:themeColor="text1"/>
          <w:szCs w:val="21"/>
          <w:highlight w:val="none"/>
          <w14:textFill>
            <w14:solidFill>
              <w14:schemeClr w14:val="tx1"/>
            </w14:solidFill>
          </w14:textFill>
        </w:rPr>
        <w:t>；</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网络举报：</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"http://guangdong.12388.gov.cn；" </w:instrText>
      </w:r>
      <w:r>
        <w:rPr>
          <w:color w:val="000000" w:themeColor="text1"/>
          <w:highlight w:val="none"/>
          <w14:textFill>
            <w14:solidFill>
              <w14:schemeClr w14:val="tx1"/>
            </w14:solidFill>
          </w14:textFill>
        </w:rPr>
        <w:fldChar w:fldCharType="separate"/>
      </w:r>
      <w:r>
        <w:rPr>
          <w:rFonts w:ascii="宋体" w:hAnsi="宋体" w:cs="宋体"/>
          <w:color w:val="000000" w:themeColor="text1"/>
          <w:szCs w:val="21"/>
          <w:highlight w:val="none"/>
          <w14:textFill>
            <w14:solidFill>
              <w14:schemeClr w14:val="tx1"/>
            </w14:solidFill>
          </w14:textFill>
        </w:rPr>
        <w:t>http://guangdong.12</w:t>
      </w:r>
      <w:r>
        <w:rPr>
          <w:rFonts w:hint="eastAsia" w:ascii="宋体" w:hAnsi="宋体" w:cs="宋体"/>
          <w:color w:val="000000" w:themeColor="text1"/>
          <w:szCs w:val="21"/>
          <w:highlight w:val="none"/>
          <w14:textFill>
            <w14:solidFill>
              <w14:schemeClr w14:val="tx1"/>
            </w14:solidFill>
          </w14:textFill>
        </w:rPr>
        <w:t>388.gov.cn；</w:t>
      </w:r>
      <w:r>
        <w:rPr>
          <w:rFonts w:hint="eastAsia" w:ascii="宋体" w:hAnsi="宋体" w:cs="宋体"/>
          <w:color w:val="000000" w:themeColor="text1"/>
          <w:szCs w:val="21"/>
          <w:highlight w:val="none"/>
          <w14:textFill>
            <w14:solidFill>
              <w14:schemeClr w14:val="tx1"/>
            </w14:solidFill>
          </w14:textFill>
        </w:rPr>
        <w:fldChar w:fldCharType="end"/>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drawing>
          <wp:anchor distT="0" distB="0" distL="114300" distR="114300" simplePos="0" relativeHeight="251659264" behindDoc="0" locked="0" layoutInCell="1" allowOverlap="1">
            <wp:simplePos x="0" y="0"/>
            <wp:positionH relativeFrom="column">
              <wp:posOffset>1579245</wp:posOffset>
            </wp:positionH>
            <wp:positionV relativeFrom="paragraph">
              <wp:posOffset>416560</wp:posOffset>
            </wp:positionV>
            <wp:extent cx="1991360" cy="2440940"/>
            <wp:effectExtent l="0" t="0" r="15240" b="22860"/>
            <wp:wrapTopAndBottom/>
            <wp:docPr id="1" name="图片 41" descr="1603424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1" descr="1603424669(1)"/>
                    <pic:cNvPicPr>
                      <a:picLocks noChangeAspect="1"/>
                    </pic:cNvPicPr>
                  </pic:nvPicPr>
                  <pic:blipFill>
                    <a:blip r:embed="rId12"/>
                    <a:stretch>
                      <a:fillRect/>
                    </a:stretch>
                  </pic:blipFill>
                  <pic:spPr>
                    <a:xfrm>
                      <a:off x="0" y="0"/>
                      <a:ext cx="1991360" cy="2440940"/>
                    </a:xfrm>
                    <a:prstGeom prst="rect">
                      <a:avLst/>
                    </a:prstGeom>
                    <a:noFill/>
                    <a:ln>
                      <a:noFill/>
                    </a:ln>
                  </pic:spPr>
                </pic:pic>
              </a:graphicData>
            </a:graphic>
          </wp:anchor>
        </w:drawing>
      </w:r>
      <w:r>
        <w:rPr>
          <w:rFonts w:hint="eastAsia" w:ascii="宋体" w:hAnsi="宋体" w:cs="宋体"/>
          <w:color w:val="000000" w:themeColor="text1"/>
          <w:szCs w:val="21"/>
          <w:highlight w:val="none"/>
          <w14:textFill>
            <w14:solidFill>
              <w14:schemeClr w14:val="tx1"/>
            </w14:solidFill>
          </w14:textFill>
        </w:rPr>
        <w:t>二维码举报：</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南沙交投集团纪委举报方式：</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电话举报：020-84999853；</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邮箱举报：12388@nscig.cn。</w:t>
      </w:r>
    </w:p>
    <w:p>
      <w:pPr>
        <w:spacing w:line="360" w:lineRule="auto"/>
        <w:ind w:firstLine="422" w:firstLineChars="200"/>
        <w:rPr>
          <w:rFonts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第八条</w:t>
      </w:r>
      <w:r>
        <w:rPr>
          <w:rFonts w:ascii="宋体" w:hAnsi="宋体" w:cs="宋体"/>
          <w:b/>
          <w:color w:val="000000" w:themeColor="text1"/>
          <w:szCs w:val="21"/>
          <w:highlight w:val="none"/>
          <w14:textFill>
            <w14:solidFill>
              <w14:schemeClr w14:val="tx1"/>
            </w14:solidFill>
          </w14:textFill>
        </w:rPr>
        <w:t xml:space="preserve">  </w:t>
      </w:r>
      <w:r>
        <w:rPr>
          <w:rFonts w:hint="eastAsia" w:ascii="宋体" w:hAnsi="宋体" w:cs="宋体"/>
          <w:b/>
          <w:color w:val="000000" w:themeColor="text1"/>
          <w:szCs w:val="21"/>
          <w:highlight w:val="none"/>
          <w14:textFill>
            <w14:solidFill>
              <w14:schemeClr w14:val="tx1"/>
            </w14:solidFill>
          </w14:textFill>
        </w:rPr>
        <w:t>其他约定</w:t>
      </w:r>
    </w:p>
    <w:p>
      <w:pPr>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本合同作为双方所签署主合同的附件，与主合同具有同等法律效力。对项目涉及的廉洁问题，不受项目竣工验收、工作人员离职或退休等原因影响，发包人、承包人仍应按合同约定承担相应的违约责任。</w:t>
      </w:r>
    </w:p>
    <w:p>
      <w:pPr>
        <w:tabs>
          <w:tab w:val="left" w:pos="1550"/>
        </w:tabs>
        <w:spacing w:line="360" w:lineRule="auto"/>
        <w:ind w:firstLine="422" w:firstLineChars="200"/>
        <w:jc w:val="left"/>
        <w:rPr>
          <w:rFonts w:ascii="宋体" w:hAnsi="宋体" w:cs="宋体"/>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 xml:space="preserve">第九条  </w:t>
      </w:r>
      <w:r>
        <w:rPr>
          <w:rFonts w:hint="eastAsia" w:ascii="宋体" w:hAnsi="宋体" w:cs="宋体"/>
          <w:color w:val="000000" w:themeColor="text1"/>
          <w:szCs w:val="21"/>
          <w:highlight w:val="none"/>
          <w14:textFill>
            <w14:solidFill>
              <w14:schemeClr w14:val="tx1"/>
            </w14:solidFill>
          </w14:textFill>
        </w:rPr>
        <w:t>本合同一式</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份，各方各执</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份。</w:t>
      </w:r>
    </w:p>
    <w:p>
      <w:pPr>
        <w:widowControl/>
        <w:jc w:val="left"/>
        <w:rPr>
          <w:rFonts w:ascii="宋体" w:hAnsi="宋体" w:cs="宋体"/>
          <w:color w:val="000000" w:themeColor="text1"/>
          <w:szCs w:val="21"/>
          <w:highlight w:val="none"/>
          <w:lang w:eastAsia="zh-Hans"/>
          <w14:textFill>
            <w14:solidFill>
              <w14:schemeClr w14:val="tx1"/>
            </w14:solidFill>
          </w14:textFill>
        </w:rPr>
      </w:pPr>
      <w:r>
        <w:rPr>
          <w:rFonts w:ascii="宋体" w:hAnsi="宋体" w:cs="宋体"/>
          <w:color w:val="000000" w:themeColor="text1"/>
          <w:szCs w:val="21"/>
          <w:highlight w:val="none"/>
          <w:lang w:eastAsia="zh-Hans"/>
          <w14:textFill>
            <w14:solidFill>
              <w14:schemeClr w14:val="tx1"/>
            </w14:solidFill>
          </w14:textFill>
        </w:rPr>
        <w:br w:type="page"/>
      </w:r>
    </w:p>
    <w:p>
      <w:pPr>
        <w:adjustRightInd w:val="0"/>
        <w:snapToGrid w:val="0"/>
        <w:spacing w:line="360" w:lineRule="auto"/>
        <w:ind w:right="11"/>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（以下为签署处，无正文）</w:t>
      </w:r>
    </w:p>
    <w:p>
      <w:pPr>
        <w:adjustRightInd w:val="0"/>
        <w:snapToGrid w:val="0"/>
        <w:spacing w:line="360" w:lineRule="auto"/>
        <w:ind w:right="1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发包人（公章）：广州南沙交通投资集团有限公司</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法定代表人（或其委托代理人）：</w:t>
      </w:r>
      <w:r>
        <w:rPr>
          <w:rFonts w:ascii="宋体" w:hAnsi="宋体" w:cs="宋体"/>
          <w:color w:val="000000" w:themeColor="text1"/>
          <w:szCs w:val="21"/>
          <w:highlight w:val="none"/>
          <w14:textFill>
            <w14:solidFill>
              <w14:schemeClr w14:val="tx1"/>
            </w14:solidFill>
          </w14:textFill>
        </w:rPr>
        <w:t xml:space="preserve">        </w:t>
      </w:r>
    </w:p>
    <w:p>
      <w:pPr>
        <w:spacing w:line="360" w:lineRule="auto"/>
        <w:rPr>
          <w:rFonts w:ascii="宋体" w:hAnsi="宋体" w:cs="宋体"/>
          <w:color w:val="000000" w:themeColor="text1"/>
          <w:szCs w:val="21"/>
          <w:highlight w:val="none"/>
          <w:u w:val="singl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（签章）</w:t>
      </w:r>
      <w:r>
        <w:rPr>
          <w:rFonts w:ascii="宋体" w:hAnsi="宋体" w:cs="宋体"/>
          <w:color w:val="000000" w:themeColor="text1"/>
          <w:szCs w:val="21"/>
          <w:highlight w:val="none"/>
          <w14:textFill>
            <w14:solidFill>
              <w14:schemeClr w14:val="tx1"/>
            </w14:solidFill>
          </w14:textFill>
        </w:rPr>
        <w:t xml:space="preserve">                             </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日</w:t>
      </w:r>
      <w:r>
        <w:rPr>
          <w:rFonts w:ascii="宋体" w:hAnsi="宋体" w:cs="宋体"/>
          <w:color w:val="000000" w:themeColor="text1"/>
          <w:szCs w:val="21"/>
          <w:highlight w:val="none"/>
          <w14:textFill>
            <w14:solidFill>
              <w14:schemeClr w14:val="tx1"/>
            </w14:solidFill>
          </w14:textFill>
        </w:rPr>
        <w:t xml:space="preserve">  期：                             </w:t>
      </w:r>
    </w:p>
    <w:p>
      <w:pPr>
        <w:spacing w:line="360" w:lineRule="auto"/>
        <w:rPr>
          <w:rFonts w:ascii="宋体" w:hAnsi="宋体" w:cs="宋体"/>
          <w:bCs/>
          <w:color w:val="000000" w:themeColor="text1"/>
          <w:szCs w:val="21"/>
          <w:highlight w:val="none"/>
          <w14:textFill>
            <w14:solidFill>
              <w14:schemeClr w14:val="tx1"/>
            </w14:solidFill>
          </w14:textFill>
        </w:rPr>
      </w:pPr>
    </w:p>
    <w:p>
      <w:pPr>
        <w:adjustRightInd w:val="0"/>
        <w:snapToGrid w:val="0"/>
        <w:spacing w:line="360" w:lineRule="auto"/>
        <w:ind w:right="1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承包人（公章）：</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法定代表人（或其委托代理人）：</w:t>
      </w:r>
      <w:r>
        <w:rPr>
          <w:rFonts w:ascii="宋体" w:hAnsi="宋体" w:cs="宋体"/>
          <w:color w:val="000000" w:themeColor="text1"/>
          <w:szCs w:val="21"/>
          <w:highlight w:val="none"/>
          <w14:textFill>
            <w14:solidFill>
              <w14:schemeClr w14:val="tx1"/>
            </w14:solidFill>
          </w14:textFill>
        </w:rPr>
        <w:t xml:space="preserve">        </w:t>
      </w:r>
    </w:p>
    <w:p>
      <w:pPr>
        <w:spacing w:line="360" w:lineRule="auto"/>
        <w:rPr>
          <w:rFonts w:ascii="宋体" w:hAnsi="宋体" w:cs="宋体"/>
          <w:color w:val="000000" w:themeColor="text1"/>
          <w:szCs w:val="21"/>
          <w:highlight w:val="none"/>
          <w:u w:val="singl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（签章）</w:t>
      </w:r>
      <w:r>
        <w:rPr>
          <w:rFonts w:ascii="宋体" w:hAnsi="宋体" w:cs="宋体"/>
          <w:color w:val="000000" w:themeColor="text1"/>
          <w:szCs w:val="21"/>
          <w:highlight w:val="none"/>
          <w14:textFill>
            <w14:solidFill>
              <w14:schemeClr w14:val="tx1"/>
            </w14:solidFill>
          </w14:textFill>
        </w:rPr>
        <w:t xml:space="preserve">                              </w:t>
      </w:r>
    </w:p>
    <w:p>
      <w:pPr>
        <w:wordWrap w:val="0"/>
        <w:rPr>
          <w:rFonts w:ascii="宋体" w:hAnsi="宋体" w:cs="仿宋"/>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日  期：                              </w:t>
      </w:r>
    </w:p>
    <w:p>
      <w:pPr>
        <w:autoSpaceDE w:val="0"/>
        <w:autoSpaceDN w:val="0"/>
        <w:adjustRightInd w:val="0"/>
        <w:spacing w:before="156" w:beforeLines="50" w:after="156" w:afterLines="50" w:line="360" w:lineRule="auto"/>
        <w:jc w:val="left"/>
        <w:outlineLvl w:val="1"/>
        <w:rPr>
          <w:color w:val="000000" w:themeColor="text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br w:type="page"/>
      </w:r>
      <w:bookmarkStart w:id="1602" w:name="_Toc370668055"/>
      <w:bookmarkStart w:id="1603" w:name="_Toc147856242"/>
      <w:r>
        <w:rPr>
          <w:rFonts w:hint="eastAsia" w:ascii="宋体" w:hAnsi="宋体" w:cs="宋体"/>
          <w:snapToGrid w:val="0"/>
          <w:color w:val="000000" w:themeColor="text1"/>
          <w:kern w:val="0"/>
          <w:szCs w:val="21"/>
          <w:highlight w:val="none"/>
          <w14:textFill>
            <w14:solidFill>
              <w14:schemeClr w14:val="tx1"/>
            </w14:solidFill>
          </w14:textFill>
        </w:rPr>
        <w:t>附件</w:t>
      </w:r>
      <w:r>
        <w:rPr>
          <w:rFonts w:ascii="宋体" w:hAnsi="宋体" w:cs="宋体"/>
          <w:snapToGrid w:val="0"/>
          <w:color w:val="000000" w:themeColor="text1"/>
          <w:kern w:val="0"/>
          <w:szCs w:val="21"/>
          <w:highlight w:val="none"/>
          <w14:textFill>
            <w14:solidFill>
              <w14:schemeClr w14:val="tx1"/>
            </w14:solidFill>
          </w14:textFill>
        </w:rPr>
        <w:t>3</w:t>
      </w:r>
      <w:r>
        <w:rPr>
          <w:rFonts w:hint="eastAsia" w:ascii="宋体" w:hAnsi="宋体" w:cs="宋体"/>
          <w:snapToGrid w:val="0"/>
          <w:color w:val="000000" w:themeColor="text1"/>
          <w:kern w:val="0"/>
          <w:szCs w:val="21"/>
          <w:highlight w:val="none"/>
          <w14:textFill>
            <w14:solidFill>
              <w14:schemeClr w14:val="tx1"/>
            </w14:solidFill>
          </w14:textFill>
        </w:rPr>
        <w:t>：</w:t>
      </w:r>
      <w:r>
        <w:rPr>
          <w:rFonts w:hint="eastAsia" w:ascii="宋体" w:hAnsi="宋体" w:cs="宋体"/>
          <w:snapToGrid w:val="0"/>
          <w:color w:val="000000" w:themeColor="text1"/>
          <w:kern w:val="0"/>
          <w:szCs w:val="21"/>
          <w:highlight w:val="none"/>
          <w:lang w:eastAsia="zh-Hans"/>
          <w14:textFill>
            <w14:solidFill>
              <w14:schemeClr w14:val="tx1"/>
            </w14:solidFill>
          </w14:textFill>
        </w:rPr>
        <w:t>安</w:t>
      </w:r>
      <w:r>
        <w:rPr>
          <w:rFonts w:hint="eastAsia" w:ascii="宋体" w:hAnsi="宋体" w:cs="宋体"/>
          <w:snapToGrid w:val="0"/>
          <w:color w:val="000000" w:themeColor="text1"/>
          <w:kern w:val="0"/>
          <w:szCs w:val="21"/>
          <w:highlight w:val="none"/>
          <w14:textFill>
            <w14:solidFill>
              <w14:schemeClr w14:val="tx1"/>
            </w14:solidFill>
          </w14:textFill>
        </w:rPr>
        <w:t>全生产合同</w:t>
      </w:r>
      <w:bookmarkEnd w:id="1602"/>
      <w:bookmarkEnd w:id="1603"/>
    </w:p>
    <w:p>
      <w:pPr>
        <w:spacing w:before="156" w:beforeLines="50" w:after="156" w:afterLines="50" w:line="360" w:lineRule="auto"/>
        <w:jc w:val="center"/>
        <w:rPr>
          <w:rFonts w:ascii="宋体" w:hAnsi="宋体" w:cs="宋体"/>
          <w:b/>
          <w:color w:val="000000" w:themeColor="text1"/>
          <w:sz w:val="30"/>
          <w:szCs w:val="30"/>
          <w:highlight w:val="none"/>
          <w14:textFill>
            <w14:solidFill>
              <w14:schemeClr w14:val="tx1"/>
            </w14:solidFill>
          </w14:textFill>
        </w:rPr>
      </w:pPr>
      <w:r>
        <w:rPr>
          <w:rFonts w:hint="eastAsia" w:ascii="宋体" w:hAnsi="宋体" w:cs="宋体"/>
          <w:b/>
          <w:bCs/>
          <w:color w:val="000000" w:themeColor="text1"/>
          <w:kern w:val="0"/>
          <w:sz w:val="30"/>
          <w:szCs w:val="30"/>
          <w:highlight w:val="none"/>
          <w:lang w:val="zh-CN"/>
          <w14:textFill>
            <w14:solidFill>
              <w14:schemeClr w14:val="tx1"/>
            </w14:solidFill>
          </w14:textFill>
        </w:rPr>
        <w:t>安全生产合同</w:t>
      </w:r>
    </w:p>
    <w:p>
      <w:pPr>
        <w:autoSpaceDE w:val="0"/>
        <w:autoSpaceDN w:val="0"/>
        <w:adjustRightInd w:val="0"/>
        <w:snapToGrid w:val="0"/>
        <w:spacing w:line="360" w:lineRule="auto"/>
        <w:ind w:right="11"/>
        <w:rPr>
          <w:rFonts w:ascii="宋体" w:hAnsi="宋体" w:cs="宋体"/>
          <w:b/>
          <w:snapToGrid w:val="0"/>
          <w:color w:val="000000" w:themeColor="text1"/>
          <w:kern w:val="0"/>
          <w:szCs w:val="21"/>
          <w:highlight w:val="none"/>
          <w:lang w:val="zh-CN"/>
          <w14:textFill>
            <w14:solidFill>
              <w14:schemeClr w14:val="tx1"/>
            </w14:solidFill>
          </w14:textFill>
        </w:rPr>
      </w:pPr>
      <w:r>
        <w:rPr>
          <w:rFonts w:hint="eastAsia" w:ascii="宋体" w:hAnsi="宋体" w:cs="宋体"/>
          <w:b/>
          <w:snapToGrid w:val="0"/>
          <w:color w:val="000000" w:themeColor="text1"/>
          <w:kern w:val="0"/>
          <w:szCs w:val="21"/>
          <w:highlight w:val="none"/>
          <w:lang w:val="zh-CN"/>
          <w14:textFill>
            <w14:solidFill>
              <w14:schemeClr w14:val="tx1"/>
            </w14:solidFill>
          </w14:textFill>
        </w:rPr>
        <w:t>发包人：广州南沙交通投资集团有限公司</w:t>
      </w:r>
    </w:p>
    <w:p>
      <w:pPr>
        <w:autoSpaceDE w:val="0"/>
        <w:autoSpaceDN w:val="0"/>
        <w:adjustRightInd w:val="0"/>
        <w:snapToGrid w:val="0"/>
        <w:spacing w:line="360" w:lineRule="auto"/>
        <w:ind w:left="1920" w:right="11" w:hanging="1920"/>
        <w:rPr>
          <w:rFonts w:ascii="宋体" w:hAnsi="宋体" w:cs="宋体"/>
          <w:b/>
          <w:snapToGrid w:val="0"/>
          <w:color w:val="000000" w:themeColor="text1"/>
          <w:kern w:val="0"/>
          <w:szCs w:val="21"/>
          <w:highlight w:val="none"/>
          <w14:textFill>
            <w14:solidFill>
              <w14:schemeClr w14:val="tx1"/>
            </w14:solidFill>
          </w14:textFill>
        </w:rPr>
      </w:pPr>
      <w:r>
        <w:rPr>
          <w:rFonts w:hint="eastAsia" w:ascii="宋体" w:hAnsi="宋体" w:cs="宋体"/>
          <w:b/>
          <w:snapToGrid w:val="0"/>
          <w:color w:val="000000" w:themeColor="text1"/>
          <w:kern w:val="0"/>
          <w:szCs w:val="21"/>
          <w:highlight w:val="none"/>
          <w:lang w:val="zh-CN"/>
          <w14:textFill>
            <w14:solidFill>
              <w14:schemeClr w14:val="tx1"/>
            </w14:solidFill>
          </w14:textFill>
        </w:rPr>
        <w:t>承包人：</w:t>
      </w:r>
    </w:p>
    <w:p>
      <w:pPr>
        <w:autoSpaceDE w:val="0"/>
        <w:autoSpaceDN w:val="0"/>
        <w:adjustRightInd w:val="0"/>
        <w:snapToGrid w:val="0"/>
        <w:spacing w:line="360" w:lineRule="auto"/>
        <w:ind w:right="11"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为确保实施过程中的安全，发包人（以下称发包人）与承包人（以下称承包人），特签订本安全生产合同，明确双方职责。</w:t>
      </w:r>
    </w:p>
    <w:p>
      <w:pPr>
        <w:tabs>
          <w:tab w:val="left" w:pos="480"/>
        </w:tabs>
        <w:autoSpaceDE w:val="0"/>
        <w:autoSpaceDN w:val="0"/>
        <w:adjustRightInd w:val="0"/>
        <w:snapToGrid w:val="0"/>
        <w:spacing w:line="360" w:lineRule="auto"/>
        <w:ind w:left="461"/>
        <w:rPr>
          <w:rFonts w:ascii="宋体" w:hAnsi="宋体" w:cs="宋体"/>
          <w:b/>
          <w:snapToGrid w:val="0"/>
          <w:color w:val="000000" w:themeColor="text1"/>
          <w:kern w:val="0"/>
          <w:szCs w:val="21"/>
          <w:highlight w:val="none"/>
          <w:lang w:val="zh-CN"/>
          <w14:textFill>
            <w14:solidFill>
              <w14:schemeClr w14:val="tx1"/>
            </w14:solidFill>
          </w14:textFill>
        </w:rPr>
      </w:pPr>
      <w:r>
        <w:rPr>
          <w:rFonts w:hint="eastAsia" w:ascii="宋体" w:hAnsi="宋体" w:cs="宋体"/>
          <w:b/>
          <w:snapToGrid w:val="0"/>
          <w:color w:val="000000" w:themeColor="text1"/>
          <w:kern w:val="0"/>
          <w:szCs w:val="21"/>
          <w:highlight w:val="none"/>
          <w:lang w:val="zh-CN"/>
          <w14:textFill>
            <w14:solidFill>
              <w14:schemeClr w14:val="tx1"/>
            </w14:solidFill>
          </w14:textFill>
        </w:rPr>
        <w:t>一、发包人职责</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（一）认真履行《建设工程安全生产管理条例》规定的安全责任及执行工程承包合同中的有关安全条款。</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（二）重要的安全设施必须坚持与主体工程“三同时”的原则，即：同时设计、审批；同时施工；同时验收，投入使用。</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（三）定期召开安全生产会议，指出施工现场存在的安全隐患，及时传达上级关于安全文明施工的要求。</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（四）组织对承包人施工现场安全生产检查，监督承包人及时排除各种安全隐患。</w:t>
      </w:r>
    </w:p>
    <w:p>
      <w:pPr>
        <w:autoSpaceDE w:val="0"/>
        <w:autoSpaceDN w:val="0"/>
        <w:adjustRightInd w:val="0"/>
        <w:snapToGrid w:val="0"/>
        <w:spacing w:line="360" w:lineRule="auto"/>
        <w:ind w:firstLine="422" w:firstLineChars="200"/>
        <w:rPr>
          <w:rFonts w:ascii="宋体" w:hAnsi="宋体" w:cs="宋体"/>
          <w:b/>
          <w:snapToGrid w:val="0"/>
          <w:color w:val="000000" w:themeColor="text1"/>
          <w:kern w:val="0"/>
          <w:szCs w:val="21"/>
          <w:highlight w:val="none"/>
          <w:lang w:val="zh-CN"/>
          <w14:textFill>
            <w14:solidFill>
              <w14:schemeClr w14:val="tx1"/>
            </w14:solidFill>
          </w14:textFill>
        </w:rPr>
      </w:pPr>
      <w:r>
        <w:rPr>
          <w:rFonts w:hint="eastAsia" w:ascii="宋体" w:hAnsi="宋体" w:cs="宋体"/>
          <w:b/>
          <w:snapToGrid w:val="0"/>
          <w:color w:val="000000" w:themeColor="text1"/>
          <w:kern w:val="0"/>
          <w:szCs w:val="21"/>
          <w:highlight w:val="none"/>
          <w:lang w:val="zh-CN"/>
          <w14:textFill>
            <w14:solidFill>
              <w14:schemeClr w14:val="tx1"/>
            </w14:solidFill>
          </w14:textFill>
        </w:rPr>
        <w:t>二、承包人职责</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（一）认真履行《建设工程安全生产管理条例》规定的安全责任及执行工程承包合同中的有关安全条款。</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（二）坚持</w:t>
      </w:r>
      <w:r>
        <w:rPr>
          <w:rFonts w:hint="eastAsia" w:ascii="宋体" w:hAnsi="宋体" w:cs="宋体"/>
          <w:snapToGrid w:val="0"/>
          <w:color w:val="000000" w:themeColor="text1"/>
          <w:kern w:val="0"/>
          <w:szCs w:val="21"/>
          <w:highlight w:val="none"/>
          <w14:textFill>
            <w14:solidFill>
              <w14:schemeClr w14:val="tx1"/>
            </w14:solidFill>
          </w14:textFill>
        </w:rPr>
        <w:t>“</w:t>
      </w:r>
      <w:r>
        <w:rPr>
          <w:rFonts w:hint="eastAsia" w:ascii="宋体" w:hAnsi="宋体" w:cs="宋体"/>
          <w:snapToGrid w:val="0"/>
          <w:color w:val="000000" w:themeColor="text1"/>
          <w:kern w:val="0"/>
          <w:szCs w:val="21"/>
          <w:highlight w:val="none"/>
          <w:lang w:val="zh-CN"/>
          <w14:textFill>
            <w14:solidFill>
              <w14:schemeClr w14:val="tx1"/>
            </w14:solidFill>
          </w14:textFill>
        </w:rPr>
        <w:t>安全</w:t>
      </w:r>
      <w:r>
        <w:rPr>
          <w:rFonts w:hint="eastAsia" w:ascii="宋体" w:hAnsi="宋体" w:cs="宋体"/>
          <w:snapToGrid w:val="0"/>
          <w:color w:val="000000" w:themeColor="text1"/>
          <w:kern w:val="0"/>
          <w:szCs w:val="21"/>
          <w:highlight w:val="none"/>
          <w14:textFill>
            <w14:solidFill>
              <w14:schemeClr w14:val="tx1"/>
            </w14:solidFill>
          </w14:textFill>
        </w:rPr>
        <w:t>第一</w:t>
      </w:r>
      <w:r>
        <w:rPr>
          <w:rFonts w:hint="eastAsia" w:ascii="宋体" w:hAnsi="宋体" w:cs="宋体"/>
          <w:snapToGrid w:val="0"/>
          <w:color w:val="000000" w:themeColor="text1"/>
          <w:kern w:val="0"/>
          <w:szCs w:val="21"/>
          <w:highlight w:val="none"/>
          <w:lang w:val="zh-CN"/>
          <w14:textFill>
            <w14:solidFill>
              <w14:schemeClr w14:val="tx1"/>
            </w14:solidFill>
          </w14:textFill>
        </w:rPr>
        <w:t>、预防为主</w:t>
      </w:r>
      <w:r>
        <w:rPr>
          <w:rFonts w:hint="eastAsia" w:ascii="宋体" w:hAnsi="宋体" w:cs="宋体"/>
          <w:snapToGrid w:val="0"/>
          <w:color w:val="000000" w:themeColor="text1"/>
          <w:kern w:val="0"/>
          <w:szCs w:val="21"/>
          <w:highlight w:val="none"/>
          <w14:textFill>
            <w14:solidFill>
              <w14:schemeClr w14:val="tx1"/>
            </w14:solidFill>
          </w14:textFill>
        </w:rPr>
        <w:t>”</w:t>
      </w:r>
      <w:r>
        <w:rPr>
          <w:rFonts w:hint="eastAsia" w:ascii="宋体" w:hAnsi="宋体" w:cs="宋体"/>
          <w:snapToGrid w:val="0"/>
          <w:color w:val="000000" w:themeColor="text1"/>
          <w:kern w:val="0"/>
          <w:szCs w:val="21"/>
          <w:highlight w:val="none"/>
          <w:lang w:val="zh-CN"/>
          <w14:textFill>
            <w14:solidFill>
              <w14:schemeClr w14:val="tx1"/>
            </w14:solidFill>
          </w14:textFill>
        </w:rPr>
        <w:t>和</w:t>
      </w:r>
      <w:r>
        <w:rPr>
          <w:rFonts w:hint="eastAsia" w:ascii="宋体" w:hAnsi="宋体" w:cs="宋体"/>
          <w:snapToGrid w:val="0"/>
          <w:color w:val="000000" w:themeColor="text1"/>
          <w:kern w:val="0"/>
          <w:szCs w:val="21"/>
          <w:highlight w:val="none"/>
          <w14:textFill>
            <w14:solidFill>
              <w14:schemeClr w14:val="tx1"/>
            </w14:solidFill>
          </w14:textFill>
        </w:rPr>
        <w:t>“</w:t>
      </w:r>
      <w:r>
        <w:rPr>
          <w:rFonts w:hint="eastAsia" w:ascii="宋体" w:hAnsi="宋体" w:cs="宋体"/>
          <w:snapToGrid w:val="0"/>
          <w:color w:val="000000" w:themeColor="text1"/>
          <w:kern w:val="0"/>
          <w:szCs w:val="21"/>
          <w:highlight w:val="none"/>
          <w:lang w:val="zh-CN"/>
          <w14:textFill>
            <w14:solidFill>
              <w14:schemeClr w14:val="tx1"/>
            </w14:solidFill>
          </w14:textFill>
        </w:rPr>
        <w:t>管生产必须管安全</w:t>
      </w:r>
      <w:r>
        <w:rPr>
          <w:rFonts w:hint="eastAsia" w:ascii="宋体" w:hAnsi="宋体" w:cs="宋体"/>
          <w:snapToGrid w:val="0"/>
          <w:color w:val="000000" w:themeColor="text1"/>
          <w:kern w:val="0"/>
          <w:szCs w:val="21"/>
          <w:highlight w:val="none"/>
          <w14:textFill>
            <w14:solidFill>
              <w14:schemeClr w14:val="tx1"/>
            </w14:solidFill>
          </w14:textFill>
        </w:rPr>
        <w:t>”</w:t>
      </w:r>
      <w:r>
        <w:rPr>
          <w:rFonts w:hint="eastAsia" w:ascii="宋体" w:hAnsi="宋体" w:cs="宋体"/>
          <w:snapToGrid w:val="0"/>
          <w:color w:val="000000" w:themeColor="text1"/>
          <w:kern w:val="0"/>
          <w:szCs w:val="21"/>
          <w:highlight w:val="none"/>
          <w:lang w:val="zh-CN"/>
          <w14:textFill>
            <w14:solidFill>
              <w14:schemeClr w14:val="tx1"/>
            </w14:solidFill>
          </w14:textFill>
        </w:rPr>
        <w:t>的原则，加强安全生产宣传教育，增强全员安全生产意识，建立健全各项安全生产管理制度，配备专职安全管理人员，有组织有领导地开展安全生产活动。项目经理、工程技术人员、生产管理人员和具体操作人员，必须熟悉和遵守安全生产的各项规定，做到生产与安全工作同时计划、布置、检查、总结和评比。</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（三）建立</w:t>
      </w:r>
      <w:r>
        <w:rPr>
          <w:rFonts w:hint="eastAsia" w:ascii="宋体" w:hAnsi="宋体" w:cs="宋体"/>
          <w:snapToGrid w:val="0"/>
          <w:color w:val="000000" w:themeColor="text1"/>
          <w:kern w:val="0"/>
          <w:szCs w:val="21"/>
          <w:highlight w:val="none"/>
          <w14:textFill>
            <w14:solidFill>
              <w14:schemeClr w14:val="tx1"/>
            </w14:solidFill>
          </w14:textFill>
        </w:rPr>
        <w:t>安全生产</w:t>
      </w:r>
      <w:r>
        <w:rPr>
          <w:rFonts w:hint="eastAsia" w:ascii="宋体" w:hAnsi="宋体" w:cs="宋体"/>
          <w:snapToGrid w:val="0"/>
          <w:color w:val="000000" w:themeColor="text1"/>
          <w:kern w:val="0"/>
          <w:szCs w:val="21"/>
          <w:highlight w:val="none"/>
          <w:lang w:val="zh-CN"/>
          <w14:textFill>
            <w14:solidFill>
              <w14:schemeClr w14:val="tx1"/>
            </w14:solidFill>
          </w14:textFill>
        </w:rPr>
        <w:t>保证体系，健全安全生产责任制，从派驻项目的项目经理到生产工人（包括临时雇请的农民工）及各职能部门都必须有明确的安全责任，项目经理是安全生产的第一责任人。现场设置安全管理机构：应按规定配备足够的专职安全员，专职负责所有的安全和治安保卫工作及预防事故的发生。安全机构人员，有权按有关规定发布指令，并采取保护性措施防止事故发生。</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（四）</w:t>
      </w:r>
      <w:r>
        <w:rPr>
          <w:rFonts w:hint="eastAsia" w:ascii="宋体" w:hAnsi="宋体" w:cs="宋体"/>
          <w:snapToGrid w:val="0"/>
          <w:color w:val="000000" w:themeColor="text1"/>
          <w:kern w:val="0"/>
          <w:szCs w:val="21"/>
          <w:highlight w:val="none"/>
          <w14:textFill>
            <w14:solidFill>
              <w14:schemeClr w14:val="tx1"/>
            </w14:solidFill>
          </w14:textFill>
        </w:rPr>
        <w:t>有责任采取各种合理的预防措施，防止其员工发生各种违法、违禁、暴力或妨碍治安的行为。</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14:textFill>
            <w14:solidFill>
              <w14:schemeClr w14:val="tx1"/>
            </w14:solidFill>
          </w14:textFill>
        </w:rPr>
        <w:t>（五）参加施工的人员，必须接受安全技术教育，熟知和遵守所在岗位（工种）的各项安全技术操作规程，定期进行安全技术考核。对于从事电气、</w:t>
      </w:r>
      <w:r>
        <w:rPr>
          <w:rFonts w:hint="eastAsia" w:ascii="宋体" w:hAnsi="宋体" w:cs="宋体"/>
          <w:snapToGrid w:val="0"/>
          <w:color w:val="000000" w:themeColor="text1"/>
          <w:kern w:val="0"/>
          <w:szCs w:val="21"/>
          <w:highlight w:val="none"/>
          <w:lang w:val="zh-CN"/>
          <w14:textFill>
            <w14:solidFill>
              <w14:schemeClr w14:val="tx1"/>
            </w14:solidFill>
          </w14:textFill>
        </w:rPr>
        <w:t>起重、登高作业、焊接等特殊工种的人员，须经过专业培训，获得《安全操作合格证》后，方准上岗。施工现场如出现特种行业无证上岗时，项目经理必须承担责任。</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（六）对于</w:t>
      </w:r>
      <w:r>
        <w:rPr>
          <w:rFonts w:hint="eastAsia" w:ascii="宋体" w:hAnsi="宋体" w:cs="宋体"/>
          <w:snapToGrid w:val="0"/>
          <w:color w:val="000000" w:themeColor="text1"/>
          <w:kern w:val="0"/>
          <w:szCs w:val="21"/>
          <w:highlight w:val="none"/>
          <w14:textFill>
            <w14:solidFill>
              <w14:schemeClr w14:val="tx1"/>
            </w14:solidFill>
          </w14:textFill>
        </w:rPr>
        <w:t>易燃易爆</w:t>
      </w:r>
      <w:r>
        <w:rPr>
          <w:rFonts w:hint="eastAsia" w:ascii="宋体" w:hAnsi="宋体" w:cs="宋体"/>
          <w:snapToGrid w:val="0"/>
          <w:color w:val="000000" w:themeColor="text1"/>
          <w:kern w:val="0"/>
          <w:szCs w:val="21"/>
          <w:highlight w:val="none"/>
          <w:lang w:val="zh-CN"/>
          <w14:textFill>
            <w14:solidFill>
              <w14:schemeClr w14:val="tx1"/>
            </w14:solidFill>
          </w14:textFill>
        </w:rPr>
        <w:t>的材料除应专门妥善保管之外，还应配备足够的消防设施，所有施工人员都应熟悉消防设备的性能和使用方法；承包人不能将任何种类的爆炸物给予、易货或以其它方式转让给任何其它人，或允许、容忍上述同样行为。</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（七）</w:t>
      </w:r>
      <w:r>
        <w:rPr>
          <w:rFonts w:hint="eastAsia" w:ascii="宋体" w:hAnsi="宋体" w:cs="宋体"/>
          <w:snapToGrid w:val="0"/>
          <w:color w:val="000000" w:themeColor="text1"/>
          <w:kern w:val="0"/>
          <w:szCs w:val="21"/>
          <w:highlight w:val="none"/>
          <w14:textFill>
            <w14:solidFill>
              <w14:schemeClr w14:val="tx1"/>
            </w14:solidFill>
          </w14:textFill>
        </w:rPr>
        <w:t>操作</w:t>
      </w:r>
      <w:r>
        <w:rPr>
          <w:rFonts w:hint="eastAsia" w:ascii="宋体" w:hAnsi="宋体" w:cs="宋体"/>
          <w:snapToGrid w:val="0"/>
          <w:color w:val="000000" w:themeColor="text1"/>
          <w:kern w:val="0"/>
          <w:szCs w:val="21"/>
          <w:highlight w:val="none"/>
          <w:lang w:val="zh-CN"/>
          <w14:textFill>
            <w14:solidFill>
              <w14:schemeClr w14:val="tx1"/>
            </w14:solidFill>
          </w14:textFill>
        </w:rPr>
        <w:t>人员上岗，必须按规定穿戴安全帽等防护用品。项目经理和专职安全员应随时检查劳动防护用品的穿戴情况，不按规定穿戴防护用品的人员不得上岗。</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（八）所有施工</w:t>
      </w:r>
      <w:r>
        <w:rPr>
          <w:rFonts w:hint="eastAsia" w:ascii="宋体" w:hAnsi="宋体" w:cs="宋体"/>
          <w:snapToGrid w:val="0"/>
          <w:color w:val="000000" w:themeColor="text1"/>
          <w:kern w:val="0"/>
          <w:szCs w:val="21"/>
          <w:highlight w:val="none"/>
          <w14:textFill>
            <w14:solidFill>
              <w14:schemeClr w14:val="tx1"/>
            </w14:solidFill>
          </w14:textFill>
        </w:rPr>
        <w:t>机具</w:t>
      </w:r>
      <w:r>
        <w:rPr>
          <w:rFonts w:hint="eastAsia" w:ascii="宋体" w:hAnsi="宋体" w:cs="宋体"/>
          <w:snapToGrid w:val="0"/>
          <w:color w:val="000000" w:themeColor="text1"/>
          <w:kern w:val="0"/>
          <w:szCs w:val="21"/>
          <w:highlight w:val="none"/>
          <w:lang w:val="zh-CN"/>
          <w14:textFill>
            <w14:solidFill>
              <w14:schemeClr w14:val="tx1"/>
            </w14:solidFill>
          </w14:textFill>
        </w:rPr>
        <w:t>设备和高处作业的设备均应定期检查，并有安全员的签名记录，保证其经常处于完好状态，不合格的机具、设备和劳动保护用品严禁使用。</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（九）施工中采用新技术、新工艺、新设备、新材料，必须制定相应的安全技术措施。施工现场必须按规定有针对性地悬挂安全标志牌。</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（十）承包人</w:t>
      </w:r>
      <w:r>
        <w:rPr>
          <w:rFonts w:hint="eastAsia" w:ascii="宋体" w:hAnsi="宋体" w:cs="宋体"/>
          <w:snapToGrid w:val="0"/>
          <w:color w:val="000000" w:themeColor="text1"/>
          <w:kern w:val="0"/>
          <w:szCs w:val="21"/>
          <w:highlight w:val="none"/>
          <w14:textFill>
            <w14:solidFill>
              <w14:schemeClr w14:val="tx1"/>
            </w14:solidFill>
          </w14:textFill>
        </w:rPr>
        <w:t>必须</w:t>
      </w:r>
      <w:r>
        <w:rPr>
          <w:rFonts w:hint="eastAsia" w:ascii="宋体" w:hAnsi="宋体" w:cs="宋体"/>
          <w:snapToGrid w:val="0"/>
          <w:color w:val="000000" w:themeColor="text1"/>
          <w:kern w:val="0"/>
          <w:szCs w:val="21"/>
          <w:highlight w:val="none"/>
          <w:lang w:val="zh-CN"/>
          <w14:textFill>
            <w14:solidFill>
              <w14:schemeClr w14:val="tx1"/>
            </w14:solidFill>
          </w14:textFill>
        </w:rPr>
        <w:t>按照本工程项目特点，制定安全事故应急救援预案；如果发生安全事故，应按照《建设工程安全管理条例》的有关规定上报有关部门，并按照</w:t>
      </w:r>
      <w:r>
        <w:rPr>
          <w:rFonts w:hint="eastAsia" w:ascii="宋体" w:hAnsi="宋体" w:cs="宋体"/>
          <w:snapToGrid w:val="0"/>
          <w:color w:val="000000" w:themeColor="text1"/>
          <w:kern w:val="0"/>
          <w:szCs w:val="21"/>
          <w:highlight w:val="none"/>
          <w14:textFill>
            <w14:solidFill>
              <w14:schemeClr w14:val="tx1"/>
            </w14:solidFill>
          </w14:textFill>
        </w:rPr>
        <w:t>“</w:t>
      </w:r>
      <w:r>
        <w:rPr>
          <w:rFonts w:hint="eastAsia" w:ascii="宋体" w:hAnsi="宋体" w:cs="宋体"/>
          <w:snapToGrid w:val="0"/>
          <w:color w:val="000000" w:themeColor="text1"/>
          <w:kern w:val="0"/>
          <w:szCs w:val="21"/>
          <w:highlight w:val="none"/>
          <w:lang w:val="zh-CN"/>
          <w14:textFill>
            <w14:solidFill>
              <w14:schemeClr w14:val="tx1"/>
            </w14:solidFill>
          </w14:textFill>
        </w:rPr>
        <w:t>四不放过</w:t>
      </w:r>
      <w:r>
        <w:rPr>
          <w:rFonts w:hint="eastAsia" w:ascii="宋体" w:hAnsi="宋体" w:cs="宋体"/>
          <w:snapToGrid w:val="0"/>
          <w:color w:val="000000" w:themeColor="text1"/>
          <w:kern w:val="0"/>
          <w:szCs w:val="21"/>
          <w:highlight w:val="none"/>
          <w14:textFill>
            <w14:solidFill>
              <w14:schemeClr w14:val="tx1"/>
            </w14:solidFill>
          </w14:textFill>
        </w:rPr>
        <w:t>”</w:t>
      </w:r>
      <w:r>
        <w:rPr>
          <w:rFonts w:hint="eastAsia" w:ascii="宋体" w:hAnsi="宋体" w:cs="宋体"/>
          <w:snapToGrid w:val="0"/>
          <w:color w:val="000000" w:themeColor="text1"/>
          <w:kern w:val="0"/>
          <w:szCs w:val="21"/>
          <w:highlight w:val="none"/>
          <w:lang w:val="zh-CN"/>
          <w14:textFill>
            <w14:solidFill>
              <w14:schemeClr w14:val="tx1"/>
            </w14:solidFill>
          </w14:textFill>
        </w:rPr>
        <w:t>的原则调查处理。</w:t>
      </w:r>
    </w:p>
    <w:p>
      <w:pPr>
        <w:autoSpaceDE w:val="0"/>
        <w:autoSpaceDN w:val="0"/>
        <w:adjustRightInd w:val="0"/>
        <w:snapToGrid w:val="0"/>
        <w:spacing w:line="360" w:lineRule="auto"/>
        <w:ind w:firstLine="422" w:firstLineChars="200"/>
        <w:rPr>
          <w:rFonts w:ascii="宋体" w:hAnsi="宋体" w:cs="宋体"/>
          <w:b/>
          <w:snapToGrid w:val="0"/>
          <w:color w:val="000000" w:themeColor="text1"/>
          <w:kern w:val="0"/>
          <w:szCs w:val="21"/>
          <w:highlight w:val="none"/>
          <w:lang w:val="zh-CN"/>
          <w14:textFill>
            <w14:solidFill>
              <w14:schemeClr w14:val="tx1"/>
            </w14:solidFill>
          </w14:textFill>
        </w:rPr>
      </w:pPr>
      <w:r>
        <w:rPr>
          <w:rFonts w:hint="eastAsia" w:ascii="宋体" w:hAnsi="宋体" w:cs="宋体"/>
          <w:b/>
          <w:snapToGrid w:val="0"/>
          <w:color w:val="000000" w:themeColor="text1"/>
          <w:kern w:val="0"/>
          <w:szCs w:val="21"/>
          <w:highlight w:val="none"/>
          <w:lang w:val="zh-CN"/>
          <w14:textFill>
            <w14:solidFill>
              <w14:schemeClr w14:val="tx1"/>
            </w14:solidFill>
          </w14:textFill>
        </w:rPr>
        <w:t>三、违约责任</w:t>
      </w:r>
    </w:p>
    <w:p>
      <w:pPr>
        <w:autoSpaceDE w:val="0"/>
        <w:autoSpaceDN w:val="0"/>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如因发包人或承包人失职违约，将依据《建设工程安全管理条例》、合同及有关规定追究责任。</w:t>
      </w:r>
    </w:p>
    <w:p>
      <w:pPr>
        <w:adjustRightInd w:val="0"/>
        <w:snapToGrid w:val="0"/>
        <w:spacing w:line="360" w:lineRule="auto"/>
        <w:ind w:firstLine="420" w:firstLineChars="200"/>
        <w:rPr>
          <w:rFonts w:ascii="宋体" w:hAnsi="宋体" w:cs="宋体"/>
          <w:snapToGrid w:val="0"/>
          <w:color w:val="000000" w:themeColor="text1"/>
          <w:kern w:val="0"/>
          <w:szCs w:val="21"/>
          <w:highlight w:val="none"/>
          <w:lang w:val="zh-CN"/>
          <w14:textFill>
            <w14:solidFill>
              <w14:schemeClr w14:val="tx1"/>
            </w14:solidFill>
          </w14:textFill>
        </w:rPr>
      </w:pPr>
      <w:r>
        <w:rPr>
          <w:rFonts w:hint="eastAsia" w:ascii="宋体" w:hAnsi="宋体" w:cs="宋体"/>
          <w:snapToGrid w:val="0"/>
          <w:color w:val="000000" w:themeColor="text1"/>
          <w:kern w:val="0"/>
          <w:szCs w:val="21"/>
          <w:highlight w:val="none"/>
          <w:lang w:val="zh-CN"/>
          <w14:textFill>
            <w14:solidFill>
              <w14:schemeClr w14:val="tx1"/>
            </w14:solidFill>
          </w14:textFill>
        </w:rPr>
        <w:t>本安全生产合同由双方</w:t>
      </w:r>
      <w:r>
        <w:rPr>
          <w:rFonts w:hint="eastAsia" w:ascii="宋体" w:hAnsi="宋体" w:cs="宋体"/>
          <w:snapToGrid w:val="0"/>
          <w:color w:val="000000" w:themeColor="text1"/>
          <w:kern w:val="0"/>
          <w:szCs w:val="21"/>
          <w:highlight w:val="none"/>
          <w14:textFill>
            <w14:solidFill>
              <w14:schemeClr w14:val="tx1"/>
            </w14:solidFill>
          </w14:textFill>
        </w:rPr>
        <w:t>法定代表人（或委托代理人）签字或加盖公章</w:t>
      </w:r>
      <w:r>
        <w:rPr>
          <w:rFonts w:hint="eastAsia" w:ascii="宋体" w:hAnsi="宋体" w:cs="宋体"/>
          <w:snapToGrid w:val="0"/>
          <w:color w:val="000000" w:themeColor="text1"/>
          <w:kern w:val="0"/>
          <w:szCs w:val="21"/>
          <w:highlight w:val="none"/>
          <w:lang w:val="zh-CN"/>
          <w14:textFill>
            <w14:solidFill>
              <w14:schemeClr w14:val="tx1"/>
            </w14:solidFill>
          </w14:textFill>
        </w:rPr>
        <w:t>后生效。工程竣工验收后失效。</w:t>
      </w:r>
    </w:p>
    <w:p>
      <w:pPr>
        <w:adjustRightInd w:val="0"/>
        <w:snapToGrid w:val="0"/>
        <w:spacing w:line="360" w:lineRule="auto"/>
        <w:ind w:right="11"/>
        <w:rPr>
          <w:rFonts w:ascii="宋体" w:hAnsi="宋体" w:cs="宋体"/>
          <w:color w:val="000000" w:themeColor="text1"/>
          <w:szCs w:val="21"/>
          <w:highlight w:val="none"/>
          <w:lang w:eastAsia="zh-Hans"/>
          <w14:textFill>
            <w14:solidFill>
              <w14:schemeClr w14:val="tx1"/>
            </w14:solidFill>
          </w14:textFill>
        </w:rPr>
      </w:pPr>
    </w:p>
    <w:p>
      <w:pPr>
        <w:adjustRightInd w:val="0"/>
        <w:snapToGrid w:val="0"/>
        <w:spacing w:line="360" w:lineRule="auto"/>
        <w:ind w:right="11"/>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（以下为签署处，无正文）</w:t>
      </w:r>
    </w:p>
    <w:p>
      <w:pPr>
        <w:adjustRightInd w:val="0"/>
        <w:snapToGrid w:val="0"/>
        <w:spacing w:line="360" w:lineRule="auto"/>
        <w:ind w:right="1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发包人（公章）：广州南沙交通投资集团有限公司</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法定代表人（或其委托代理人）：        </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（签章）                             </w:t>
      </w:r>
    </w:p>
    <w:p>
      <w:pPr>
        <w:spacing w:line="360" w:lineRule="auto"/>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地址：</w:t>
      </w:r>
    </w:p>
    <w:p>
      <w:pPr>
        <w:pStyle w:val="2"/>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联系人：</w:t>
      </w:r>
    </w:p>
    <w:p>
      <w:pPr>
        <w:rPr>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联系电话：</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日  期：                             </w:t>
      </w:r>
    </w:p>
    <w:p>
      <w:pPr>
        <w:spacing w:line="360" w:lineRule="auto"/>
        <w:rPr>
          <w:rFonts w:ascii="宋体" w:hAnsi="宋体" w:cs="宋体"/>
          <w:bCs/>
          <w:color w:val="000000" w:themeColor="text1"/>
          <w:szCs w:val="2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adjustRightInd w:val="0"/>
        <w:snapToGrid w:val="0"/>
        <w:spacing w:line="360" w:lineRule="auto"/>
        <w:ind w:right="1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承包人（公章）：</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法定代表人（或其委托代理人）：        </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（签章）                              </w:t>
      </w:r>
    </w:p>
    <w:p>
      <w:pPr>
        <w:spacing w:line="360" w:lineRule="auto"/>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地址：</w:t>
      </w:r>
    </w:p>
    <w:p>
      <w:pPr>
        <w:pStyle w:val="2"/>
        <w:rPr>
          <w:rFonts w:ascii="宋体" w:hAnsi="宋体" w:cs="宋体"/>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联系人：</w:t>
      </w:r>
    </w:p>
    <w:p>
      <w:pPr>
        <w:rPr>
          <w:color w:val="000000" w:themeColor="text1"/>
          <w:szCs w:val="21"/>
          <w:highlight w:val="none"/>
          <w:lang w:eastAsia="zh-Hans"/>
          <w14:textFill>
            <w14:solidFill>
              <w14:schemeClr w14:val="tx1"/>
            </w14:solidFill>
          </w14:textFill>
        </w:rPr>
      </w:pPr>
      <w:r>
        <w:rPr>
          <w:rFonts w:hint="eastAsia" w:ascii="宋体" w:hAnsi="宋体" w:cs="宋体"/>
          <w:color w:val="000000" w:themeColor="text1"/>
          <w:szCs w:val="21"/>
          <w:highlight w:val="none"/>
          <w:lang w:eastAsia="zh-Hans"/>
          <w14:textFill>
            <w14:solidFill>
              <w14:schemeClr w14:val="tx1"/>
            </w14:solidFill>
          </w14:textFill>
        </w:rPr>
        <w:t>联系电话：</w:t>
      </w:r>
    </w:p>
    <w:p>
      <w:pPr>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日  期：                              </w:t>
      </w:r>
    </w:p>
    <w:p>
      <w:pPr>
        <w:pStyle w:val="31"/>
        <w:rPr>
          <w:color w:val="000000" w:themeColor="text1"/>
          <w:sz w:val="21"/>
          <w:highlight w:val="none"/>
          <w14:textFill>
            <w14:solidFill>
              <w14:schemeClr w14:val="tx1"/>
            </w14:solidFill>
          </w14:textFill>
        </w:rPr>
      </w:pPr>
    </w:p>
    <w:p>
      <w:pPr>
        <w:pStyle w:val="31"/>
        <w:rPr>
          <w:color w:val="000000" w:themeColor="text1"/>
          <w:sz w:val="21"/>
          <w:highlight w:val="none"/>
          <w14:textFill>
            <w14:solidFill>
              <w14:schemeClr w14:val="tx1"/>
            </w14:solidFill>
          </w14:textFill>
        </w:rPr>
        <w:sectPr>
          <w:pgSz w:w="11906" w:h="16838"/>
          <w:pgMar w:top="1440" w:right="1440" w:bottom="1440" w:left="1440" w:header="851" w:footer="992" w:gutter="0"/>
          <w:cols w:space="720" w:num="1"/>
          <w:docGrid w:type="lines" w:linePitch="312" w:charSpace="0"/>
        </w:sectPr>
      </w:pPr>
    </w:p>
    <w:p>
      <w:pPr>
        <w:jc w:val="left"/>
        <w:outlineLvl w:val="1"/>
        <w:rPr>
          <w:rFonts w:ascii="宋体" w:hAnsi="宋体" w:cs="宋体"/>
          <w:color w:val="000000" w:themeColor="text1"/>
          <w:kern w:val="0"/>
          <w:szCs w:val="21"/>
          <w:highlight w:val="none"/>
          <w14:textFill>
            <w14:solidFill>
              <w14:schemeClr w14:val="tx1"/>
            </w14:solidFill>
          </w14:textFill>
        </w:rPr>
      </w:pPr>
      <w:bookmarkStart w:id="1604" w:name="_Toc2115424085"/>
      <w:bookmarkStart w:id="1605" w:name="_Toc147856243"/>
      <w:r>
        <w:rPr>
          <w:rFonts w:hint="eastAsia" w:ascii="宋体" w:hAnsi="宋体" w:cs="宋体"/>
          <w:color w:val="000000" w:themeColor="text1"/>
          <w:kern w:val="0"/>
          <w:szCs w:val="21"/>
          <w:highlight w:val="none"/>
          <w14:textFill>
            <w14:solidFill>
              <w14:schemeClr w14:val="tx1"/>
            </w14:solidFill>
          </w14:textFill>
        </w:rPr>
        <w:t>附件</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：工程质量终身负责承诺书</w:t>
      </w:r>
      <w:bookmarkEnd w:id="1604"/>
      <w:bookmarkEnd w:id="1605"/>
    </w:p>
    <w:p>
      <w:pPr>
        <w:adjustRightInd w:val="0"/>
        <w:snapToGrid w:val="0"/>
        <w:spacing w:line="360" w:lineRule="auto"/>
        <w:jc w:val="center"/>
        <w:rPr>
          <w:rFonts w:ascii="宋体" w:hAnsi="宋体"/>
          <w:b/>
          <w:color w:val="000000" w:themeColor="text1"/>
          <w:sz w:val="30"/>
          <w:szCs w:val="30"/>
          <w:highlight w:val="none"/>
          <w14:textFill>
            <w14:solidFill>
              <w14:schemeClr w14:val="tx1"/>
            </w14:solidFill>
          </w14:textFill>
        </w:rPr>
      </w:pPr>
      <w:r>
        <w:rPr>
          <w:rFonts w:ascii="宋体" w:hAnsi="宋体"/>
          <w:b/>
          <w:color w:val="000000" w:themeColor="text1"/>
          <w:sz w:val="30"/>
          <w:szCs w:val="30"/>
          <w:highlight w:val="none"/>
          <w14:textFill>
            <w14:solidFill>
              <w14:schemeClr w14:val="tx1"/>
            </w14:solidFill>
          </w14:textFill>
        </w:rPr>
        <w:t>工程质量终身负责承诺书</w:t>
      </w:r>
    </w:p>
    <w:p>
      <w:pPr>
        <w:adjustRightInd w:val="0"/>
        <w:snapToGrid w:val="0"/>
        <w:spacing w:line="360" w:lineRule="auto"/>
        <w:rPr>
          <w:rFonts w:ascii="宋体" w:hAnsi="宋体"/>
          <w:color w:val="000000" w:themeColor="text1"/>
          <w:szCs w:val="21"/>
          <w:highlight w:val="none"/>
          <w14:textFill>
            <w14:solidFill>
              <w14:schemeClr w14:val="tx1"/>
            </w14:solidFill>
          </w14:textFill>
        </w:rPr>
      </w:pPr>
    </w:p>
    <w:p>
      <w:pPr>
        <w:spacing w:line="360" w:lineRule="auto"/>
        <w:jc w:val="center"/>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法定代表人授权书</w:t>
      </w:r>
    </w:p>
    <w:p>
      <w:pPr>
        <w:spacing w:line="360" w:lineRule="auto"/>
        <w:rPr>
          <w:rFonts w:ascii="宋体" w:hAnsi="宋体"/>
          <w:color w:val="000000" w:themeColor="text1"/>
          <w:sz w:val="24"/>
          <w:szCs w:val="24"/>
          <w:highlight w:val="none"/>
          <w14:textFill>
            <w14:solidFill>
              <w14:schemeClr w14:val="tx1"/>
            </w14:solidFill>
          </w14:textFill>
        </w:rPr>
      </w:pPr>
    </w:p>
    <w:p>
      <w:pPr>
        <w:spacing w:line="360" w:lineRule="auto"/>
        <w:ind w:firstLine="420" w:firstLineChars="200"/>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兹授权我单位</w:t>
      </w:r>
      <w:r>
        <w:rPr>
          <w:rFonts w:hint="eastAsia" w:ascii="宋体" w:hAnsi="宋体"/>
          <w:color w:val="000000" w:themeColor="text1"/>
          <w:szCs w:val="21"/>
          <w:highlight w:val="none"/>
          <w:u w:val="single"/>
          <w14:textFill>
            <w14:solidFill>
              <w14:schemeClr w14:val="tx1"/>
            </w14:solidFill>
          </w14:textFill>
        </w:rPr>
        <w:t>（姓名）</w:t>
      </w:r>
      <w:r>
        <w:rPr>
          <w:rFonts w:hint="eastAsia" w:ascii="宋体" w:hAnsi="宋体"/>
          <w:color w:val="000000" w:themeColor="text1"/>
          <w:szCs w:val="21"/>
          <w:highlight w:val="none"/>
          <w14:textFill>
            <w14:solidFill>
              <w14:schemeClr w14:val="tx1"/>
            </w14:solidFill>
          </w14:textFill>
        </w:rPr>
        <w:t>担任工程项目的施工负责人，对该工程项目的施工工作实施组织管理，依据国家有关法律法规及标准规范履行职责，对施工过程安全生产承担相应责任，并依法对设计使用年限内的工程质量承担相应终身责任。</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本授权书自授权之日起生效。</w:t>
      </w:r>
    </w:p>
    <w:p>
      <w:pPr>
        <w:spacing w:line="360" w:lineRule="auto"/>
        <w:rPr>
          <w:rFonts w:ascii="宋体" w:hAnsi="宋体"/>
          <w:color w:val="000000" w:themeColor="text1"/>
          <w:szCs w:val="21"/>
          <w:highlight w:val="none"/>
          <w14:textFill>
            <w14:solidFill>
              <w14:schemeClr w14:val="tx1"/>
            </w14:solidFill>
          </w14:textFill>
        </w:rPr>
      </w:pP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011"/>
        <w:gridCol w:w="2100"/>
        <w:gridCol w:w="2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jc w:val="center"/>
        </w:trPr>
        <w:tc>
          <w:tcPr>
            <w:tcW w:w="8522" w:type="dxa"/>
            <w:gridSpan w:val="4"/>
          </w:tcPr>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被授权人基本情况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130" w:type="dxa"/>
          </w:tcPr>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姓名</w:t>
            </w:r>
          </w:p>
        </w:tc>
        <w:tc>
          <w:tcPr>
            <w:tcW w:w="2011" w:type="dxa"/>
          </w:tcPr>
          <w:p>
            <w:pPr>
              <w:spacing w:line="360" w:lineRule="auto"/>
              <w:rPr>
                <w:rFonts w:ascii="宋体" w:hAnsi="宋体"/>
                <w:color w:val="000000" w:themeColor="text1"/>
                <w:szCs w:val="21"/>
                <w:highlight w:val="none"/>
                <w14:textFill>
                  <w14:solidFill>
                    <w14:schemeClr w14:val="tx1"/>
                  </w14:solidFill>
                </w14:textFill>
              </w:rPr>
            </w:pPr>
          </w:p>
        </w:tc>
        <w:tc>
          <w:tcPr>
            <w:tcW w:w="2100" w:type="dxa"/>
          </w:tcPr>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身份证号</w:t>
            </w:r>
          </w:p>
        </w:tc>
        <w:tc>
          <w:tcPr>
            <w:tcW w:w="2281" w:type="dxa"/>
          </w:tcPr>
          <w:p>
            <w:pPr>
              <w:spacing w:line="360" w:lineRule="auto"/>
              <w:rPr>
                <w:rFonts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130" w:type="dxa"/>
          </w:tcPr>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注册执业资格</w:t>
            </w:r>
          </w:p>
        </w:tc>
        <w:tc>
          <w:tcPr>
            <w:tcW w:w="2011" w:type="dxa"/>
          </w:tcPr>
          <w:p>
            <w:pPr>
              <w:spacing w:line="360" w:lineRule="auto"/>
              <w:rPr>
                <w:rFonts w:ascii="宋体" w:hAnsi="宋体"/>
                <w:color w:val="000000" w:themeColor="text1"/>
                <w:szCs w:val="21"/>
                <w:highlight w:val="none"/>
                <w14:textFill>
                  <w14:solidFill>
                    <w14:schemeClr w14:val="tx1"/>
                  </w14:solidFill>
                </w14:textFill>
              </w:rPr>
            </w:pPr>
          </w:p>
        </w:tc>
        <w:tc>
          <w:tcPr>
            <w:tcW w:w="2100" w:type="dxa"/>
          </w:tcPr>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注册执业证号</w:t>
            </w:r>
          </w:p>
        </w:tc>
        <w:tc>
          <w:tcPr>
            <w:tcW w:w="2281" w:type="dxa"/>
          </w:tcPr>
          <w:p>
            <w:pPr>
              <w:spacing w:line="360" w:lineRule="auto"/>
              <w:rPr>
                <w:rFonts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522" w:type="dxa"/>
            <w:gridSpan w:val="4"/>
          </w:tcPr>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被授权人签字：</w:t>
            </w:r>
          </w:p>
        </w:tc>
      </w:tr>
    </w:tbl>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pacing w:val="21"/>
          <w:szCs w:val="21"/>
          <w:highlight w:val="none"/>
          <w14:textFill>
            <w14:solidFill>
              <w14:schemeClr w14:val="tx1"/>
            </w14:solidFill>
          </w14:textFill>
        </w:rPr>
        <w:t>授权单位（盖章）</w:t>
      </w:r>
      <w:r>
        <w:rPr>
          <w:rFonts w:hint="eastAsia" w:ascii="宋体" w:hAnsi="宋体"/>
          <w:color w:val="000000" w:themeColor="text1"/>
          <w:szCs w:val="21"/>
          <w:highlight w:val="none"/>
          <w14:textFill>
            <w14:solidFill>
              <w14:schemeClr w14:val="tx1"/>
            </w14:solidFill>
          </w14:textFill>
        </w:rPr>
        <w:t>：</w:t>
      </w:r>
    </w:p>
    <w:p>
      <w:pPr>
        <w:spacing w:line="360" w:lineRule="auto"/>
        <w:rPr>
          <w:rFonts w:ascii="宋体" w:hAnsi="宋体"/>
          <w:color w:val="000000" w:themeColor="text1"/>
          <w:szCs w:val="21"/>
          <w:highlight w:val="none"/>
          <w:u w:val="single"/>
          <w14:textFill>
            <w14:solidFill>
              <w14:schemeClr w14:val="tx1"/>
            </w14:solidFill>
          </w14:textFill>
        </w:rPr>
      </w:pP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法定代表人（签字）：</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pacing w:val="21"/>
          <w:szCs w:val="21"/>
          <w:highlight w:val="none"/>
          <w14:textFill>
            <w14:solidFill>
              <w14:schemeClr w14:val="tx1"/>
            </w14:solidFill>
          </w14:textFill>
        </w:rPr>
        <w:t xml:space="preserve">授权日期： </w:t>
      </w:r>
      <w:r>
        <w:rPr>
          <w:rFonts w:ascii="宋体" w:hAnsi="宋体"/>
          <w:color w:val="000000" w:themeColor="text1"/>
          <w:spacing w:val="2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年 </w:t>
      </w:r>
      <w:r>
        <w:rPr>
          <w:rFonts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月 </w:t>
      </w:r>
      <w:r>
        <w:rPr>
          <w:rFonts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日</w:t>
      </w:r>
    </w:p>
    <w:p>
      <w:pPr>
        <w:spacing w:line="360" w:lineRule="auto"/>
        <w:jc w:val="center"/>
        <w:rPr>
          <w:rFonts w:ascii="宋体" w:hAnsi="宋体"/>
          <w:b/>
          <w:color w:val="000000" w:themeColor="text1"/>
          <w:sz w:val="24"/>
          <w:szCs w:val="24"/>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br w:type="page"/>
      </w:r>
      <w:r>
        <w:rPr>
          <w:rFonts w:hint="eastAsia" w:ascii="宋体" w:hAnsi="宋体"/>
          <w:b/>
          <w:color w:val="000000" w:themeColor="text1"/>
          <w:sz w:val="24"/>
          <w:szCs w:val="24"/>
          <w:highlight w:val="none"/>
          <w14:textFill>
            <w14:solidFill>
              <w14:schemeClr w14:val="tx1"/>
            </w14:solidFill>
          </w14:textFill>
        </w:rPr>
        <w:t>工程质量终身责任承诺书</w:t>
      </w:r>
    </w:p>
    <w:p>
      <w:pPr>
        <w:spacing w:line="360" w:lineRule="auto"/>
        <w:rPr>
          <w:rFonts w:ascii="宋体" w:hAnsi="宋体"/>
          <w:color w:val="000000" w:themeColor="text1"/>
          <w:sz w:val="24"/>
          <w:szCs w:val="24"/>
          <w:highlight w:val="none"/>
          <w14:textFill>
            <w14:solidFill>
              <w14:schemeClr w14:val="tx1"/>
            </w14:solidFill>
          </w14:textFill>
        </w:rPr>
      </w:pPr>
    </w:p>
    <w:p>
      <w:pPr>
        <w:spacing w:line="360" w:lineRule="auto"/>
        <w:ind w:firstLine="420" w:firstLineChars="200"/>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人受单位（法定代表人）授权，担任工程项目的施工负责人，对该工程项目的施工工作实施组织管理。本人承诺严格依据国家有关法律法规及标准规范履行职责，对施工过程安全生产承担相应责任，并对设计使用年限内的工程质量承担相应终身责任。</w:t>
      </w: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pacing w:val="30"/>
          <w:szCs w:val="21"/>
          <w:highlight w:val="none"/>
          <w14:textFill>
            <w14:solidFill>
              <w14:schemeClr w14:val="tx1"/>
            </w14:solidFill>
          </w14:textFill>
        </w:rPr>
        <w:t>承诺人签字</w:t>
      </w:r>
      <w:r>
        <w:rPr>
          <w:rFonts w:hint="eastAsia" w:ascii="宋体" w:hAnsi="宋体"/>
          <w:color w:val="000000" w:themeColor="text1"/>
          <w:szCs w:val="21"/>
          <w:highlight w:val="none"/>
          <w14:textFill>
            <w14:solidFill>
              <w14:schemeClr w14:val="tx1"/>
            </w14:solidFill>
          </w14:textFill>
        </w:rPr>
        <w:t>：</w:t>
      </w: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pacing w:val="28"/>
          <w:szCs w:val="21"/>
          <w:highlight w:val="none"/>
          <w14:textFill>
            <w14:solidFill>
              <w14:schemeClr w14:val="tx1"/>
            </w14:solidFill>
          </w14:textFill>
        </w:rPr>
        <w:t>身份证号</w:t>
      </w:r>
      <w:r>
        <w:rPr>
          <w:rFonts w:hint="eastAsia" w:ascii="宋体" w:hAnsi="宋体"/>
          <w:color w:val="000000" w:themeColor="text1"/>
          <w:szCs w:val="21"/>
          <w:highlight w:val="none"/>
          <w14:textFill>
            <w14:solidFill>
              <w14:schemeClr w14:val="tx1"/>
            </w14:solidFill>
          </w14:textFill>
        </w:rPr>
        <w:t>：</w:t>
      </w: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注册执业资格：</w:t>
      </w: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注册执业证号：</w:t>
      </w:r>
    </w:p>
    <w:p>
      <w:pPr>
        <w:spacing w:line="360" w:lineRule="auto"/>
        <w:rPr>
          <w:rFonts w:ascii="宋体" w:hAnsi="宋体"/>
          <w:color w:val="000000" w:themeColor="text1"/>
          <w:highlight w:val="none"/>
          <w14:textFill>
            <w14:solidFill>
              <w14:schemeClr w14:val="tx1"/>
            </w14:solidFill>
          </w14:textFill>
        </w:rPr>
        <w:sectPr>
          <w:pgSz w:w="11906" w:h="16838"/>
          <w:pgMar w:top="1440" w:right="1440" w:bottom="1440" w:left="1440" w:header="851" w:footer="992" w:gutter="0"/>
          <w:cols w:space="720" w:num="1"/>
          <w:docGrid w:linePitch="312" w:charSpace="0"/>
        </w:sectPr>
      </w:pPr>
      <w:r>
        <w:rPr>
          <w:rFonts w:hint="eastAsia" w:ascii="宋体" w:hAnsi="宋体"/>
          <w:color w:val="000000" w:themeColor="text1"/>
          <w:spacing w:val="28"/>
          <w:szCs w:val="21"/>
          <w:highlight w:val="none"/>
          <w14:textFill>
            <w14:solidFill>
              <w14:schemeClr w14:val="tx1"/>
            </w14:solidFill>
          </w14:textFill>
        </w:rPr>
        <w:t>签字日期</w:t>
      </w:r>
      <w:r>
        <w:rPr>
          <w:rFonts w:hint="eastAsia" w:ascii="宋体" w:hAnsi="宋体"/>
          <w:color w:val="000000" w:themeColor="text1"/>
          <w:szCs w:val="21"/>
          <w:highlight w:val="none"/>
          <w14:textFill>
            <w14:solidFill>
              <w14:schemeClr w14:val="tx1"/>
            </w14:solidFill>
          </w14:textFill>
        </w:rPr>
        <w:t>：    年   月   日</w:t>
      </w:r>
    </w:p>
    <w:p>
      <w:pPr>
        <w:jc w:val="left"/>
        <w:outlineLvl w:val="1"/>
        <w:rPr>
          <w:rFonts w:ascii="宋体" w:hAnsi="宋体" w:cs="宋体"/>
          <w:color w:val="000000" w:themeColor="text1"/>
          <w:kern w:val="0"/>
          <w:szCs w:val="21"/>
          <w:highlight w:val="none"/>
          <w14:textFill>
            <w14:solidFill>
              <w14:schemeClr w14:val="tx1"/>
            </w14:solidFill>
          </w14:textFill>
        </w:rPr>
      </w:pPr>
      <w:bookmarkStart w:id="1606" w:name="_Toc193336863"/>
      <w:bookmarkStart w:id="1607" w:name="_Toc147856244"/>
      <w:r>
        <w:rPr>
          <w:rFonts w:hint="eastAsia" w:ascii="宋体" w:hAnsi="宋体" w:cs="宋体"/>
          <w:color w:val="000000" w:themeColor="text1"/>
          <w:kern w:val="0"/>
          <w:szCs w:val="21"/>
          <w:highlight w:val="none"/>
          <w14:textFill>
            <w14:solidFill>
              <w14:schemeClr w14:val="tx1"/>
            </w14:solidFill>
          </w14:textFill>
        </w:rPr>
        <w:t>附件</w:t>
      </w: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：承包人违约责任明细表</w:t>
      </w:r>
      <w:bookmarkEnd w:id="1606"/>
      <w:bookmarkEnd w:id="1607"/>
    </w:p>
    <w:p>
      <w:pPr>
        <w:spacing w:line="360" w:lineRule="auto"/>
        <w:jc w:val="center"/>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bCs/>
          <w:color w:val="000000" w:themeColor="text1"/>
          <w:kern w:val="0"/>
          <w:sz w:val="24"/>
          <w:szCs w:val="24"/>
          <w:highlight w:val="none"/>
          <w14:textFill>
            <w14:solidFill>
              <w14:schemeClr w14:val="tx1"/>
            </w14:solidFill>
          </w14:textFill>
        </w:rPr>
        <w:t>承包人违约责任明细表</w:t>
      </w:r>
    </w:p>
    <w:tbl>
      <w:tblPr>
        <w:tblStyle w:val="60"/>
        <w:tblW w:w="15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2160"/>
        <w:gridCol w:w="5449"/>
        <w:gridCol w:w="1720"/>
        <w:gridCol w:w="1940"/>
        <w:gridCol w:w="1780"/>
        <w:gridCol w:w="1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Merge w:val="restart"/>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序号</w:t>
            </w:r>
          </w:p>
        </w:tc>
        <w:tc>
          <w:tcPr>
            <w:tcW w:w="2160" w:type="dxa"/>
            <w:vMerge w:val="restart"/>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项目名称</w:t>
            </w:r>
          </w:p>
        </w:tc>
        <w:tc>
          <w:tcPr>
            <w:tcW w:w="5449" w:type="dxa"/>
            <w:vMerge w:val="restart"/>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工程违约条款内容</w:t>
            </w:r>
          </w:p>
        </w:tc>
        <w:tc>
          <w:tcPr>
            <w:tcW w:w="6920" w:type="dxa"/>
            <w:gridSpan w:val="4"/>
          </w:tcPr>
          <w:p>
            <w:pPr>
              <w:jc w:val="cente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工程项目合同金额等级及违约金额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Merge w:val="continue"/>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Merge w:val="continue"/>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5449" w:type="dxa"/>
            <w:vMerge w:val="continue"/>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5000万元以内</w:t>
            </w: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5000万元（含）-10000万元</w:t>
            </w: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10000万元（含）-30000万元</w:t>
            </w: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30000万元或以上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一</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勘察设计违约责任</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（详见专用条款约定）</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二</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施工违约责任</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1</w:t>
            </w: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合同履约</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1.1</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人员管理</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（详见专用条款约定）</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书面警告及限期改正</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1.1.1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更换项目经理、设计负责人</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未得到发包人批准更换项目经理、设计负责人，</w:t>
            </w:r>
            <w:r>
              <w:rPr>
                <w:rFonts w:hint="eastAsia" w:ascii="宋体" w:hAnsi="宋体" w:cs="宋体"/>
                <w:color w:val="000000" w:themeColor="text1"/>
                <w:kern w:val="0"/>
                <w:sz w:val="18"/>
                <w:szCs w:val="18"/>
                <w:highlight w:val="none"/>
                <w14:textFill>
                  <w14:solidFill>
                    <w14:schemeClr w14:val="tx1"/>
                  </w14:solidFill>
                </w14:textFill>
              </w:rPr>
              <w:t>发包人有权按相对应等级标准处罚承建单位（在每月进度款内扣除或在投标单位递交的履约保函内扣除）。</w:t>
            </w:r>
            <w:r>
              <w:rPr>
                <w:rFonts w:hint="eastAsia" w:ascii="宋体" w:hAnsi="宋体" w:cs="宋体"/>
                <w:color w:val="000000" w:themeColor="text1"/>
                <w:sz w:val="18"/>
                <w:szCs w:val="18"/>
                <w:highlight w:val="none"/>
                <w14:textFill>
                  <w14:solidFill>
                    <w14:schemeClr w14:val="tx1"/>
                  </w14:solidFill>
                </w14:textFill>
              </w:rPr>
              <w:t>连续两次更换的，暂停在</w:t>
            </w:r>
            <w:r>
              <w:rPr>
                <w:rFonts w:hint="eastAsia" w:ascii="宋体" w:hAnsi="宋体" w:cs="宋体"/>
                <w:bCs/>
                <w:color w:val="000000" w:themeColor="text1"/>
                <w:sz w:val="18"/>
                <w:szCs w:val="18"/>
                <w:highlight w:val="none"/>
                <w14:textFill>
                  <w14:solidFill>
                    <w14:schemeClr w14:val="tx1"/>
                  </w14:solidFill>
                </w14:textFill>
              </w:rPr>
              <w:t>发包人所负责的工程</w:t>
            </w:r>
            <w:r>
              <w:rPr>
                <w:rFonts w:hint="eastAsia" w:ascii="宋体" w:hAnsi="宋体" w:cs="宋体"/>
                <w:color w:val="000000" w:themeColor="text1"/>
                <w:sz w:val="18"/>
                <w:szCs w:val="18"/>
                <w:highlight w:val="none"/>
                <w14:textFill>
                  <w14:solidFill>
                    <w14:schemeClr w14:val="tx1"/>
                  </w14:solidFill>
                </w14:textFill>
              </w:rPr>
              <w:t>系统内投标资格3年。发包人要求更换项目经理、设计负责人的，承包人应服从，该情形下无需罚款，不计入更换次数。</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40万元每人次</w:t>
            </w:r>
          </w:p>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100万元每人次</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200万元每人次</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400万元每人次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1.1.1</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更换施工负责人</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未得到发包人批准更换施工负责人，</w:t>
            </w:r>
            <w:r>
              <w:rPr>
                <w:rFonts w:hint="eastAsia" w:ascii="宋体" w:hAnsi="宋体" w:cs="宋体"/>
                <w:color w:val="000000" w:themeColor="text1"/>
                <w:kern w:val="0"/>
                <w:sz w:val="18"/>
                <w:szCs w:val="18"/>
                <w:highlight w:val="none"/>
                <w14:textFill>
                  <w14:solidFill>
                    <w14:schemeClr w14:val="tx1"/>
                  </w14:solidFill>
                </w14:textFill>
              </w:rPr>
              <w:t>发包人有权按相对应等级标准处罚承建单位（在每月进度款内扣除或在投标单位递交的履约保函内扣除）。</w:t>
            </w:r>
            <w:r>
              <w:rPr>
                <w:rFonts w:hint="eastAsia" w:ascii="宋体" w:hAnsi="宋体" w:cs="宋体"/>
                <w:color w:val="000000" w:themeColor="text1"/>
                <w:sz w:val="18"/>
                <w:szCs w:val="18"/>
                <w:highlight w:val="none"/>
                <w14:textFill>
                  <w14:solidFill>
                    <w14:schemeClr w14:val="tx1"/>
                  </w14:solidFill>
                </w14:textFill>
              </w:rPr>
              <w:t>连续两次更换的，暂停在</w:t>
            </w:r>
            <w:r>
              <w:rPr>
                <w:rFonts w:hint="eastAsia" w:ascii="宋体" w:hAnsi="宋体" w:cs="宋体"/>
                <w:bCs/>
                <w:color w:val="000000" w:themeColor="text1"/>
                <w:sz w:val="18"/>
                <w:szCs w:val="18"/>
                <w:highlight w:val="none"/>
                <w14:textFill>
                  <w14:solidFill>
                    <w14:schemeClr w14:val="tx1"/>
                  </w14:solidFill>
                </w14:textFill>
              </w:rPr>
              <w:t>发包人所负责的工程</w:t>
            </w:r>
            <w:r>
              <w:rPr>
                <w:rFonts w:hint="eastAsia" w:ascii="宋体" w:hAnsi="宋体" w:cs="宋体"/>
                <w:color w:val="000000" w:themeColor="text1"/>
                <w:sz w:val="18"/>
                <w:szCs w:val="18"/>
                <w:highlight w:val="none"/>
                <w14:textFill>
                  <w14:solidFill>
                    <w14:schemeClr w14:val="tx1"/>
                  </w14:solidFill>
                </w14:textFill>
              </w:rPr>
              <w:t>系统内投标资格3年。发包人要求更换施工负责人的，承包人应服从，该情形下无需罚款，不计入更换次数。</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20万元每人次</w:t>
            </w: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50万元每人次</w:t>
            </w: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100万元每人次</w:t>
            </w: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200万元每人次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1.1.2</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主要管理人员驻场管理</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项目主要管理人员长期不驻场管理（每月累计7天或连续5天以内），或每月3次以上未参加会议，</w:t>
            </w:r>
            <w:r>
              <w:rPr>
                <w:rFonts w:hint="eastAsia" w:ascii="宋体" w:hAnsi="宋体" w:cs="宋体"/>
                <w:color w:val="000000" w:themeColor="text1"/>
                <w:kern w:val="0"/>
                <w:sz w:val="18"/>
                <w:szCs w:val="18"/>
                <w:highlight w:val="none"/>
                <w14:textFill>
                  <w14:solidFill>
                    <w14:schemeClr w14:val="tx1"/>
                  </w14:solidFill>
                </w14:textFill>
              </w:rPr>
              <w:t>发包人有权按</w:t>
            </w:r>
            <w:r>
              <w:rPr>
                <w:rFonts w:hint="eastAsia" w:ascii="宋体" w:hAnsi="宋体" w:cs="宋体"/>
                <w:color w:val="000000" w:themeColor="text1"/>
                <w:sz w:val="18"/>
                <w:szCs w:val="18"/>
                <w:highlight w:val="none"/>
                <w14:textFill>
                  <w14:solidFill>
                    <w14:schemeClr w14:val="tx1"/>
                  </w14:solidFill>
                </w14:textFill>
              </w:rPr>
              <w:t>超过天（次）数的每人每次（天）及</w:t>
            </w:r>
            <w:r>
              <w:rPr>
                <w:rFonts w:hint="eastAsia" w:ascii="宋体" w:hAnsi="宋体" w:cs="宋体"/>
                <w:color w:val="000000" w:themeColor="text1"/>
                <w:kern w:val="0"/>
                <w:sz w:val="18"/>
                <w:szCs w:val="18"/>
                <w:highlight w:val="none"/>
                <w14:textFill>
                  <w14:solidFill>
                    <w14:schemeClr w14:val="tx1"/>
                  </w14:solidFill>
                </w14:textFill>
              </w:rPr>
              <w:t>相对应等级①对承包人进行处罚</w:t>
            </w:r>
            <w:r>
              <w:rPr>
                <w:rFonts w:hint="eastAsia" w:ascii="宋体" w:hAnsi="宋体" w:cs="宋体"/>
                <w:color w:val="000000" w:themeColor="text1"/>
                <w:sz w:val="18"/>
                <w:szCs w:val="18"/>
                <w:highlight w:val="none"/>
                <w14:textFill>
                  <w14:solidFill>
                    <w14:schemeClr w14:val="tx1"/>
                  </w14:solidFill>
                </w14:textFill>
              </w:rPr>
              <w:t>，分项负责工程师超过天（次）数的每人每次（天）及</w:t>
            </w:r>
            <w:r>
              <w:rPr>
                <w:rFonts w:hint="eastAsia" w:ascii="宋体" w:hAnsi="宋体" w:cs="宋体"/>
                <w:color w:val="000000" w:themeColor="text1"/>
                <w:kern w:val="0"/>
                <w:sz w:val="18"/>
                <w:szCs w:val="18"/>
                <w:highlight w:val="none"/>
                <w14:textFill>
                  <w14:solidFill>
                    <w14:schemeClr w14:val="tx1"/>
                  </w14:solidFill>
                </w14:textFill>
              </w:rPr>
              <w:t>相对应等级②对承包人进行处罚。</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①1万元；</w:t>
            </w:r>
          </w:p>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②0.5万元；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①2万元；</w:t>
            </w:r>
          </w:p>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②1万元；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①5万元；</w:t>
            </w:r>
          </w:p>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②2万元；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①10万元；</w:t>
            </w:r>
          </w:p>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②5万元；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1.1.3</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相关管理人员到位情况</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在发包人下发进场通知书的三天内项目经理、施工负责人及其主要管理和技术人员须驻场管理，否则，延迟一天罚款5万元；发包人保留向建设主管部门通报的权利。</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一般违约及严重违约</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1.1.4</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相关管理人员驻场情况</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的项目经理、副经理以及主要行政与技术领导等，必须长驻工地，不得兼职。如离开工地，需向总监理工程师和发包人驻地代表请假，经其批准确认后才能离开。否则发包人有权按相对应等级标准处罚承建单位（在每月进度款内扣除或在投标单位递交的履约保函内扣除）。</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20万元每天每人</w:t>
            </w: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30万元每天每人</w:t>
            </w: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40万元每天每人</w:t>
            </w: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50万元每天每人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1.1.5</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相关管理人员与投标承诺一致情况</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项目经理、副经理、项目总工程师，安全主任，施工计划、物资机械、合同计量及财务负责人，必须与投标文件一致。以上管理人员姓名、近期照片、身份证、手机号码须上墙公布，随时接受检查。若项目经理与投标文件不一致或长期不驻场管理（每月累计7天或连续5天，或每月要求参加会议累计未到5次，发包人有权按相对应等级①对承包人进行处罚；且发包人保留向水行政主管部门取消项目经理年度备案权利。若项目技术负责人与投标文件不一致或长期不驻场技术负责（每月累计7天或连续5天，或每月要求参加会议累计未到5次），发包人有权按相对应等级②对承包人进行处罚；且发包人保留向有关行业注册单位或职称评定机构进行投诉与建议取消注册、职称评定权利。若项目安全负责人与投标文件不一致或长期不驻场技术负责（每月累计7天或连续5天，或每月要求参加会议累计未到5次，发包人有权按相对应等级③对承包人进行处罚；且发包人保留向水行政主管部门与安监行政主管部门通报权利。承包人项目经理、副经理、项目总工程师，安全主任等主要管理人员经查实如与投标文件不一致或提供虚假材料，发包人和发包人除按相对应等级④给予经济处罚外，发包人有权解除合同，有权向上级主管机关举报建议降低承包资质直至吊销资质证书，</w:t>
            </w:r>
            <w:r>
              <w:rPr>
                <w:rFonts w:hint="eastAsia" w:ascii="宋体" w:hAnsi="宋体" w:cs="宋体"/>
                <w:bCs/>
                <w:color w:val="000000" w:themeColor="text1"/>
                <w:sz w:val="18"/>
                <w:szCs w:val="18"/>
                <w:highlight w:val="none"/>
                <w14:textFill>
                  <w14:solidFill>
                    <w14:schemeClr w14:val="tx1"/>
                  </w14:solidFill>
                </w14:textFill>
              </w:rPr>
              <w:t>并有权书面通知承包人或者在相关网站上公示并抄送行政监督部门，拒绝承包人参与以后发包人所负责的工程投标资格。</w:t>
            </w:r>
            <w:r>
              <w:rPr>
                <w:rFonts w:hint="eastAsia" w:ascii="宋体" w:hAnsi="宋体" w:cs="宋体"/>
                <w:color w:val="000000" w:themeColor="text1"/>
                <w:kern w:val="0"/>
                <w:sz w:val="18"/>
                <w:szCs w:val="18"/>
                <w:highlight w:val="none"/>
                <w14:textFill>
                  <w14:solidFill>
                    <w14:schemeClr w14:val="tx1"/>
                  </w14:solidFill>
                </w14:textFill>
              </w:rPr>
              <w:t>。</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①50万元每人次；               ②50万元每人次；               ③50万元每人次；               ④50万元每人次。</w:t>
            </w: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①100万元每人次；               ②100万元每人次；               ③100万元每人次；               ④100万元每人次。</w:t>
            </w: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①150万元每人次；               ②150万元每人次；               ③150万元每人次；               ④150万元每人次。</w:t>
            </w: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①200万元每人次；               ②200万元每人次；               ③200万元每人次；               ④200万元每人次。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1.1.6</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劳动合同及社会保险</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承包人未提交主要管理人员劳动合同，以及没有为项目经理缴纳社会保险证明的违约责任：</w:t>
            </w:r>
            <w:r>
              <w:rPr>
                <w:rFonts w:hint="eastAsia" w:ascii="宋体" w:hAnsi="宋体" w:cs="宋体"/>
                <w:color w:val="000000" w:themeColor="text1"/>
                <w:sz w:val="18"/>
                <w:szCs w:val="18"/>
                <w:highlight w:val="none"/>
                <w:u w:val="single"/>
                <w14:textFill>
                  <w14:solidFill>
                    <w14:schemeClr w14:val="tx1"/>
                  </w14:solidFill>
                </w14:textFill>
              </w:rPr>
              <w:t>按1000元/天向发包人支付违约金</w:t>
            </w:r>
            <w:r>
              <w:rPr>
                <w:rFonts w:hint="eastAsia" w:ascii="宋体" w:hAnsi="宋体" w:cs="宋体"/>
                <w:color w:val="000000" w:themeColor="text1"/>
                <w:sz w:val="18"/>
                <w:szCs w:val="18"/>
                <w:highlight w:val="none"/>
                <w14:textFill>
                  <w14:solidFill>
                    <w14:schemeClr w14:val="tx1"/>
                  </w14:solidFill>
                </w14:textFill>
              </w:rPr>
              <w:t>。</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1.6.7</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不合格人员更换</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发包人有权要求承包人撤换擅自离开施工现场或工作不力的项目经理及主要施工管理人员，承包人无正当理由拒绝更换项目经理的</w:t>
            </w:r>
            <w:r>
              <w:rPr>
                <w:rFonts w:hint="eastAsia" w:ascii="宋体" w:hAnsi="宋体" w:cs="宋体"/>
                <w:color w:val="000000" w:themeColor="text1"/>
                <w:kern w:val="0"/>
                <w:sz w:val="18"/>
                <w:szCs w:val="18"/>
                <w:highlight w:val="none"/>
                <w14:textFill>
                  <w14:solidFill>
                    <w14:schemeClr w14:val="tx1"/>
                  </w14:solidFill>
                </w14:textFill>
              </w:rPr>
              <w:t>发包人有权按相对应等级①对承包人进行处罚</w:t>
            </w:r>
            <w:r>
              <w:rPr>
                <w:rFonts w:hint="eastAsia" w:ascii="宋体" w:hAnsi="宋体" w:cs="宋体"/>
                <w:color w:val="000000" w:themeColor="text1"/>
                <w:sz w:val="18"/>
                <w:szCs w:val="18"/>
                <w:highlight w:val="none"/>
                <w14:textFill>
                  <w14:solidFill>
                    <w14:schemeClr w14:val="tx1"/>
                  </w14:solidFill>
                </w14:textFill>
              </w:rPr>
              <w:t>，承包人无正当理由拒绝撤换主要施工管理人员的</w:t>
            </w:r>
            <w:r>
              <w:rPr>
                <w:rFonts w:hint="eastAsia" w:ascii="宋体" w:hAnsi="宋体" w:cs="宋体"/>
                <w:color w:val="000000" w:themeColor="text1"/>
                <w:kern w:val="0"/>
                <w:sz w:val="18"/>
                <w:szCs w:val="18"/>
                <w:highlight w:val="none"/>
                <w14:textFill>
                  <w14:solidFill>
                    <w14:schemeClr w14:val="tx1"/>
                  </w14:solidFill>
                </w14:textFill>
              </w:rPr>
              <w:t>包人有权按相对应等级②对承包人进行处罚</w:t>
            </w:r>
            <w:r>
              <w:rPr>
                <w:rFonts w:hint="eastAsia" w:ascii="宋体" w:hAnsi="宋体" w:cs="宋体"/>
                <w:bCs/>
                <w:color w:val="000000" w:themeColor="text1"/>
                <w:sz w:val="18"/>
                <w:szCs w:val="18"/>
                <w:highlight w:val="none"/>
                <w14:textFill>
                  <w14:solidFill>
                    <w14:schemeClr w14:val="tx1"/>
                  </w14:solidFill>
                </w14:textFill>
              </w:rPr>
              <w:t>，并有权书面通知承包人或者在相关网站上公示并抄送行政监督部门，拒绝承包人参与以后发包人所负责的工程投标资格。</w:t>
            </w:r>
          </w:p>
        </w:tc>
        <w:tc>
          <w:tcPr>
            <w:tcW w:w="1720" w:type="dxa"/>
          </w:tcPr>
          <w:p>
            <w:pPr>
              <w:numPr>
                <w:ilvl w:val="0"/>
                <w:numId w:val="6"/>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20万元每人次；</w:t>
            </w:r>
          </w:p>
          <w:p>
            <w:pPr>
              <w:numPr>
                <w:ilvl w:val="0"/>
                <w:numId w:val="6"/>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10万元每人次；</w:t>
            </w:r>
          </w:p>
        </w:tc>
        <w:tc>
          <w:tcPr>
            <w:tcW w:w="1940" w:type="dxa"/>
          </w:tcPr>
          <w:p>
            <w:pPr>
              <w:numPr>
                <w:ilvl w:val="0"/>
                <w:numId w:val="6"/>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50万元每人次；</w:t>
            </w:r>
          </w:p>
          <w:p>
            <w:pPr>
              <w:numPr>
                <w:ilvl w:val="0"/>
                <w:numId w:val="6"/>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30万元每人次；</w:t>
            </w:r>
          </w:p>
        </w:tc>
        <w:tc>
          <w:tcPr>
            <w:tcW w:w="1780" w:type="dxa"/>
          </w:tcPr>
          <w:p>
            <w:pPr>
              <w:numPr>
                <w:ilvl w:val="0"/>
                <w:numId w:val="7"/>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100万元每人次；</w:t>
            </w:r>
          </w:p>
          <w:p>
            <w:pPr>
              <w:numPr>
                <w:ilvl w:val="0"/>
                <w:numId w:val="7"/>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50万元每人次；</w:t>
            </w:r>
          </w:p>
        </w:tc>
        <w:tc>
          <w:tcPr>
            <w:tcW w:w="1480" w:type="dxa"/>
          </w:tcPr>
          <w:p>
            <w:pPr>
              <w:numPr>
                <w:ilvl w:val="0"/>
                <w:numId w:val="8"/>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200万元每人次；</w:t>
            </w:r>
          </w:p>
          <w:p>
            <w:pPr>
              <w:numPr>
                <w:ilvl w:val="0"/>
                <w:numId w:val="8"/>
              </w:num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100万元每人次；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1.</w:t>
            </w:r>
            <w:r>
              <w:rPr>
                <w:rFonts w:hint="eastAsia" w:ascii="宋体" w:hAnsi="宋体" w:cs="宋体"/>
                <w:color w:val="000000" w:themeColor="text1"/>
                <w:sz w:val="18"/>
                <w:szCs w:val="18"/>
                <w:highlight w:val="none"/>
                <w14:textFill>
                  <w14:solidFill>
                    <w14:schemeClr w14:val="tx1"/>
                  </w14:solidFill>
                </w14:textFill>
              </w:rPr>
              <w:t>6.8</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约见承包人法人代表</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合同履行过程中，发包人有权随时发函约见承包人的法定代表人，并要求法定代表人驻场施工现场协调及安排工作，直至工程保质、保量顺利推进。承包人的法定代表人无正当理由拒绝约见的，承包人的违约赔偿责任。承包人的法定代表人无正当理由拒绝约见累计3次及以上的，发包人有权解除合同，将本工程另行发包，并不免除承包人的违约赔偿责任，</w:t>
            </w:r>
            <w:r>
              <w:rPr>
                <w:rFonts w:hint="eastAsia" w:ascii="宋体" w:hAnsi="宋体" w:cs="宋体"/>
                <w:bCs/>
                <w:color w:val="000000" w:themeColor="text1"/>
                <w:sz w:val="18"/>
                <w:szCs w:val="18"/>
                <w:highlight w:val="none"/>
                <w14:textFill>
                  <w14:solidFill>
                    <w14:schemeClr w14:val="tx1"/>
                  </w14:solidFill>
                </w14:textFill>
              </w:rPr>
              <w:t>并有权书面通知承包人或者在相关网站上公示并抄送行政监督部门，拒绝承包人参与以后发包人所负责的工程投标资格</w:t>
            </w:r>
            <w:r>
              <w:rPr>
                <w:rFonts w:hint="eastAsia" w:ascii="宋体" w:hAnsi="宋体" w:cs="宋体"/>
                <w:color w:val="000000" w:themeColor="text1"/>
                <w:kern w:val="0"/>
                <w:sz w:val="18"/>
                <w:szCs w:val="18"/>
                <w:highlight w:val="none"/>
                <w14:textFill>
                  <w14:solidFill>
                    <w14:schemeClr w14:val="tx1"/>
                  </w14:solidFill>
                </w14:textFill>
              </w:rPr>
              <w:t>。</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10万元每人次</w:t>
            </w:r>
          </w:p>
        </w:tc>
        <w:tc>
          <w:tcPr>
            <w:tcW w:w="1940" w:type="dxa"/>
          </w:tcPr>
          <w:p>
            <w:pPr>
              <w:ind w:left="360"/>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20万元每人次</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50万元每人次</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100万元每人次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1.2</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设备管理</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书面警告及限期改正</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1.2.1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主要机械设备、材料到场管理</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在具备施工条件情况下，主要机械设备、材料未按合同文件及发包人要求及时到场或擅自更换、调整，处违约金5000元/次/台，并限期整改。</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1.2.2</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试验设备</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试验设备不全，未建立试验台帐的，处违约金5000元</w:t>
            </w:r>
            <w:r>
              <w:rPr>
                <w:rFonts w:ascii="宋体" w:hAnsi="宋体" w:cs="宋体"/>
                <w:color w:val="000000" w:themeColor="text1"/>
                <w:sz w:val="18"/>
                <w:szCs w:val="18"/>
                <w:highlight w:val="none"/>
                <w14:textFill>
                  <w14:solidFill>
                    <w14:schemeClr w14:val="tx1"/>
                  </w14:solidFill>
                </w14:textFill>
              </w:rPr>
              <w:t>/</w:t>
            </w:r>
            <w:r>
              <w:rPr>
                <w:rFonts w:hint="eastAsia" w:ascii="宋体" w:hAnsi="宋体" w:cs="宋体"/>
                <w:color w:val="000000" w:themeColor="text1"/>
                <w:sz w:val="18"/>
                <w:szCs w:val="18"/>
                <w:highlight w:val="none"/>
                <w14:textFill>
                  <w14:solidFill>
                    <w14:schemeClr w14:val="tx1"/>
                  </w14:solidFill>
                </w14:textFill>
              </w:rPr>
              <w:t>次，并限期纠正。</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2</w:t>
            </w: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工期</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一般违约及严重违约</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2.1</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延期开工</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承包人在接到发包人的书面开工令后，必须按开工令要求无条件开工。如有异议，可在收到开工令后48小时内书面向发包人提出，但这并不能成为承包人拖延开工的理由。</w:t>
            </w:r>
            <w:r>
              <w:rPr>
                <w:rFonts w:hint="eastAsia" w:ascii="宋体" w:hAnsi="宋体" w:cs="宋体"/>
                <w:color w:val="000000" w:themeColor="text1"/>
                <w:kern w:val="0"/>
                <w:sz w:val="18"/>
                <w:szCs w:val="18"/>
                <w:highlight w:val="none"/>
                <w14:textFill>
                  <w14:solidFill>
                    <w14:schemeClr w14:val="tx1"/>
                  </w14:solidFill>
                </w14:textFill>
              </w:rPr>
              <w:t>每迟延开工1天，应给发包人支付相对应等级的违约金；迟延开工超过10天的，发包人通知承包人拒不开工的，发包人有权解除合同，将本工程另行发包，并不免除承包人的违约赔偿责任。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10万元/天</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25万元/天</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40万元/天</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80万元/天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2.2</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单方停工</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每单方停工1天，应给发包人支付相对应等级的违约金；单方停工超过10天的，发包人通知承包人拒不开工的，发包人有权解除合同，将本工程另行发包，并不免除承包人的违约赔偿责任。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10万元/天</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25万元/天</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40万元/天</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80万元/天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2.3</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关键节点工期延误</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承包人原因造成关键节点工期延误的，工期延误在3天至10天内，承包人有权暂停支付当月的工程进度款；关键节点工期延误10天或以上的，承包人每延误1天，应向发包人支付签约合同价款1‰的违约金。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2.4</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逾期竣工</w:t>
            </w:r>
          </w:p>
        </w:tc>
        <w:tc>
          <w:tcPr>
            <w:tcW w:w="5449"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承包人原因造成逾期竣工的，每逾期1天，承包人必须按签约合同价款的3‰向发包人支付违约金，但不超过合同总价的5%。</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3</w:t>
            </w:r>
          </w:p>
        </w:tc>
        <w:tc>
          <w:tcPr>
            <w:tcW w:w="2160" w:type="dxa"/>
            <w:vAlign w:val="center"/>
          </w:tcPr>
          <w:p>
            <w:pPr>
              <w:rPr>
                <w:rFonts w:ascii="宋体" w:hAnsi="宋体" w:cs="宋体"/>
                <w:b/>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质量管理</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3.1</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材料管理</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书面警告及限期改正</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3.1.1</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水泥、钢筋、钢筋笼的存放不满足规范技术要求的，每次处违约金10000元，并限期纠正。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3.1.2</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原材料送检或其他自检项目的试验（如钢筋焊接、土的重击试验）不及时，频率未达到规定要求，每次处违约金20000元，并限期纠正。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3.1.3</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使用未经检验合格的材料（原材料、锚具等）用于施工的，每次处违约金50000元，并限期纠正。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3.1.4</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经查实，工程材料的各种证明材料属弄虚作假的，每批次处违约金200000元，并限期整改。</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一般违约及严重违约</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 xml:space="preserve"> 3.1.5</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发现所检查的材料不符合时,所有不符合条件材料必须更换为合格材料。</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3.1.6</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单宗或批次材料价值在人民币10万元以上100万元以下（含100万元）承包人承担一次一般违约责任。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3.1.7</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单宗或批次材料价值人民币100-200万元（含200万元）承包人承担一次严重违约责任。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3.1.8</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单宗或批次材料价值在人民币200万元以上的,承包人承担两次严重违约责任。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3.1.9</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对于单宗或批次材料价值不高于人民币10万元的（含10万元），但累计抽检不合格达5次,承包人承担1次一般违约责任。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3.2</w:t>
            </w:r>
          </w:p>
        </w:tc>
        <w:tc>
          <w:tcPr>
            <w:tcW w:w="2160" w:type="dxa"/>
            <w:vAlign w:val="center"/>
          </w:tcPr>
          <w:p>
            <w:pPr>
              <w:rPr>
                <w:rFonts w:ascii="宋体" w:hAnsi="宋体" w:cs="宋体"/>
                <w:b/>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工程质量管理</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书面警告及限期改正</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3.2.1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工程通过自检而抽检不合格，每次处违约金50000元，并限期改正，工期不得顺延。</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3.2.2</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承包单位接到水行政主管单位、发包人或质监站的工程整改通知后，未按要求在限期内进行整改并回复的，每次处违约金10000～50000元。</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一般违约及严重违约</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3.2.3</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如承包人申请报验后，经总监理工程师或发包人检查发现存在较大质量问题（如存在质量问题的部分超过检查部分工程的10％的）</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必须对不合格部分进行返工，返工后经检查合格才准进入下一工序，工期不予顺延。复检的结果，按每一分项工程计算，总计发现3次或连续发现2次质量控制点不合格的，承包人承担一次一般违约责任；总计发现3次以上（不含本数）或连续发现2次以上（不含本数）质量控制点不合格的，承包人承担一次严重违约责任；承包人采取整改措施后效果仍不明显的，发包人有权部分解除合同，将该分项工程另行发包，并不免除承包人应承担的违约赔偿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3.2.4</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工程达不到合同约定的质量目标</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承包人未取得“广东省优质水利工程奖（一等奖）”、“广东省优秀水利工程勘测设计奖（一等奖）”及“广东省安全生产文明工地”时，工程质量创优费用在结算时不予计算，且承包人向发包人交纳</w:t>
            </w:r>
            <w:r>
              <w:rPr>
                <w:rFonts w:ascii="宋体" w:hAnsi="宋体" w:cs="宋体"/>
                <w:color w:val="000000" w:themeColor="text1"/>
                <w:kern w:val="0"/>
                <w:sz w:val="18"/>
                <w:szCs w:val="18"/>
                <w:highlight w:val="none"/>
                <w14:textFill>
                  <w14:solidFill>
                    <w14:schemeClr w14:val="tx1"/>
                  </w14:solidFill>
                </w14:textFill>
              </w:rPr>
              <w:t>100</w:t>
            </w:r>
            <w:r>
              <w:rPr>
                <w:rFonts w:hint="eastAsia" w:ascii="宋体" w:hAnsi="宋体" w:cs="宋体"/>
                <w:color w:val="000000" w:themeColor="text1"/>
                <w:kern w:val="0"/>
                <w:sz w:val="18"/>
                <w:szCs w:val="18"/>
                <w:highlight w:val="none"/>
                <w14:textFill>
                  <w14:solidFill>
                    <w14:schemeClr w14:val="tx1"/>
                  </w14:solidFill>
                </w14:textFill>
              </w:rPr>
              <w:t>万元违约金。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 xml:space="preserve"> </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3.2.5</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在施工过程中工程发现重大质量问题或在工程保修期内发现重大质量不合格问题（该重大质量问题应界定为达不到要求的质量标准，属质量保修的问题除外）</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承包人必须在规定的期限整改或返工达到合同约定的质量等级，并按该项目所处分项工程造价5％计算向发包人承担支付违约金的责任。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3.2.6</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工程达不到环境管理目标</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bCs/>
                <w:snapToGrid w:val="0"/>
                <w:color w:val="000000" w:themeColor="text1"/>
                <w:kern w:val="0"/>
                <w:sz w:val="18"/>
                <w:szCs w:val="18"/>
                <w:highlight w:val="none"/>
                <w14:textFill>
                  <w14:solidFill>
                    <w14:schemeClr w14:val="tx1"/>
                  </w14:solidFill>
                </w14:textFill>
              </w:rPr>
              <w:t>结算时绿色施工措施费不予计算，</w:t>
            </w:r>
            <w:r>
              <w:rPr>
                <w:rFonts w:hint="eastAsia" w:ascii="宋体" w:hAnsi="宋体" w:cs="宋体"/>
                <w:color w:val="000000" w:themeColor="text1"/>
                <w:kern w:val="0"/>
                <w:sz w:val="18"/>
                <w:szCs w:val="18"/>
                <w:highlight w:val="none"/>
                <w14:textFill>
                  <w14:solidFill>
                    <w14:schemeClr w14:val="tx1"/>
                  </w14:solidFill>
                </w14:textFill>
              </w:rPr>
              <w:t>并且承包人向发包人交纳审定工程费部分结算总价1％的违约金。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4</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内业资料及其他事项</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书面警告及限期改正</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4.1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内业原始资料故意弄虚作假的，每次处违约金2000元，并限期纠正。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 xml:space="preserve">4.2 </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内业原始资料和整理资料未按要求及时归档，每次处违约金500元，并限期纠正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4.3</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上一道工序未经过监理工程师签认就进行下一道工序施工的，每次处违约金5000元，并限期整改。</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4.4</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承包单位未按有关规定派驻施工现场管理人员（施工员）的，每次处违约金1000元，超过24小时没有施工员在场而继续施工，每次处违约金5000元。</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5</w:t>
            </w: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安全生产管理</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书面警告及限期改正</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施工现场没有设立工地安全员（要有书面的岗位职责，有明确的人员名牌挂在工地的指挥部）</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c>
          <w:tcPr>
            <w:tcW w:w="1480" w:type="dxa"/>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5.2</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没有按规定报批并发送安全生产、文明施工技术措施方案或特殊工程（部位）没有编写专项的安全生产技术措施并经批准</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c>
          <w:tcPr>
            <w:tcW w:w="1480" w:type="dxa"/>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5.3</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没有各级管理人员、施工人员的安全生产技术措施交底记录</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5.4</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没有工地现场各级人员的安全生产岗位责任制资料</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5.5</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施工机械没有按规定送审取得合格证；特种作业人员没有持合格上岗证；劳务工人未取得安全教育合格证</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500元/每人或每机</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500元/每人或每机</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1000元/每人或每机</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2000元/每人或每机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5.6</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管坑或模板棚架支撑围规</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5.7</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工地现场危险孔、洞、边沟、电屏、热沥青混合材料等危险部位无防护栏、盖板或警示标志</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5.8</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脚手架、支模没有经安全员以上技术员验收或发现有倾斜、摇晃、松脱及柱脚悬空等危险现象</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5.9</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发现有工人没签订法定的劳动合同或没有受过“三级安全教育“，即没有安全教育登记卡</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500元/每人</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500元/每人</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1000元/每人</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5.10</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施工机械或电气设备发现有危险故障仍运行或作业现场危险未采取措施</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300元/每台</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300元/每台</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500元/每台</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电缆不按规定（一般2.5米高，车道6米高）架设或电缆靠近危险地方或拖地设置等违规</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5.12</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用电设备不按规定配备漏电保护开关或其金属外壳不接保护地线或地线装设违规</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300元/每台</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300元/每台</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500元/每台</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5.13</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用电设备带故障运行，插头，制盖破烂、导线接头违规、电制箱破烂或没有离地0.6米以上放置等</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5.14</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发现有违规使用压力气瓶（乙炔瓶、氧气瓶、液化气瓶等），例如：被阳光暴晒、离火源少于10米、卧放、没有装乙炔回火防止器、气瓶及配套设备有故障等</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5.15</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发生轻、重伤，处罚承包人项目经理RMB1000-2000元，处罚项目部RMB10000-20000元</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5.17</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施工现场人员出现以下情况，每人每次处违约金1000元：（1）不戴安全帽；（2）高空作业不系安全带；（3）水上作业不穿救生衣；（4）赤脚或穿拖鞋；（5）管理人员不佩带工作证。</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5.18</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未按规定设置电箱、漏电开关等电器设备，不按有关规定用电的；施工现场未设安全警示标志，每处罚款500元，并限期纠正。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5.19</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高空作业未设置稳固爬梯；不设围栏、安全网、每处处违约金10000元。</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5.20</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拖欠工人劳务工资受到投诉，一经核实每次处违约金10000－100000元，并限期纠正。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5.21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凡工程质量、安全管理、文明施工、地方协调、环境卫生等受到地方、个人或有关部门投诉，一经核实每次处违约金1000～10000元，并限期纠正。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5.22</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承包人在政府行政主管部门或发包人或项目管理单位组织的质量安全检查中，被发现存在严重的安全隐患，被通报批评，或被新闻媒体曝光造成不良影响的，每次处违约金20000元，并限期整改；施工场地被评为不合格工地的，或者被通报批评的，或者被新闻媒体曝光的，每次处违约金20000元，并限期整改。</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一般违约及严重违约</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5.23.</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承包人在政府行政主管部门组织的质量安全检查中，被发现存在严重的安全隐患，被通报批评，或被新闻媒体曝光造成不良影响的</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被通报或被曝光1次，承包人必须承担严重违约责任；造成严重社会影响或累计被通报或被曝光3次以上（含本数）的，发包人有权解除合同，将本工程另行发包，并不免除承包人应承担的违约赔偿责任。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5.24</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承包人在发包人、总监理工程师进行的日常质量安全检查中，被发现存在安全隐患的</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承包人应限期改正。若同样问题被发现2次的或累计类似问题被发现3次，承包人必须承担一般违约责任1次；此类问题的认定，以发包人、总监理工程师书面通知、指令、通报和会议纪要为准。</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5.25</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承包人因自身原因造成的重大安全事故（含工程质量事故）的</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5.25.1</w:t>
            </w:r>
          </w:p>
        </w:tc>
        <w:tc>
          <w:tcPr>
            <w:tcW w:w="2160" w:type="dxa"/>
            <w:vAlign w:val="center"/>
          </w:tcPr>
          <w:p>
            <w:pPr>
              <w:adjustRightInd w:val="0"/>
              <w:snapToGrid w:val="0"/>
              <w:rPr>
                <w:rFonts w:ascii="宋体" w:hAnsi="宋体" w:cs="宋体"/>
                <w:bCs/>
                <w:snapToGrid w:val="0"/>
                <w:color w:val="000000" w:themeColor="text1"/>
                <w:kern w:val="0"/>
                <w:sz w:val="18"/>
                <w:szCs w:val="18"/>
                <w:highlight w:val="none"/>
                <w14:textFill>
                  <w14:solidFill>
                    <w14:schemeClr w14:val="tx1"/>
                  </w14:solidFill>
                </w14:textFill>
              </w:rPr>
            </w:pPr>
            <w:r>
              <w:rPr>
                <w:rFonts w:hint="eastAsia" w:ascii="宋体" w:hAnsi="宋体" w:cs="宋体"/>
                <w:bCs/>
                <w:snapToGrid w:val="0"/>
                <w:color w:val="000000" w:themeColor="text1"/>
                <w:kern w:val="0"/>
                <w:sz w:val="18"/>
                <w:szCs w:val="18"/>
                <w:highlight w:val="none"/>
                <w14:textFill>
                  <w14:solidFill>
                    <w14:schemeClr w14:val="tx1"/>
                  </w14:solidFill>
                </w14:textFill>
              </w:rPr>
              <w:t>发生特别重大事故（造成30人以</w:t>
            </w:r>
            <w:bookmarkStart w:id="1608" w:name="修改1"/>
            <w:bookmarkEnd w:id="1608"/>
            <w:r>
              <w:rPr>
                <w:rFonts w:hint="eastAsia" w:ascii="宋体" w:hAnsi="宋体" w:cs="宋体"/>
                <w:bCs/>
                <w:snapToGrid w:val="0"/>
                <w:color w:val="000000" w:themeColor="text1"/>
                <w:kern w:val="0"/>
                <w:sz w:val="18"/>
                <w:szCs w:val="18"/>
                <w:highlight w:val="none"/>
                <w14:textFill>
                  <w14:solidFill>
                    <w14:schemeClr w14:val="tx1"/>
                  </w14:solidFill>
                </w14:textFill>
              </w:rPr>
              <w:t>上死亡，或者100人以上重伤，或者1亿元以上直接经济损失的事故）</w:t>
            </w:r>
          </w:p>
          <w:p>
            <w:pPr>
              <w:ind w:firstLine="420"/>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必须积极补救消除隐患和影响，所需费用自负。如造成人员死亡的，承包人须向发包人支付违约金，违约金从相对应等级金额①起计，死亡的人数多于30人时，每增加死亡1人，承包人除支付上述违约金外还须再向发包人支付相对应等级的违约金②；如无造成人员死亡的，承包人除赔偿因此而给发包人造成的全部损失外，还应向发包人支付相对应等级的违约金③，同时承担严重违约责任三次。</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①100万元；        ②10万元/人；      ③50万元。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①500万元；         ②30万元/人；      ③80万元。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①1000万元；       ②50万元/人；      ③100万元。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①3000万元；       ②100万元/人；     ③150万元。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5.25.2</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bCs/>
                <w:snapToGrid w:val="0"/>
                <w:color w:val="000000" w:themeColor="text1"/>
                <w:kern w:val="0"/>
                <w:sz w:val="18"/>
                <w:szCs w:val="18"/>
                <w:highlight w:val="none"/>
                <w14:textFill>
                  <w14:solidFill>
                    <w14:schemeClr w14:val="tx1"/>
                  </w14:solidFill>
                </w14:textFill>
              </w:rPr>
              <w:t>发生重大事故（造成10人以上30人以下死亡，或者50人以上100人以下重伤，或者5000万元以上1亿元以下直接经济损失的事故）</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必须积极补救消除隐患和影响，所需费用自负。如造成人员死亡的，承包人须向发包人支付违约金，违约金从相对应等级金额①起计，死亡的人数多于10人时，每增加死亡1人，承包人除支付上述违约金外还须再向发包人支付相对应等级的违约金②；如无造成人员死亡的，承包人除赔偿因此而给发包人造成的全部损失外，还应向发包人支付相对应等级的违约金③，同时承担严重违约责任三次。</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①80万元；         ②10万元/人；      ③40万元。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①300万元；        ②30万元/人；      ③60万元。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①500万元；        ②50万元/人；      ③80万元。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①1000万元；       ②100万元/人；     ③100万元。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5.25.3</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bCs/>
                <w:snapToGrid w:val="0"/>
                <w:color w:val="000000" w:themeColor="text1"/>
                <w:kern w:val="0"/>
                <w:sz w:val="18"/>
                <w:szCs w:val="18"/>
                <w:highlight w:val="none"/>
                <w14:textFill>
                  <w14:solidFill>
                    <w14:schemeClr w14:val="tx1"/>
                  </w14:solidFill>
                </w14:textFill>
              </w:rPr>
              <w:t>发生较大事故（造成3人以上10人以下死亡，或者10人以上50人以下重伤，或者1000万元以上5000万元以下直接经济损失的事故）</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如造成人员死亡或重伤的，承包人须向发包人支付违约金，违约金从相应等级金额①起计，死亡的人数多于3人或重伤的人数多于20人时，每增加死亡1人或重伤3人，承包人除支付上述违约金外还须再向发包人支付相对应等级的违约金②，本条违约金最多不超过相对应等级的金额③；如无造成人员死亡或重伤的，承包人除赔偿因此而给发包人造成的全部损失外，还应向发包人支付相对应等级的违约金④，同时承担严重违约责任两次。</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①60万元；         ②10万元；         ③200万元；        ④30万元。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①150万元；        ②30万元；         ③400万元；        ④50万元。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①300万元；        ②50万元；         ③600万元；        ④60万元。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①500万元；        ②100万元；        ③900万元；        ④80万元。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5.25.4</w:t>
            </w:r>
          </w:p>
        </w:tc>
        <w:tc>
          <w:tcPr>
            <w:tcW w:w="2160" w:type="dxa"/>
            <w:vAlign w:val="center"/>
          </w:tcPr>
          <w:p>
            <w:pPr>
              <w:adjustRightInd w:val="0"/>
              <w:snapToGrid w:val="0"/>
              <w:rPr>
                <w:rFonts w:ascii="宋体" w:hAnsi="宋体" w:cs="宋体"/>
                <w:bCs/>
                <w:snapToGrid w:val="0"/>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发生</w:t>
            </w:r>
            <w:r>
              <w:rPr>
                <w:rFonts w:hint="eastAsia" w:ascii="宋体" w:hAnsi="宋体" w:cs="宋体"/>
                <w:bCs/>
                <w:snapToGrid w:val="0"/>
                <w:color w:val="000000" w:themeColor="text1"/>
                <w:kern w:val="0"/>
                <w:sz w:val="18"/>
                <w:szCs w:val="18"/>
                <w:highlight w:val="none"/>
                <w14:textFill>
                  <w14:solidFill>
                    <w14:schemeClr w14:val="tx1"/>
                  </w14:solidFill>
                </w14:textFill>
              </w:rPr>
              <w:t>一般事故（3人以下死亡，或者10人以下重伤，或者100万元以上1000万元以下直接经济损失的事故。）</w:t>
            </w:r>
          </w:p>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如造成人员死亡或重伤的，承包人须向发包人支付违约金，违约金从相应等级金额①起计，死亡的人数多于1人或重伤的人数多于3人时，每增加死亡1人或重伤4人，承包人除支付上述违约金外还须再向发包人支付相对应等级的违约金②，本条违约金最多不超过相对应等级的金额③；如无造成人员死亡或重伤的，承包人除赔偿因此而给发包人造成的全部损失外，还应向发包人支付相对应等级的违约金④，同时承担严重违约责任两次。</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①40万元；         ②10万元；         ③150万元；        ④20万元。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①60万元；         ②30万元；         ③200万元；        ④30万元。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①80万元；         ②50万元；         ③300万元；        ④40万元。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①100万元；        ②100万元；        ③400万元；        ④50万元。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6</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安全文明施工</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sz w:val="18"/>
                <w:szCs w:val="18"/>
                <w:highlight w:val="none"/>
                <w14:textFill>
                  <w14:solidFill>
                    <w14:schemeClr w14:val="tx1"/>
                  </w14:solidFill>
                </w14:textFill>
              </w:rPr>
            </w:pPr>
            <w:r>
              <w:rPr>
                <w:rFonts w:hint="eastAsia" w:ascii="宋体" w:hAnsi="宋体" w:cs="宋体"/>
                <w:b/>
                <w:color w:val="000000" w:themeColor="text1"/>
                <w:sz w:val="18"/>
                <w:szCs w:val="18"/>
                <w:highlight w:val="none"/>
                <w14:textFill>
                  <w14:solidFill>
                    <w14:schemeClr w14:val="tx1"/>
                  </w14:solidFill>
                </w14:textFill>
              </w:rPr>
              <w:t>书面警告及限期改正</w:t>
            </w: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施工前没召集有关构筑物、管线、市政设施等管理部门研究防护措施，</w:t>
            </w:r>
          </w:p>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无会议记录。</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6.2</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没有在现场标注地下管线的位置</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6.3</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工地上没有“文明施工技术措施计划” 的文件或没有将计划送到质安科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6.4</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没有现场“文明施工技术措施计划”三级交底记录</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6.5</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没有现场落实“文明施工技术措施计划”有关的各类人员责任状书</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6.6</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没有按规定悬挂开挖证、或交通导向牌或施工告示牌</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300元/每块</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300元/每块</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500元/每块</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6.7</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没有按规定围蔽施工，每缺或每翻倒2米以下围栏以及每缺一盏警示灯</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6.8</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工棚没有批准或在危险地方搭建</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6.9</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工棚宿舍有蚊虫的洼积水、或有乱抛烟头落地、物资堆放凌乱、或环境卫生差的</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6.10</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临时便道、施工通道不符合规定要求</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6.11</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违规现场搅拌混凝土</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6.12</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工地的污水、余泥污染围蔽范围以外的地方</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6.13</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余泥堆放违规或物料放在围蔽范围之外</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6.14</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运输车辆没有清洗或其中物料散落市区、无证运输余泥</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6.15</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完工撤场后遗留物料在现场或损坏绿化、市政构筑物和建筑物等</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6.16</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流动清疏车辆没有按规定放置、警示锥筒每缺一个或闪灯每缺一盏</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200元/个,盏</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200元/个,盏</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500元/个,盏</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1000元/个,盏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6.17</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电闸开关、机电设备、压力气瓶、消防器材等设备前没有留出通道或吊挂放置其它杂物</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Cs/>
                <w:color w:val="000000" w:themeColor="text1"/>
                <w:kern w:val="0"/>
                <w:sz w:val="18"/>
                <w:szCs w:val="18"/>
                <w:highlight w:val="none"/>
                <w14:textFill>
                  <w14:solidFill>
                    <w14:schemeClr w14:val="tx1"/>
                  </w14:solidFill>
                </w14:textFill>
              </w:rPr>
            </w:pPr>
            <w:r>
              <w:rPr>
                <w:rFonts w:hint="eastAsia" w:ascii="宋体" w:hAnsi="宋体" w:cs="宋体"/>
                <w:bCs/>
                <w:color w:val="000000" w:themeColor="text1"/>
                <w:kern w:val="0"/>
                <w:sz w:val="18"/>
                <w:szCs w:val="18"/>
                <w:highlight w:val="none"/>
                <w14:textFill>
                  <w14:solidFill>
                    <w14:schemeClr w14:val="tx1"/>
                  </w14:solidFill>
                </w14:textFill>
              </w:rPr>
              <w:t>6.18</w:t>
            </w:r>
          </w:p>
        </w:tc>
        <w:tc>
          <w:tcPr>
            <w:tcW w:w="2160" w:type="dxa"/>
            <w:vAlign w:val="center"/>
          </w:tcPr>
          <w:p>
            <w:pPr>
              <w:rPr>
                <w:rFonts w:ascii="宋体" w:hAnsi="宋体" w:cs="宋体"/>
                <w:color w:val="000000" w:themeColor="text1"/>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作业场所内有积油、积水或物资堆放脏乱的现场</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300元/每处</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500元/每处</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1000元/每处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w:t>
            </w: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承包人工程施工使用的工程设备、车辆的尾气排放要达标。若因尾气污染而受到个人或有关部门投诉，发包人经核实每次处罚承包人违约金5000元并限期改正</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6.20</w:t>
            </w: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在施工过程中，承包人应严格控制工地扬尘。若因扬尘而受到个人或有关部门投诉，发包人经核实每次处罚承包人违约金5000元并限期改正</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6.21</w:t>
            </w: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施工车辆进出施工场地，应当采取喷淋或者冲洗等措施。如因措施不力导致污染环境而受到个人或有关部门投诉或处罚，发包人经核实每次处罚承包人违约金5000元并限期整改</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一般违约及严重违约</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6.19</w:t>
            </w: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整个施工现场检查</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6.19.1</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第一次检查达不到标准</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对承包人给予一次限期改正。</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6.19.2</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同一内容第二次检查达不到标准</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承包人须向发包人支付相对应等级的违约金。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5万元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6.19.3</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同一内容第三次检查达不到标准</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承包人须向发包人支付相对应等级的违约金。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10万元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6.19.4</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同一内容第四次检查达不到标准</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承包人须向发包人支付相对应等级的违约金。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15万元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30万元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6.19.5</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同一内容第五次检查达不到标准</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承包人须向发包人支付相对应等级的违约金①。如此类推，每次检查达不到标准，违约金额比上一次检查支付的违约金额递增相对应等级的金额②（违约金额上限不大于合同造价的1％），直至达到标准。</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①8万元；          ②2万元。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①20万元；         ②5万元。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①40万元；         ②10万元。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①80万元；         ②人20万元。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6.19.6</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在政府行政主管部门的检查中，承包人的施工场地被评为不合格工地的，或者被通报批评的</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承包人必须承担一般违约责任一次，并立即采取切实有效措施予以整改；拒不采取切实有效的措施整改的，或整改效果不明显的，发包人将加重处罚力度，并要求承包人赔偿由此造成的损失。</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6.19.7</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承包人在施工过程中因其自身原因造成周围环境卫生状况较差，被周围居民投诉的</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必须在当天内整改。若故意拖延或同一问题累计被投诉2次，或累计被投诉3次，经查实确为承包人原因造成的周围环境卫生问题，承包人应承担一般违约责任1次。以后每增加一次投诉经查实的，承包人应承担一次一般违约责任。</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7</w:t>
            </w:r>
          </w:p>
        </w:tc>
        <w:tc>
          <w:tcPr>
            <w:tcW w:w="2160" w:type="dxa"/>
            <w:vAlign w:val="center"/>
          </w:tcPr>
          <w:p>
            <w:pPr>
              <w:rPr>
                <w:rFonts w:ascii="宋体" w:hAnsi="宋体" w:cs="宋体"/>
                <w:b/>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结算</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2160" w:type="dxa"/>
            <w:vAlign w:val="center"/>
          </w:tcPr>
          <w:p>
            <w:pPr>
              <w:rPr>
                <w:rFonts w:ascii="宋体" w:hAnsi="宋体" w:cs="宋体"/>
                <w:b/>
                <w:color w:val="000000" w:themeColor="text1"/>
                <w:kern w:val="0"/>
                <w:sz w:val="18"/>
                <w:szCs w:val="18"/>
                <w:highlight w:val="none"/>
                <w14:textFill>
                  <w14:solidFill>
                    <w14:schemeClr w14:val="tx1"/>
                  </w14:solidFill>
                </w14:textFill>
              </w:rPr>
            </w:pPr>
            <w:r>
              <w:rPr>
                <w:rFonts w:hint="eastAsia" w:ascii="宋体" w:hAnsi="宋体" w:cs="宋体"/>
                <w:b/>
                <w:color w:val="000000" w:themeColor="text1"/>
                <w:kern w:val="0"/>
                <w:sz w:val="18"/>
                <w:szCs w:val="18"/>
                <w:highlight w:val="none"/>
                <w14:textFill>
                  <w14:solidFill>
                    <w14:schemeClr w14:val="tx1"/>
                  </w14:solidFill>
                </w14:textFill>
              </w:rPr>
              <w:t>书面警告及限期改正</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7.1</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承包人不按时移交竣工档案，或者移交的竣工档案不完整且在发包人规定的期限内不补充完整的，承包人承担20万元的违约金。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7.1</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若承包人未按合同约定的期限提交结算时，则以5000元/天计罚，最高不超履约保证金（现金部分）的20%，发包人直接从履约保证金中扣除，发包人同意延期的除外。</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7.2</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p>
        </w:tc>
        <w:tc>
          <w:tcPr>
            <w:tcW w:w="5449" w:type="dxa"/>
            <w:vAlign w:val="center"/>
          </w:tcPr>
          <w:p>
            <w:pPr>
              <w:rPr>
                <w:rFonts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工程师收到承包人递交的竣工结算报告及符合发包人要求的结算资料后进行核实，提出审核意见后半个月内送交发包人，承包人应在竣工验收完成后二个月内提交工程结算资料，承包人延误提交结算资料，按5000元/天处以罚款。发包人按照有审核权限部门关于我市区政性资金投资项目工程预决算审核工作的有关要求进行结算送审，承包人应派专人配合发包人的结算工作，工程结算经区有审核权限部门审核后作为合同结算价款。</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8</w:t>
            </w:r>
          </w:p>
        </w:tc>
        <w:tc>
          <w:tcPr>
            <w:tcW w:w="2160"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备注</w:t>
            </w:r>
          </w:p>
        </w:tc>
        <w:tc>
          <w:tcPr>
            <w:tcW w:w="5449" w:type="dxa"/>
            <w:vAlign w:val="center"/>
          </w:tcPr>
          <w:p>
            <w:pPr>
              <w:rPr>
                <w:rFonts w:ascii="宋体" w:hAnsi="宋体" w:cs="宋体"/>
                <w:b/>
                <w:bCs/>
                <w:color w:val="000000" w:themeColor="text1"/>
                <w:kern w:val="0"/>
                <w:sz w:val="18"/>
                <w:szCs w:val="18"/>
                <w:highlight w:val="none"/>
                <w14:textFill>
                  <w14:solidFill>
                    <w14:schemeClr w14:val="tx1"/>
                  </w14:solidFill>
                </w14:textFill>
              </w:rPr>
            </w:pPr>
            <w:r>
              <w:rPr>
                <w:rFonts w:hint="eastAsia" w:ascii="宋体" w:hAnsi="宋体" w:cs="宋体"/>
                <w:b/>
                <w:bCs/>
                <w:color w:val="000000" w:themeColor="text1"/>
                <w:kern w:val="0"/>
                <w:sz w:val="18"/>
                <w:szCs w:val="18"/>
                <w:highlight w:val="none"/>
                <w14:textFill>
                  <w14:solidFill>
                    <w14:schemeClr w14:val="tx1"/>
                  </w14:solidFill>
                </w14:textFill>
              </w:rPr>
              <w:t>上述条款中如列出违约金额的，按违约金额处罚。如只列出责任的按备注条款处罚。如同时列出违约金额和责任的，需按违约金额和备注条款一并处罚。</w:t>
            </w:r>
          </w:p>
        </w:tc>
        <w:tc>
          <w:tcPr>
            <w:tcW w:w="172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94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780" w:type="dxa"/>
          </w:tcPr>
          <w:p>
            <w:pPr>
              <w:rPr>
                <w:rFonts w:ascii="宋体" w:hAnsi="宋体" w:cs="宋体"/>
                <w:b/>
                <w:bCs/>
                <w:color w:val="000000" w:themeColor="text1"/>
                <w:kern w:val="0"/>
                <w:sz w:val="18"/>
                <w:szCs w:val="18"/>
                <w:highlight w:val="none"/>
                <w14:textFill>
                  <w14:solidFill>
                    <w14:schemeClr w14:val="tx1"/>
                  </w14:solidFill>
                </w14:textFill>
              </w:rPr>
            </w:pPr>
          </w:p>
        </w:tc>
        <w:tc>
          <w:tcPr>
            <w:tcW w:w="1480" w:type="dxa"/>
          </w:tcPr>
          <w:p>
            <w:pPr>
              <w:rPr>
                <w:rFonts w:ascii="宋体" w:hAnsi="宋体" w:cs="宋体"/>
                <w:b/>
                <w:bCs/>
                <w:color w:val="000000" w:themeColor="text1"/>
                <w:kern w:val="0"/>
                <w:sz w:val="18"/>
                <w:szCs w:val="18"/>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8.1</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书面警告</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承包人未履行、未按时履行或未按质履行义务时，监理工程师或发包人有权向承包人发出书面警告。</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并且承包人应当交纳违约金1万元给发包人。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8.2</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限期改正</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受到书面警告后仍不改正，监理工程师或发包人有权向承包人发出《违约责任通知书》，要求承包人必须在监理工程师或发包人限定的时间内履行义务，同时，承包人应当向发包人交纳相对应等级的违约金。</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1万元</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1万元</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1万元</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2万元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8.3</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一般违约责任</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承包人违反本合同的约定须承担一般违约责任时，必须向发包人交纳相对应等级的违约金①；若承包人再犯同一的违约行为，第2次缴纳②，2次以上（不含本数）缴纳③。</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①1万元/次；       ②3万元/次；       ③4万元/次。</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①2万元/次；       ②4万元/次；       ③人6万元/次。</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①3万元/次；       ②6万元/次；       ③9万元/次。</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①6万元/次；        ②12万元/次；       ③18万元/次。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8.4</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严重违约责任</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承包人违反本合同的约定须承担严重违约责任时，必须向发包人交纳相对应等级的违约金</w:t>
            </w:r>
            <w:r>
              <w:rPr>
                <w:rFonts w:hint="eastAsia" w:ascii="宋体" w:hAnsi="宋体" w:cs="宋体"/>
                <w:b/>
                <w:color w:val="000000" w:themeColor="text1"/>
                <w:kern w:val="0"/>
                <w:sz w:val="18"/>
                <w:szCs w:val="18"/>
                <w:highlight w:val="none"/>
                <w:u w:val="single"/>
                <w14:textFill>
                  <w14:solidFill>
                    <w14:schemeClr w14:val="tx1"/>
                  </w14:solidFill>
                </w14:textFill>
              </w:rPr>
              <w:t>，且发包人可以拒绝承包人在3年内参与发包人其他项目的投标</w:t>
            </w:r>
            <w:r>
              <w:rPr>
                <w:rFonts w:hint="eastAsia" w:ascii="宋体" w:hAnsi="宋体" w:cs="宋体"/>
                <w:color w:val="000000" w:themeColor="text1"/>
                <w:kern w:val="0"/>
                <w:sz w:val="18"/>
                <w:szCs w:val="18"/>
                <w:highlight w:val="none"/>
                <w14:textFill>
                  <w14:solidFill>
                    <w14:schemeClr w14:val="tx1"/>
                  </w14:solidFill>
                </w14:textFill>
              </w:rPr>
              <w:t>。</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4万元/次</w:t>
            </w:r>
          </w:p>
        </w:tc>
        <w:tc>
          <w:tcPr>
            <w:tcW w:w="194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6万元/次</w:t>
            </w:r>
          </w:p>
        </w:tc>
        <w:tc>
          <w:tcPr>
            <w:tcW w:w="17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9万元/次</w:t>
            </w:r>
          </w:p>
        </w:tc>
        <w:tc>
          <w:tcPr>
            <w:tcW w:w="1480" w:type="dxa"/>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18万元/次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1"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8.5</w:t>
            </w:r>
          </w:p>
        </w:tc>
        <w:tc>
          <w:tcPr>
            <w:tcW w:w="2160"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赔偿损失</w:t>
            </w:r>
          </w:p>
        </w:tc>
        <w:tc>
          <w:tcPr>
            <w:tcW w:w="5449" w:type="dxa"/>
            <w:vAlign w:val="center"/>
          </w:tcPr>
          <w:p>
            <w:pPr>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14:textFill>
                  <w14:solidFill>
                    <w14:schemeClr w14:val="tx1"/>
                  </w14:solidFill>
                </w14:textFill>
              </w:rPr>
              <w:t>因承包人违约造成发包人经济损失的，承包人在按照前述标准承担违约责任的同时，还应赔偿发包人因此造成的全部损失。</w:t>
            </w:r>
          </w:p>
        </w:tc>
        <w:tc>
          <w:tcPr>
            <w:tcW w:w="1720" w:type="dxa"/>
          </w:tcPr>
          <w:p>
            <w:pPr>
              <w:rPr>
                <w:rFonts w:ascii="宋体" w:hAnsi="宋体" w:cs="宋体"/>
                <w:color w:val="000000" w:themeColor="text1"/>
                <w:kern w:val="0"/>
                <w:sz w:val="18"/>
                <w:szCs w:val="18"/>
                <w:highlight w:val="none"/>
                <w14:textFill>
                  <w14:solidFill>
                    <w14:schemeClr w14:val="tx1"/>
                  </w14:solidFill>
                </w14:textFill>
              </w:rPr>
            </w:pPr>
          </w:p>
        </w:tc>
        <w:tc>
          <w:tcPr>
            <w:tcW w:w="1940" w:type="dxa"/>
          </w:tcPr>
          <w:p>
            <w:pPr>
              <w:rPr>
                <w:rFonts w:ascii="宋体" w:hAnsi="宋体" w:cs="宋体"/>
                <w:color w:val="000000" w:themeColor="text1"/>
                <w:kern w:val="0"/>
                <w:sz w:val="18"/>
                <w:szCs w:val="18"/>
                <w:highlight w:val="none"/>
                <w14:textFill>
                  <w14:solidFill>
                    <w14:schemeClr w14:val="tx1"/>
                  </w14:solidFill>
                </w14:textFill>
              </w:rPr>
            </w:pPr>
          </w:p>
        </w:tc>
        <w:tc>
          <w:tcPr>
            <w:tcW w:w="1780" w:type="dxa"/>
          </w:tcPr>
          <w:p>
            <w:pPr>
              <w:rPr>
                <w:rFonts w:ascii="宋体" w:hAnsi="宋体" w:cs="宋体"/>
                <w:color w:val="000000" w:themeColor="text1"/>
                <w:kern w:val="0"/>
                <w:sz w:val="18"/>
                <w:szCs w:val="18"/>
                <w:highlight w:val="none"/>
                <w14:textFill>
                  <w14:solidFill>
                    <w14:schemeClr w14:val="tx1"/>
                  </w14:solidFill>
                </w14:textFill>
              </w:rPr>
            </w:pPr>
          </w:p>
        </w:tc>
        <w:tc>
          <w:tcPr>
            <w:tcW w:w="1480" w:type="dxa"/>
          </w:tcPr>
          <w:p>
            <w:pPr>
              <w:rPr>
                <w:rFonts w:ascii="宋体" w:hAnsi="宋体" w:cs="宋体"/>
                <w:color w:val="000000" w:themeColor="text1"/>
                <w:kern w:val="0"/>
                <w:sz w:val="18"/>
                <w:szCs w:val="18"/>
                <w:highlight w:val="none"/>
                <w14:textFill>
                  <w14:solidFill>
                    <w14:schemeClr w14:val="tx1"/>
                  </w14:solidFill>
                </w14:textFill>
              </w:rPr>
            </w:pPr>
          </w:p>
        </w:tc>
      </w:tr>
    </w:tbl>
    <w:p>
      <w:pP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sectPr>
          <w:footerReference r:id="rId9" w:type="default"/>
          <w:pgSz w:w="16838" w:h="11906" w:orient="landscape"/>
          <w:pgMar w:top="1701" w:right="1418" w:bottom="1418" w:left="1418" w:header="851" w:footer="680" w:gutter="0"/>
          <w:cols w:space="720" w:num="1"/>
          <w:docGrid w:type="lines" w:linePitch="312" w:charSpace="0"/>
        </w:sectPr>
      </w:pPr>
    </w:p>
    <w:p>
      <w:pPr>
        <w:outlineLvl w:val="1"/>
        <w:rPr>
          <w:rFonts w:ascii="宋体" w:hAnsi="宋体" w:cs="宋体"/>
          <w:color w:val="000000" w:themeColor="text1"/>
          <w:kern w:val="0"/>
          <w:szCs w:val="21"/>
          <w:highlight w:val="none"/>
          <w14:textFill>
            <w14:solidFill>
              <w14:schemeClr w14:val="tx1"/>
            </w14:solidFill>
          </w14:textFill>
        </w:rPr>
      </w:pPr>
      <w:bookmarkStart w:id="1609" w:name="_Toc13131"/>
      <w:bookmarkStart w:id="1610" w:name="_Toc269898530"/>
      <w:bookmarkStart w:id="1611" w:name="_Toc486160134"/>
      <w:bookmarkStart w:id="1612" w:name="_Toc476860518"/>
      <w:bookmarkStart w:id="1613" w:name="_Toc411736583"/>
      <w:bookmarkStart w:id="1614" w:name="_Toc411736307"/>
      <w:bookmarkStart w:id="1615" w:name="_Toc147856245"/>
      <w:bookmarkStart w:id="1616" w:name="_Toc486160133"/>
      <w:r>
        <w:rPr>
          <w:rFonts w:hint="eastAsia" w:ascii="宋体" w:hAnsi="宋体" w:cs="宋体"/>
          <w:color w:val="000000" w:themeColor="text1"/>
          <w:kern w:val="0"/>
          <w:szCs w:val="21"/>
          <w:highlight w:val="none"/>
          <w14:textFill>
            <w14:solidFill>
              <w14:schemeClr w14:val="tx1"/>
            </w14:solidFill>
          </w14:textFill>
        </w:rPr>
        <w:t>附件</w:t>
      </w: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：预付款担保格式</w:t>
      </w:r>
      <w:bookmarkEnd w:id="1609"/>
      <w:bookmarkEnd w:id="1610"/>
      <w:bookmarkEnd w:id="1611"/>
      <w:bookmarkEnd w:id="1612"/>
      <w:bookmarkEnd w:id="1613"/>
      <w:bookmarkEnd w:id="1614"/>
      <w:bookmarkEnd w:id="1615"/>
    </w:p>
    <w:p>
      <w:pPr>
        <w:spacing w:line="360" w:lineRule="auto"/>
        <w:jc w:val="center"/>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预付款担保</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（发包人名称）：</w:t>
      </w:r>
    </w:p>
    <w:p>
      <w:pPr>
        <w:pStyle w:val="2"/>
        <w:rPr>
          <w:color w:val="000000" w:themeColor="text1"/>
          <w:highlight w:val="none"/>
          <w14:textFill>
            <w14:solidFill>
              <w14:schemeClr w14:val="tx1"/>
            </w14:solidFill>
          </w14:textFill>
        </w:rPr>
      </w:pPr>
    </w:p>
    <w:p>
      <w:pPr>
        <w:tabs>
          <w:tab w:val="left" w:pos="4680"/>
        </w:tabs>
        <w:spacing w:line="360" w:lineRule="auto"/>
        <w:ind w:firstLine="420"/>
        <w:rPr>
          <w:rFonts w:ascii="宋体" w:hAnsi="宋体"/>
          <w:color w:val="000000" w:themeColor="text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鉴于（发包人名称，以下简称“发包人”）将与（承包人名称）（以下称“承包人”）就（工程名称）有关事项协商一致共同签订合同协议</w:t>
      </w:r>
      <w:r>
        <w:rPr>
          <w:rFonts w:hint="eastAsia" w:ascii="宋体" w:hAnsi="宋体"/>
          <w:color w:val="000000" w:themeColor="text1"/>
          <w:highlight w:val="none"/>
          <w14:textFill>
            <w14:solidFill>
              <w14:schemeClr w14:val="tx1"/>
            </w14:solidFill>
          </w14:textFill>
        </w:rPr>
        <w:t>。根据该合同规定，发包人将支付承包人一笔金额为人民币（大写）万元（¥）的预付款，而承包人须向委发包人提供与本预付款等额的无条件兑现和不可撤销的保函。</w:t>
      </w:r>
      <w:r>
        <w:rPr>
          <w:rFonts w:hint="eastAsia" w:ascii="宋体" w:hAnsi="宋体"/>
          <w:color w:val="000000" w:themeColor="text1"/>
          <w:szCs w:val="21"/>
          <w:highlight w:val="none"/>
          <w14:textFill>
            <w14:solidFill>
              <w14:schemeClr w14:val="tx1"/>
            </w14:solidFill>
          </w14:textFill>
        </w:rPr>
        <w:t xml:space="preserve">我方愿意无条件地、不可撤销地就承包人履行与你方签订的合同，向你方提供连带责任担保。 </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 担保金额人民币（大写）元（¥）。</w:t>
      </w:r>
    </w:p>
    <w:p>
      <w:pPr>
        <w:tabs>
          <w:tab w:val="left" w:pos="4680"/>
        </w:tabs>
        <w:spacing w:line="360" w:lineRule="auto"/>
        <w:ind w:firstLine="420"/>
        <w:rPr>
          <w:rFonts w:ascii="宋体" w:hAnsi="宋体"/>
          <w:color w:val="000000" w:themeColor="text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 担保有效期自</w:t>
      </w:r>
      <w:r>
        <w:rPr>
          <w:rFonts w:hint="eastAsia" w:ascii="宋体" w:hAnsi="宋体"/>
          <w:color w:val="000000" w:themeColor="text1"/>
          <w:highlight w:val="none"/>
          <w:u w:val="single"/>
          <w14:textFill>
            <w14:solidFill>
              <w14:schemeClr w14:val="tx1"/>
            </w14:solidFill>
          </w14:textFill>
        </w:rPr>
        <w:t>　（生效日期）　</w:t>
      </w:r>
      <w:r>
        <w:rPr>
          <w:rFonts w:hint="eastAsia" w:ascii="宋体" w:hAnsi="宋体"/>
          <w:color w:val="000000" w:themeColor="text1"/>
          <w:highlight w:val="none"/>
          <w14:textFill>
            <w14:solidFill>
              <w14:schemeClr w14:val="tx1"/>
            </w14:solidFill>
          </w14:textFill>
        </w:rPr>
        <w:t>之日起生效，至</w:t>
      </w:r>
      <w:r>
        <w:rPr>
          <w:rFonts w:hint="eastAsia" w:ascii="宋体" w:hAnsi="宋体"/>
          <w:color w:val="000000" w:themeColor="text1"/>
          <w:highlight w:val="none"/>
          <w:u w:val="single"/>
          <w14:textFill>
            <w14:solidFill>
              <w14:schemeClr w14:val="tx1"/>
            </w14:solidFill>
          </w14:textFill>
        </w:rPr>
        <w:t>　　（失效日期）　</w:t>
      </w:r>
      <w:r>
        <w:rPr>
          <w:rFonts w:hint="eastAsia" w:ascii="宋体" w:hAnsi="宋体"/>
          <w:color w:val="000000" w:themeColor="text1"/>
          <w:highlight w:val="none"/>
          <w14:textFill>
            <w14:solidFill>
              <w14:schemeClr w14:val="tx1"/>
            </w14:solidFill>
          </w14:textFill>
        </w:rPr>
        <w:t>之日失效，除非你方提前终止或解除本保函。</w:t>
      </w:r>
    </w:p>
    <w:p>
      <w:pPr>
        <w:tabs>
          <w:tab w:val="left" w:pos="4680"/>
        </w:tabs>
        <w:spacing w:line="360" w:lineRule="auto"/>
        <w:ind w:firstLine="420"/>
        <w:rPr>
          <w:rFonts w:ascii="宋体" w:hAnsi="宋体"/>
          <w:color w:val="000000" w:themeColor="text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 在本担保有效期内，</w:t>
      </w:r>
      <w:r>
        <w:rPr>
          <w:rFonts w:hint="eastAsia" w:ascii="宋体" w:hAnsi="宋体"/>
          <w:color w:val="000000" w:themeColor="text1"/>
          <w:highlight w:val="none"/>
          <w14:textFill>
            <w14:solidFill>
              <w14:schemeClr w14:val="tx1"/>
            </w14:solidFill>
          </w14:textFill>
        </w:rPr>
        <w:t>我方在接到发包人提出的因承包人在履行合同过程中，未能履行或违背合同规定的责任和义务而要求索赔的书面通知和付款凭证后的7天内，在上述担保的限额内，向发包人支付任何数额的款项，无须发包人出具证明或陈述理由。</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4. </w:t>
      </w:r>
      <w:r>
        <w:rPr>
          <w:rFonts w:hint="eastAsia" w:ascii="宋体" w:hAnsi="宋体"/>
          <w:color w:val="000000" w:themeColor="text1"/>
          <w:highlight w:val="none"/>
          <w14:textFill>
            <w14:solidFill>
              <w14:schemeClr w14:val="tx1"/>
            </w14:solidFill>
          </w14:textFill>
        </w:rPr>
        <w:t>在向我方提出要求前，我方将不坚持要求发包人应首先向监理人索要上述款项。我行还同意，任何对合同条款所作的修改和补充都不能免除我行按本保函所应承担的义务。</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 因本保函发生的纠纷，可由双方协商解决，协商不成的，任何一方均可提请仲裁委员会仲裁。</w:t>
      </w:r>
    </w:p>
    <w:p>
      <w:pPr>
        <w:spacing w:line="360" w:lineRule="auto"/>
        <w:ind w:firstLine="420" w:firstLineChars="20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 本保函自我方法定代表人（或其授权代理人）签字并加盖公章之日起生效。</w:t>
      </w:r>
    </w:p>
    <w:p>
      <w:pPr>
        <w:spacing w:line="360" w:lineRule="auto"/>
        <w:rPr>
          <w:rFonts w:ascii="宋体" w:hAnsi="宋体"/>
          <w:color w:val="000000" w:themeColor="text1"/>
          <w:szCs w:val="21"/>
          <w:highlight w:val="none"/>
          <w14:textFill>
            <w14:solidFill>
              <w14:schemeClr w14:val="tx1"/>
            </w14:solidFill>
          </w14:textFill>
        </w:rPr>
      </w:pP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担 保 人：（盖单位章）</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法定代表人或其委托代理人：（签字）</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地    址：</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邮政编码：</w:t>
      </w:r>
    </w:p>
    <w:p>
      <w:pPr>
        <w:spacing w:line="360" w:lineRule="auto"/>
        <w:rPr>
          <w:rFonts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电    话：</w:t>
      </w:r>
    </w:p>
    <w:p>
      <w:pPr>
        <w:spacing w:line="360" w:lineRule="auto"/>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传    真：</w:t>
      </w:r>
    </w:p>
    <w:p>
      <w:pPr>
        <w:spacing w:line="360" w:lineRule="auto"/>
        <w:jc w:val="left"/>
        <w:rPr>
          <w:rFonts w:ascii="宋体" w:hAnsi="宋体"/>
          <w:color w:val="000000" w:themeColor="text1"/>
          <w:szCs w:val="21"/>
          <w:highlight w:val="none"/>
          <w:u w:val="single"/>
          <w14:textFill>
            <w14:solidFill>
              <w14:schemeClr w14:val="tx1"/>
            </w14:solidFill>
          </w14:textFill>
        </w:rPr>
      </w:pPr>
    </w:p>
    <w:p>
      <w:pPr>
        <w:spacing w:line="360" w:lineRule="auto"/>
        <w:ind w:left="1323" w:leftChars="200" w:hanging="903" w:hangingChars="430"/>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年   月   日</w:t>
      </w:r>
    </w:p>
    <w:p>
      <w:pPr>
        <w:rPr>
          <w:color w:val="000000" w:themeColor="text1"/>
          <w:highlight w:val="none"/>
          <w:lang w:val="zh-CN"/>
          <w14:textFill>
            <w14:solidFill>
              <w14:schemeClr w14:val="tx1"/>
            </w14:solidFill>
          </w14:textFill>
        </w:rPr>
        <w:sectPr>
          <w:footerReference r:id="rId10" w:type="default"/>
          <w:pgSz w:w="11907" w:h="16840"/>
          <w:pgMar w:top="1440" w:right="1440" w:bottom="1440" w:left="1440" w:header="851" w:footer="992" w:gutter="0"/>
          <w:cols w:space="720" w:num="1"/>
          <w:docGrid w:linePitch="312" w:charSpace="0"/>
        </w:sectPr>
      </w:pPr>
    </w:p>
    <w:p>
      <w:pPr>
        <w:outlineLvl w:val="1"/>
        <w:rPr>
          <w:rFonts w:ascii="宋体" w:hAnsi="宋体" w:cs="宋体"/>
          <w:color w:val="000000" w:themeColor="text1"/>
          <w:kern w:val="0"/>
          <w:szCs w:val="21"/>
          <w:highlight w:val="none"/>
          <w14:textFill>
            <w14:solidFill>
              <w14:schemeClr w14:val="tx1"/>
            </w14:solidFill>
          </w14:textFill>
        </w:rPr>
      </w:pPr>
      <w:bookmarkStart w:id="1617" w:name="_Toc699131246"/>
      <w:bookmarkStart w:id="1618" w:name="_Toc5020"/>
      <w:bookmarkStart w:id="1619" w:name="_Toc147856246"/>
      <w:r>
        <w:rPr>
          <w:rFonts w:hint="eastAsia" w:ascii="宋体" w:hAnsi="宋体" w:cs="宋体"/>
          <w:color w:val="000000" w:themeColor="text1"/>
          <w:kern w:val="0"/>
          <w:szCs w:val="21"/>
          <w:highlight w:val="none"/>
          <w14:textFill>
            <w14:solidFill>
              <w14:schemeClr w14:val="tx1"/>
            </w14:solidFill>
          </w14:textFill>
        </w:rPr>
        <w:t>附件</w:t>
      </w: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：履约担保格式</w:t>
      </w:r>
      <w:bookmarkEnd w:id="1616"/>
      <w:bookmarkEnd w:id="1617"/>
      <w:bookmarkEnd w:id="1618"/>
      <w:bookmarkEnd w:id="1619"/>
    </w:p>
    <w:p>
      <w:pPr>
        <w:jc w:val="center"/>
        <w:rPr>
          <w:rFonts w:ascii="宋体" w:hAnsi="宋体" w:cs="仿宋"/>
          <w:b/>
          <w:bCs/>
          <w:color w:val="000000" w:themeColor="text1"/>
          <w:sz w:val="30"/>
          <w:szCs w:val="30"/>
          <w:highlight w:val="none"/>
          <w14:textFill>
            <w14:solidFill>
              <w14:schemeClr w14:val="tx1"/>
            </w14:solidFill>
          </w14:textFill>
        </w:rPr>
      </w:pPr>
    </w:p>
    <w:p>
      <w:pPr>
        <w:jc w:val="center"/>
        <w:rPr>
          <w:rFonts w:ascii="宋体" w:hAnsi="宋体" w:cs="仿宋"/>
          <w:b/>
          <w:bCs/>
          <w:color w:val="000000" w:themeColor="text1"/>
          <w:sz w:val="28"/>
          <w:szCs w:val="28"/>
          <w:highlight w:val="none"/>
          <w14:textFill>
            <w14:solidFill>
              <w14:schemeClr w14:val="tx1"/>
            </w14:solidFill>
          </w14:textFill>
        </w:rPr>
      </w:pPr>
      <w:r>
        <w:rPr>
          <w:rFonts w:hint="eastAsia" w:ascii="宋体" w:hAnsi="宋体" w:cs="仿宋"/>
          <w:b/>
          <w:bCs/>
          <w:color w:val="000000" w:themeColor="text1"/>
          <w:sz w:val="28"/>
          <w:szCs w:val="28"/>
          <w:highlight w:val="none"/>
          <w14:textFill>
            <w14:solidFill>
              <w14:schemeClr w14:val="tx1"/>
            </w14:solidFill>
          </w14:textFill>
        </w:rPr>
        <w:t>银 行 保 函（中标后提交，投标时不需要提交）</w:t>
      </w:r>
    </w:p>
    <w:p>
      <w:pPr>
        <w:jc w:val="center"/>
        <w:rPr>
          <w:rFonts w:ascii="宋体" w:hAnsi="宋体" w:cs="仿宋"/>
          <w:b/>
          <w:bCs/>
          <w:color w:val="000000" w:themeColor="text1"/>
          <w:sz w:val="28"/>
          <w:szCs w:val="28"/>
          <w:highlight w:val="none"/>
          <w14:textFill>
            <w14:solidFill>
              <w14:schemeClr w14:val="tx1"/>
            </w14:solidFill>
          </w14:textFill>
        </w:rPr>
      </w:pPr>
      <w:r>
        <w:rPr>
          <w:rFonts w:hint="eastAsia" w:ascii="宋体" w:hAnsi="宋体" w:cs="仿宋"/>
          <w:b/>
          <w:bCs/>
          <w:color w:val="000000" w:themeColor="text1"/>
          <w:sz w:val="28"/>
          <w:szCs w:val="28"/>
          <w:highlight w:val="none"/>
          <w14:textFill>
            <w14:solidFill>
              <w14:schemeClr w14:val="tx1"/>
            </w14:solidFill>
          </w14:textFill>
        </w:rPr>
        <w:t>（固定期限格式）</w:t>
      </w:r>
    </w:p>
    <w:p>
      <w:pPr>
        <w:rPr>
          <w:rFonts w:ascii="宋体" w:hAnsi="宋体" w:cs="仿宋"/>
          <w:color w:val="000000" w:themeColor="text1"/>
          <w:szCs w:val="20"/>
          <w:highlight w:val="none"/>
          <w14:textFill>
            <w14:solidFill>
              <w14:schemeClr w14:val="tx1"/>
            </w14:solidFill>
          </w14:textFill>
        </w:rPr>
      </w:pPr>
    </w:p>
    <w:p>
      <w:pPr>
        <w:spacing w:line="360" w:lineRule="auto"/>
        <w:jc w:val="center"/>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 xml:space="preserve">                                    银行编号：</w:t>
      </w:r>
    </w:p>
    <w:p>
      <w:pPr>
        <w:rPr>
          <w:rFonts w:ascii="宋体" w:hAnsi="宋体" w:cs="仿宋"/>
          <w:color w:val="000000" w:themeColor="text1"/>
          <w:szCs w:val="21"/>
          <w:highlight w:val="none"/>
          <w14:textFill>
            <w14:solidFill>
              <w14:schemeClr w14:val="tx1"/>
            </w14:solidFill>
          </w14:textFill>
        </w:rPr>
      </w:pPr>
    </w:p>
    <w:p>
      <w:pPr>
        <w:spacing w:line="360" w:lineRule="auto"/>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致：（发包人）</w:t>
      </w:r>
      <w:r>
        <w:rPr>
          <w:rFonts w:hint="eastAsia" w:ascii="宋体" w:hAnsi="宋体" w:cs="仿宋"/>
          <w:bCs/>
          <w:color w:val="000000" w:themeColor="text1"/>
          <w:szCs w:val="21"/>
          <w:highlight w:val="none"/>
          <w:u w:val="single"/>
          <w14:textFill>
            <w14:solidFill>
              <w14:schemeClr w14:val="tx1"/>
            </w14:solidFill>
          </w14:textFill>
        </w:rPr>
        <w:t xml:space="preserve">                    </w:t>
      </w:r>
    </w:p>
    <w:p>
      <w:pPr>
        <w:spacing w:line="360" w:lineRule="auto"/>
        <w:ind w:firstLine="420" w:firstLineChars="200"/>
        <w:rPr>
          <w:rFonts w:ascii="宋体" w:hAnsi="宋体" w:cs="仿宋"/>
          <w:bCs/>
          <w:color w:val="000000" w:themeColor="text1"/>
          <w:szCs w:val="21"/>
          <w:highlight w:val="none"/>
          <w:u w:val="singl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（地  址）</w:t>
      </w:r>
      <w:r>
        <w:rPr>
          <w:rFonts w:hint="eastAsia" w:ascii="宋体" w:hAnsi="宋体" w:cs="仿宋"/>
          <w:bCs/>
          <w:color w:val="000000" w:themeColor="text1"/>
          <w:szCs w:val="21"/>
          <w:highlight w:val="none"/>
          <w:u w:val="single"/>
          <w14:textFill>
            <w14:solidFill>
              <w14:schemeClr w14:val="tx1"/>
            </w14:solidFill>
          </w14:textFill>
        </w:rPr>
        <w:t xml:space="preserve">                      </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 xml:space="preserve">鉴于 </w:t>
      </w:r>
      <w:r>
        <w:rPr>
          <w:rFonts w:hint="eastAsia" w:ascii="宋体" w:hAnsi="宋体" w:cs="仿宋"/>
          <w:bCs/>
          <w:color w:val="000000" w:themeColor="text1"/>
          <w:szCs w:val="21"/>
          <w:highlight w:val="none"/>
          <w:u w:val="single"/>
          <w14:textFill>
            <w14:solidFill>
              <w14:schemeClr w14:val="tx1"/>
            </w14:solidFill>
          </w14:textFill>
        </w:rPr>
        <w:t xml:space="preserve">                       </w:t>
      </w:r>
      <w:r>
        <w:rPr>
          <w:rFonts w:hint="eastAsia" w:ascii="宋体" w:hAnsi="宋体" w:cs="仿宋"/>
          <w:bCs/>
          <w:color w:val="000000" w:themeColor="text1"/>
          <w:szCs w:val="21"/>
          <w:highlight w:val="none"/>
          <w14:textFill>
            <w14:solidFill>
              <w14:schemeClr w14:val="tx1"/>
            </w14:solidFill>
          </w14:textFill>
        </w:rPr>
        <w:t>（以下称承包人）已保证按中标通知书（</w:t>
      </w:r>
      <w:r>
        <w:rPr>
          <w:rFonts w:hint="eastAsia" w:ascii="宋体" w:hAnsi="宋体" w:cs="仿宋"/>
          <w:bCs/>
          <w:color w:val="000000" w:themeColor="text1"/>
          <w:szCs w:val="21"/>
          <w:highlight w:val="none"/>
          <w:u w:val="single"/>
          <w14:textFill>
            <w14:solidFill>
              <w14:schemeClr w14:val="tx1"/>
            </w14:solidFill>
          </w14:textFill>
        </w:rPr>
        <w:t xml:space="preserve">    </w:t>
      </w:r>
      <w:r>
        <w:rPr>
          <w:rFonts w:hint="eastAsia" w:ascii="宋体" w:hAnsi="宋体" w:cs="仿宋"/>
          <w:bCs/>
          <w:color w:val="000000" w:themeColor="text1"/>
          <w:szCs w:val="21"/>
          <w:highlight w:val="none"/>
          <w14:textFill>
            <w14:solidFill>
              <w14:schemeClr w14:val="tx1"/>
            </w14:solidFill>
          </w14:textFill>
        </w:rPr>
        <w:t>年</w:t>
      </w:r>
      <w:r>
        <w:rPr>
          <w:rFonts w:hint="eastAsia" w:ascii="宋体" w:hAnsi="宋体" w:cs="仿宋"/>
          <w:bCs/>
          <w:color w:val="000000" w:themeColor="text1"/>
          <w:szCs w:val="21"/>
          <w:highlight w:val="none"/>
          <w:u w:val="single"/>
          <w14:textFill>
            <w14:solidFill>
              <w14:schemeClr w14:val="tx1"/>
            </w14:solidFill>
          </w14:textFill>
        </w:rPr>
        <w:t xml:space="preserve">    </w:t>
      </w:r>
      <w:r>
        <w:rPr>
          <w:rFonts w:hint="eastAsia" w:ascii="宋体" w:hAnsi="宋体" w:cs="仿宋"/>
          <w:bCs/>
          <w:color w:val="000000" w:themeColor="text1"/>
          <w:szCs w:val="21"/>
          <w:highlight w:val="none"/>
          <w14:textFill>
            <w14:solidFill>
              <w14:schemeClr w14:val="tx1"/>
            </w14:solidFill>
          </w14:textFill>
        </w:rPr>
        <w:t>月</w:t>
      </w:r>
      <w:r>
        <w:rPr>
          <w:rFonts w:hint="eastAsia" w:ascii="宋体" w:hAnsi="宋体" w:cs="仿宋"/>
          <w:bCs/>
          <w:color w:val="000000" w:themeColor="text1"/>
          <w:szCs w:val="21"/>
          <w:highlight w:val="none"/>
          <w:u w:val="single"/>
          <w14:textFill>
            <w14:solidFill>
              <w14:schemeClr w14:val="tx1"/>
            </w14:solidFill>
          </w14:textFill>
        </w:rPr>
        <w:t xml:space="preserve">   </w:t>
      </w:r>
      <w:r>
        <w:rPr>
          <w:rFonts w:hint="eastAsia" w:ascii="宋体" w:hAnsi="宋体" w:cs="仿宋"/>
          <w:bCs/>
          <w:color w:val="000000" w:themeColor="text1"/>
          <w:szCs w:val="21"/>
          <w:highlight w:val="none"/>
          <w14:textFill>
            <w14:solidFill>
              <w14:schemeClr w14:val="tx1"/>
            </w14:solidFill>
          </w14:textFill>
        </w:rPr>
        <w:t>日签署）实施</w:t>
      </w:r>
      <w:r>
        <w:rPr>
          <w:rFonts w:hint="eastAsia" w:ascii="宋体" w:hAnsi="宋体" w:cs="仿宋"/>
          <w:bCs/>
          <w:color w:val="000000" w:themeColor="text1"/>
          <w:szCs w:val="21"/>
          <w:highlight w:val="none"/>
          <w:u w:val="single"/>
          <w14:textFill>
            <w14:solidFill>
              <w14:schemeClr w14:val="tx1"/>
            </w14:solidFill>
          </w14:textFill>
        </w:rPr>
        <w:t xml:space="preserve">        工程名称       ，</w:t>
      </w:r>
      <w:r>
        <w:rPr>
          <w:rFonts w:hint="eastAsia" w:ascii="宋体" w:hAnsi="宋体" w:cs="仿宋"/>
          <w:bCs/>
          <w:color w:val="000000" w:themeColor="text1"/>
          <w:szCs w:val="21"/>
          <w:highlight w:val="none"/>
          <w14:textFill>
            <w14:solidFill>
              <w14:schemeClr w14:val="tx1"/>
            </w14:solidFill>
          </w14:textFill>
        </w:rPr>
        <w:t>又鉴于你方在招标文件中要求承包人按规定金额提交一份已经认可的银行保函作履约/预付款担保，本行已同意为承包人出具保函。</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本行作为保证人并代表承包人向你方承担支付人民币</w:t>
      </w:r>
      <w:r>
        <w:rPr>
          <w:rFonts w:hint="eastAsia" w:ascii="宋体" w:hAnsi="宋体" w:cs="仿宋"/>
          <w:bCs/>
          <w:color w:val="000000" w:themeColor="text1"/>
          <w:szCs w:val="21"/>
          <w:highlight w:val="none"/>
          <w:u w:val="single"/>
          <w14:textFill>
            <w14:solidFill>
              <w14:schemeClr w14:val="tx1"/>
            </w14:solidFill>
          </w14:textFill>
        </w:rPr>
        <w:t xml:space="preserve">         </w:t>
      </w:r>
      <w:r>
        <w:rPr>
          <w:rFonts w:hint="eastAsia" w:ascii="宋体" w:hAnsi="宋体" w:cs="仿宋"/>
          <w:bCs/>
          <w:color w:val="000000" w:themeColor="text1"/>
          <w:szCs w:val="21"/>
          <w:highlight w:val="none"/>
          <w14:textFill>
            <w14:solidFill>
              <w14:schemeClr w14:val="tx1"/>
            </w14:solidFill>
          </w14:textFill>
        </w:rPr>
        <w:t>元的责任，在收到你方第一次书面付款要求后，不挑剔、不争辩，并不要求你方出具证明或说明理由，即在上述担保金范围内向你方支付。</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本行放弃你方应先向承包人索赔上述金额然后再向本行提出要求的权利。</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本行还同意，在你方和承包人之间的合同条件发生补充或修改后，本行所承担保函的责任不变，有关补充或修改亦无须通知本行。</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本保函从合同生效之日起生效，有效期至</w:t>
      </w:r>
      <w:r>
        <w:rPr>
          <w:rFonts w:hint="eastAsia" w:ascii="宋体" w:hAnsi="宋体" w:cs="仿宋"/>
          <w:bCs/>
          <w:color w:val="000000" w:themeColor="text1"/>
          <w:szCs w:val="21"/>
          <w:highlight w:val="none"/>
          <w:u w:val="single"/>
          <w14:textFill>
            <w14:solidFill>
              <w14:schemeClr w14:val="tx1"/>
            </w14:solidFill>
          </w14:textFill>
        </w:rPr>
        <w:t xml:space="preserve">     年   月   日止</w:t>
      </w:r>
      <w:r>
        <w:rPr>
          <w:rFonts w:hint="eastAsia" w:ascii="宋体" w:hAnsi="宋体" w:cs="仿宋"/>
          <w:bCs/>
          <w:color w:val="000000" w:themeColor="text1"/>
          <w:szCs w:val="21"/>
          <w:highlight w:val="none"/>
          <w14:textFill>
            <w14:solidFill>
              <w14:schemeClr w14:val="tx1"/>
            </w14:solidFill>
          </w14:textFill>
        </w:rPr>
        <w:t>。</w:t>
      </w:r>
    </w:p>
    <w:p>
      <w:pPr>
        <w:spacing w:line="360" w:lineRule="auto"/>
        <w:rPr>
          <w:rFonts w:ascii="宋体" w:hAnsi="宋体" w:cs="仿宋"/>
          <w:bCs/>
          <w:color w:val="000000" w:themeColor="text1"/>
          <w:szCs w:val="21"/>
          <w:highlight w:val="none"/>
          <w14:textFill>
            <w14:solidFill>
              <w14:schemeClr w14:val="tx1"/>
            </w14:solidFill>
          </w14:textFill>
        </w:rPr>
      </w:pPr>
      <w:r>
        <w:rPr>
          <w:rFonts w:ascii="宋体" w:hAnsi="宋体" w:cs="Calibri"/>
          <w:bCs/>
          <w:color w:val="000000" w:themeColor="text1"/>
          <w:szCs w:val="21"/>
          <w:highlight w:val="none"/>
          <w14:textFill>
            <w14:solidFill>
              <w14:schemeClr w14:val="tx1"/>
            </w14:solidFill>
          </w14:textFill>
        </w:rPr>
        <w:t> </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担保银行名称（公章）：</w:t>
      </w:r>
    </w:p>
    <w:p>
      <w:pPr>
        <w:spacing w:line="360" w:lineRule="auto"/>
        <w:ind w:firstLine="420" w:firstLineChars="200"/>
        <w:rPr>
          <w:rFonts w:ascii="宋体" w:hAnsi="宋体" w:cs="仿宋"/>
          <w:color w:val="000000" w:themeColor="text1"/>
          <w:szCs w:val="21"/>
          <w:highlight w:val="none"/>
          <w14:textFill>
            <w14:solidFill>
              <w14:schemeClr w14:val="tx1"/>
            </w14:solidFill>
          </w14:textFill>
        </w:rPr>
      </w:pPr>
      <w:r>
        <w:rPr>
          <w:rFonts w:ascii="宋体" w:hAnsi="宋体" w:cs="Calibri"/>
          <w:color w:val="000000" w:themeColor="text1"/>
          <w:szCs w:val="21"/>
          <w:highlight w:val="none"/>
          <w14:textFill>
            <w14:solidFill>
              <w14:schemeClr w14:val="tx1"/>
            </w14:solidFill>
          </w14:textFill>
        </w:rPr>
        <w:t> </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法定代表人或其授权人签章：</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ascii="宋体" w:hAnsi="宋体" w:cs="Calibri"/>
          <w:bCs/>
          <w:color w:val="000000" w:themeColor="text1"/>
          <w:szCs w:val="21"/>
          <w:highlight w:val="none"/>
          <w14:textFill>
            <w14:solidFill>
              <w14:schemeClr w14:val="tx1"/>
            </w14:solidFill>
          </w14:textFill>
        </w:rPr>
        <w:t> </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联系电话：</w:t>
      </w:r>
    </w:p>
    <w:p>
      <w:pPr>
        <w:spacing w:line="360" w:lineRule="auto"/>
        <w:ind w:firstLine="420" w:firstLineChars="200"/>
        <w:rPr>
          <w:rFonts w:ascii="宋体" w:hAnsi="宋体" w:cs="仿宋"/>
          <w:bCs/>
          <w:color w:val="000000" w:themeColor="text1"/>
          <w:szCs w:val="21"/>
          <w:highlight w:val="none"/>
          <w14:textFill>
            <w14:solidFill>
              <w14:schemeClr w14:val="tx1"/>
            </w14:solidFill>
          </w14:textFill>
        </w:rPr>
      </w:pPr>
      <w:r>
        <w:rPr>
          <w:rFonts w:hint="eastAsia" w:ascii="宋体" w:hAnsi="宋体" w:cs="仿宋"/>
          <w:bCs/>
          <w:color w:val="000000" w:themeColor="text1"/>
          <w:szCs w:val="21"/>
          <w:highlight w:val="none"/>
          <w14:textFill>
            <w14:solidFill>
              <w14:schemeClr w14:val="tx1"/>
            </w14:solidFill>
          </w14:textFill>
        </w:rPr>
        <w:t>地址：</w:t>
      </w:r>
      <w:r>
        <w:rPr>
          <w:rFonts w:ascii="宋体" w:hAnsi="宋体" w:cs="Calibri"/>
          <w:bCs/>
          <w:color w:val="000000" w:themeColor="text1"/>
          <w:szCs w:val="21"/>
          <w:highlight w:val="none"/>
          <w14:textFill>
            <w14:solidFill>
              <w14:schemeClr w14:val="tx1"/>
            </w14:solidFill>
          </w14:textFill>
        </w:rPr>
        <w:t> </w:t>
      </w:r>
      <w:r>
        <w:rPr>
          <w:rFonts w:hint="eastAsia" w:ascii="宋体" w:hAnsi="宋体" w:cs="仿宋"/>
          <w:bCs/>
          <w:color w:val="000000" w:themeColor="text1"/>
          <w:szCs w:val="21"/>
          <w:highlight w:val="none"/>
          <w14:textFill>
            <w14:solidFill>
              <w14:schemeClr w14:val="tx1"/>
            </w14:solidFill>
          </w14:textFill>
        </w:rPr>
        <w:t xml:space="preserve">  </w:t>
      </w:r>
    </w:p>
    <w:p>
      <w:pPr>
        <w:spacing w:line="360" w:lineRule="auto"/>
        <w:ind w:firstLine="420" w:firstLineChars="200"/>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日期：</w:t>
      </w:r>
    </w:p>
    <w:p>
      <w:pPr>
        <w:adjustRightInd w:val="0"/>
        <w:snapToGrid w:val="0"/>
        <w:spacing w:line="36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pPr>
        <w:adjustRightInd w:val="0"/>
        <w:snapToGrid w:val="0"/>
        <w:spacing w:line="360" w:lineRule="auto"/>
        <w:jc w:val="center"/>
        <w:rPr>
          <w:rFonts w:ascii="宋体" w:hAnsi="宋体" w:cs="宋体"/>
          <w:b/>
          <w:color w:val="000000" w:themeColor="text1"/>
          <w:kern w:val="0"/>
          <w:sz w:val="36"/>
          <w:szCs w:val="36"/>
          <w:highlight w:val="none"/>
          <w14:textFill>
            <w14:solidFill>
              <w14:schemeClr w14:val="tx1"/>
            </w14:solidFill>
          </w14:textFill>
        </w:rPr>
      </w:pPr>
      <w:r>
        <w:rPr>
          <w:rFonts w:hint="eastAsia" w:ascii="宋体" w:hAnsi="宋体" w:cs="宋体"/>
          <w:b/>
          <w:color w:val="000000" w:themeColor="text1"/>
          <w:sz w:val="32"/>
          <w:szCs w:val="32"/>
          <w:highlight w:val="none"/>
          <w14:textFill>
            <w14:solidFill>
              <w14:schemeClr w14:val="tx1"/>
            </w14:solidFill>
          </w14:textFill>
        </w:rPr>
        <w:t>承诺函</w:t>
      </w:r>
    </w:p>
    <w:p>
      <w:pPr>
        <w:adjustRightInd w:val="0"/>
        <w:snapToGrid w:val="0"/>
        <w:spacing w:line="360" w:lineRule="auto"/>
        <w:jc w:val="center"/>
        <w:rPr>
          <w:rFonts w:ascii="宋体" w:hAnsi="宋体" w:cs="宋体"/>
          <w:snapToGrid w:val="0"/>
          <w:color w:val="000000" w:themeColor="text1"/>
          <w:szCs w:val="21"/>
          <w:highlight w:val="none"/>
          <w14:textFill>
            <w14:solidFill>
              <w14:schemeClr w14:val="tx1"/>
            </w14:solidFill>
          </w14:textFill>
        </w:rPr>
      </w:pPr>
    </w:p>
    <w:p>
      <w:pPr>
        <w:pStyle w:val="587"/>
        <w:snapToGrid w:val="0"/>
        <w:spacing w:line="360" w:lineRule="auto"/>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致（发包人）：</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（下称“贵单位”）</w:t>
      </w:r>
    </w:p>
    <w:p>
      <w:pPr>
        <w:pStyle w:val="587"/>
        <w:snapToGrid w:val="0"/>
        <w:spacing w:line="360" w:lineRule="auto"/>
        <w:ind w:firstLine="319" w:firstLineChars="152"/>
        <w:rPr>
          <w:rFonts w:ascii="宋体" w:hAnsi="宋体" w:cs="宋体"/>
          <w:color w:val="000000" w:themeColor="text1"/>
          <w:szCs w:val="21"/>
          <w:highlight w:val="none"/>
          <w14:textFill>
            <w14:solidFill>
              <w14:schemeClr w14:val="tx1"/>
            </w14:solidFill>
          </w14:textFill>
        </w:rPr>
      </w:pPr>
    </w:p>
    <w:p>
      <w:pPr>
        <w:pStyle w:val="587"/>
        <w:snapToGrid w:val="0"/>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我司与贵单位签订《</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合同》（下称“合同”）。为保障合同的有效执行，我司承诺：</w:t>
      </w:r>
    </w:p>
    <w:p>
      <w:pPr>
        <w:pStyle w:val="587"/>
        <w:snapToGrid w:val="0"/>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1.我司承诺在即日起60天内向贵</w:t>
      </w:r>
      <w:r>
        <w:rPr>
          <w:rFonts w:hint="eastAsia" w:ascii="宋体" w:hAnsi="宋体" w:cs="宋体"/>
          <w:color w:val="000000" w:themeColor="text1"/>
          <w:szCs w:val="21"/>
          <w:highlight w:val="none"/>
          <w14:textFill>
            <w14:solidFill>
              <w14:schemeClr w14:val="tx1"/>
            </w14:solidFill>
          </w14:textFill>
        </w:rPr>
        <w:t>单位提交满足要求的《银行履约保函》。如逾期未按要求提交，我司同意贵单位按照每延误</w:t>
      </w:r>
      <w:r>
        <w:rPr>
          <w:rFonts w:ascii="宋体" w:hAnsi="宋体" w:cs="宋体"/>
          <w:color w:val="000000" w:themeColor="text1"/>
          <w:szCs w:val="21"/>
          <w:highlight w:val="none"/>
          <w14:textFill>
            <w14:solidFill>
              <w14:schemeClr w14:val="tx1"/>
            </w14:solidFill>
          </w14:textFill>
        </w:rPr>
        <w:t>1天，按5000元/天扣除违约金，相关款项从应支付给我司的服务费用中直接扣除；</w:t>
      </w:r>
    </w:p>
    <w:p>
      <w:pPr>
        <w:pStyle w:val="587"/>
        <w:snapToGrid w:val="0"/>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ascii="宋体" w:hAnsi="宋体" w:cs="宋体"/>
          <w:color w:val="000000" w:themeColor="text1"/>
          <w:szCs w:val="21"/>
          <w:highlight w:val="none"/>
          <w14:textFill>
            <w14:solidFill>
              <w14:schemeClr w14:val="tx1"/>
            </w14:solidFill>
          </w14:textFill>
        </w:rPr>
        <w:t>2.我司同意贵单位可因我司没按要求在规定期限内提交《银行履约保函》而单方解除合同，且无需承担违约责任，我司承担由此造成贵单位及我司的全部损失和费用。</w:t>
      </w:r>
    </w:p>
    <w:p>
      <w:pPr>
        <w:pStyle w:val="587"/>
        <w:snapToGrid w:val="0"/>
        <w:spacing w:line="360" w:lineRule="auto"/>
        <w:ind w:firstLine="420" w:firstLineChars="20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特此承诺。</w:t>
      </w:r>
    </w:p>
    <w:p>
      <w:pPr>
        <w:pStyle w:val="587"/>
        <w:snapToGrid w:val="0"/>
        <w:spacing w:line="360" w:lineRule="auto"/>
        <w:ind w:left="493" w:firstLine="480"/>
        <w:rPr>
          <w:rFonts w:ascii="宋体" w:hAnsi="宋体" w:cs="宋体"/>
          <w:color w:val="000000" w:themeColor="text1"/>
          <w:szCs w:val="21"/>
          <w:highlight w:val="none"/>
          <w14:textFill>
            <w14:solidFill>
              <w14:schemeClr w14:val="tx1"/>
            </w14:solidFill>
          </w14:textFill>
        </w:rPr>
      </w:pPr>
    </w:p>
    <w:p>
      <w:pPr>
        <w:snapToGrid w:val="0"/>
        <w:spacing w:line="360" w:lineRule="auto"/>
        <w:ind w:firstLine="743" w:firstLineChars="354"/>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承诺人：</w:t>
      </w:r>
      <w:r>
        <w:rPr>
          <w:rFonts w:ascii="宋体" w:hAnsi="宋体" w:cs="宋体"/>
          <w:color w:val="000000" w:themeColor="text1"/>
          <w:szCs w:val="21"/>
          <w:highlight w:val="none"/>
          <w14:textFill>
            <w14:solidFill>
              <w14:schemeClr w14:val="tx1"/>
            </w14:solidFill>
          </w14:textFill>
        </w:rPr>
        <w:t xml:space="preserve"> </w:t>
      </w:r>
      <w:r>
        <w:rPr>
          <w:rFonts w:ascii="宋体" w:hAnsi="宋体" w:cs="宋体"/>
          <w:i/>
          <w:color w:val="000000" w:themeColor="text1"/>
          <w:szCs w:val="21"/>
          <w:highlight w:val="none"/>
          <w14:textFill>
            <w14:solidFill>
              <w14:schemeClr w14:val="tx1"/>
            </w14:solidFill>
          </w14:textFill>
        </w:rPr>
        <w:t>[中标单位名称]</w:t>
      </w:r>
      <w:r>
        <w:rPr>
          <w:rFonts w:hint="eastAsia" w:ascii="宋体" w:hAnsi="宋体" w:cs="宋体"/>
          <w:color w:val="000000" w:themeColor="text1"/>
          <w:szCs w:val="21"/>
          <w:highlight w:val="none"/>
          <w14:textFill>
            <w14:solidFill>
              <w14:schemeClr w14:val="tx1"/>
            </w14:solidFill>
          </w14:textFill>
        </w:rPr>
        <w:t>（盖章）</w:t>
      </w:r>
    </w:p>
    <w:p>
      <w:pPr>
        <w:snapToGrid w:val="0"/>
        <w:spacing w:line="360" w:lineRule="auto"/>
        <w:ind w:firstLine="743" w:firstLineChars="354"/>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法定代表人或其授权委托人</w:t>
      </w:r>
      <w:r>
        <w:rPr>
          <w:rFonts w:ascii="宋体" w:hAnsi="宋体" w:cs="宋体"/>
          <w:color w:val="000000" w:themeColor="text1"/>
          <w:szCs w:val="21"/>
          <w:highlight w:val="none"/>
          <w14:textFill>
            <w14:solidFill>
              <w14:schemeClr w14:val="tx1"/>
            </w14:solidFill>
          </w14:textFill>
        </w:rPr>
        <w:t>(签名或盖章)：</w:t>
      </w:r>
    </w:p>
    <w:p>
      <w:pPr>
        <w:snapToGrid w:val="0"/>
        <w:spacing w:line="360" w:lineRule="auto"/>
        <w:ind w:firstLine="743" w:firstLineChars="354"/>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日期：</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年</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月</w:t>
      </w:r>
      <w:r>
        <w:rPr>
          <w:rFonts w:ascii="宋体" w:hAnsi="宋体" w:cs="宋体"/>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日</w:t>
      </w:r>
    </w:p>
    <w:p>
      <w:pPr>
        <w:pStyle w:val="2"/>
        <w:rPr>
          <w:rFonts w:ascii="宋体" w:hAnsi="宋体" w:cs="宋体"/>
          <w:color w:val="000000" w:themeColor="text1"/>
          <w:highlight w:val="none"/>
          <w14:textFill>
            <w14:solidFill>
              <w14:schemeClr w14:val="tx1"/>
            </w14:solidFill>
          </w14:textFill>
        </w:rPr>
      </w:pPr>
    </w:p>
    <w:p>
      <w:pPr>
        <w:spacing w:line="360" w:lineRule="auto"/>
        <w:jc w:val="left"/>
        <w:rPr>
          <w:rFonts w:ascii="宋体" w:hAnsi="宋体"/>
          <w:color w:val="000000" w:themeColor="text1"/>
          <w:szCs w:val="21"/>
          <w:highlight w:val="none"/>
          <w:u w:val="single"/>
          <w14:textFill>
            <w14:solidFill>
              <w14:schemeClr w14:val="tx1"/>
            </w14:solidFill>
          </w14:textFill>
        </w:rPr>
      </w:pPr>
    </w:p>
    <w:p>
      <w:pPr>
        <w:autoSpaceDE w:val="0"/>
        <w:autoSpaceDN w:val="0"/>
        <w:adjustRightInd w:val="0"/>
        <w:spacing w:before="120" w:beforeLines="50" w:after="120" w:afterLines="50" w:line="360" w:lineRule="auto"/>
        <w:jc w:val="left"/>
        <w:rPr>
          <w:rFonts w:ascii="宋体" w:hAnsi="宋体" w:cs="宋体"/>
          <w:color w:val="000000" w:themeColor="text1"/>
          <w:kern w:val="0"/>
          <w:szCs w:val="21"/>
          <w:highlight w:val="none"/>
          <w14:textFill>
            <w14:solidFill>
              <w14:schemeClr w14:val="tx1"/>
            </w14:solidFill>
          </w14:textFill>
        </w:rPr>
        <w:sectPr>
          <w:pgSz w:w="11907" w:h="16840"/>
          <w:pgMar w:top="1440" w:right="1440" w:bottom="1440" w:left="1440" w:header="851" w:footer="992" w:gutter="0"/>
          <w:cols w:space="720" w:num="1"/>
          <w:docGrid w:linePitch="312" w:charSpace="0"/>
        </w:sectPr>
      </w:pPr>
    </w:p>
    <w:p>
      <w:pPr>
        <w:spacing w:line="360" w:lineRule="auto"/>
        <w:outlineLvl w:val="1"/>
        <w:rPr>
          <w:rFonts w:ascii="宋体" w:hAnsi="宋体" w:cs="宋体"/>
          <w:color w:val="000000" w:themeColor="text1"/>
          <w:kern w:val="0"/>
          <w:szCs w:val="21"/>
          <w:highlight w:val="none"/>
          <w14:textFill>
            <w14:solidFill>
              <w14:schemeClr w14:val="tx1"/>
            </w14:solidFill>
          </w14:textFill>
        </w:rPr>
      </w:pPr>
      <w:bookmarkStart w:id="1620" w:name="_Toc1415818785"/>
      <w:bookmarkStart w:id="1621" w:name="_Toc147856247"/>
      <w:r>
        <w:rPr>
          <w:rFonts w:hint="eastAsia" w:ascii="宋体" w:hAnsi="宋体" w:cs="宋体"/>
          <w:color w:val="000000" w:themeColor="text1"/>
          <w:kern w:val="0"/>
          <w:szCs w:val="21"/>
          <w:highlight w:val="none"/>
          <w14:textFill>
            <w14:solidFill>
              <w14:schemeClr w14:val="tx1"/>
            </w14:solidFill>
          </w14:textFill>
        </w:rPr>
        <w:t>附件</w:t>
      </w:r>
      <w:r>
        <w:rPr>
          <w:rFonts w:ascii="宋体" w:hAnsi="宋体" w:cs="宋体"/>
          <w:color w:val="000000" w:themeColor="text1"/>
          <w:kern w:val="0"/>
          <w:szCs w:val="21"/>
          <w:highlight w:val="none"/>
          <w14:textFill>
            <w14:solidFill>
              <w14:schemeClr w14:val="tx1"/>
            </w14:solidFill>
          </w14:textFill>
        </w:rPr>
        <w:t>8</w:t>
      </w:r>
      <w:r>
        <w:rPr>
          <w:rFonts w:hint="eastAsia" w:ascii="宋体" w:hAnsi="宋体" w:cs="宋体"/>
          <w:color w:val="000000" w:themeColor="text1"/>
          <w:kern w:val="0"/>
          <w:szCs w:val="21"/>
          <w:highlight w:val="none"/>
          <w14:textFill>
            <w14:solidFill>
              <w14:schemeClr w14:val="tx1"/>
            </w14:solidFill>
          </w14:textFill>
        </w:rPr>
        <w:t>：南沙全民文化体育综合体生态堤建设工程（21涌以北）一期勘察设计施工总承包绩效考核办法（试行）</w:t>
      </w:r>
      <w:bookmarkEnd w:id="1620"/>
      <w:bookmarkEnd w:id="1621"/>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724525" cy="8096250"/>
            <wp:effectExtent l="0" t="0" r="9525" b="0"/>
            <wp:docPr id="75302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2176"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24525" cy="80962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4525" cy="8096250"/>
            <wp:effectExtent l="0" t="0" r="9525" b="0"/>
            <wp:docPr id="593697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9765" name="图片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24525" cy="80962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4525" cy="8096250"/>
            <wp:effectExtent l="0" t="0" r="9525" b="0"/>
            <wp:docPr id="13563728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72860" name="图片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24525" cy="80962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4525" cy="8096250"/>
            <wp:effectExtent l="0" t="0" r="9525" b="0"/>
            <wp:docPr id="8403809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80948" name="图片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24525" cy="80962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4525" cy="8096250"/>
            <wp:effectExtent l="0" t="0" r="9525" b="0"/>
            <wp:docPr id="10496386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38616" name="图片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24525" cy="80962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34050" cy="4057650"/>
            <wp:effectExtent l="0" t="0" r="0" b="0"/>
            <wp:docPr id="19020321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32192" name="图片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34050" cy="40576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34050" cy="4057650"/>
            <wp:effectExtent l="0" t="0" r="0" b="0"/>
            <wp:docPr id="9077506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50637" name="图片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734050" cy="40576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34050" cy="4057650"/>
            <wp:effectExtent l="0" t="0" r="0" b="0"/>
            <wp:docPr id="3286217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21771" name="图片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734050" cy="40576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34050" cy="4057650"/>
            <wp:effectExtent l="0" t="0" r="0" b="0"/>
            <wp:docPr id="9217758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75813" name="图片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734050" cy="4057650"/>
                    </a:xfrm>
                    <a:prstGeom prst="rect">
                      <a:avLst/>
                    </a:prstGeom>
                    <a:noFill/>
                    <a:ln>
                      <a:noFill/>
                    </a:ln>
                  </pic:spPr>
                </pic:pic>
              </a:graphicData>
            </a:graphic>
          </wp:inline>
        </w:drawing>
      </w:r>
    </w:p>
    <w:p>
      <w:pPr>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p>
    <w:p>
      <w:pPr>
        <w:rPr>
          <w:color w:val="000000" w:themeColor="text1"/>
          <w:highlight w:val="none"/>
          <w:lang w:eastAsia="zh-Hans"/>
          <w14:textFill>
            <w14:solidFill>
              <w14:schemeClr w14:val="tx1"/>
            </w14:solidFill>
          </w14:textFill>
        </w:rPr>
        <w:sectPr>
          <w:pgSz w:w="11907" w:h="16840"/>
          <w:pgMar w:top="1440" w:right="1440" w:bottom="1440" w:left="1440" w:header="851" w:footer="992" w:gutter="0"/>
          <w:cols w:space="720" w:num="1"/>
          <w:docGrid w:linePitch="312" w:charSpace="0"/>
        </w:sectPr>
      </w:pPr>
      <w:bookmarkStart w:id="1622" w:name="_Toc3495805"/>
      <w:bookmarkStart w:id="1623" w:name="_Toc1061"/>
      <w:bookmarkStart w:id="1624" w:name="_Toc3496075"/>
      <w:bookmarkStart w:id="1625" w:name="_Toc9296"/>
      <w:bookmarkStart w:id="1626" w:name="_Toc31751"/>
      <w:bookmarkStart w:id="1627" w:name="_Toc9497"/>
      <w:bookmarkStart w:id="1628" w:name="_Toc143623803"/>
    </w:p>
    <w:p>
      <w:pPr>
        <w:spacing w:line="360" w:lineRule="auto"/>
        <w:outlineLvl w:val="1"/>
        <w:rPr>
          <w:rFonts w:ascii="宋体" w:hAnsi="宋体" w:cs="宋体"/>
          <w:b/>
          <w:bCs/>
          <w:color w:val="000000" w:themeColor="text1"/>
          <w:szCs w:val="21"/>
          <w:highlight w:val="none"/>
          <w14:textFill>
            <w14:solidFill>
              <w14:schemeClr w14:val="tx1"/>
            </w14:solidFill>
          </w14:textFill>
        </w:rPr>
      </w:pPr>
      <w:bookmarkStart w:id="1629" w:name="_Toc143623807"/>
      <w:bookmarkStart w:id="1630" w:name="_Toc147856248"/>
      <w:bookmarkStart w:id="1631" w:name="_Toc1547510735"/>
      <w:r>
        <w:rPr>
          <w:rFonts w:hint="eastAsia" w:ascii="宋体" w:hAnsi="宋体" w:cs="宋体"/>
          <w:color w:val="000000" w:themeColor="text1"/>
          <w:szCs w:val="21"/>
          <w:highlight w:val="none"/>
          <w14:textFill>
            <w14:solidFill>
              <w14:schemeClr w14:val="tx1"/>
            </w14:solidFill>
          </w14:textFill>
        </w:rPr>
        <w:t>附件</w:t>
      </w:r>
      <w:r>
        <w:rPr>
          <w:rFonts w:ascii="宋体" w:hAnsi="宋体" w:cs="宋体"/>
          <w:color w:val="000000" w:themeColor="text1"/>
          <w:szCs w:val="21"/>
          <w:highlight w:val="none"/>
          <w14:textFill>
            <w14:solidFill>
              <w14:schemeClr w14:val="tx1"/>
            </w14:solidFill>
          </w14:textFill>
        </w:rPr>
        <w:t>9</w:t>
      </w:r>
      <w:r>
        <w:rPr>
          <w:rFonts w:hint="eastAsia" w:ascii="宋体" w:hAnsi="宋体" w:cs="宋体"/>
          <w:color w:val="000000" w:themeColor="text1"/>
          <w:szCs w:val="21"/>
          <w:highlight w:val="none"/>
          <w14:textFill>
            <w14:solidFill>
              <w14:schemeClr w14:val="tx1"/>
            </w14:solidFill>
          </w14:textFill>
        </w:rPr>
        <w:t>：《南沙全民文化体育综合体及配套设施工程数字化应用指引》</w:t>
      </w:r>
      <w:bookmarkEnd w:id="1629"/>
      <w:bookmarkEnd w:id="1630"/>
      <w:bookmarkEnd w:id="1631"/>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723890" cy="8093075"/>
            <wp:effectExtent l="0" t="0" r="0" b="3175"/>
            <wp:docPr id="18353038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03850" name="图片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9605" cy="8093075"/>
            <wp:effectExtent l="0" t="0" r="4445" b="3175"/>
            <wp:docPr id="20640256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25649" name="图片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729605"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9605" cy="8093075"/>
            <wp:effectExtent l="0" t="0" r="4445" b="3175"/>
            <wp:docPr id="7488484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48402" name="图片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729605"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9605" cy="8093075"/>
            <wp:effectExtent l="0" t="0" r="4445" b="3175"/>
            <wp:docPr id="2941160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16091" name="图片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729605"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9605" cy="8093075"/>
            <wp:effectExtent l="0" t="0" r="4445" b="3175"/>
            <wp:docPr id="1335323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2307" name="图片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29605"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6731873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87357" name="图片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989074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7405" name="图片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9698061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06141" name="图片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465078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78142" name="图片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6788884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88453" name="图片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284864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86444" name="图片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6907174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17485" name="图片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7140876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87612" name="图片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50471460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14600" name="图片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80365857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58579" name="图片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9605" cy="8105140"/>
            <wp:effectExtent l="0" t="0" r="4445" b="0"/>
            <wp:docPr id="157078939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89394" name="图片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729605" cy="810514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96494001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40012" name="图片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5800287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28734" name="图片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0457328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32861" name="图片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8991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148" name="图片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4154179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17913" name="图片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2107457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74570" name="图片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7255026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02635" name="图片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37894580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945803" name="图片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0907322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3225" name="图片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29257141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71415" name="图片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08358612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86126" name="图片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149859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85925" name="图片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8340373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03731" name="图片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75267378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73788" name="图片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5448972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97250" name="图片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83419132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91327" name="图片 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979947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94741" name="图片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6443163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31630" name="图片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60596826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68267" name="图片 4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92959968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99687" name="图片 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06484568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5684" name="图片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9898231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23163" name="图片 5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96619306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93068" name="图片 5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2560554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05542" name="图片 5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23620109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01094" name="图片 5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99296030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60304" name="图片 5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9354130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41309" name="图片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3322449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4490" name="图片 5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0154684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68457" name="图片 5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1216634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6346" name="图片 5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90309142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91421" name="图片 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4672105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21055" name="图片 6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39576556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65567" name="图片 6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965399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39932" name="图片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9605" cy="8105140"/>
            <wp:effectExtent l="0" t="0" r="4445" b="0"/>
            <wp:docPr id="136959057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590572" name="图片 6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729605" cy="810514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4307317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73174" name="图片 6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58171114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11147" name="图片 6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2814676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46768" name="图片 6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6320457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04574" name="图片 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80071854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18540" name="图片 6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11507404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74049" name="图片 6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61643209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32094" name="图片 7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11732859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28596" name="图片 7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0086320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63209" name="图片 7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7473740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7407" name="图片 7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13419663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96633" name="图片 7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14307261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72615" name="图片 7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4231764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7647" name="图片 7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35128682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86828" name="图片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85797211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72118" name="图片 7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1297884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78841" name="图片 7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6588522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5229" name="图片 8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33600599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05995" name="图片 8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06360521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05218" name="图片 8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9107895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8952" name="图片 8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64064155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41553" name="图片 8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96925165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251654" name="图片 8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34752119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21194" name="图片 8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11537655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76554" name="图片 8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38289760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97606" name="图片 8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846325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253" name="图片 8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02320016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00162" name="图片 9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81243739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437394" name="图片 9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8201097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10978" name="图片 9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69790626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06262" name="图片 9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81333617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36176" name="图片 9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02878929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89291" name="图片 9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71876111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61116" name="图片 9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16225788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57880" name="图片 9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0355735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73521" name="图片 9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38418781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87815" name="图片 9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52490675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06751" name="图片 10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55130978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09785" name="图片 1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32771419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4196" name="图片 10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3503696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6966" name="图片 10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8899903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99032" name="图片 10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75789370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93700" name="图片 10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28318098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80983" name="图片 10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28410581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05812" name="图片 10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18123278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32784" name="图片 10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2543183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1830" name="图片 10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62956201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62019" name="图片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88093254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32542" name="图片 1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45832846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28460" name="图片 1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37739225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92255" name="图片 1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27176725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67256" name="图片 1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898184761"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184761" name="图片 1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547840954"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40954" name="图片 11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64511967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19677" name="图片 1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12717063"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7063" name="图片 11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870611471"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11471" name="图片 11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6052695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6951" name="图片 12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9037249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2491" name="图片 12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69480815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08157" name="图片 12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71714840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48404" name="图片 12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91145697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56972" name="图片 12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0" distR="0">
            <wp:extent cx="5723890" cy="8093075"/>
            <wp:effectExtent l="0" t="0" r="0" b="3175"/>
            <wp:docPr id="1703766493"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66493" name="图片 1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723890" cy="8093075"/>
                    </a:xfrm>
                    <a:prstGeom prst="rect">
                      <a:avLst/>
                    </a:prstGeom>
                    <a:noFill/>
                    <a:ln>
                      <a:noFill/>
                    </a:ln>
                  </pic:spPr>
                </pic:pic>
              </a:graphicData>
            </a:graphic>
          </wp:inline>
        </w:drawing>
      </w:r>
    </w:p>
    <w:p>
      <w:pPr>
        <w:spacing w:line="360" w:lineRule="auto"/>
        <w:outlineLvl w:val="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br w:type="page"/>
      </w:r>
      <w:bookmarkStart w:id="1632" w:name="_Toc838474328"/>
      <w:bookmarkStart w:id="1633" w:name="_Toc147856249"/>
      <w:r>
        <w:rPr>
          <w:rFonts w:hint="eastAsia" w:ascii="宋体" w:hAnsi="宋体" w:cs="宋体"/>
          <w:color w:val="000000" w:themeColor="text1"/>
          <w:szCs w:val="21"/>
          <w:highlight w:val="none"/>
          <w14:textFill>
            <w14:solidFill>
              <w14:schemeClr w14:val="tx1"/>
            </w14:solidFill>
          </w14:textFill>
        </w:rPr>
        <w:t>附件</w:t>
      </w:r>
      <w:r>
        <w:rPr>
          <w:rFonts w:ascii="宋体" w:hAnsi="宋体" w:cs="宋体"/>
          <w:color w:val="000000" w:themeColor="text1"/>
          <w:szCs w:val="21"/>
          <w:highlight w:val="none"/>
          <w14:textFill>
            <w14:solidFill>
              <w14:schemeClr w14:val="tx1"/>
            </w14:solidFill>
          </w14:textFill>
        </w:rPr>
        <w:t>10</w:t>
      </w:r>
      <w:r>
        <w:rPr>
          <w:rFonts w:hint="eastAsia" w:ascii="宋体" w:hAnsi="宋体" w:cs="宋体"/>
          <w:color w:val="000000" w:themeColor="text1"/>
          <w:szCs w:val="21"/>
          <w:highlight w:val="none"/>
          <w14:textFill>
            <w14:solidFill>
              <w14:schemeClr w14:val="tx1"/>
            </w14:solidFill>
          </w14:textFill>
        </w:rPr>
        <w:t>：联合体协议书</w:t>
      </w:r>
      <w:bookmarkEnd w:id="1622"/>
      <w:bookmarkEnd w:id="1623"/>
      <w:bookmarkEnd w:id="1624"/>
      <w:bookmarkEnd w:id="1625"/>
      <w:bookmarkEnd w:id="1626"/>
      <w:bookmarkEnd w:id="1627"/>
      <w:bookmarkEnd w:id="1628"/>
      <w:bookmarkEnd w:id="1632"/>
      <w:bookmarkEnd w:id="1633"/>
    </w:p>
    <w:p>
      <w:pPr>
        <w:shd w:val="clear" w:color="auto" w:fill="FFFFFF"/>
        <w:jc w:val="center"/>
        <w:rPr>
          <w:rFonts w:ascii="宋体" w:hAnsi="宋体" w:cs="仿宋"/>
          <w:color w:val="000000" w:themeColor="text1"/>
          <w:szCs w:val="20"/>
          <w:highlight w:val="none"/>
          <w14:textFill>
            <w14:solidFill>
              <w14:schemeClr w14:val="tx1"/>
            </w14:solidFill>
          </w14:textFill>
        </w:rPr>
      </w:pPr>
    </w:p>
    <w:p>
      <w:pPr>
        <w:shd w:val="clear" w:color="auto" w:fill="FFFFFF"/>
        <w:jc w:val="center"/>
        <w:rPr>
          <w:rFonts w:ascii="宋体" w:hAnsi="宋体" w:cs="仿宋"/>
          <w:color w:val="000000" w:themeColor="text1"/>
          <w:sz w:val="22"/>
          <w:highlight w:val="none"/>
          <w14:textFill>
            <w14:solidFill>
              <w14:schemeClr w14:val="tx1"/>
            </w14:solidFill>
          </w14:textFill>
        </w:rPr>
      </w:pPr>
      <w:r>
        <w:rPr>
          <w:rFonts w:hint="eastAsia" w:ascii="宋体" w:hAnsi="宋体" w:cs="仿宋"/>
          <w:color w:val="000000" w:themeColor="text1"/>
          <w:szCs w:val="20"/>
          <w:highlight w:val="none"/>
          <w14:textFill>
            <w14:solidFill>
              <w14:schemeClr w14:val="tx1"/>
            </w14:solidFill>
          </w14:textFill>
        </w:rPr>
        <w:t>（联合体协议书格式见招标文件，联合体投标的则需提供）</w:t>
      </w:r>
    </w:p>
    <w:p>
      <w:pPr>
        <w:shd w:val="clear" w:color="auto" w:fill="FFFFFF"/>
        <w:rPr>
          <w:rFonts w:ascii="宋体" w:hAnsi="宋体" w:cs="仿宋"/>
          <w:color w:val="000000" w:themeColor="text1"/>
          <w:sz w:val="22"/>
          <w:highlight w:val="none"/>
          <w14:textFill>
            <w14:solidFill>
              <w14:schemeClr w14:val="tx1"/>
            </w14:solidFill>
          </w14:textFill>
        </w:rPr>
      </w:pPr>
    </w:p>
    <w:p>
      <w:pPr>
        <w:rPr>
          <w:rFonts w:ascii="宋体" w:hAnsi="宋体" w:cs="仿宋"/>
          <w:color w:val="000000" w:themeColor="text1"/>
          <w:sz w:val="18"/>
          <w:szCs w:val="20"/>
          <w:highlight w:val="none"/>
          <w14:textFill>
            <w14:solidFill>
              <w14:schemeClr w14:val="tx1"/>
            </w14:solidFill>
          </w14:textFill>
        </w:rPr>
      </w:pPr>
      <w:bookmarkStart w:id="1634" w:name="_Toc3495806"/>
      <w:bookmarkStart w:id="1635" w:name="_Toc143623804"/>
      <w:bookmarkStart w:id="1636" w:name="_Toc3496076"/>
      <w:bookmarkStart w:id="1637" w:name="_Toc1314"/>
      <w:bookmarkStart w:id="1638" w:name="_Toc2580"/>
      <w:bookmarkStart w:id="1639" w:name="_Toc31082"/>
      <w:bookmarkStart w:id="1640" w:name="_Toc5120"/>
    </w:p>
    <w:p>
      <w:pPr>
        <w:spacing w:line="360" w:lineRule="auto"/>
        <w:outlineLvl w:val="1"/>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br w:type="page"/>
      </w:r>
      <w:bookmarkStart w:id="1641" w:name="_Toc147856250"/>
      <w:bookmarkStart w:id="1642" w:name="_Toc450339082"/>
      <w:r>
        <w:rPr>
          <w:rFonts w:hint="eastAsia" w:ascii="宋体" w:hAnsi="宋体" w:cs="宋体"/>
          <w:color w:val="000000" w:themeColor="text1"/>
          <w:szCs w:val="21"/>
          <w:highlight w:val="none"/>
          <w14:textFill>
            <w14:solidFill>
              <w14:schemeClr w14:val="tx1"/>
            </w14:solidFill>
          </w14:textFill>
        </w:rPr>
        <w:t>附件1</w:t>
      </w:r>
      <w:r>
        <w:rPr>
          <w:rFonts w:ascii="宋体" w:hAnsi="宋体" w:cs="宋体"/>
          <w:color w:val="000000" w:themeColor="text1"/>
          <w:szCs w:val="21"/>
          <w:highlight w:val="none"/>
          <w14:textFill>
            <w14:solidFill>
              <w14:schemeClr w14:val="tx1"/>
            </w14:solidFill>
          </w14:textFill>
        </w:rPr>
        <w:t>1</w:t>
      </w:r>
      <w:r>
        <w:rPr>
          <w:rFonts w:hint="eastAsia" w:ascii="宋体" w:hAnsi="宋体" w:cs="宋体"/>
          <w:color w:val="000000" w:themeColor="text1"/>
          <w:szCs w:val="21"/>
          <w:highlight w:val="none"/>
          <w14:textFill>
            <w14:solidFill>
              <w14:schemeClr w14:val="tx1"/>
            </w14:solidFill>
          </w14:textFill>
        </w:rPr>
        <w:t>：联合体支付协议书</w:t>
      </w:r>
      <w:bookmarkEnd w:id="1634"/>
      <w:bookmarkEnd w:id="1635"/>
      <w:bookmarkEnd w:id="1636"/>
      <w:bookmarkEnd w:id="1637"/>
      <w:bookmarkEnd w:id="1638"/>
      <w:bookmarkEnd w:id="1639"/>
      <w:bookmarkEnd w:id="1640"/>
      <w:bookmarkEnd w:id="1641"/>
      <w:bookmarkEnd w:id="1642"/>
    </w:p>
    <w:p>
      <w:pPr>
        <w:jc w:val="center"/>
        <w:rPr>
          <w:rFonts w:ascii="宋体" w:hAnsi="宋体" w:cs="仿宋"/>
          <w:b/>
          <w:bCs/>
          <w:color w:val="000000" w:themeColor="text1"/>
          <w:szCs w:val="21"/>
          <w:highlight w:val="none"/>
          <w14:textFill>
            <w14:solidFill>
              <w14:schemeClr w14:val="tx1"/>
            </w14:solidFill>
          </w14:textFill>
        </w:rPr>
      </w:pPr>
    </w:p>
    <w:p>
      <w:pPr>
        <w:jc w:val="center"/>
        <w:rPr>
          <w:rFonts w:ascii="宋体" w:hAnsi="宋体" w:cs="仿宋"/>
          <w:b/>
          <w:bCs/>
          <w:color w:val="000000" w:themeColor="text1"/>
          <w:sz w:val="28"/>
          <w:szCs w:val="28"/>
          <w:highlight w:val="none"/>
          <w14:textFill>
            <w14:solidFill>
              <w14:schemeClr w14:val="tx1"/>
            </w14:solidFill>
          </w14:textFill>
        </w:rPr>
      </w:pPr>
      <w:r>
        <w:rPr>
          <w:rFonts w:hint="eastAsia" w:ascii="宋体" w:hAnsi="宋体" w:cs="仿宋"/>
          <w:b/>
          <w:bCs/>
          <w:color w:val="000000" w:themeColor="text1"/>
          <w:sz w:val="28"/>
          <w:szCs w:val="28"/>
          <w:highlight w:val="none"/>
          <w14:textFill>
            <w14:solidFill>
              <w14:schemeClr w14:val="tx1"/>
            </w14:solidFill>
          </w14:textFill>
        </w:rPr>
        <w:t>联</w:t>
      </w:r>
      <w:r>
        <w:rPr>
          <w:rFonts w:ascii="宋体" w:hAnsi="宋体" w:cs="仿宋"/>
          <w:b/>
          <w:bCs/>
          <w:color w:val="000000" w:themeColor="text1"/>
          <w:sz w:val="28"/>
          <w:szCs w:val="28"/>
          <w:highlight w:val="none"/>
          <w14:textFill>
            <w14:solidFill>
              <w14:schemeClr w14:val="tx1"/>
            </w14:solidFill>
          </w14:textFill>
        </w:rPr>
        <w:t xml:space="preserve"> </w:t>
      </w:r>
      <w:r>
        <w:rPr>
          <w:rFonts w:hint="eastAsia" w:ascii="宋体" w:hAnsi="宋体" w:cs="仿宋"/>
          <w:b/>
          <w:bCs/>
          <w:color w:val="000000" w:themeColor="text1"/>
          <w:sz w:val="28"/>
          <w:szCs w:val="28"/>
          <w:highlight w:val="none"/>
          <w14:textFill>
            <w14:solidFill>
              <w14:schemeClr w14:val="tx1"/>
            </w14:solidFill>
          </w14:textFill>
        </w:rPr>
        <w:t>合</w:t>
      </w:r>
      <w:r>
        <w:rPr>
          <w:rFonts w:ascii="宋体" w:hAnsi="宋体" w:cs="仿宋"/>
          <w:b/>
          <w:bCs/>
          <w:color w:val="000000" w:themeColor="text1"/>
          <w:sz w:val="28"/>
          <w:szCs w:val="28"/>
          <w:highlight w:val="none"/>
          <w14:textFill>
            <w14:solidFill>
              <w14:schemeClr w14:val="tx1"/>
            </w14:solidFill>
          </w14:textFill>
        </w:rPr>
        <w:t xml:space="preserve"> </w:t>
      </w:r>
      <w:r>
        <w:rPr>
          <w:rFonts w:hint="eastAsia" w:ascii="宋体" w:hAnsi="宋体" w:cs="仿宋"/>
          <w:b/>
          <w:bCs/>
          <w:color w:val="000000" w:themeColor="text1"/>
          <w:sz w:val="28"/>
          <w:szCs w:val="28"/>
          <w:highlight w:val="none"/>
          <w14:textFill>
            <w14:solidFill>
              <w14:schemeClr w14:val="tx1"/>
            </w14:solidFill>
          </w14:textFill>
        </w:rPr>
        <w:t>体</w:t>
      </w:r>
      <w:r>
        <w:rPr>
          <w:rFonts w:ascii="宋体" w:hAnsi="宋体" w:cs="仿宋"/>
          <w:b/>
          <w:bCs/>
          <w:color w:val="000000" w:themeColor="text1"/>
          <w:sz w:val="28"/>
          <w:szCs w:val="28"/>
          <w:highlight w:val="none"/>
          <w14:textFill>
            <w14:solidFill>
              <w14:schemeClr w14:val="tx1"/>
            </w14:solidFill>
          </w14:textFill>
        </w:rPr>
        <w:t xml:space="preserve"> </w:t>
      </w:r>
      <w:r>
        <w:rPr>
          <w:rFonts w:hint="eastAsia" w:ascii="宋体" w:hAnsi="宋体" w:cs="仿宋"/>
          <w:b/>
          <w:bCs/>
          <w:color w:val="000000" w:themeColor="text1"/>
          <w:sz w:val="28"/>
          <w:szCs w:val="28"/>
          <w:highlight w:val="none"/>
          <w14:textFill>
            <w14:solidFill>
              <w14:schemeClr w14:val="tx1"/>
            </w14:solidFill>
          </w14:textFill>
        </w:rPr>
        <w:t>支</w:t>
      </w:r>
      <w:r>
        <w:rPr>
          <w:rFonts w:ascii="宋体" w:hAnsi="宋体" w:cs="仿宋"/>
          <w:b/>
          <w:bCs/>
          <w:color w:val="000000" w:themeColor="text1"/>
          <w:sz w:val="28"/>
          <w:szCs w:val="28"/>
          <w:highlight w:val="none"/>
          <w14:textFill>
            <w14:solidFill>
              <w14:schemeClr w14:val="tx1"/>
            </w14:solidFill>
          </w14:textFill>
        </w:rPr>
        <w:t xml:space="preserve"> </w:t>
      </w:r>
      <w:r>
        <w:rPr>
          <w:rFonts w:hint="eastAsia" w:ascii="宋体" w:hAnsi="宋体" w:cs="仿宋"/>
          <w:b/>
          <w:bCs/>
          <w:color w:val="000000" w:themeColor="text1"/>
          <w:sz w:val="28"/>
          <w:szCs w:val="28"/>
          <w:highlight w:val="none"/>
          <w14:textFill>
            <w14:solidFill>
              <w14:schemeClr w14:val="tx1"/>
            </w14:solidFill>
          </w14:textFill>
        </w:rPr>
        <w:t>付</w:t>
      </w:r>
      <w:r>
        <w:rPr>
          <w:rFonts w:ascii="宋体" w:hAnsi="宋体" w:cs="仿宋"/>
          <w:b/>
          <w:bCs/>
          <w:color w:val="000000" w:themeColor="text1"/>
          <w:sz w:val="28"/>
          <w:szCs w:val="28"/>
          <w:highlight w:val="none"/>
          <w14:textFill>
            <w14:solidFill>
              <w14:schemeClr w14:val="tx1"/>
            </w14:solidFill>
          </w14:textFill>
        </w:rPr>
        <w:t xml:space="preserve"> </w:t>
      </w:r>
      <w:r>
        <w:rPr>
          <w:rFonts w:hint="eastAsia" w:ascii="宋体" w:hAnsi="宋体" w:cs="仿宋"/>
          <w:b/>
          <w:bCs/>
          <w:color w:val="000000" w:themeColor="text1"/>
          <w:sz w:val="28"/>
          <w:szCs w:val="28"/>
          <w:highlight w:val="none"/>
          <w14:textFill>
            <w14:solidFill>
              <w14:schemeClr w14:val="tx1"/>
            </w14:solidFill>
          </w14:textFill>
        </w:rPr>
        <w:t>协</w:t>
      </w:r>
      <w:r>
        <w:rPr>
          <w:rFonts w:ascii="宋体" w:hAnsi="宋体" w:cs="仿宋"/>
          <w:b/>
          <w:bCs/>
          <w:color w:val="000000" w:themeColor="text1"/>
          <w:sz w:val="28"/>
          <w:szCs w:val="28"/>
          <w:highlight w:val="none"/>
          <w14:textFill>
            <w14:solidFill>
              <w14:schemeClr w14:val="tx1"/>
            </w14:solidFill>
          </w14:textFill>
        </w:rPr>
        <w:t xml:space="preserve"> 议</w:t>
      </w:r>
      <w:r>
        <w:rPr>
          <w:rFonts w:hint="eastAsia" w:ascii="宋体" w:hAnsi="宋体" w:cs="仿宋"/>
          <w:b/>
          <w:bCs/>
          <w:color w:val="000000" w:themeColor="text1"/>
          <w:sz w:val="28"/>
          <w:szCs w:val="28"/>
          <w:highlight w:val="none"/>
          <w14:textFill>
            <w14:solidFill>
              <w14:schemeClr w14:val="tx1"/>
            </w14:solidFill>
          </w14:textFill>
        </w:rPr>
        <w:t>（格式）</w:t>
      </w:r>
    </w:p>
    <w:p>
      <w:pPr>
        <w:snapToGrid w:val="0"/>
        <w:rPr>
          <w:rFonts w:ascii="宋体" w:hAnsi="宋体" w:cs="仿宋"/>
          <w:color w:val="000000" w:themeColor="text1"/>
          <w:szCs w:val="21"/>
          <w:highlight w:val="none"/>
          <w:u w:val="single"/>
          <w14:textFill>
            <w14:solidFill>
              <w14:schemeClr w14:val="tx1"/>
            </w14:solidFill>
          </w14:textFill>
        </w:rPr>
      </w:pPr>
    </w:p>
    <w:p>
      <w:pPr>
        <w:snapToGrid w:val="0"/>
        <w:rPr>
          <w:rFonts w:ascii="宋体" w:hAnsi="宋体" w:cs="仿宋"/>
          <w:color w:val="000000" w:themeColor="text1"/>
          <w:szCs w:val="21"/>
          <w:highlight w:val="none"/>
          <w:u w:val="single"/>
          <w14:textFill>
            <w14:solidFill>
              <w14:schemeClr w14:val="tx1"/>
            </w14:solidFill>
          </w14:textFill>
        </w:rPr>
      </w:pPr>
      <w:r>
        <w:rPr>
          <w:rFonts w:ascii="宋体" w:hAnsi="宋体" w:cs="仿宋"/>
          <w:color w:val="000000" w:themeColor="text1"/>
          <w:szCs w:val="21"/>
          <w:highlight w:val="none"/>
          <w:u w:val="single"/>
          <w14:textFill>
            <w14:solidFill>
              <w14:schemeClr w14:val="tx1"/>
            </w14:solidFill>
          </w14:textFill>
        </w:rPr>
        <w:t xml:space="preserve">                             (联合体主办方）</w:t>
      </w:r>
    </w:p>
    <w:p>
      <w:pPr>
        <w:snapToGrid w:val="0"/>
        <w:rPr>
          <w:rFonts w:ascii="宋体" w:hAnsi="宋体" w:cs="仿宋"/>
          <w:color w:val="000000" w:themeColor="text1"/>
          <w:szCs w:val="21"/>
          <w:highlight w:val="none"/>
          <w:u w:val="single"/>
          <w14:textFill>
            <w14:solidFill>
              <w14:schemeClr w14:val="tx1"/>
            </w14:solidFill>
          </w14:textFill>
        </w:rPr>
      </w:pPr>
      <w:r>
        <w:rPr>
          <w:rFonts w:ascii="宋体" w:hAnsi="宋体" w:cs="仿宋"/>
          <w:color w:val="000000" w:themeColor="text1"/>
          <w:szCs w:val="21"/>
          <w:highlight w:val="none"/>
          <w:u w:val="single"/>
          <w14:textFill>
            <w14:solidFill>
              <w14:schemeClr w14:val="tx1"/>
            </w14:solidFill>
          </w14:textFill>
        </w:rPr>
        <w:t xml:space="preserve">                              （联合体成员） </w:t>
      </w:r>
    </w:p>
    <w:p>
      <w:pPr>
        <w:snapToGrid w:val="0"/>
        <w:rPr>
          <w:rFonts w:ascii="宋体" w:hAnsi="宋体" w:cs="仿宋"/>
          <w:color w:val="000000" w:themeColor="text1"/>
          <w:szCs w:val="21"/>
          <w:highlight w:val="none"/>
          <w:u w:val="single"/>
          <w14:textFill>
            <w14:solidFill>
              <w14:schemeClr w14:val="tx1"/>
            </w14:solidFill>
          </w14:textFill>
        </w:rPr>
      </w:pPr>
      <w:r>
        <w:rPr>
          <w:rFonts w:ascii="宋体" w:hAnsi="宋体" w:cs="仿宋"/>
          <w:color w:val="000000" w:themeColor="text1"/>
          <w:szCs w:val="21"/>
          <w:highlight w:val="none"/>
          <w:u w:val="single"/>
          <w14:textFill>
            <w14:solidFill>
              <w14:schemeClr w14:val="tx1"/>
            </w14:solidFill>
          </w14:textFill>
        </w:rPr>
        <w:t xml:space="preserve">                              （联合体成员） </w:t>
      </w:r>
    </w:p>
    <w:p>
      <w:pPr>
        <w:pStyle w:val="2"/>
        <w:snapToGrid w:val="0"/>
        <w:spacing w:after="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（……根据成员方的数量，自行拓展）</w:t>
      </w:r>
    </w:p>
    <w:p>
      <w:pPr>
        <w:snapToGrid w:val="0"/>
        <w:ind w:firstLine="420" w:firstLineChars="200"/>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经参建各成员单位在遵循平等、自愿、公平和诚实信用的原则，各方经协商一致，在原《联合体协议》基础上，订立</w:t>
      </w:r>
      <w:r>
        <w:rPr>
          <w:rFonts w:ascii="宋体" w:hAnsi="宋体" w:cs="仿宋"/>
          <w:color w:val="000000" w:themeColor="text1"/>
          <w:szCs w:val="21"/>
          <w:highlight w:val="none"/>
          <w:u w:val="single"/>
          <w14:textFill>
            <w14:solidFill>
              <w14:schemeClr w14:val="tx1"/>
            </w14:solidFill>
          </w14:textFill>
        </w:rPr>
        <w:t xml:space="preserve">              工程</w:t>
      </w:r>
      <w:r>
        <w:rPr>
          <w:rFonts w:hint="eastAsia" w:ascii="宋体" w:hAnsi="宋体" w:cs="仿宋"/>
          <w:color w:val="000000" w:themeColor="text1"/>
          <w:szCs w:val="21"/>
          <w:highlight w:val="none"/>
          <w14:textFill>
            <w14:solidFill>
              <w14:schemeClr w14:val="tx1"/>
            </w14:solidFill>
          </w14:textFill>
        </w:rPr>
        <w:t>设计施工总承包项目工程款支付协议。</w:t>
      </w:r>
    </w:p>
    <w:p>
      <w:pPr>
        <w:snapToGrid w:val="0"/>
        <w:ind w:firstLine="420" w:firstLineChars="200"/>
        <w:rPr>
          <w:rFonts w:ascii="宋体" w:hAnsi="宋体" w:cs="仿宋"/>
          <w:color w:val="000000" w:themeColor="text1"/>
          <w:szCs w:val="21"/>
          <w:highlight w:val="none"/>
          <w14:textFill>
            <w14:solidFill>
              <w14:schemeClr w14:val="tx1"/>
            </w14:solidFill>
          </w14:textFill>
        </w:rPr>
      </w:pP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（联合体主办方）负责</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工程设计。上述</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项目工程除作为绩效考核金（设计费结算款的</w:t>
      </w:r>
      <w:r>
        <w:rPr>
          <w:rFonts w:ascii="宋体" w:hAnsi="宋体" w:cs="仿宋"/>
          <w:color w:val="000000" w:themeColor="text1"/>
          <w:szCs w:val="21"/>
          <w:highlight w:val="none"/>
          <w14:textFill>
            <w14:solidFill>
              <w14:schemeClr w14:val="tx1"/>
            </w14:solidFill>
          </w14:textFill>
        </w:rPr>
        <w:t>20%</w:t>
      </w:r>
      <w:r>
        <w:rPr>
          <w:rFonts w:hint="eastAsia" w:ascii="宋体" w:hAnsi="宋体" w:cs="仿宋"/>
          <w:color w:val="000000" w:themeColor="text1"/>
          <w:szCs w:val="21"/>
          <w:highlight w:val="none"/>
          <w14:textFill>
            <w14:solidFill>
              <w14:schemeClr w14:val="tx1"/>
            </w14:solidFill>
          </w14:textFill>
        </w:rPr>
        <w:t>）这部分费用外，其余设计相关费用由</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向发包人提出支付申请，最终工程设计相关的费用拨付到</w:t>
      </w:r>
      <w:r>
        <w:rPr>
          <w:rFonts w:ascii="宋体" w:hAnsi="宋体" w:cs="仿宋"/>
          <w:color w:val="000000" w:themeColor="text1"/>
          <w:szCs w:val="21"/>
          <w:highlight w:val="none"/>
          <w:u w:val="single"/>
          <w14:textFill>
            <w14:solidFill>
              <w14:schemeClr w14:val="tx1"/>
            </w14:solidFill>
          </w14:textFill>
        </w:rPr>
        <w:t xml:space="preserve">       账户（单位账户名）</w:t>
      </w:r>
      <w:r>
        <w:rPr>
          <w:rFonts w:hint="eastAsia" w:ascii="宋体" w:hAnsi="宋体" w:cs="仿宋"/>
          <w:color w:val="000000" w:themeColor="text1"/>
          <w:szCs w:val="21"/>
          <w:highlight w:val="none"/>
          <w14:textFill>
            <w14:solidFill>
              <w14:schemeClr w14:val="tx1"/>
            </w14:solidFill>
          </w14:textFill>
        </w:rPr>
        <w:t>。</w:t>
      </w:r>
    </w:p>
    <w:p>
      <w:pPr>
        <w:snapToGrid w:val="0"/>
        <w:ind w:firstLine="420" w:firstLineChars="200"/>
        <w:rPr>
          <w:rFonts w:ascii="宋体" w:hAnsi="宋体" w:cs="仿宋"/>
          <w:color w:val="000000" w:themeColor="text1"/>
          <w:szCs w:val="21"/>
          <w:highlight w:val="none"/>
          <w14:textFill>
            <w14:solidFill>
              <w14:schemeClr w14:val="tx1"/>
            </w14:solidFill>
          </w14:textFill>
        </w:rPr>
      </w:pP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（联合体成员方）负责</w:t>
      </w:r>
      <w:r>
        <w:rPr>
          <w:rFonts w:ascii="宋体" w:hAnsi="宋体" w:cs="仿宋"/>
          <w:color w:val="000000" w:themeColor="text1"/>
          <w:szCs w:val="21"/>
          <w:highlight w:val="none"/>
          <w:u w:val="single"/>
          <w14:textFill>
            <w14:solidFill>
              <w14:schemeClr w14:val="tx1"/>
            </w14:solidFill>
          </w14:textFill>
        </w:rPr>
        <w:t xml:space="preserve">         工程</w:t>
      </w:r>
      <w:r>
        <w:rPr>
          <w:rFonts w:hint="eastAsia" w:ascii="宋体" w:hAnsi="宋体" w:cs="仿宋"/>
          <w:color w:val="000000" w:themeColor="text1"/>
          <w:szCs w:val="21"/>
          <w:highlight w:val="none"/>
          <w14:textFill>
            <w14:solidFill>
              <w14:schemeClr w14:val="tx1"/>
            </w14:solidFill>
          </w14:textFill>
        </w:rPr>
        <w:t>勘察。上述</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项目工程勘察费用由</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向发包人提出支付申请，最终工程勘察相关的费用拨付到</w:t>
      </w:r>
      <w:r>
        <w:rPr>
          <w:rFonts w:ascii="宋体" w:hAnsi="宋体" w:cs="仿宋"/>
          <w:color w:val="000000" w:themeColor="text1"/>
          <w:szCs w:val="21"/>
          <w:highlight w:val="none"/>
          <w:u w:val="single"/>
          <w14:textFill>
            <w14:solidFill>
              <w14:schemeClr w14:val="tx1"/>
            </w14:solidFill>
          </w14:textFill>
        </w:rPr>
        <w:t xml:space="preserve">         账户（单位</w:t>
      </w:r>
      <w:r>
        <w:rPr>
          <w:rFonts w:hint="eastAsia" w:ascii="宋体" w:hAnsi="宋体" w:cs="仿宋"/>
          <w:color w:val="000000" w:themeColor="text1"/>
          <w:szCs w:val="21"/>
          <w:highlight w:val="none"/>
          <w:u w:val="single"/>
          <w14:textFill>
            <w14:solidFill>
              <w14:schemeClr w14:val="tx1"/>
            </w14:solidFill>
          </w14:textFill>
        </w:rPr>
        <w:t>账户名）</w:t>
      </w:r>
      <w:r>
        <w:rPr>
          <w:rFonts w:hint="eastAsia" w:ascii="宋体" w:hAnsi="宋体" w:cs="仿宋"/>
          <w:color w:val="000000" w:themeColor="text1"/>
          <w:szCs w:val="21"/>
          <w:highlight w:val="none"/>
          <w14:textFill>
            <w14:solidFill>
              <w14:schemeClr w14:val="tx1"/>
            </w14:solidFill>
          </w14:textFill>
        </w:rPr>
        <w:t>。</w:t>
      </w:r>
    </w:p>
    <w:p>
      <w:pPr>
        <w:snapToGrid w:val="0"/>
        <w:ind w:firstLine="420" w:firstLineChars="200"/>
        <w:rPr>
          <w:rFonts w:ascii="宋体" w:hAnsi="宋体" w:cs="仿宋"/>
          <w:color w:val="000000" w:themeColor="text1"/>
          <w:szCs w:val="21"/>
          <w:highlight w:val="none"/>
          <w14:textFill>
            <w14:solidFill>
              <w14:schemeClr w14:val="tx1"/>
            </w14:solidFill>
          </w14:textFill>
        </w:rPr>
      </w:pP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（联合体成员方）负责</w:t>
      </w:r>
      <w:r>
        <w:rPr>
          <w:rFonts w:ascii="宋体" w:hAnsi="宋体" w:cs="仿宋"/>
          <w:color w:val="000000" w:themeColor="text1"/>
          <w:szCs w:val="21"/>
          <w:highlight w:val="none"/>
          <w:u w:val="single"/>
          <w14:textFill>
            <w14:solidFill>
              <w14:schemeClr w14:val="tx1"/>
            </w14:solidFill>
          </w14:textFill>
        </w:rPr>
        <w:t xml:space="preserve">         工程</w:t>
      </w:r>
      <w:r>
        <w:rPr>
          <w:rFonts w:hint="eastAsia" w:ascii="宋体" w:hAnsi="宋体" w:cs="仿宋"/>
          <w:color w:val="000000" w:themeColor="text1"/>
          <w:szCs w:val="21"/>
          <w:highlight w:val="none"/>
          <w14:textFill>
            <w14:solidFill>
              <w14:schemeClr w14:val="tx1"/>
            </w14:solidFill>
          </w14:textFill>
        </w:rPr>
        <w:t>施工。上述</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项目工程除作为绩效考核金（工程费结算款的</w:t>
      </w:r>
      <w:r>
        <w:rPr>
          <w:rFonts w:ascii="宋体" w:hAnsi="宋体" w:cs="仿宋"/>
          <w:color w:val="000000" w:themeColor="text1"/>
          <w:szCs w:val="21"/>
          <w:highlight w:val="none"/>
          <w14:textFill>
            <w14:solidFill>
              <w14:schemeClr w14:val="tx1"/>
            </w14:solidFill>
          </w14:textFill>
        </w:rPr>
        <w:t>20%</w:t>
      </w:r>
      <w:r>
        <w:rPr>
          <w:rFonts w:hint="eastAsia" w:ascii="宋体" w:hAnsi="宋体" w:cs="仿宋"/>
          <w:color w:val="000000" w:themeColor="text1"/>
          <w:szCs w:val="21"/>
          <w:highlight w:val="none"/>
          <w14:textFill>
            <w14:solidFill>
              <w14:schemeClr w14:val="tx1"/>
            </w14:solidFill>
          </w14:textFill>
        </w:rPr>
        <w:t>）这部分费用外，其余施工相关费用由</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向发包人提出支付申请，最终工程施工相关的费用拨付到</w:t>
      </w:r>
      <w:r>
        <w:rPr>
          <w:rFonts w:ascii="宋体" w:hAnsi="宋体" w:cs="仿宋"/>
          <w:color w:val="000000" w:themeColor="text1"/>
          <w:szCs w:val="21"/>
          <w:highlight w:val="none"/>
          <w:u w:val="single"/>
          <w14:textFill>
            <w14:solidFill>
              <w14:schemeClr w14:val="tx1"/>
            </w14:solidFill>
          </w14:textFill>
        </w:rPr>
        <w:t xml:space="preserve">            账户（单位账户名）</w:t>
      </w:r>
      <w:r>
        <w:rPr>
          <w:rFonts w:hint="eastAsia" w:ascii="宋体" w:hAnsi="宋体" w:cs="仿宋"/>
          <w:color w:val="000000" w:themeColor="text1"/>
          <w:szCs w:val="21"/>
          <w:highlight w:val="none"/>
          <w14:textFill>
            <w14:solidFill>
              <w14:schemeClr w14:val="tx1"/>
            </w14:solidFill>
          </w14:textFill>
        </w:rPr>
        <w:t>。</w:t>
      </w:r>
    </w:p>
    <w:p>
      <w:pPr>
        <w:pStyle w:val="2"/>
        <w:snapToGrid w:val="0"/>
        <w:spacing w:after="0"/>
        <w:rPr>
          <w:color w:val="000000" w:themeColor="text1"/>
          <w:highlight w:val="none"/>
          <w14:textFill>
            <w14:solidFill>
              <w14:schemeClr w14:val="tx1"/>
            </w14:solidFill>
          </w14:textFill>
        </w:rPr>
      </w:pPr>
      <w:r>
        <w:rPr>
          <w:rFonts w:ascii="宋体" w:hAnsi="宋体" w:cs="仿宋"/>
          <w:color w:val="000000" w:themeColor="text1"/>
          <w:szCs w:val="2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（……根据成员方的数量，自行拓展）</w:t>
      </w:r>
    </w:p>
    <w:p>
      <w:pPr>
        <w:snapToGrid w:val="0"/>
        <w:ind w:firstLine="420" w:firstLineChars="200"/>
        <w:rPr>
          <w:color w:val="000000" w:themeColor="text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本合同绩效考核金统一由联合体主办方</w:t>
      </w:r>
      <w:r>
        <w:rPr>
          <w:rFonts w:hint="eastAsia" w:ascii="宋体" w:hAnsi="宋体" w:cs="仿宋"/>
          <w:color w:val="000000" w:themeColor="text1"/>
          <w:szCs w:val="21"/>
          <w:highlight w:val="none"/>
          <w:u w:val="single"/>
          <w14:textFill>
            <w14:solidFill>
              <w14:schemeClr w14:val="tx1"/>
            </w14:solidFill>
          </w14:textFill>
        </w:rPr>
        <w:t xml:space="preserve"> </w:t>
      </w:r>
      <w:r>
        <w:rPr>
          <w:rFonts w:ascii="宋体" w:hAnsi="宋体" w:cs="仿宋"/>
          <w:color w:val="000000" w:themeColor="text1"/>
          <w:szCs w:val="21"/>
          <w:highlight w:val="none"/>
          <w:u w:val="singl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收取。</w:t>
      </w:r>
    </w:p>
    <w:p>
      <w:pPr>
        <w:snapToGrid w:val="0"/>
        <w:ind w:firstLine="420" w:firstLineChars="200"/>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若因工程款项分配问题发生纠纷的，由联合体单位自行处理并承担责任，与发包人无关。联合体各成员单位对工作内容的分工和工程款的分配问题，不影响其责任承担，联合体各方就本项目向发包人承担连带责任。</w:t>
      </w:r>
    </w:p>
    <w:p>
      <w:pPr>
        <w:snapToGrid w:val="0"/>
        <w:ind w:firstLine="420" w:firstLineChars="200"/>
        <w:rPr>
          <w:rFonts w:ascii="宋体" w:hAnsi="宋体" w:cs="仿宋"/>
          <w:color w:val="000000" w:themeColor="text1"/>
          <w:szCs w:val="21"/>
          <w:highlight w:val="none"/>
          <w14:textFill>
            <w14:solidFill>
              <w14:schemeClr w14:val="tx1"/>
            </w14:solidFill>
          </w14:textFill>
        </w:rPr>
      </w:pPr>
      <w:r>
        <w:rPr>
          <w:rFonts w:ascii="宋体" w:hAnsi="宋体" w:cs="仿宋"/>
          <w:color w:val="000000" w:themeColor="text1"/>
          <w:szCs w:val="21"/>
          <w:highlight w:val="none"/>
          <w14:textFill>
            <w14:solidFill>
              <w14:schemeClr w14:val="tx1"/>
            </w14:solidFill>
          </w14:textFill>
        </w:rPr>
        <w:t>此页以下无正文。</w:t>
      </w:r>
    </w:p>
    <w:p>
      <w:pPr>
        <w:snapToGrid w:val="0"/>
        <w:rPr>
          <w:rFonts w:ascii="宋体" w:hAnsi="宋体" w:cs="仿宋"/>
          <w:color w:val="000000" w:themeColor="text1"/>
          <w:szCs w:val="21"/>
          <w:highlight w:val="none"/>
          <w14:textFill>
            <w14:solidFill>
              <w14:schemeClr w14:val="tx1"/>
            </w14:solidFill>
          </w14:textFill>
        </w:rPr>
      </w:pPr>
    </w:p>
    <w:p>
      <w:pPr>
        <w:snapToGrid w:val="0"/>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承包人（联合体主办方）：</w:t>
      </w:r>
      <w:r>
        <w:rPr>
          <w:rFonts w:ascii="宋体" w:hAnsi="宋体" w:cs="仿宋"/>
          <w:color w:val="000000" w:themeColor="text1"/>
          <w:szCs w:val="21"/>
          <w:highlight w:val="none"/>
          <w14:textFill>
            <w14:solidFill>
              <w14:schemeClr w14:val="tx1"/>
            </w14:solidFill>
          </w14:textFill>
        </w:rPr>
        <w:t xml:space="preserve">            承包人（联合体成员方）：</w:t>
      </w:r>
    </w:p>
    <w:p>
      <w:pPr>
        <w:snapToGrid w:val="0"/>
        <w:rPr>
          <w:rFonts w:ascii="宋体" w:hAnsi="宋体" w:cs="仿宋"/>
          <w:color w:val="000000" w:themeColor="text1"/>
          <w:szCs w:val="21"/>
          <w:highlight w:val="none"/>
          <w14:textFill>
            <w14:solidFill>
              <w14:schemeClr w14:val="tx1"/>
            </w14:solidFill>
          </w14:textFill>
        </w:rPr>
      </w:pPr>
      <w:r>
        <w:rPr>
          <w:rFonts w:ascii="宋体" w:hAnsi="宋体" w:cs="仿宋"/>
          <w:color w:val="000000" w:themeColor="text1"/>
          <w:szCs w:val="21"/>
          <w:highlight w:val="none"/>
          <w14:textFill>
            <w14:solidFill>
              <w14:schemeClr w14:val="tx1"/>
            </w14:solidFill>
          </w14:textFill>
        </w:rPr>
        <w:t xml:space="preserve">            （公章）                           （公章）            </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法定代表人：　　　</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法定代表人：</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委托代理人：　　　　　　　</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委托代理人：</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联</w:t>
      </w:r>
      <w:r>
        <w:rPr>
          <w:rFonts w:ascii="宋体" w:hAnsi="宋体" w:cs="仿宋"/>
          <w:color w:val="000000" w:themeColor="text1"/>
          <w:szCs w:val="21"/>
          <w:highlight w:val="none"/>
          <w14:textFill>
            <w14:solidFill>
              <w14:schemeClr w14:val="tx1"/>
            </w14:solidFill>
          </w14:textFill>
        </w:rPr>
        <w:t xml:space="preserve">  系  人：                        联  系  人：       </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地</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址：</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地</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址：</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ascii="宋体" w:hAnsi="宋体" w:cs="仿宋"/>
          <w:color w:val="000000" w:themeColor="text1"/>
          <w:szCs w:val="21"/>
          <w:highlight w:val="none"/>
          <w14:textFill>
            <w14:solidFill>
              <w14:schemeClr w14:val="tx1"/>
            </w14:solidFill>
          </w14:textFill>
        </w:rPr>
        <w:t xml:space="preserve">                                                            </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联</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系</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电话：</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联</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系</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电话：</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传</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真：　</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传</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真：</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开</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户</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银行：</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开</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户</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银行：</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帐</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号：</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帐</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号：</w:t>
      </w:r>
    </w:p>
    <w:p>
      <w:pPr>
        <w:snapToGrid w:val="0"/>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邮</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政</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编码：</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邮</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政</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编码：</w:t>
      </w:r>
    </w:p>
    <w:p>
      <w:pPr>
        <w:snapToGrid w:val="0"/>
        <w:rPr>
          <w:rFonts w:ascii="宋体" w:hAnsi="宋体" w:cs="仿宋"/>
          <w:color w:val="000000" w:themeColor="text1"/>
          <w:szCs w:val="21"/>
          <w:highlight w:val="none"/>
          <w14:textFill>
            <w14:solidFill>
              <w14:schemeClr w14:val="tx1"/>
            </w14:solidFill>
          </w14:textFill>
        </w:rPr>
      </w:pP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承包人（联合体成员方）：（公章）</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法定代表人：</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委托代理人：</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联</w:t>
      </w:r>
      <w:r>
        <w:rPr>
          <w:rFonts w:ascii="宋体" w:hAnsi="宋体" w:cs="仿宋"/>
          <w:color w:val="000000" w:themeColor="text1"/>
          <w:szCs w:val="21"/>
          <w:highlight w:val="none"/>
          <w14:textFill>
            <w14:solidFill>
              <w14:schemeClr w14:val="tx1"/>
            </w14:solidFill>
          </w14:textFill>
        </w:rPr>
        <w:t xml:space="preserve">  系  人：</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地</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址：</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联</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系</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电话：</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传</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真：</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开</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户</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银行：</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帐</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号：</w:t>
      </w:r>
    </w:p>
    <w:p>
      <w:pPr>
        <w:snapToGrid w:val="0"/>
        <w:ind w:right="31" w:rightChars="15"/>
        <w:rPr>
          <w:rFonts w:ascii="宋体" w:hAnsi="宋体" w:cs="仿宋"/>
          <w:color w:val="000000" w:themeColor="text1"/>
          <w:szCs w:val="21"/>
          <w:highlight w:val="none"/>
          <w14:textFill>
            <w14:solidFill>
              <w14:schemeClr w14:val="tx1"/>
            </w14:solidFill>
          </w14:textFill>
        </w:rPr>
      </w:pPr>
      <w:r>
        <w:rPr>
          <w:rFonts w:hint="eastAsia" w:ascii="宋体" w:hAnsi="宋体" w:cs="仿宋"/>
          <w:color w:val="000000" w:themeColor="text1"/>
          <w:szCs w:val="21"/>
          <w:highlight w:val="none"/>
          <w14:textFill>
            <w14:solidFill>
              <w14:schemeClr w14:val="tx1"/>
            </w14:solidFill>
          </w14:textFill>
        </w:rPr>
        <w:t>邮</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政</w:t>
      </w:r>
      <w:r>
        <w:rPr>
          <w:rFonts w:ascii="宋体" w:hAnsi="宋体" w:cs="仿宋"/>
          <w:color w:val="000000" w:themeColor="text1"/>
          <w:szCs w:val="21"/>
          <w:highlight w:val="none"/>
          <w14:textFill>
            <w14:solidFill>
              <w14:schemeClr w14:val="tx1"/>
            </w14:solidFill>
          </w14:textFill>
        </w:rPr>
        <w:t xml:space="preserve"> </w:t>
      </w:r>
      <w:r>
        <w:rPr>
          <w:rFonts w:hint="eastAsia" w:ascii="宋体" w:hAnsi="宋体" w:cs="仿宋"/>
          <w:color w:val="000000" w:themeColor="text1"/>
          <w:szCs w:val="21"/>
          <w:highlight w:val="none"/>
          <w14:textFill>
            <w14:solidFill>
              <w14:schemeClr w14:val="tx1"/>
            </w14:solidFill>
          </w14:textFill>
        </w:rPr>
        <w:t>编码：</w:t>
      </w:r>
      <w:r>
        <w:rPr>
          <w:rFonts w:ascii="宋体" w:hAnsi="宋体" w:cs="仿宋"/>
          <w:color w:val="000000" w:themeColor="text1"/>
          <w:szCs w:val="21"/>
          <w:highlight w:val="none"/>
          <w14:textFill>
            <w14:solidFill>
              <w14:schemeClr w14:val="tx1"/>
            </w14:solidFill>
          </w14:textFill>
        </w:rPr>
        <w:t xml:space="preserve"> </w:t>
      </w:r>
    </w:p>
    <w:p>
      <w:pPr>
        <w:spacing w:line="360" w:lineRule="auto"/>
        <w:outlineLvl w:val="1"/>
        <w:rPr>
          <w:rFonts w:ascii="宋体" w:hAnsi="宋体" w:cs="宋体"/>
          <w:color w:val="000000" w:themeColor="text1"/>
          <w:kern w:val="0"/>
          <w:szCs w:val="21"/>
          <w:highlight w:val="none"/>
          <w:lang w:eastAsia="zh-Hans"/>
          <w14:textFill>
            <w14:solidFill>
              <w14:schemeClr w14:val="tx1"/>
            </w14:solidFill>
          </w14:textFill>
        </w:rPr>
      </w:pPr>
      <w:r>
        <w:rPr>
          <w:rFonts w:hint="eastAsia"/>
          <w:color w:val="000000" w:themeColor="text1"/>
          <w:highlight w:val="none"/>
          <w:lang w:eastAsia="zh-Hans"/>
          <w14:textFill>
            <w14:solidFill>
              <w14:schemeClr w14:val="tx1"/>
            </w14:solidFill>
          </w14:textFill>
        </w:rPr>
        <w:br w:type="page"/>
      </w:r>
      <w:bookmarkStart w:id="1643" w:name="_Toc1116579146"/>
      <w:bookmarkStart w:id="1644" w:name="_Toc147856251"/>
      <w:r>
        <w:rPr>
          <w:rFonts w:hint="eastAsia" w:ascii="宋体" w:hAnsi="宋体" w:cs="宋体"/>
          <w:color w:val="000000" w:themeColor="text1"/>
          <w:szCs w:val="21"/>
          <w:highlight w:val="none"/>
          <w:lang w:eastAsia="zh-Hans"/>
          <w14:textFill>
            <w14:solidFill>
              <w14:schemeClr w14:val="tx1"/>
            </w14:solidFill>
          </w14:textFill>
        </w:rPr>
        <w:t>附件</w:t>
      </w:r>
      <w:r>
        <w:rPr>
          <w:rFonts w:ascii="宋体" w:hAnsi="宋体" w:cs="宋体"/>
          <w:color w:val="000000" w:themeColor="text1"/>
          <w:szCs w:val="21"/>
          <w:highlight w:val="none"/>
          <w:lang w:eastAsia="zh-Hans"/>
          <w14:textFill>
            <w14:solidFill>
              <w14:schemeClr w14:val="tx1"/>
            </w14:solidFill>
          </w14:textFill>
        </w:rPr>
        <w:t>12</w:t>
      </w:r>
      <w:r>
        <w:rPr>
          <w:rFonts w:hint="eastAsia" w:ascii="宋体" w:hAnsi="宋体" w:cs="宋体"/>
          <w:color w:val="000000" w:themeColor="text1"/>
          <w:szCs w:val="21"/>
          <w:highlight w:val="none"/>
          <w:lang w:eastAsia="zh-Hans"/>
          <w14:textFill>
            <w14:solidFill>
              <w14:schemeClr w14:val="tx1"/>
            </w14:solidFill>
          </w14:textFill>
        </w:rPr>
        <w:t>：招投标文件关键页（含招标答疑纪要、任务书、投标函、投标报价、承包人拟投入人员表、拟投入本工程的主要施工设备表等）</w:t>
      </w:r>
      <w:bookmarkEnd w:id="1643"/>
      <w:bookmarkEnd w:id="1644"/>
    </w:p>
    <w:p>
      <w:pPr>
        <w:rPr>
          <w:color w:val="000000" w:themeColor="text1"/>
          <w:highlight w:val="none"/>
          <w:lang w:eastAsia="zh-Hans"/>
          <w14:textFill>
            <w14:solidFill>
              <w14:schemeClr w14:val="tx1"/>
            </w14:solidFill>
          </w14:textFill>
        </w:rPr>
      </w:pPr>
    </w:p>
    <w:p>
      <w:pPr>
        <w:widowControl/>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pPr>
        <w:spacing w:line="360" w:lineRule="auto"/>
        <w:outlineLvl w:val="1"/>
        <w:rPr>
          <w:rFonts w:ascii="宋体" w:hAnsi="宋体" w:cs="宋体"/>
          <w:color w:val="000000" w:themeColor="text1"/>
          <w:szCs w:val="21"/>
          <w:highlight w:val="none"/>
          <w:lang w:eastAsia="zh-Hans"/>
          <w14:textFill>
            <w14:solidFill>
              <w14:schemeClr w14:val="tx1"/>
            </w14:solidFill>
          </w14:textFill>
        </w:rPr>
      </w:pPr>
      <w:bookmarkStart w:id="1645" w:name="_Toc147856252"/>
      <w:r>
        <w:rPr>
          <w:rFonts w:hint="eastAsia" w:ascii="宋体" w:hAnsi="宋体" w:cs="宋体"/>
          <w:color w:val="000000" w:themeColor="text1"/>
          <w:szCs w:val="21"/>
          <w:highlight w:val="none"/>
          <w:lang w:eastAsia="zh-Hans"/>
          <w14:textFill>
            <w14:solidFill>
              <w14:schemeClr w14:val="tx1"/>
            </w14:solidFill>
          </w14:textFill>
        </w:rPr>
        <w:t>附件</w:t>
      </w:r>
      <w:r>
        <w:rPr>
          <w:rFonts w:ascii="宋体" w:hAnsi="宋体" w:cs="宋体"/>
          <w:color w:val="000000" w:themeColor="text1"/>
          <w:szCs w:val="21"/>
          <w:highlight w:val="none"/>
          <w:lang w:eastAsia="zh-Hans"/>
          <w14:textFill>
            <w14:solidFill>
              <w14:schemeClr w14:val="tx1"/>
            </w14:solidFill>
          </w14:textFill>
        </w:rPr>
        <w:t>13</w:t>
      </w:r>
      <w:r>
        <w:rPr>
          <w:rFonts w:hint="eastAsia" w:ascii="宋体" w:hAnsi="宋体" w:cs="宋体"/>
          <w:color w:val="000000" w:themeColor="text1"/>
          <w:szCs w:val="21"/>
          <w:highlight w:val="none"/>
          <w:lang w:eastAsia="zh-Hans"/>
          <w14:textFill>
            <w14:solidFill>
              <w14:schemeClr w14:val="tx1"/>
            </w14:solidFill>
          </w14:textFill>
        </w:rPr>
        <w:t>：立项及相关会纪函件关键页（如有）</w:t>
      </w:r>
      <w:bookmarkEnd w:id="1645"/>
    </w:p>
    <w:bookmarkEnd w:id="1647"/>
    <w:sectPr>
      <w:pgSz w:w="11907" w:h="16840"/>
      <w:pgMar w:top="1440" w:right="1440" w:bottom="1440" w:left="1440"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Arial">
    <w:panose1 w:val="020B0604020202020204"/>
    <w:charset w:val="00"/>
    <w:family w:val="swiss"/>
    <w:pitch w:val="default"/>
    <w:sig w:usb0="E0002AFF" w:usb1="C0007843" w:usb2="00000009" w:usb3="00000000" w:csb0="400001FF" w:csb1="FFFF0000"/>
  </w:font>
  <w:font w:name="楷体_GB2312">
    <w:altName w:val="楷体"/>
    <w:panose1 w:val="00000000000000000000"/>
    <w:charset w:val="86"/>
    <w:family w:val="modern"/>
    <w:pitch w:val="default"/>
    <w:sig w:usb0="00000000" w:usb1="00000000" w:usb2="00000000" w:usb3="00000000" w:csb0="00040000" w:csb1="00000000"/>
  </w:font>
  <w:font w:name="Courier New">
    <w:panose1 w:val="02070309020205020404"/>
    <w:charset w:val="00"/>
    <w:family w:val="modern"/>
    <w:pitch w:val="default"/>
    <w:sig w:usb0="E0002AFF" w:usb1="C0007843" w:usb2="00000009" w:usb3="00000000" w:csb0="400001FF" w:csb1="FFFF0000"/>
  </w:font>
  <w:font w:name="仿宋_GB2312">
    <w:altName w:val="仿宋"/>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Calibri Light">
    <w:altName w:val="Calibri"/>
    <w:panose1 w:val="020F0302020204030204"/>
    <w:charset w:val="00"/>
    <w:family w:val="swiss"/>
    <w:pitch w:val="default"/>
    <w:sig w:usb0="00000000" w:usb1="00000000" w:usb2="00000009" w:usb3="00000000" w:csb0="000001FF" w:csb1="00000000"/>
  </w:font>
  <w:font w:name="幼圆">
    <w:altName w:val="宋体"/>
    <w:panose1 w:val="02010509060101010101"/>
    <w:charset w:val="86"/>
    <w:family w:val="modern"/>
    <w:pitch w:val="default"/>
    <w:sig w:usb0="00000000" w:usb1="00000000" w:usb2="00000010" w:usb3="00000000" w:csb0="00040000" w:csb1="00000000"/>
  </w:font>
  <w:font w:name="Microsoft YaHei UI">
    <w:altName w:val="宋体"/>
    <w:panose1 w:val="020B0503020204020204"/>
    <w:charset w:val="86"/>
    <w:family w:val="swiss"/>
    <w:pitch w:val="default"/>
    <w:sig w:usb0="00000000" w:usb1="00000000" w:usb2="00000016" w:usb3="00000000" w:csb0="0004001F" w:csb1="00000000"/>
  </w:font>
  <w:font w:name="MS UI Gothic">
    <w:panose1 w:val="020B0600070205080204"/>
    <w:charset w:val="80"/>
    <w:family w:val="swiss"/>
    <w:pitch w:val="default"/>
    <w:sig w:usb0="E00002FF" w:usb1="6AC7FDFB" w:usb2="00000012" w:usb3="00000000" w:csb0="4002009F" w:csb1="DFD70000"/>
  </w:font>
  <w:font w:name="CG Times (W1)">
    <w:altName w:val="Segoe Print"/>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方正书宋简体">
    <w:altName w:val="宋体"/>
    <w:panose1 w:val="00000000000000000000"/>
    <w:charset w:val="00"/>
    <w:family w:val="auto"/>
    <w:pitch w:val="default"/>
    <w:sig w:usb0="00000000" w:usb1="00000000" w:usb2="00000000" w:usb3="00000000" w:csb0="00040000" w:csb1="00000000"/>
  </w:font>
  <w:font w:name="Calisto MT">
    <w:altName w:val="Segoe Print"/>
    <w:panose1 w:val="02040603050505030304"/>
    <w:charset w:val="00"/>
    <w:family w:val="roman"/>
    <w:pitch w:val="default"/>
    <w:sig w:usb0="00000000" w:usb1="00000000" w:usb2="00000000" w:usb3="00000000" w:csb0="00000001" w:csb1="00000000"/>
  </w:font>
  <w:font w:name="Arial Unicode MS">
    <w:altName w:val="宋体"/>
    <w:panose1 w:val="020B0604020202020204"/>
    <w:charset w:val="86"/>
    <w:family w:val="swiss"/>
    <w:pitch w:val="default"/>
    <w:sig w:usb0="00000000" w:usb1="00000000" w:usb2="0000007F" w:usb3="00000000" w:csb0="003F01FF" w:csb1="00000000"/>
  </w:font>
  <w:font w:name="Verdana">
    <w:panose1 w:val="020B0604030504040204"/>
    <w:charset w:val="00"/>
    <w:family w:val="swiss"/>
    <w:pitch w:val="default"/>
    <w:sig w:usb0="A10006FF" w:usb1="4000205B" w:usb2="00000010" w:usb3="00000000" w:csb0="2000019F" w:csb1="00000000"/>
  </w:font>
  <w:font w:name="华文细黑">
    <w:altName w:val="微软雅黑"/>
    <w:panose1 w:val="02010600040101010101"/>
    <w:charset w:val="86"/>
    <w:family w:val="auto"/>
    <w:pitch w:val="default"/>
    <w:sig w:usb0="00000000" w:usb1="00000000" w:usb2="00000010" w:usb3="00000000" w:csb0="0004009F" w:csb1="00000000"/>
  </w:font>
  <w:font w:name="DejaVu Sans">
    <w:altName w:val="微软雅黑"/>
    <w:panose1 w:val="00000000000000000000"/>
    <w:charset w:val="00"/>
    <w:family w:val="roman"/>
    <w:pitch w:val="default"/>
    <w:sig w:usb0="00000000" w:usb1="00000000" w:usb2="00000000" w:usb3="00000000" w:csb0="00040001" w:csb1="00000000"/>
  </w:font>
  <w:font w:name="仿宋体">
    <w:altName w:val="仿宋"/>
    <w:panose1 w:val="00000000000000000000"/>
    <w:charset w:val="00"/>
    <w:family w:val="roman"/>
    <w:pitch w:val="default"/>
    <w:sig w:usb0="00000000" w:usb1="00000000" w:usb2="00000010" w:usb3="00000000" w:csb0="0004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roman"/>
    <w:pitch w:val="default"/>
    <w:sig w:usb0="00000000" w:usb1="00000000" w:usb2="00000000" w:usb3="00000000" w:csb0="00000000" w:csb1="00000000"/>
  </w:font>
  <w:font w:name="Cambria Math">
    <w:panose1 w:val="02040503050406030204"/>
    <w:charset w:val="00"/>
    <w:family w:val="roman"/>
    <w:pitch w:val="default"/>
    <w:sig w:usb0="E00002FF" w:usb1="420024FF" w:usb2="00000000" w:usb3="00000000" w:csb0="2000019F" w:csb1="00000000"/>
  </w:font>
  <w:font w:name="Segoe UI Symbol">
    <w:panose1 w:val="020B0502040204020203"/>
    <w:charset w:val="00"/>
    <w:family w:val="swiss"/>
    <w:pitch w:val="default"/>
    <w:sig w:usb0="8000006F" w:usb1="1200FBEF" w:usb2="0064C000" w:usb3="00000002" w:csb0="00000001" w:csb1="40000000"/>
  </w:font>
  <w:font w:name="微软雅黑">
    <w:panose1 w:val="020B0503020204020204"/>
    <w:charset w:val="86"/>
    <w:family w:val="auto"/>
    <w:pitch w:val="default"/>
    <w:sig w:usb0="80000287" w:usb1="280F3C52" w:usb2="00000016" w:usb3="00000000" w:csb0="0004001F" w:csb1="00000000"/>
  </w:font>
  <w:font w:name="MS Mincho">
    <w:panose1 w:val="020206090402050803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framePr w:wrap="around" w:vAnchor="text" w:hAnchor="margin" w:xAlign="center" w:y="1"/>
      <w:rPr>
        <w:rStyle w:val="65"/>
      </w:rPr>
    </w:pPr>
    <w:r>
      <w:fldChar w:fldCharType="begin"/>
    </w:r>
    <w:r>
      <w:rPr>
        <w:rStyle w:val="65"/>
      </w:rPr>
      <w:instrText xml:space="preserve">PAGE  </w:instrText>
    </w:r>
    <w:r>
      <w:fldChar w:fldCharType="end"/>
    </w:r>
  </w:p>
  <w:p>
    <w:pPr>
      <w:pStyle w:val="37"/>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framePr w:wrap="around" w:vAnchor="text" w:hAnchor="margin" w:xAlign="center" w:y="1"/>
      <w:rPr>
        <w:rStyle w:val="65"/>
      </w:rPr>
    </w:pPr>
    <w:r>
      <w:fldChar w:fldCharType="begin"/>
    </w:r>
    <w:r>
      <w:rPr>
        <w:rStyle w:val="65"/>
      </w:rPr>
      <w:instrText xml:space="preserve">PAGE  </w:instrText>
    </w:r>
    <w:r>
      <w:fldChar w:fldCharType="separate"/>
    </w:r>
    <w:r>
      <w:rPr>
        <w:rStyle w:val="65"/>
      </w:rPr>
      <w:t>137</w:t>
    </w:r>
    <w:r>
      <w:fldChar w:fldCharType="end"/>
    </w:r>
  </w:p>
  <w:p>
    <w:pPr>
      <w:pStyle w:val="37"/>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jc w:val="center"/>
    </w:pPr>
    <w:r>
      <w:fldChar w:fldCharType="begin"/>
    </w:r>
    <w:r>
      <w:rPr>
        <w:rStyle w:val="65"/>
      </w:rPr>
      <w:instrText xml:space="preserve"> PAGE </w:instrText>
    </w:r>
    <w:r>
      <w:fldChar w:fldCharType="separate"/>
    </w:r>
    <w:r>
      <w:rPr>
        <w:rStyle w:val="65"/>
      </w:rPr>
      <w:t>150</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framePr w:wrap="around" w:vAnchor="text" w:hAnchor="margin" w:xAlign="center" w:y="1"/>
      <w:rPr>
        <w:rStyle w:val="65"/>
      </w:rPr>
    </w:pPr>
    <w:r>
      <w:fldChar w:fldCharType="begin"/>
    </w:r>
    <w:r>
      <w:rPr>
        <w:rStyle w:val="65"/>
      </w:rPr>
      <w:instrText xml:space="preserve">PAGE  </w:instrText>
    </w:r>
    <w:r>
      <w:fldChar w:fldCharType="separate"/>
    </w:r>
    <w:r>
      <w:rPr>
        <w:rStyle w:val="65"/>
      </w:rPr>
      <w:t>152</w:t>
    </w:r>
    <w:r>
      <w:fldChar w:fldCharType="end"/>
    </w:r>
  </w:p>
  <w:p>
    <w:pPr>
      <w:pStyle w:val="37"/>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8"/>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8"/>
      <w:pBdr>
        <w:bottom w:val="single" w:color="auto" w:sz="4" w:space="0"/>
      </w:pBdr>
      <w:jc w:val="left"/>
    </w:pPr>
    <w:bookmarkStart w:id="1646" w:name="_Hlk147854722"/>
    <w:r>
      <w:rPr>
        <w:rFonts w:hint="eastAsia"/>
      </w:rPr>
      <w:t>南沙全民文化体育综合体生态堤建设工程（21涌以北）一期</w:t>
    </w:r>
    <w:bookmarkEnd w:id="1646"/>
    <w:r>
      <w:rPr>
        <w:rFonts w:hint="eastAsia"/>
      </w:rPr>
      <w:t>勘察设计施工总承包合同文件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E"/>
    <w:multiLevelType w:val="multilevel"/>
    <w:tmpl w:val="0000000E"/>
    <w:lvl w:ilvl="0" w:tentative="0">
      <w:start w:val="1"/>
      <w:numFmt w:val="japaneseCounting"/>
      <w:lvlText w:val="（%1）"/>
      <w:lvlJc w:val="left"/>
      <w:pPr>
        <w:tabs>
          <w:tab w:val="left" w:pos="720"/>
        </w:tabs>
        <w:ind w:left="720" w:hanging="720"/>
      </w:pPr>
      <w:rPr>
        <w:rFonts w:hint="default"/>
      </w:rPr>
    </w:lvl>
    <w:lvl w:ilvl="1" w:tentative="0">
      <w:start w:val="1"/>
      <w:numFmt w:val="decimal"/>
      <w:lvlText w:val="（%2）"/>
      <w:lvlJc w:val="left"/>
      <w:pPr>
        <w:tabs>
          <w:tab w:val="left" w:pos="1080"/>
        </w:tabs>
        <w:ind w:left="1080" w:hanging="36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00000013"/>
    <w:multiLevelType w:val="multilevel"/>
    <w:tmpl w:val="00000013"/>
    <w:lvl w:ilvl="0" w:tentative="0">
      <w:start w:val="1"/>
      <w:numFmt w:val="decimal"/>
      <w:lvlText w:val="（%1）"/>
      <w:lvlJc w:val="left"/>
      <w:pPr>
        <w:tabs>
          <w:tab w:val="left" w:pos="1428"/>
        </w:tabs>
        <w:ind w:left="1428" w:hanging="720"/>
      </w:pPr>
      <w:rPr>
        <w:rFonts w:ascii="仿宋_GB2312" w:hAnsi="宋体" w:eastAsia="仿宋_GB2312" w:cs="Times New Roman"/>
      </w:rPr>
    </w:lvl>
    <w:lvl w:ilvl="1" w:tentative="0">
      <w:start w:val="1"/>
      <w:numFmt w:val="lowerLetter"/>
      <w:lvlText w:val="%2)"/>
      <w:lvlJc w:val="left"/>
      <w:pPr>
        <w:tabs>
          <w:tab w:val="left" w:pos="1034"/>
        </w:tabs>
        <w:ind w:left="1034" w:hanging="420"/>
      </w:pPr>
    </w:lvl>
    <w:lvl w:ilvl="2" w:tentative="0">
      <w:start w:val="1"/>
      <w:numFmt w:val="lowerRoman"/>
      <w:lvlText w:val="%3."/>
      <w:lvlJc w:val="right"/>
      <w:pPr>
        <w:tabs>
          <w:tab w:val="left" w:pos="1454"/>
        </w:tabs>
        <w:ind w:left="1454" w:hanging="420"/>
      </w:pPr>
    </w:lvl>
    <w:lvl w:ilvl="3" w:tentative="0">
      <w:start w:val="1"/>
      <w:numFmt w:val="decimal"/>
      <w:lvlText w:val="%4."/>
      <w:lvlJc w:val="left"/>
      <w:pPr>
        <w:tabs>
          <w:tab w:val="left" w:pos="1874"/>
        </w:tabs>
        <w:ind w:left="1874" w:hanging="420"/>
      </w:pPr>
    </w:lvl>
    <w:lvl w:ilvl="4" w:tentative="0">
      <w:start w:val="1"/>
      <w:numFmt w:val="lowerLetter"/>
      <w:lvlText w:val="%5)"/>
      <w:lvlJc w:val="left"/>
      <w:pPr>
        <w:tabs>
          <w:tab w:val="left" w:pos="2294"/>
        </w:tabs>
        <w:ind w:left="2294" w:hanging="420"/>
      </w:pPr>
    </w:lvl>
    <w:lvl w:ilvl="5" w:tentative="0">
      <w:start w:val="1"/>
      <w:numFmt w:val="lowerRoman"/>
      <w:lvlText w:val="%6."/>
      <w:lvlJc w:val="right"/>
      <w:pPr>
        <w:tabs>
          <w:tab w:val="left" w:pos="2714"/>
        </w:tabs>
        <w:ind w:left="2714" w:hanging="420"/>
      </w:pPr>
    </w:lvl>
    <w:lvl w:ilvl="6" w:tentative="0">
      <w:start w:val="1"/>
      <w:numFmt w:val="decimal"/>
      <w:lvlText w:val="%7."/>
      <w:lvlJc w:val="left"/>
      <w:pPr>
        <w:tabs>
          <w:tab w:val="left" w:pos="3134"/>
        </w:tabs>
        <w:ind w:left="3134" w:hanging="420"/>
      </w:pPr>
    </w:lvl>
    <w:lvl w:ilvl="7" w:tentative="0">
      <w:start w:val="1"/>
      <w:numFmt w:val="lowerLetter"/>
      <w:lvlText w:val="%8)"/>
      <w:lvlJc w:val="left"/>
      <w:pPr>
        <w:tabs>
          <w:tab w:val="left" w:pos="3554"/>
        </w:tabs>
        <w:ind w:left="3554" w:hanging="420"/>
      </w:pPr>
    </w:lvl>
    <w:lvl w:ilvl="8" w:tentative="0">
      <w:start w:val="1"/>
      <w:numFmt w:val="lowerRoman"/>
      <w:lvlText w:val="%9."/>
      <w:lvlJc w:val="right"/>
      <w:pPr>
        <w:tabs>
          <w:tab w:val="left" w:pos="3974"/>
        </w:tabs>
        <w:ind w:left="3974" w:hanging="420"/>
      </w:pPr>
    </w:lvl>
  </w:abstractNum>
  <w:abstractNum w:abstractNumId="2">
    <w:nsid w:val="00000015"/>
    <w:multiLevelType w:val="multilevel"/>
    <w:tmpl w:val="00000015"/>
    <w:lvl w:ilvl="0" w:tentative="0">
      <w:start w:val="1"/>
      <w:numFmt w:val="decimal"/>
      <w:lvlText w:val="（%1）"/>
      <w:lvlJc w:val="left"/>
      <w:pPr>
        <w:tabs>
          <w:tab w:val="left" w:pos="2116"/>
        </w:tabs>
        <w:ind w:left="2116" w:hanging="84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1A27012F"/>
    <w:multiLevelType w:val="multilevel"/>
    <w:tmpl w:val="1A27012F"/>
    <w:lvl w:ilvl="0" w:tentative="0">
      <w:start w:val="1"/>
      <w:numFmt w:val="decimalEnclosedCircle"/>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2DBA075E"/>
    <w:multiLevelType w:val="multilevel"/>
    <w:tmpl w:val="2DBA075E"/>
    <w:lvl w:ilvl="0" w:tentative="0">
      <w:start w:val="1"/>
      <w:numFmt w:val="decimalEnclosedCircle"/>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5DF57C3"/>
    <w:multiLevelType w:val="multilevel"/>
    <w:tmpl w:val="35DF57C3"/>
    <w:lvl w:ilvl="0" w:tentative="0">
      <w:start w:val="1"/>
      <w:numFmt w:val="decimalEnclosedCircle"/>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480B84B8"/>
    <w:multiLevelType w:val="singleLevel"/>
    <w:tmpl w:val="480B84B8"/>
    <w:lvl w:ilvl="0" w:tentative="0">
      <w:start w:val="3"/>
      <w:numFmt w:val="decimal"/>
      <w:suff w:val="nothing"/>
      <w:lvlText w:val="（%1）"/>
      <w:lvlJc w:val="left"/>
    </w:lvl>
  </w:abstractNum>
  <w:abstractNum w:abstractNumId="7">
    <w:nsid w:val="57748B1B"/>
    <w:multiLevelType w:val="singleLevel"/>
    <w:tmpl w:val="57748B1B"/>
    <w:lvl w:ilvl="0" w:tentative="0">
      <w:start w:val="1"/>
      <w:numFmt w:val="decimal"/>
      <w:pStyle w:val="260"/>
      <w:suff w:val="nothing"/>
      <w:lvlText w:val="（%1）"/>
      <w:lvlJc w:val="left"/>
    </w:lvl>
  </w:abstractNum>
  <w:num w:numId="1">
    <w:abstractNumId w:val="7"/>
  </w:num>
  <w:num w:numId="2">
    <w:abstractNumId w:val="6"/>
  </w:num>
  <w:num w:numId="3">
    <w:abstractNumId w:val="0"/>
  </w:num>
  <w:num w:numId="4">
    <w:abstractNumId w:val="2"/>
  </w:num>
  <w:num w:numId="5">
    <w:abstractNumId w:val="1"/>
  </w:num>
  <w:num w:numId="6">
    <w:abstractNumId w:val="5"/>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revisionView w:markup="0"/>
  <w:trackRevisions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ZhZmRjYjhhNTYxYzQ5ZTI4ODk1MTVkZGVhNmU2NWIifQ=="/>
  </w:docVars>
  <w:rsids>
    <w:rsidRoot w:val="00D92B7B"/>
    <w:rsid w:val="00002679"/>
    <w:rsid w:val="00002BB8"/>
    <w:rsid w:val="00003B46"/>
    <w:rsid w:val="00006D27"/>
    <w:rsid w:val="00007B45"/>
    <w:rsid w:val="00007D62"/>
    <w:rsid w:val="0001103C"/>
    <w:rsid w:val="00011AA9"/>
    <w:rsid w:val="0001445E"/>
    <w:rsid w:val="0001503C"/>
    <w:rsid w:val="00016248"/>
    <w:rsid w:val="0002013F"/>
    <w:rsid w:val="000255B9"/>
    <w:rsid w:val="00027930"/>
    <w:rsid w:val="000304BF"/>
    <w:rsid w:val="000314C2"/>
    <w:rsid w:val="00034723"/>
    <w:rsid w:val="00034C26"/>
    <w:rsid w:val="00036CBB"/>
    <w:rsid w:val="00040529"/>
    <w:rsid w:val="00040926"/>
    <w:rsid w:val="00040983"/>
    <w:rsid w:val="000427AA"/>
    <w:rsid w:val="00044D5E"/>
    <w:rsid w:val="0005265E"/>
    <w:rsid w:val="0005434C"/>
    <w:rsid w:val="0005447B"/>
    <w:rsid w:val="00054A65"/>
    <w:rsid w:val="0006245F"/>
    <w:rsid w:val="00062EEE"/>
    <w:rsid w:val="000635DA"/>
    <w:rsid w:val="0006509B"/>
    <w:rsid w:val="0006769D"/>
    <w:rsid w:val="000677B4"/>
    <w:rsid w:val="00070F2C"/>
    <w:rsid w:val="00071C9D"/>
    <w:rsid w:val="00072F84"/>
    <w:rsid w:val="00075174"/>
    <w:rsid w:val="00075E32"/>
    <w:rsid w:val="00077A63"/>
    <w:rsid w:val="00085235"/>
    <w:rsid w:val="00085C69"/>
    <w:rsid w:val="00090921"/>
    <w:rsid w:val="00095108"/>
    <w:rsid w:val="000957E5"/>
    <w:rsid w:val="00096AAC"/>
    <w:rsid w:val="000A22DB"/>
    <w:rsid w:val="000A4C2D"/>
    <w:rsid w:val="000A532D"/>
    <w:rsid w:val="000A55B3"/>
    <w:rsid w:val="000A75B9"/>
    <w:rsid w:val="000B5EA9"/>
    <w:rsid w:val="000B6F17"/>
    <w:rsid w:val="000C1433"/>
    <w:rsid w:val="000D13C4"/>
    <w:rsid w:val="000D25CC"/>
    <w:rsid w:val="000D3516"/>
    <w:rsid w:val="000D35E6"/>
    <w:rsid w:val="000E100C"/>
    <w:rsid w:val="000E2D89"/>
    <w:rsid w:val="00102179"/>
    <w:rsid w:val="001041A1"/>
    <w:rsid w:val="001046A6"/>
    <w:rsid w:val="00107D3A"/>
    <w:rsid w:val="00114C05"/>
    <w:rsid w:val="00117D7B"/>
    <w:rsid w:val="00117F4F"/>
    <w:rsid w:val="0012368C"/>
    <w:rsid w:val="001270AD"/>
    <w:rsid w:val="00131024"/>
    <w:rsid w:val="001338DA"/>
    <w:rsid w:val="00133C45"/>
    <w:rsid w:val="0013548B"/>
    <w:rsid w:val="00140E26"/>
    <w:rsid w:val="00142F1A"/>
    <w:rsid w:val="00147C0C"/>
    <w:rsid w:val="00157604"/>
    <w:rsid w:val="00160E1A"/>
    <w:rsid w:val="00162BF0"/>
    <w:rsid w:val="00165B28"/>
    <w:rsid w:val="00171EF0"/>
    <w:rsid w:val="0017221E"/>
    <w:rsid w:val="00175E31"/>
    <w:rsid w:val="00177E57"/>
    <w:rsid w:val="001804C0"/>
    <w:rsid w:val="00180CED"/>
    <w:rsid w:val="0018440D"/>
    <w:rsid w:val="00184A68"/>
    <w:rsid w:val="00186748"/>
    <w:rsid w:val="00197941"/>
    <w:rsid w:val="001A1949"/>
    <w:rsid w:val="001B5628"/>
    <w:rsid w:val="001B5B2D"/>
    <w:rsid w:val="001C12F3"/>
    <w:rsid w:val="001C26BE"/>
    <w:rsid w:val="001C6601"/>
    <w:rsid w:val="001D3F51"/>
    <w:rsid w:val="001D5CBB"/>
    <w:rsid w:val="001D5E1B"/>
    <w:rsid w:val="001E20F7"/>
    <w:rsid w:val="001E2EA4"/>
    <w:rsid w:val="001E3A9B"/>
    <w:rsid w:val="001F0869"/>
    <w:rsid w:val="001F1DE2"/>
    <w:rsid w:val="001F29A4"/>
    <w:rsid w:val="001F2B45"/>
    <w:rsid w:val="001F5719"/>
    <w:rsid w:val="002031DF"/>
    <w:rsid w:val="00203A51"/>
    <w:rsid w:val="00203E3C"/>
    <w:rsid w:val="0020596E"/>
    <w:rsid w:val="00207113"/>
    <w:rsid w:val="00207E9D"/>
    <w:rsid w:val="00210EBE"/>
    <w:rsid w:val="00215FE4"/>
    <w:rsid w:val="00220B9C"/>
    <w:rsid w:val="00221164"/>
    <w:rsid w:val="00221945"/>
    <w:rsid w:val="0022197F"/>
    <w:rsid w:val="00223F50"/>
    <w:rsid w:val="002330FD"/>
    <w:rsid w:val="002354A2"/>
    <w:rsid w:val="00236A86"/>
    <w:rsid w:val="0024042D"/>
    <w:rsid w:val="00245FA5"/>
    <w:rsid w:val="00246D82"/>
    <w:rsid w:val="00250F4B"/>
    <w:rsid w:val="00251168"/>
    <w:rsid w:val="0025364F"/>
    <w:rsid w:val="00260107"/>
    <w:rsid w:val="002603DE"/>
    <w:rsid w:val="00260BB6"/>
    <w:rsid w:val="00260F75"/>
    <w:rsid w:val="002614C2"/>
    <w:rsid w:val="00262D82"/>
    <w:rsid w:val="00263BCC"/>
    <w:rsid w:val="0027039C"/>
    <w:rsid w:val="00271578"/>
    <w:rsid w:val="0027162F"/>
    <w:rsid w:val="002806A5"/>
    <w:rsid w:val="0028202E"/>
    <w:rsid w:val="00290D13"/>
    <w:rsid w:val="002931B1"/>
    <w:rsid w:val="00293EBD"/>
    <w:rsid w:val="0029405C"/>
    <w:rsid w:val="002956BD"/>
    <w:rsid w:val="002968FA"/>
    <w:rsid w:val="002A1C10"/>
    <w:rsid w:val="002A2255"/>
    <w:rsid w:val="002A4ADB"/>
    <w:rsid w:val="002B3C48"/>
    <w:rsid w:val="002B4F80"/>
    <w:rsid w:val="002C4534"/>
    <w:rsid w:val="002D273E"/>
    <w:rsid w:val="002D38C3"/>
    <w:rsid w:val="002D3B2C"/>
    <w:rsid w:val="002E1B94"/>
    <w:rsid w:val="002E2E6B"/>
    <w:rsid w:val="002E6DFA"/>
    <w:rsid w:val="002F3F19"/>
    <w:rsid w:val="002F726C"/>
    <w:rsid w:val="00303904"/>
    <w:rsid w:val="003064FF"/>
    <w:rsid w:val="003150DE"/>
    <w:rsid w:val="0032338D"/>
    <w:rsid w:val="00324D18"/>
    <w:rsid w:val="00327401"/>
    <w:rsid w:val="003309A4"/>
    <w:rsid w:val="003314BC"/>
    <w:rsid w:val="00332849"/>
    <w:rsid w:val="0033479E"/>
    <w:rsid w:val="00345B36"/>
    <w:rsid w:val="003461D1"/>
    <w:rsid w:val="00347CA4"/>
    <w:rsid w:val="00347D55"/>
    <w:rsid w:val="003508BD"/>
    <w:rsid w:val="00355356"/>
    <w:rsid w:val="00365453"/>
    <w:rsid w:val="0037092C"/>
    <w:rsid w:val="003713F0"/>
    <w:rsid w:val="0037698F"/>
    <w:rsid w:val="00384FBA"/>
    <w:rsid w:val="00392EBE"/>
    <w:rsid w:val="00393EE5"/>
    <w:rsid w:val="00395B49"/>
    <w:rsid w:val="003A3ABE"/>
    <w:rsid w:val="003B42FA"/>
    <w:rsid w:val="003B47BF"/>
    <w:rsid w:val="003B5900"/>
    <w:rsid w:val="003B6F14"/>
    <w:rsid w:val="003C774C"/>
    <w:rsid w:val="003D0052"/>
    <w:rsid w:val="003D03FC"/>
    <w:rsid w:val="003D5563"/>
    <w:rsid w:val="003F5D83"/>
    <w:rsid w:val="00401687"/>
    <w:rsid w:val="00401C3F"/>
    <w:rsid w:val="00410736"/>
    <w:rsid w:val="00410CDE"/>
    <w:rsid w:val="0041193E"/>
    <w:rsid w:val="00412E96"/>
    <w:rsid w:val="0041533F"/>
    <w:rsid w:val="00415A89"/>
    <w:rsid w:val="00416989"/>
    <w:rsid w:val="00417271"/>
    <w:rsid w:val="00417CF4"/>
    <w:rsid w:val="00423134"/>
    <w:rsid w:val="0042580F"/>
    <w:rsid w:val="00426C9D"/>
    <w:rsid w:val="004318B7"/>
    <w:rsid w:val="00441091"/>
    <w:rsid w:val="00455C2B"/>
    <w:rsid w:val="0045773E"/>
    <w:rsid w:val="00464A68"/>
    <w:rsid w:val="00471920"/>
    <w:rsid w:val="00472B53"/>
    <w:rsid w:val="00476922"/>
    <w:rsid w:val="0048045C"/>
    <w:rsid w:val="00483ECF"/>
    <w:rsid w:val="0048739F"/>
    <w:rsid w:val="004902FB"/>
    <w:rsid w:val="00492221"/>
    <w:rsid w:val="0049344D"/>
    <w:rsid w:val="00497090"/>
    <w:rsid w:val="004A283E"/>
    <w:rsid w:val="004A7371"/>
    <w:rsid w:val="004B49EF"/>
    <w:rsid w:val="004B4A5B"/>
    <w:rsid w:val="004C0AAB"/>
    <w:rsid w:val="004C270E"/>
    <w:rsid w:val="004C529E"/>
    <w:rsid w:val="004C6DAC"/>
    <w:rsid w:val="004D0FB8"/>
    <w:rsid w:val="004D1A53"/>
    <w:rsid w:val="004D1C33"/>
    <w:rsid w:val="004D5489"/>
    <w:rsid w:val="004D663E"/>
    <w:rsid w:val="004E12BF"/>
    <w:rsid w:val="004E1943"/>
    <w:rsid w:val="004E6E3A"/>
    <w:rsid w:val="004E74C6"/>
    <w:rsid w:val="004F0458"/>
    <w:rsid w:val="004F289B"/>
    <w:rsid w:val="004F52E2"/>
    <w:rsid w:val="004F7DCB"/>
    <w:rsid w:val="00500AB2"/>
    <w:rsid w:val="00501D5A"/>
    <w:rsid w:val="0050399D"/>
    <w:rsid w:val="0050538E"/>
    <w:rsid w:val="005074A4"/>
    <w:rsid w:val="005104D0"/>
    <w:rsid w:val="00510BCA"/>
    <w:rsid w:val="00514B72"/>
    <w:rsid w:val="00522FD6"/>
    <w:rsid w:val="005260B3"/>
    <w:rsid w:val="0052791D"/>
    <w:rsid w:val="00531A23"/>
    <w:rsid w:val="00531E8A"/>
    <w:rsid w:val="00531FBE"/>
    <w:rsid w:val="00534BAC"/>
    <w:rsid w:val="00537C40"/>
    <w:rsid w:val="0055083E"/>
    <w:rsid w:val="00550A83"/>
    <w:rsid w:val="00556B72"/>
    <w:rsid w:val="0056273C"/>
    <w:rsid w:val="005657C8"/>
    <w:rsid w:val="0057013A"/>
    <w:rsid w:val="00570B3C"/>
    <w:rsid w:val="00570FD3"/>
    <w:rsid w:val="00573DA9"/>
    <w:rsid w:val="00576C70"/>
    <w:rsid w:val="00580291"/>
    <w:rsid w:val="00580BC1"/>
    <w:rsid w:val="00583C1C"/>
    <w:rsid w:val="0058519B"/>
    <w:rsid w:val="00585AC3"/>
    <w:rsid w:val="00593EDB"/>
    <w:rsid w:val="005952A9"/>
    <w:rsid w:val="00596257"/>
    <w:rsid w:val="005978F5"/>
    <w:rsid w:val="005A0B2A"/>
    <w:rsid w:val="005A165B"/>
    <w:rsid w:val="005A17BF"/>
    <w:rsid w:val="005A6D6C"/>
    <w:rsid w:val="005B0EA9"/>
    <w:rsid w:val="005B0EAC"/>
    <w:rsid w:val="005B1B25"/>
    <w:rsid w:val="005C0D92"/>
    <w:rsid w:val="005D08A6"/>
    <w:rsid w:val="005D09D4"/>
    <w:rsid w:val="005D5219"/>
    <w:rsid w:val="005D627D"/>
    <w:rsid w:val="005E17CC"/>
    <w:rsid w:val="005E57F2"/>
    <w:rsid w:val="005E6E0F"/>
    <w:rsid w:val="005F3BA4"/>
    <w:rsid w:val="005F7BB1"/>
    <w:rsid w:val="00600307"/>
    <w:rsid w:val="00600C7F"/>
    <w:rsid w:val="00601F2E"/>
    <w:rsid w:val="00610588"/>
    <w:rsid w:val="00610C8B"/>
    <w:rsid w:val="00615A7F"/>
    <w:rsid w:val="00621F23"/>
    <w:rsid w:val="00622753"/>
    <w:rsid w:val="00626E1F"/>
    <w:rsid w:val="006304DE"/>
    <w:rsid w:val="006305A2"/>
    <w:rsid w:val="0063187F"/>
    <w:rsid w:val="0063262D"/>
    <w:rsid w:val="00633453"/>
    <w:rsid w:val="00633FB1"/>
    <w:rsid w:val="006364B9"/>
    <w:rsid w:val="00636EC2"/>
    <w:rsid w:val="00640BB5"/>
    <w:rsid w:val="0064537D"/>
    <w:rsid w:val="006456C3"/>
    <w:rsid w:val="00647BA2"/>
    <w:rsid w:val="00651EE8"/>
    <w:rsid w:val="00662ABF"/>
    <w:rsid w:val="00664787"/>
    <w:rsid w:val="00665BBF"/>
    <w:rsid w:val="0066613D"/>
    <w:rsid w:val="00670F5F"/>
    <w:rsid w:val="00671040"/>
    <w:rsid w:val="00672687"/>
    <w:rsid w:val="006741BA"/>
    <w:rsid w:val="00680C15"/>
    <w:rsid w:val="00682692"/>
    <w:rsid w:val="006869FA"/>
    <w:rsid w:val="00690115"/>
    <w:rsid w:val="00694033"/>
    <w:rsid w:val="00694F9A"/>
    <w:rsid w:val="006A0C5E"/>
    <w:rsid w:val="006A120A"/>
    <w:rsid w:val="006A19A1"/>
    <w:rsid w:val="006A1A00"/>
    <w:rsid w:val="006A3FC4"/>
    <w:rsid w:val="006A6683"/>
    <w:rsid w:val="006B7D1D"/>
    <w:rsid w:val="006C4CDE"/>
    <w:rsid w:val="006C65B7"/>
    <w:rsid w:val="006D398B"/>
    <w:rsid w:val="006D6B74"/>
    <w:rsid w:val="006E1B13"/>
    <w:rsid w:val="006E2089"/>
    <w:rsid w:val="006E7F5A"/>
    <w:rsid w:val="006F34C6"/>
    <w:rsid w:val="0070090C"/>
    <w:rsid w:val="00700BAB"/>
    <w:rsid w:val="00703C81"/>
    <w:rsid w:val="00705B28"/>
    <w:rsid w:val="00710266"/>
    <w:rsid w:val="007131A0"/>
    <w:rsid w:val="00717742"/>
    <w:rsid w:val="00717F26"/>
    <w:rsid w:val="00720739"/>
    <w:rsid w:val="007318BE"/>
    <w:rsid w:val="00731915"/>
    <w:rsid w:val="0073266B"/>
    <w:rsid w:val="00734AD0"/>
    <w:rsid w:val="00734DF3"/>
    <w:rsid w:val="0073623A"/>
    <w:rsid w:val="007424EB"/>
    <w:rsid w:val="0074404D"/>
    <w:rsid w:val="00745CEE"/>
    <w:rsid w:val="00746E89"/>
    <w:rsid w:val="007479D2"/>
    <w:rsid w:val="00755E14"/>
    <w:rsid w:val="00755FE1"/>
    <w:rsid w:val="00760DEC"/>
    <w:rsid w:val="00761BB0"/>
    <w:rsid w:val="00763B27"/>
    <w:rsid w:val="007660DE"/>
    <w:rsid w:val="00771F78"/>
    <w:rsid w:val="00771F95"/>
    <w:rsid w:val="0077422B"/>
    <w:rsid w:val="007A1BDF"/>
    <w:rsid w:val="007A2E63"/>
    <w:rsid w:val="007A36B1"/>
    <w:rsid w:val="007A4F44"/>
    <w:rsid w:val="007B2194"/>
    <w:rsid w:val="007B2DA6"/>
    <w:rsid w:val="007B65AA"/>
    <w:rsid w:val="007C2A9F"/>
    <w:rsid w:val="007C2C93"/>
    <w:rsid w:val="007C391B"/>
    <w:rsid w:val="007C7F4D"/>
    <w:rsid w:val="007D55E2"/>
    <w:rsid w:val="007E46D3"/>
    <w:rsid w:val="007E4E87"/>
    <w:rsid w:val="007F0001"/>
    <w:rsid w:val="007F3D83"/>
    <w:rsid w:val="00804074"/>
    <w:rsid w:val="00806D3C"/>
    <w:rsid w:val="00807051"/>
    <w:rsid w:val="008124A6"/>
    <w:rsid w:val="00813681"/>
    <w:rsid w:val="008208FB"/>
    <w:rsid w:val="0082115E"/>
    <w:rsid w:val="0082172C"/>
    <w:rsid w:val="00824473"/>
    <w:rsid w:val="008359FD"/>
    <w:rsid w:val="008370CB"/>
    <w:rsid w:val="008411ED"/>
    <w:rsid w:val="00843C7C"/>
    <w:rsid w:val="008472B4"/>
    <w:rsid w:val="00857FE4"/>
    <w:rsid w:val="00860B71"/>
    <w:rsid w:val="0086242A"/>
    <w:rsid w:val="008631B8"/>
    <w:rsid w:val="00867B4C"/>
    <w:rsid w:val="00870DC1"/>
    <w:rsid w:val="00880AA0"/>
    <w:rsid w:val="00880F34"/>
    <w:rsid w:val="0088108E"/>
    <w:rsid w:val="00890B0C"/>
    <w:rsid w:val="008A227C"/>
    <w:rsid w:val="008A57A8"/>
    <w:rsid w:val="008B2F4D"/>
    <w:rsid w:val="008B4469"/>
    <w:rsid w:val="008B4B09"/>
    <w:rsid w:val="008B4E35"/>
    <w:rsid w:val="008B5442"/>
    <w:rsid w:val="008B61D7"/>
    <w:rsid w:val="008C15D6"/>
    <w:rsid w:val="008C3F06"/>
    <w:rsid w:val="008C4666"/>
    <w:rsid w:val="008D55D6"/>
    <w:rsid w:val="008E10D4"/>
    <w:rsid w:val="008E665B"/>
    <w:rsid w:val="008F1564"/>
    <w:rsid w:val="008F2D78"/>
    <w:rsid w:val="008F3727"/>
    <w:rsid w:val="008F64BD"/>
    <w:rsid w:val="008F7685"/>
    <w:rsid w:val="008F78EC"/>
    <w:rsid w:val="009038BA"/>
    <w:rsid w:val="00903AD0"/>
    <w:rsid w:val="00904AA6"/>
    <w:rsid w:val="009102A7"/>
    <w:rsid w:val="009172F7"/>
    <w:rsid w:val="0092009E"/>
    <w:rsid w:val="00920332"/>
    <w:rsid w:val="009263E0"/>
    <w:rsid w:val="00926D88"/>
    <w:rsid w:val="00927657"/>
    <w:rsid w:val="0092793B"/>
    <w:rsid w:val="00932E78"/>
    <w:rsid w:val="009340A4"/>
    <w:rsid w:val="00944933"/>
    <w:rsid w:val="00947012"/>
    <w:rsid w:val="009502C6"/>
    <w:rsid w:val="00962EDB"/>
    <w:rsid w:val="009706EB"/>
    <w:rsid w:val="00984BE1"/>
    <w:rsid w:val="00985993"/>
    <w:rsid w:val="00987E36"/>
    <w:rsid w:val="00991E29"/>
    <w:rsid w:val="00994D6F"/>
    <w:rsid w:val="00995A0A"/>
    <w:rsid w:val="00997623"/>
    <w:rsid w:val="009A17E4"/>
    <w:rsid w:val="009A6212"/>
    <w:rsid w:val="009B080E"/>
    <w:rsid w:val="009B2237"/>
    <w:rsid w:val="009B3636"/>
    <w:rsid w:val="009B4ADC"/>
    <w:rsid w:val="009C1188"/>
    <w:rsid w:val="009C4A0A"/>
    <w:rsid w:val="009D20CF"/>
    <w:rsid w:val="009D293C"/>
    <w:rsid w:val="009D4EF5"/>
    <w:rsid w:val="009D58B4"/>
    <w:rsid w:val="009E307F"/>
    <w:rsid w:val="009E6755"/>
    <w:rsid w:val="009E744D"/>
    <w:rsid w:val="009F00B0"/>
    <w:rsid w:val="009F0EFB"/>
    <w:rsid w:val="009F1B34"/>
    <w:rsid w:val="009F5315"/>
    <w:rsid w:val="009F700B"/>
    <w:rsid w:val="00A046D4"/>
    <w:rsid w:val="00A05364"/>
    <w:rsid w:val="00A16A80"/>
    <w:rsid w:val="00A22966"/>
    <w:rsid w:val="00A24043"/>
    <w:rsid w:val="00A31753"/>
    <w:rsid w:val="00A46BF2"/>
    <w:rsid w:val="00A54220"/>
    <w:rsid w:val="00A60A63"/>
    <w:rsid w:val="00A637D9"/>
    <w:rsid w:val="00A678E3"/>
    <w:rsid w:val="00A71063"/>
    <w:rsid w:val="00A72058"/>
    <w:rsid w:val="00A75BDB"/>
    <w:rsid w:val="00A775CE"/>
    <w:rsid w:val="00A809EB"/>
    <w:rsid w:val="00A834A4"/>
    <w:rsid w:val="00A864A7"/>
    <w:rsid w:val="00A86660"/>
    <w:rsid w:val="00A8681B"/>
    <w:rsid w:val="00A86D79"/>
    <w:rsid w:val="00AA19B5"/>
    <w:rsid w:val="00AA3AD3"/>
    <w:rsid w:val="00AA462F"/>
    <w:rsid w:val="00AA4DC9"/>
    <w:rsid w:val="00AB0735"/>
    <w:rsid w:val="00AB10E2"/>
    <w:rsid w:val="00AC2619"/>
    <w:rsid w:val="00AC573D"/>
    <w:rsid w:val="00AC5857"/>
    <w:rsid w:val="00AC5C85"/>
    <w:rsid w:val="00AC6BA0"/>
    <w:rsid w:val="00AD1795"/>
    <w:rsid w:val="00AE02C7"/>
    <w:rsid w:val="00AE0A96"/>
    <w:rsid w:val="00AE1AA7"/>
    <w:rsid w:val="00AE4190"/>
    <w:rsid w:val="00AF00A3"/>
    <w:rsid w:val="00AF6AED"/>
    <w:rsid w:val="00B026E3"/>
    <w:rsid w:val="00B034E3"/>
    <w:rsid w:val="00B046C3"/>
    <w:rsid w:val="00B05799"/>
    <w:rsid w:val="00B11E14"/>
    <w:rsid w:val="00B14EF6"/>
    <w:rsid w:val="00B15887"/>
    <w:rsid w:val="00B2614E"/>
    <w:rsid w:val="00B31DA3"/>
    <w:rsid w:val="00B32D5E"/>
    <w:rsid w:val="00B373D0"/>
    <w:rsid w:val="00B55331"/>
    <w:rsid w:val="00B569D8"/>
    <w:rsid w:val="00B56EAB"/>
    <w:rsid w:val="00B60D1F"/>
    <w:rsid w:val="00B6299A"/>
    <w:rsid w:val="00B65071"/>
    <w:rsid w:val="00B66592"/>
    <w:rsid w:val="00B72771"/>
    <w:rsid w:val="00B76A38"/>
    <w:rsid w:val="00B83A09"/>
    <w:rsid w:val="00B8555F"/>
    <w:rsid w:val="00B85681"/>
    <w:rsid w:val="00B85993"/>
    <w:rsid w:val="00B95E52"/>
    <w:rsid w:val="00BA06E3"/>
    <w:rsid w:val="00BA0B8E"/>
    <w:rsid w:val="00BA13D6"/>
    <w:rsid w:val="00BA19A9"/>
    <w:rsid w:val="00BA1A36"/>
    <w:rsid w:val="00BA33A2"/>
    <w:rsid w:val="00BA5A64"/>
    <w:rsid w:val="00BA6B55"/>
    <w:rsid w:val="00BA7B46"/>
    <w:rsid w:val="00BB0698"/>
    <w:rsid w:val="00BB0C45"/>
    <w:rsid w:val="00BB3FC9"/>
    <w:rsid w:val="00BB7F54"/>
    <w:rsid w:val="00BC0F76"/>
    <w:rsid w:val="00BC4E02"/>
    <w:rsid w:val="00BD5468"/>
    <w:rsid w:val="00BD69FA"/>
    <w:rsid w:val="00BE24B5"/>
    <w:rsid w:val="00BE2C2F"/>
    <w:rsid w:val="00BE65C3"/>
    <w:rsid w:val="00BF253C"/>
    <w:rsid w:val="00C0232B"/>
    <w:rsid w:val="00C03C2F"/>
    <w:rsid w:val="00C0431E"/>
    <w:rsid w:val="00C04D46"/>
    <w:rsid w:val="00C069C0"/>
    <w:rsid w:val="00C16CFC"/>
    <w:rsid w:val="00C2391C"/>
    <w:rsid w:val="00C31628"/>
    <w:rsid w:val="00C42ADC"/>
    <w:rsid w:val="00C52854"/>
    <w:rsid w:val="00C52C74"/>
    <w:rsid w:val="00C5687C"/>
    <w:rsid w:val="00C668BB"/>
    <w:rsid w:val="00C71448"/>
    <w:rsid w:val="00C720B9"/>
    <w:rsid w:val="00C75606"/>
    <w:rsid w:val="00C75633"/>
    <w:rsid w:val="00C76625"/>
    <w:rsid w:val="00C77E61"/>
    <w:rsid w:val="00C81ACC"/>
    <w:rsid w:val="00C84735"/>
    <w:rsid w:val="00C871FC"/>
    <w:rsid w:val="00C93F52"/>
    <w:rsid w:val="00C97C7E"/>
    <w:rsid w:val="00CA314E"/>
    <w:rsid w:val="00CA7A2F"/>
    <w:rsid w:val="00CA7CE8"/>
    <w:rsid w:val="00CB0D18"/>
    <w:rsid w:val="00CB0EA3"/>
    <w:rsid w:val="00CB1A3F"/>
    <w:rsid w:val="00CC2929"/>
    <w:rsid w:val="00CC39F8"/>
    <w:rsid w:val="00CC5C96"/>
    <w:rsid w:val="00CD018B"/>
    <w:rsid w:val="00CD72B2"/>
    <w:rsid w:val="00CE19C3"/>
    <w:rsid w:val="00CE323D"/>
    <w:rsid w:val="00CE42D6"/>
    <w:rsid w:val="00CE628A"/>
    <w:rsid w:val="00CF0F4C"/>
    <w:rsid w:val="00CF315A"/>
    <w:rsid w:val="00D01F0A"/>
    <w:rsid w:val="00D06935"/>
    <w:rsid w:val="00D07772"/>
    <w:rsid w:val="00D107A7"/>
    <w:rsid w:val="00D12332"/>
    <w:rsid w:val="00D14839"/>
    <w:rsid w:val="00D16F66"/>
    <w:rsid w:val="00D2015A"/>
    <w:rsid w:val="00D27160"/>
    <w:rsid w:val="00D34F05"/>
    <w:rsid w:val="00D35A8D"/>
    <w:rsid w:val="00D373AA"/>
    <w:rsid w:val="00D41B5B"/>
    <w:rsid w:val="00D41EFA"/>
    <w:rsid w:val="00D4271A"/>
    <w:rsid w:val="00D5015C"/>
    <w:rsid w:val="00D50B07"/>
    <w:rsid w:val="00D52D33"/>
    <w:rsid w:val="00D62E5A"/>
    <w:rsid w:val="00D71BBA"/>
    <w:rsid w:val="00D73E34"/>
    <w:rsid w:val="00D74E6A"/>
    <w:rsid w:val="00D77D4B"/>
    <w:rsid w:val="00D83BE3"/>
    <w:rsid w:val="00D86B5C"/>
    <w:rsid w:val="00D911DA"/>
    <w:rsid w:val="00D92647"/>
    <w:rsid w:val="00D92B7B"/>
    <w:rsid w:val="00D9333C"/>
    <w:rsid w:val="00D953F8"/>
    <w:rsid w:val="00DA041E"/>
    <w:rsid w:val="00DA1D15"/>
    <w:rsid w:val="00DA67EA"/>
    <w:rsid w:val="00DA7C78"/>
    <w:rsid w:val="00DB3F59"/>
    <w:rsid w:val="00DC3031"/>
    <w:rsid w:val="00DD7A4A"/>
    <w:rsid w:val="00DE4992"/>
    <w:rsid w:val="00DE50FF"/>
    <w:rsid w:val="00DE5823"/>
    <w:rsid w:val="00DE7BA4"/>
    <w:rsid w:val="00DF4679"/>
    <w:rsid w:val="00E024D5"/>
    <w:rsid w:val="00E03F9C"/>
    <w:rsid w:val="00E051ED"/>
    <w:rsid w:val="00E07097"/>
    <w:rsid w:val="00E07FB3"/>
    <w:rsid w:val="00E12665"/>
    <w:rsid w:val="00E131E3"/>
    <w:rsid w:val="00E15BDE"/>
    <w:rsid w:val="00E21283"/>
    <w:rsid w:val="00E323E2"/>
    <w:rsid w:val="00E37C70"/>
    <w:rsid w:val="00E42598"/>
    <w:rsid w:val="00E47C47"/>
    <w:rsid w:val="00E51C71"/>
    <w:rsid w:val="00E5205B"/>
    <w:rsid w:val="00E55E9E"/>
    <w:rsid w:val="00E57F6D"/>
    <w:rsid w:val="00E677E0"/>
    <w:rsid w:val="00E7377C"/>
    <w:rsid w:val="00E85E3B"/>
    <w:rsid w:val="00E86C0D"/>
    <w:rsid w:val="00E9193F"/>
    <w:rsid w:val="00EA59A0"/>
    <w:rsid w:val="00EB4F60"/>
    <w:rsid w:val="00EB7978"/>
    <w:rsid w:val="00ED571C"/>
    <w:rsid w:val="00EE1C07"/>
    <w:rsid w:val="00EE2C4D"/>
    <w:rsid w:val="00EE534C"/>
    <w:rsid w:val="00EE67E9"/>
    <w:rsid w:val="00EE7B19"/>
    <w:rsid w:val="00EF1F75"/>
    <w:rsid w:val="00F0064A"/>
    <w:rsid w:val="00F05A15"/>
    <w:rsid w:val="00F05F95"/>
    <w:rsid w:val="00F079BB"/>
    <w:rsid w:val="00F11095"/>
    <w:rsid w:val="00F1171B"/>
    <w:rsid w:val="00F150A9"/>
    <w:rsid w:val="00F21FC7"/>
    <w:rsid w:val="00F223A0"/>
    <w:rsid w:val="00F27FDC"/>
    <w:rsid w:val="00F32DC7"/>
    <w:rsid w:val="00F334F7"/>
    <w:rsid w:val="00F34FD9"/>
    <w:rsid w:val="00F37F7B"/>
    <w:rsid w:val="00F427C3"/>
    <w:rsid w:val="00F465B8"/>
    <w:rsid w:val="00F47415"/>
    <w:rsid w:val="00F51436"/>
    <w:rsid w:val="00F57C4E"/>
    <w:rsid w:val="00F600B9"/>
    <w:rsid w:val="00F62571"/>
    <w:rsid w:val="00F633C2"/>
    <w:rsid w:val="00F64CFA"/>
    <w:rsid w:val="00F67225"/>
    <w:rsid w:val="00F725E8"/>
    <w:rsid w:val="00F73E33"/>
    <w:rsid w:val="00F75AEB"/>
    <w:rsid w:val="00F84F6A"/>
    <w:rsid w:val="00F91D5A"/>
    <w:rsid w:val="00F93D2D"/>
    <w:rsid w:val="00F965B4"/>
    <w:rsid w:val="00F97004"/>
    <w:rsid w:val="00F97B58"/>
    <w:rsid w:val="00FA3CBD"/>
    <w:rsid w:val="00FA6333"/>
    <w:rsid w:val="00FB2254"/>
    <w:rsid w:val="00FB60B4"/>
    <w:rsid w:val="00FC0B68"/>
    <w:rsid w:val="00FC2328"/>
    <w:rsid w:val="00FC4F03"/>
    <w:rsid w:val="00FC7089"/>
    <w:rsid w:val="00FD2ABE"/>
    <w:rsid w:val="00FD4BC3"/>
    <w:rsid w:val="00FD56B7"/>
    <w:rsid w:val="00FD6880"/>
    <w:rsid w:val="00FD7442"/>
    <w:rsid w:val="00FE094A"/>
    <w:rsid w:val="00FF31BC"/>
    <w:rsid w:val="00FF3CE8"/>
    <w:rsid w:val="00FF70FC"/>
    <w:rsid w:val="01441035"/>
    <w:rsid w:val="018E53BB"/>
    <w:rsid w:val="019E731D"/>
    <w:rsid w:val="02056FDE"/>
    <w:rsid w:val="026B60EA"/>
    <w:rsid w:val="02AB78A7"/>
    <w:rsid w:val="02C31095"/>
    <w:rsid w:val="02C3351C"/>
    <w:rsid w:val="03151DA8"/>
    <w:rsid w:val="04241528"/>
    <w:rsid w:val="049E62FA"/>
    <w:rsid w:val="05435AE1"/>
    <w:rsid w:val="055A2B3D"/>
    <w:rsid w:val="060C5D1D"/>
    <w:rsid w:val="0680426A"/>
    <w:rsid w:val="068F043B"/>
    <w:rsid w:val="07655D0D"/>
    <w:rsid w:val="07935984"/>
    <w:rsid w:val="08AE00F1"/>
    <w:rsid w:val="08F210F3"/>
    <w:rsid w:val="091F2D9D"/>
    <w:rsid w:val="09ED4AAD"/>
    <w:rsid w:val="09F1355A"/>
    <w:rsid w:val="0A6071C9"/>
    <w:rsid w:val="0AD4334E"/>
    <w:rsid w:val="0B1D2DA7"/>
    <w:rsid w:val="0B2823DD"/>
    <w:rsid w:val="0BBB09BA"/>
    <w:rsid w:val="0BD55ABA"/>
    <w:rsid w:val="0BDB744F"/>
    <w:rsid w:val="0C4E2407"/>
    <w:rsid w:val="0D7F6B63"/>
    <w:rsid w:val="0DBE0DD6"/>
    <w:rsid w:val="0DEB2C64"/>
    <w:rsid w:val="0EAD3BE8"/>
    <w:rsid w:val="0F617F00"/>
    <w:rsid w:val="0F921D62"/>
    <w:rsid w:val="10D76F60"/>
    <w:rsid w:val="10F0678C"/>
    <w:rsid w:val="10FC5772"/>
    <w:rsid w:val="11580122"/>
    <w:rsid w:val="122C0D97"/>
    <w:rsid w:val="13076D7C"/>
    <w:rsid w:val="13256DAB"/>
    <w:rsid w:val="137C36BC"/>
    <w:rsid w:val="13AF2F6F"/>
    <w:rsid w:val="14671E5F"/>
    <w:rsid w:val="15915276"/>
    <w:rsid w:val="168226BC"/>
    <w:rsid w:val="18FC63FD"/>
    <w:rsid w:val="19AC2148"/>
    <w:rsid w:val="19C534ED"/>
    <w:rsid w:val="19C764A3"/>
    <w:rsid w:val="1A073380"/>
    <w:rsid w:val="1AA9612F"/>
    <w:rsid w:val="1B6759D4"/>
    <w:rsid w:val="1BBD43C2"/>
    <w:rsid w:val="1CAC2742"/>
    <w:rsid w:val="1CEE757D"/>
    <w:rsid w:val="1D1A7FC3"/>
    <w:rsid w:val="1DE047BD"/>
    <w:rsid w:val="1EC4381D"/>
    <w:rsid w:val="1F174802"/>
    <w:rsid w:val="1F472D77"/>
    <w:rsid w:val="1FBE2DC6"/>
    <w:rsid w:val="20B65687"/>
    <w:rsid w:val="20B75242"/>
    <w:rsid w:val="20CA7173"/>
    <w:rsid w:val="20FD416C"/>
    <w:rsid w:val="211F57E4"/>
    <w:rsid w:val="21BF3A84"/>
    <w:rsid w:val="237B4216"/>
    <w:rsid w:val="245035A4"/>
    <w:rsid w:val="24E0281C"/>
    <w:rsid w:val="251F44F1"/>
    <w:rsid w:val="26112452"/>
    <w:rsid w:val="262D69D6"/>
    <w:rsid w:val="26337A82"/>
    <w:rsid w:val="266730EC"/>
    <w:rsid w:val="266D49A8"/>
    <w:rsid w:val="26EE4F9C"/>
    <w:rsid w:val="271B2884"/>
    <w:rsid w:val="28A8171C"/>
    <w:rsid w:val="293E57F3"/>
    <w:rsid w:val="2A0B4F4C"/>
    <w:rsid w:val="2A1F13AD"/>
    <w:rsid w:val="2B047FB9"/>
    <w:rsid w:val="2B17347C"/>
    <w:rsid w:val="2B6761B2"/>
    <w:rsid w:val="2B766EC2"/>
    <w:rsid w:val="2B7924D3"/>
    <w:rsid w:val="2C342CB6"/>
    <w:rsid w:val="2C6F60A4"/>
    <w:rsid w:val="2C7B4070"/>
    <w:rsid w:val="2C9F1423"/>
    <w:rsid w:val="2D961F72"/>
    <w:rsid w:val="2DF126AA"/>
    <w:rsid w:val="2EE6742D"/>
    <w:rsid w:val="2F162223"/>
    <w:rsid w:val="2FE01F7C"/>
    <w:rsid w:val="2FF6345B"/>
    <w:rsid w:val="30DE4156"/>
    <w:rsid w:val="30E96B40"/>
    <w:rsid w:val="31B007C6"/>
    <w:rsid w:val="31C77721"/>
    <w:rsid w:val="31EA4C29"/>
    <w:rsid w:val="31ED1CE4"/>
    <w:rsid w:val="31FA496E"/>
    <w:rsid w:val="32114A85"/>
    <w:rsid w:val="32867847"/>
    <w:rsid w:val="32E427DE"/>
    <w:rsid w:val="331B57C7"/>
    <w:rsid w:val="33874741"/>
    <w:rsid w:val="33C90D2E"/>
    <w:rsid w:val="341B103A"/>
    <w:rsid w:val="343D21A6"/>
    <w:rsid w:val="344A392C"/>
    <w:rsid w:val="344D6E3A"/>
    <w:rsid w:val="345F261E"/>
    <w:rsid w:val="346D62BD"/>
    <w:rsid w:val="34750777"/>
    <w:rsid w:val="35924A72"/>
    <w:rsid w:val="36FEAE87"/>
    <w:rsid w:val="36FFF3A6"/>
    <w:rsid w:val="374C03B5"/>
    <w:rsid w:val="3778107B"/>
    <w:rsid w:val="37895297"/>
    <w:rsid w:val="37B963E4"/>
    <w:rsid w:val="38FE52B9"/>
    <w:rsid w:val="391B3ECE"/>
    <w:rsid w:val="39B51DF3"/>
    <w:rsid w:val="3A0E2608"/>
    <w:rsid w:val="3A164696"/>
    <w:rsid w:val="3A453065"/>
    <w:rsid w:val="3A8B7E9E"/>
    <w:rsid w:val="3AEC0FAA"/>
    <w:rsid w:val="3B4C6552"/>
    <w:rsid w:val="3C4017FA"/>
    <w:rsid w:val="3D9D4911"/>
    <w:rsid w:val="3EA43BBC"/>
    <w:rsid w:val="3EB44141"/>
    <w:rsid w:val="3EC43F01"/>
    <w:rsid w:val="3F2F026C"/>
    <w:rsid w:val="3F6769D1"/>
    <w:rsid w:val="3F6F2DF7"/>
    <w:rsid w:val="3FA9524E"/>
    <w:rsid w:val="3FC8370E"/>
    <w:rsid w:val="401D7194"/>
    <w:rsid w:val="407B5822"/>
    <w:rsid w:val="40AF61D9"/>
    <w:rsid w:val="41154492"/>
    <w:rsid w:val="4148403E"/>
    <w:rsid w:val="423248CE"/>
    <w:rsid w:val="42361080"/>
    <w:rsid w:val="42963BAB"/>
    <w:rsid w:val="43B60045"/>
    <w:rsid w:val="441B49BC"/>
    <w:rsid w:val="44A62047"/>
    <w:rsid w:val="451F3370"/>
    <w:rsid w:val="452A44A9"/>
    <w:rsid w:val="45435984"/>
    <w:rsid w:val="46BB1B82"/>
    <w:rsid w:val="4774025F"/>
    <w:rsid w:val="47C4356E"/>
    <w:rsid w:val="47CE1A8C"/>
    <w:rsid w:val="486324F4"/>
    <w:rsid w:val="49156DF5"/>
    <w:rsid w:val="493107FD"/>
    <w:rsid w:val="494340C3"/>
    <w:rsid w:val="4A6301CB"/>
    <w:rsid w:val="4A69389D"/>
    <w:rsid w:val="4A7C0117"/>
    <w:rsid w:val="4AB11A96"/>
    <w:rsid w:val="4ACB5206"/>
    <w:rsid w:val="4B4807E8"/>
    <w:rsid w:val="4B6967F2"/>
    <w:rsid w:val="4D320E29"/>
    <w:rsid w:val="4D9F4C2A"/>
    <w:rsid w:val="4DEF23F9"/>
    <w:rsid w:val="4E121B55"/>
    <w:rsid w:val="4EE65B2D"/>
    <w:rsid w:val="4F1D0AA3"/>
    <w:rsid w:val="4F475DE7"/>
    <w:rsid w:val="505F146B"/>
    <w:rsid w:val="505F5163"/>
    <w:rsid w:val="513818B2"/>
    <w:rsid w:val="518C10A9"/>
    <w:rsid w:val="51AC64DA"/>
    <w:rsid w:val="52092444"/>
    <w:rsid w:val="525404C7"/>
    <w:rsid w:val="52A04B65"/>
    <w:rsid w:val="52CF270B"/>
    <w:rsid w:val="5306721E"/>
    <w:rsid w:val="53091142"/>
    <w:rsid w:val="530D2AEA"/>
    <w:rsid w:val="532A7BAD"/>
    <w:rsid w:val="53CF737E"/>
    <w:rsid w:val="552211A7"/>
    <w:rsid w:val="56526EF9"/>
    <w:rsid w:val="577057DF"/>
    <w:rsid w:val="57F11545"/>
    <w:rsid w:val="585779DB"/>
    <w:rsid w:val="59131105"/>
    <w:rsid w:val="5966544B"/>
    <w:rsid w:val="598A3887"/>
    <w:rsid w:val="59F079D2"/>
    <w:rsid w:val="5B6B4E0A"/>
    <w:rsid w:val="5C4C1C99"/>
    <w:rsid w:val="5D570069"/>
    <w:rsid w:val="5D905DB5"/>
    <w:rsid w:val="5DDF436F"/>
    <w:rsid w:val="5F455122"/>
    <w:rsid w:val="5F9B3A49"/>
    <w:rsid w:val="608E63AB"/>
    <w:rsid w:val="60997287"/>
    <w:rsid w:val="60F91B57"/>
    <w:rsid w:val="617C4F5B"/>
    <w:rsid w:val="61874C3C"/>
    <w:rsid w:val="620F69CA"/>
    <w:rsid w:val="630B5788"/>
    <w:rsid w:val="669B717B"/>
    <w:rsid w:val="67BD5618"/>
    <w:rsid w:val="683D2777"/>
    <w:rsid w:val="69145BE4"/>
    <w:rsid w:val="693161FC"/>
    <w:rsid w:val="699D4149"/>
    <w:rsid w:val="6AC97E39"/>
    <w:rsid w:val="6BE93BC6"/>
    <w:rsid w:val="6C2C1985"/>
    <w:rsid w:val="6C56247B"/>
    <w:rsid w:val="6CDD4E24"/>
    <w:rsid w:val="6CE90C79"/>
    <w:rsid w:val="6D7A528E"/>
    <w:rsid w:val="6E88116A"/>
    <w:rsid w:val="700321A6"/>
    <w:rsid w:val="702175D2"/>
    <w:rsid w:val="70464827"/>
    <w:rsid w:val="706F4749"/>
    <w:rsid w:val="7136223B"/>
    <w:rsid w:val="72444846"/>
    <w:rsid w:val="73BF6D69"/>
    <w:rsid w:val="73E61BAA"/>
    <w:rsid w:val="73F01B7A"/>
    <w:rsid w:val="74C7574E"/>
    <w:rsid w:val="76661704"/>
    <w:rsid w:val="76BF0AD4"/>
    <w:rsid w:val="770A2A8C"/>
    <w:rsid w:val="77AC4424"/>
    <w:rsid w:val="77C655DB"/>
    <w:rsid w:val="77EEAB68"/>
    <w:rsid w:val="77EF510A"/>
    <w:rsid w:val="79FD3C0F"/>
    <w:rsid w:val="7A2B4449"/>
    <w:rsid w:val="7AAB0E95"/>
    <w:rsid w:val="7AB03978"/>
    <w:rsid w:val="7B1D3285"/>
    <w:rsid w:val="7BB005B0"/>
    <w:rsid w:val="7C692B7D"/>
    <w:rsid w:val="7CA20053"/>
    <w:rsid w:val="7D6433C3"/>
    <w:rsid w:val="7E5164B9"/>
    <w:rsid w:val="7E9F79F3"/>
    <w:rsid w:val="7F5A1E76"/>
    <w:rsid w:val="7FB00E97"/>
    <w:rsid w:val="AFEFD4F3"/>
    <w:rsid w:val="F7FD9D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iPriority="0" w:semiHidden="0" w:name="table of figures"/>
    <w:lsdException w:uiPriority="99" w:name="envelope address"/>
    <w:lsdException w:uiPriority="99" w:name="envelope return"/>
    <w:lsdException w:qFormat="1" w:unhideWhenUsed="0" w:uiPriority="0" w:semiHidden="0" w:name="footnote reference"/>
    <w:lsdException w:qFormat="1" w:uiPriority="99"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qFormat="1" w:unhideWhenUsed="0" w:uiPriority="0" w:semiHidden="0" w:name="toa heading"/>
    <w:lsdException w:qFormat="1" w:uiPriority="0" w:semiHidden="0" w:name="List"/>
    <w:lsdException w:qFormat="1" w:uiPriority="0" w:semiHidden="0" w:name="List Bullet"/>
    <w:lsdException w:qFormat="1" w:uiPriority="0" w:semiHidden="0" w:name="List Number"/>
    <w:lsdException w:qFormat="1" w:uiPriority="0" w:semiHidden="0" w:name="List 2"/>
    <w:lsdException w:qFormat="1" w:uiPriority="0" w:semiHidden="0" w:name="List 3"/>
    <w:lsdException w:qFormat="1" w:uiPriority="0" w:semiHidden="0" w:name="List 4"/>
    <w:lsdException w:qFormat="1" w:uiPriority="0" w:semiHidden="0" w:name="List 5"/>
    <w:lsdException w:qFormat="1" w:uiPriority="0" w:semiHidden="0" w:name="List Bullet 2"/>
    <w:lsdException w:qFormat="1" w:uiPriority="0" w:semiHidden="0" w:name="List Bullet 3"/>
    <w:lsdException w:qFormat="1" w:uiPriority="0" w:semiHidden="0" w:name="List Bullet 4"/>
    <w:lsdException w:uiPriority="99" w:name="List Bullet 5"/>
    <w:lsdException w:qFormat="1" w:unhideWhenUsed="0" w:uiPriority="0" w:semiHidden="0"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link w:val="72"/>
    <w:qFormat/>
    <w:uiPriority w:val="0"/>
    <w:pPr>
      <w:keepNext/>
      <w:keepLines/>
      <w:spacing w:before="340" w:after="330" w:line="576" w:lineRule="auto"/>
      <w:outlineLvl w:val="0"/>
    </w:pPr>
    <w:rPr>
      <w:rFonts w:ascii="Times New Roman" w:hAnsi="Times New Roman"/>
      <w:b/>
      <w:bCs/>
      <w:kern w:val="44"/>
      <w:sz w:val="44"/>
      <w:szCs w:val="44"/>
      <w:lang w:val="zh-CN"/>
    </w:rPr>
  </w:style>
  <w:style w:type="paragraph" w:styleId="4">
    <w:name w:val="heading 2"/>
    <w:basedOn w:val="1"/>
    <w:next w:val="1"/>
    <w:link w:val="73"/>
    <w:qFormat/>
    <w:uiPriority w:val="0"/>
    <w:pPr>
      <w:keepNext/>
      <w:keepLines/>
      <w:spacing w:before="260" w:after="260" w:line="415" w:lineRule="auto"/>
      <w:outlineLvl w:val="1"/>
    </w:pPr>
    <w:rPr>
      <w:rFonts w:ascii="Arial" w:hAnsi="Arial" w:eastAsia="黑体"/>
      <w:b/>
      <w:bCs/>
      <w:kern w:val="0"/>
      <w:sz w:val="32"/>
      <w:szCs w:val="32"/>
      <w:lang w:val="zh-CN"/>
    </w:rPr>
  </w:style>
  <w:style w:type="paragraph" w:styleId="5">
    <w:name w:val="heading 3"/>
    <w:basedOn w:val="1"/>
    <w:next w:val="1"/>
    <w:link w:val="74"/>
    <w:qFormat/>
    <w:uiPriority w:val="0"/>
    <w:pPr>
      <w:keepNext/>
      <w:keepLines/>
      <w:spacing w:before="260" w:after="260" w:line="415" w:lineRule="auto"/>
      <w:ind w:firstLine="137" w:firstLineChars="49"/>
      <w:outlineLvl w:val="2"/>
    </w:pPr>
    <w:rPr>
      <w:rFonts w:ascii="黑体" w:hAnsi="宋体" w:eastAsia="黑体"/>
      <w:bCs/>
      <w:kern w:val="0"/>
      <w:sz w:val="28"/>
      <w:szCs w:val="28"/>
      <w:lang w:val="zh-CN"/>
    </w:rPr>
  </w:style>
  <w:style w:type="paragraph" w:styleId="6">
    <w:name w:val="heading 4"/>
    <w:basedOn w:val="1"/>
    <w:next w:val="1"/>
    <w:link w:val="75"/>
    <w:qFormat/>
    <w:uiPriority w:val="0"/>
    <w:pPr>
      <w:keepNext/>
      <w:keepLines/>
      <w:spacing w:before="280" w:after="290" w:line="374" w:lineRule="auto"/>
      <w:outlineLvl w:val="3"/>
    </w:pPr>
    <w:rPr>
      <w:rFonts w:ascii="Arial" w:hAnsi="Arial" w:eastAsia="黑体"/>
      <w:b/>
      <w:bCs/>
      <w:kern w:val="0"/>
      <w:sz w:val="28"/>
      <w:szCs w:val="28"/>
      <w:lang w:val="zh-CN"/>
    </w:rPr>
  </w:style>
  <w:style w:type="paragraph" w:styleId="7">
    <w:name w:val="heading 5"/>
    <w:basedOn w:val="6"/>
    <w:next w:val="8"/>
    <w:link w:val="76"/>
    <w:qFormat/>
    <w:uiPriority w:val="0"/>
    <w:pPr>
      <w:spacing w:beforeLines="50" w:afterLines="50" w:line="360" w:lineRule="auto"/>
      <w:ind w:firstLine="170"/>
      <w:jc w:val="center"/>
      <w:outlineLvl w:val="4"/>
    </w:pPr>
    <w:rPr>
      <w:rFonts w:eastAsia="宋体"/>
      <w:b w:val="0"/>
      <w:bCs w:val="0"/>
      <w:color w:val="000000"/>
      <w:sz w:val="24"/>
      <w:szCs w:val="24"/>
    </w:rPr>
  </w:style>
  <w:style w:type="paragraph" w:styleId="9">
    <w:name w:val="heading 6"/>
    <w:basedOn w:val="1"/>
    <w:next w:val="1"/>
    <w:link w:val="78"/>
    <w:qFormat/>
    <w:uiPriority w:val="0"/>
    <w:pPr>
      <w:keepNext/>
      <w:keepLines/>
      <w:widowControl/>
      <w:tabs>
        <w:tab w:val="left" w:pos="1440"/>
      </w:tabs>
      <w:spacing w:before="240" w:after="64" w:line="319" w:lineRule="auto"/>
      <w:ind w:left="1152" w:hanging="1152"/>
      <w:jc w:val="left"/>
      <w:outlineLvl w:val="5"/>
    </w:pPr>
    <w:rPr>
      <w:rFonts w:ascii="Arial" w:hAnsi="Arial" w:eastAsia="黑体"/>
      <w:b/>
      <w:bCs/>
      <w:kern w:val="0"/>
      <w:sz w:val="24"/>
      <w:szCs w:val="24"/>
      <w:lang w:val="zh-CN"/>
    </w:rPr>
  </w:style>
  <w:style w:type="paragraph" w:styleId="10">
    <w:name w:val="heading 7"/>
    <w:basedOn w:val="1"/>
    <w:next w:val="1"/>
    <w:link w:val="79"/>
    <w:qFormat/>
    <w:uiPriority w:val="0"/>
    <w:pPr>
      <w:keepNext/>
      <w:keepLines/>
      <w:widowControl/>
      <w:tabs>
        <w:tab w:val="left" w:pos="2520"/>
      </w:tabs>
      <w:spacing w:before="240" w:after="64" w:line="319" w:lineRule="auto"/>
      <w:ind w:left="1296" w:hanging="1296"/>
      <w:jc w:val="left"/>
      <w:outlineLvl w:val="6"/>
    </w:pPr>
    <w:rPr>
      <w:rFonts w:ascii="Times New Roman" w:hAnsi="Times New Roman"/>
      <w:b/>
      <w:bCs/>
      <w:kern w:val="0"/>
      <w:sz w:val="24"/>
      <w:szCs w:val="24"/>
      <w:lang w:val="zh-CN"/>
    </w:rPr>
  </w:style>
  <w:style w:type="paragraph" w:styleId="11">
    <w:name w:val="heading 8"/>
    <w:basedOn w:val="1"/>
    <w:next w:val="1"/>
    <w:link w:val="80"/>
    <w:qFormat/>
    <w:uiPriority w:val="0"/>
    <w:pPr>
      <w:keepNext/>
      <w:keepLines/>
      <w:widowControl/>
      <w:tabs>
        <w:tab w:val="left" w:pos="1440"/>
      </w:tabs>
      <w:spacing w:before="240" w:after="64" w:line="319" w:lineRule="auto"/>
      <w:ind w:left="1440" w:hanging="1440"/>
      <w:jc w:val="left"/>
      <w:outlineLvl w:val="7"/>
    </w:pPr>
    <w:rPr>
      <w:rFonts w:ascii="Arial" w:hAnsi="Arial" w:eastAsia="黑体"/>
      <w:kern w:val="0"/>
      <w:sz w:val="24"/>
      <w:szCs w:val="24"/>
      <w:lang w:val="zh-CN"/>
    </w:rPr>
  </w:style>
  <w:style w:type="paragraph" w:styleId="12">
    <w:name w:val="heading 9"/>
    <w:basedOn w:val="1"/>
    <w:next w:val="1"/>
    <w:link w:val="81"/>
    <w:qFormat/>
    <w:uiPriority w:val="0"/>
    <w:pPr>
      <w:keepNext/>
      <w:keepLines/>
      <w:widowControl/>
      <w:tabs>
        <w:tab w:val="left" w:pos="1584"/>
      </w:tabs>
      <w:spacing w:before="240" w:after="64" w:line="319" w:lineRule="auto"/>
      <w:ind w:left="1584" w:hanging="1584"/>
      <w:jc w:val="left"/>
      <w:outlineLvl w:val="8"/>
    </w:pPr>
    <w:rPr>
      <w:rFonts w:ascii="Arial" w:hAnsi="Arial" w:eastAsia="黑体"/>
      <w:kern w:val="0"/>
      <w:sz w:val="20"/>
      <w:szCs w:val="21"/>
      <w:lang w:val="zh-CN"/>
    </w:rPr>
  </w:style>
  <w:style w:type="character" w:default="1" w:styleId="62">
    <w:name w:val="Default Paragraph Font"/>
    <w:semiHidden/>
    <w:unhideWhenUsed/>
    <w:uiPriority w:val="1"/>
  </w:style>
  <w:style w:type="table" w:default="1" w:styleId="60">
    <w:name w:val="Normal Table"/>
    <w:semiHidden/>
    <w:unhideWhenUsed/>
    <w:uiPriority w:val="99"/>
    <w:tblPr>
      <w:tblCellMar>
        <w:top w:w="0" w:type="dxa"/>
        <w:left w:w="108" w:type="dxa"/>
        <w:bottom w:w="0" w:type="dxa"/>
        <w:right w:w="108" w:type="dxa"/>
      </w:tblCellMar>
    </w:tblPr>
  </w:style>
  <w:style w:type="paragraph" w:styleId="2">
    <w:name w:val="Body Text"/>
    <w:basedOn w:val="1"/>
    <w:next w:val="1"/>
    <w:link w:val="71"/>
    <w:unhideWhenUsed/>
    <w:qFormat/>
    <w:uiPriority w:val="0"/>
    <w:pPr>
      <w:spacing w:after="120"/>
    </w:pPr>
  </w:style>
  <w:style w:type="paragraph" w:styleId="8">
    <w:name w:val="Normal Indent"/>
    <w:basedOn w:val="1"/>
    <w:link w:val="77"/>
    <w:qFormat/>
    <w:uiPriority w:val="0"/>
    <w:pPr>
      <w:ind w:firstLine="420" w:firstLineChars="200"/>
    </w:pPr>
    <w:rPr>
      <w:kern w:val="0"/>
      <w:sz w:val="20"/>
      <w:szCs w:val="24"/>
      <w:lang w:val="zh-CN"/>
    </w:rPr>
  </w:style>
  <w:style w:type="paragraph" w:styleId="13">
    <w:name w:val="List 3"/>
    <w:basedOn w:val="1"/>
    <w:unhideWhenUsed/>
    <w:qFormat/>
    <w:uiPriority w:val="0"/>
    <w:pPr>
      <w:adjustRightInd w:val="0"/>
      <w:spacing w:line="312" w:lineRule="atLeast"/>
      <w:ind w:left="100" w:leftChars="400" w:hanging="200" w:hangingChars="200"/>
    </w:pPr>
    <w:rPr>
      <w:rFonts w:ascii="Times New Roman" w:hAnsi="Times New Roman"/>
      <w:kern w:val="0"/>
      <w:szCs w:val="20"/>
    </w:rPr>
  </w:style>
  <w:style w:type="paragraph" w:styleId="14">
    <w:name w:val="toc 7"/>
    <w:basedOn w:val="1"/>
    <w:next w:val="1"/>
    <w:qFormat/>
    <w:uiPriority w:val="39"/>
    <w:pPr>
      <w:ind w:left="1260"/>
      <w:jc w:val="left"/>
    </w:pPr>
    <w:rPr>
      <w:rFonts w:ascii="Times New Roman" w:hAnsi="Times New Roman"/>
      <w:sz w:val="18"/>
      <w:szCs w:val="18"/>
    </w:rPr>
  </w:style>
  <w:style w:type="paragraph" w:styleId="15">
    <w:name w:val="List Number 2"/>
    <w:basedOn w:val="1"/>
    <w:qFormat/>
    <w:uiPriority w:val="0"/>
    <w:pPr>
      <w:tabs>
        <w:tab w:val="left" w:pos="960"/>
      </w:tabs>
      <w:ind w:left="960" w:hanging="465"/>
    </w:pPr>
    <w:rPr>
      <w:rFonts w:ascii="Times New Roman" w:hAnsi="Times New Roman"/>
      <w:szCs w:val="20"/>
    </w:rPr>
  </w:style>
  <w:style w:type="paragraph" w:styleId="16">
    <w:name w:val="List Bullet 4"/>
    <w:basedOn w:val="1"/>
    <w:unhideWhenUsed/>
    <w:qFormat/>
    <w:uiPriority w:val="0"/>
    <w:pPr>
      <w:tabs>
        <w:tab w:val="left" w:pos="1620"/>
      </w:tabs>
    </w:pPr>
    <w:rPr>
      <w:rFonts w:ascii="Times New Roman" w:hAnsi="Times New Roman"/>
      <w:szCs w:val="20"/>
    </w:rPr>
  </w:style>
  <w:style w:type="paragraph" w:styleId="17">
    <w:name w:val="List Number"/>
    <w:basedOn w:val="1"/>
    <w:unhideWhenUsed/>
    <w:qFormat/>
    <w:uiPriority w:val="0"/>
    <w:pPr>
      <w:adjustRightInd w:val="0"/>
      <w:spacing w:line="360" w:lineRule="auto"/>
      <w:ind w:left="850" w:hanging="425"/>
    </w:pPr>
    <w:rPr>
      <w:rFonts w:ascii="Times New Roman" w:hAnsi="Times New Roman"/>
      <w:color w:val="000000"/>
      <w:kern w:val="0"/>
      <w:szCs w:val="20"/>
    </w:rPr>
  </w:style>
  <w:style w:type="paragraph" w:styleId="18">
    <w:name w:val="caption"/>
    <w:basedOn w:val="1"/>
    <w:next w:val="1"/>
    <w:qFormat/>
    <w:uiPriority w:val="0"/>
    <w:pPr>
      <w:adjustRightInd w:val="0"/>
      <w:spacing w:line="312" w:lineRule="atLeast"/>
    </w:pPr>
    <w:rPr>
      <w:rFonts w:ascii="Arial" w:hAnsi="Arial" w:eastAsia="黑体" w:cs="Arial"/>
      <w:kern w:val="0"/>
      <w:sz w:val="20"/>
      <w:szCs w:val="20"/>
    </w:rPr>
  </w:style>
  <w:style w:type="paragraph" w:styleId="19">
    <w:name w:val="List Bullet"/>
    <w:basedOn w:val="1"/>
    <w:unhideWhenUsed/>
    <w:qFormat/>
    <w:uiPriority w:val="0"/>
    <w:pPr>
      <w:ind w:left="567" w:hanging="279"/>
    </w:pPr>
    <w:rPr>
      <w:rFonts w:ascii="Times New Roman" w:hAnsi="Times New Roman"/>
      <w:szCs w:val="24"/>
    </w:rPr>
  </w:style>
  <w:style w:type="paragraph" w:styleId="20">
    <w:name w:val="Document Map"/>
    <w:basedOn w:val="1"/>
    <w:link w:val="82"/>
    <w:qFormat/>
    <w:uiPriority w:val="0"/>
    <w:pPr>
      <w:shd w:val="clear" w:color="auto" w:fill="000080"/>
    </w:pPr>
    <w:rPr>
      <w:rFonts w:ascii="Times New Roman" w:hAnsi="Times New Roman"/>
      <w:kern w:val="0"/>
      <w:sz w:val="20"/>
      <w:szCs w:val="24"/>
    </w:rPr>
  </w:style>
  <w:style w:type="paragraph" w:styleId="21">
    <w:name w:val="toa heading"/>
    <w:basedOn w:val="1"/>
    <w:next w:val="1"/>
    <w:qFormat/>
    <w:uiPriority w:val="0"/>
    <w:pPr>
      <w:autoSpaceDE w:val="0"/>
      <w:autoSpaceDN w:val="0"/>
      <w:adjustRightInd w:val="0"/>
      <w:snapToGrid w:val="0"/>
      <w:spacing w:before="120" w:line="360" w:lineRule="auto"/>
    </w:pPr>
    <w:rPr>
      <w:rFonts w:ascii="Arial" w:hAnsi="Arial"/>
      <w:snapToGrid w:val="0"/>
      <w:color w:val="000000"/>
      <w:kern w:val="0"/>
      <w:szCs w:val="20"/>
    </w:rPr>
  </w:style>
  <w:style w:type="paragraph" w:styleId="22">
    <w:name w:val="annotation text"/>
    <w:basedOn w:val="1"/>
    <w:link w:val="83"/>
    <w:unhideWhenUsed/>
    <w:qFormat/>
    <w:uiPriority w:val="0"/>
    <w:pPr>
      <w:jc w:val="left"/>
    </w:pPr>
  </w:style>
  <w:style w:type="paragraph" w:styleId="23">
    <w:name w:val="Body Text 3"/>
    <w:basedOn w:val="1"/>
    <w:link w:val="84"/>
    <w:qFormat/>
    <w:uiPriority w:val="0"/>
    <w:rPr>
      <w:rFonts w:ascii="宋体" w:hAnsi="Times New Roman"/>
      <w:kern w:val="0"/>
      <w:sz w:val="24"/>
      <w:szCs w:val="20"/>
    </w:rPr>
  </w:style>
  <w:style w:type="paragraph" w:styleId="24">
    <w:name w:val="List Bullet 3"/>
    <w:basedOn w:val="1"/>
    <w:unhideWhenUsed/>
    <w:qFormat/>
    <w:uiPriority w:val="0"/>
    <w:pPr>
      <w:tabs>
        <w:tab w:val="left" w:pos="1200"/>
      </w:tabs>
    </w:pPr>
    <w:rPr>
      <w:rFonts w:ascii="Times New Roman" w:hAnsi="Times New Roman"/>
      <w:szCs w:val="20"/>
    </w:rPr>
  </w:style>
  <w:style w:type="paragraph" w:styleId="25">
    <w:name w:val="Body Text Indent"/>
    <w:basedOn w:val="1"/>
    <w:link w:val="85"/>
    <w:qFormat/>
    <w:uiPriority w:val="0"/>
    <w:pPr>
      <w:spacing w:after="120"/>
      <w:ind w:left="420" w:leftChars="200"/>
    </w:pPr>
    <w:rPr>
      <w:rFonts w:ascii="Times New Roman" w:hAnsi="Times New Roman"/>
      <w:kern w:val="0"/>
      <w:sz w:val="20"/>
      <w:szCs w:val="24"/>
    </w:rPr>
  </w:style>
  <w:style w:type="paragraph" w:styleId="26">
    <w:name w:val="List 2"/>
    <w:basedOn w:val="1"/>
    <w:unhideWhenUsed/>
    <w:qFormat/>
    <w:uiPriority w:val="0"/>
    <w:pPr>
      <w:ind w:left="100" w:leftChars="200" w:hanging="200" w:hangingChars="200"/>
    </w:pPr>
    <w:rPr>
      <w:rFonts w:ascii="Times New Roman" w:hAnsi="Times New Roman" w:eastAsia="楷体_GB2312"/>
      <w:szCs w:val="20"/>
    </w:rPr>
  </w:style>
  <w:style w:type="paragraph" w:styleId="27">
    <w:name w:val="List Bullet 2"/>
    <w:basedOn w:val="19"/>
    <w:unhideWhenUsed/>
    <w:qFormat/>
    <w:uiPriority w:val="0"/>
    <w:pPr>
      <w:widowControl/>
      <w:tabs>
        <w:tab w:val="left" w:pos="1350"/>
      </w:tabs>
      <w:spacing w:after="220" w:line="220" w:lineRule="atLeast"/>
      <w:ind w:left="2160" w:right="720" w:hanging="870"/>
      <w:jc w:val="left"/>
    </w:pPr>
    <w:rPr>
      <w:kern w:val="0"/>
      <w:szCs w:val="20"/>
    </w:rPr>
  </w:style>
  <w:style w:type="paragraph" w:styleId="28">
    <w:name w:val="index 4"/>
    <w:basedOn w:val="1"/>
    <w:next w:val="1"/>
    <w:qFormat/>
    <w:uiPriority w:val="0"/>
    <w:pPr>
      <w:ind w:left="600" w:leftChars="600"/>
    </w:pPr>
    <w:rPr>
      <w:rFonts w:ascii="Times New Roman" w:hAnsi="Times New Roman"/>
      <w:szCs w:val="24"/>
    </w:rPr>
  </w:style>
  <w:style w:type="paragraph" w:styleId="29">
    <w:name w:val="toc 5"/>
    <w:basedOn w:val="1"/>
    <w:next w:val="1"/>
    <w:qFormat/>
    <w:uiPriority w:val="39"/>
    <w:pPr>
      <w:ind w:left="840"/>
      <w:jc w:val="left"/>
    </w:pPr>
    <w:rPr>
      <w:rFonts w:ascii="Times New Roman" w:hAnsi="Times New Roman"/>
      <w:sz w:val="18"/>
      <w:szCs w:val="18"/>
    </w:rPr>
  </w:style>
  <w:style w:type="paragraph" w:styleId="30">
    <w:name w:val="toc 3"/>
    <w:basedOn w:val="1"/>
    <w:next w:val="1"/>
    <w:qFormat/>
    <w:uiPriority w:val="39"/>
    <w:pPr>
      <w:ind w:left="420"/>
      <w:jc w:val="left"/>
    </w:pPr>
    <w:rPr>
      <w:rFonts w:ascii="Times New Roman" w:hAnsi="Times New Roman"/>
      <w:iCs/>
      <w:sz w:val="20"/>
      <w:szCs w:val="20"/>
    </w:rPr>
  </w:style>
  <w:style w:type="paragraph" w:styleId="31">
    <w:name w:val="Plain Text"/>
    <w:basedOn w:val="1"/>
    <w:link w:val="86"/>
    <w:qFormat/>
    <w:uiPriority w:val="0"/>
    <w:rPr>
      <w:rFonts w:ascii="宋体" w:hAnsi="Courier New"/>
      <w:kern w:val="0"/>
      <w:sz w:val="20"/>
      <w:szCs w:val="20"/>
    </w:rPr>
  </w:style>
  <w:style w:type="paragraph" w:styleId="32">
    <w:name w:val="toc 8"/>
    <w:basedOn w:val="1"/>
    <w:next w:val="1"/>
    <w:qFormat/>
    <w:uiPriority w:val="39"/>
    <w:pPr>
      <w:ind w:left="1470"/>
      <w:jc w:val="left"/>
    </w:pPr>
    <w:rPr>
      <w:rFonts w:ascii="Times New Roman" w:hAnsi="Times New Roman"/>
      <w:sz w:val="18"/>
      <w:szCs w:val="18"/>
    </w:rPr>
  </w:style>
  <w:style w:type="paragraph" w:styleId="33">
    <w:name w:val="Date"/>
    <w:basedOn w:val="1"/>
    <w:next w:val="1"/>
    <w:link w:val="87"/>
    <w:qFormat/>
    <w:uiPriority w:val="0"/>
    <w:rPr>
      <w:rFonts w:ascii="Times New Roman" w:hAnsi="Times New Roman"/>
      <w:kern w:val="0"/>
      <w:sz w:val="24"/>
      <w:szCs w:val="20"/>
    </w:rPr>
  </w:style>
  <w:style w:type="paragraph" w:styleId="34">
    <w:name w:val="Body Text Indent 2"/>
    <w:basedOn w:val="1"/>
    <w:link w:val="88"/>
    <w:qFormat/>
    <w:uiPriority w:val="0"/>
    <w:pPr>
      <w:spacing w:after="120" w:line="480" w:lineRule="auto"/>
      <w:ind w:left="420" w:leftChars="200"/>
    </w:pPr>
    <w:rPr>
      <w:rFonts w:ascii="Times New Roman" w:hAnsi="Times New Roman"/>
      <w:kern w:val="0"/>
      <w:sz w:val="20"/>
      <w:szCs w:val="24"/>
    </w:rPr>
  </w:style>
  <w:style w:type="paragraph" w:styleId="35">
    <w:name w:val="endnote text"/>
    <w:basedOn w:val="1"/>
    <w:link w:val="89"/>
    <w:qFormat/>
    <w:uiPriority w:val="0"/>
    <w:pPr>
      <w:snapToGrid w:val="0"/>
      <w:jc w:val="left"/>
    </w:pPr>
  </w:style>
  <w:style w:type="paragraph" w:styleId="36">
    <w:name w:val="Balloon Text"/>
    <w:basedOn w:val="1"/>
    <w:link w:val="90"/>
    <w:qFormat/>
    <w:uiPriority w:val="0"/>
    <w:rPr>
      <w:rFonts w:ascii="Times New Roman" w:hAnsi="Times New Roman"/>
      <w:kern w:val="0"/>
      <w:sz w:val="18"/>
      <w:szCs w:val="18"/>
    </w:rPr>
  </w:style>
  <w:style w:type="paragraph" w:styleId="37">
    <w:name w:val="footer"/>
    <w:basedOn w:val="1"/>
    <w:link w:val="91"/>
    <w:qFormat/>
    <w:uiPriority w:val="99"/>
    <w:pPr>
      <w:tabs>
        <w:tab w:val="center" w:pos="4153"/>
        <w:tab w:val="right" w:pos="8306"/>
      </w:tabs>
      <w:snapToGrid w:val="0"/>
      <w:jc w:val="left"/>
    </w:pPr>
    <w:rPr>
      <w:rFonts w:ascii="Times New Roman" w:hAnsi="Times New Roman"/>
      <w:kern w:val="0"/>
      <w:sz w:val="18"/>
      <w:szCs w:val="18"/>
    </w:rPr>
  </w:style>
  <w:style w:type="paragraph" w:styleId="38">
    <w:name w:val="header"/>
    <w:basedOn w:val="1"/>
    <w:link w:val="92"/>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39">
    <w:name w:val="toc 1"/>
    <w:basedOn w:val="1"/>
    <w:next w:val="1"/>
    <w:qFormat/>
    <w:uiPriority w:val="39"/>
    <w:pPr>
      <w:spacing w:before="120" w:after="120"/>
      <w:jc w:val="left"/>
    </w:pPr>
    <w:rPr>
      <w:rFonts w:ascii="Times New Roman" w:hAnsi="Times New Roman"/>
      <w:b/>
      <w:bCs/>
      <w:caps/>
      <w:sz w:val="20"/>
      <w:szCs w:val="20"/>
    </w:rPr>
  </w:style>
  <w:style w:type="paragraph" w:styleId="40">
    <w:name w:val="toc 4"/>
    <w:basedOn w:val="1"/>
    <w:next w:val="1"/>
    <w:qFormat/>
    <w:uiPriority w:val="39"/>
    <w:pPr>
      <w:ind w:left="630"/>
      <w:jc w:val="left"/>
    </w:pPr>
    <w:rPr>
      <w:rFonts w:ascii="Times New Roman" w:hAnsi="Times New Roman"/>
      <w:sz w:val="18"/>
      <w:szCs w:val="18"/>
    </w:rPr>
  </w:style>
  <w:style w:type="paragraph" w:styleId="41">
    <w:name w:val="index heading"/>
    <w:basedOn w:val="1"/>
    <w:next w:val="42"/>
    <w:qFormat/>
    <w:uiPriority w:val="0"/>
    <w:rPr>
      <w:rFonts w:ascii="Times New Roman" w:hAnsi="Times New Roman"/>
      <w:szCs w:val="24"/>
    </w:rPr>
  </w:style>
  <w:style w:type="paragraph" w:styleId="42">
    <w:name w:val="index 1"/>
    <w:basedOn w:val="1"/>
    <w:next w:val="1"/>
    <w:qFormat/>
    <w:uiPriority w:val="0"/>
    <w:pPr>
      <w:spacing w:line="220" w:lineRule="exact"/>
      <w:jc w:val="center"/>
    </w:pPr>
    <w:rPr>
      <w:rFonts w:ascii="仿宋_GB2312" w:hAnsi="Times New Roman" w:eastAsia="仿宋_GB2312"/>
      <w:szCs w:val="21"/>
    </w:rPr>
  </w:style>
  <w:style w:type="paragraph" w:styleId="43">
    <w:name w:val="Subtitle"/>
    <w:basedOn w:val="1"/>
    <w:next w:val="1"/>
    <w:link w:val="93"/>
    <w:qFormat/>
    <w:uiPriority w:val="0"/>
    <w:pPr>
      <w:spacing w:before="240" w:after="60" w:line="312" w:lineRule="auto"/>
      <w:jc w:val="center"/>
      <w:outlineLvl w:val="1"/>
    </w:pPr>
    <w:rPr>
      <w:rFonts w:ascii="Cambria" w:hAnsi="Cambria"/>
      <w:b/>
      <w:bCs/>
      <w:kern w:val="28"/>
      <w:sz w:val="32"/>
      <w:szCs w:val="32"/>
      <w:lang w:val="zh-CN"/>
    </w:rPr>
  </w:style>
  <w:style w:type="paragraph" w:styleId="44">
    <w:name w:val="List"/>
    <w:basedOn w:val="2"/>
    <w:unhideWhenUsed/>
    <w:qFormat/>
    <w:uiPriority w:val="0"/>
    <w:pPr>
      <w:suppressAutoHyphens/>
      <w:spacing w:after="0"/>
    </w:pPr>
    <w:rPr>
      <w:rFonts w:ascii="Times New Roman" w:hAnsi="Times New Roman" w:eastAsia="黑体"/>
      <w:kern w:val="0"/>
      <w:sz w:val="24"/>
      <w:szCs w:val="20"/>
      <w:lang w:val="zh-CN" w:eastAsia="ar-SA"/>
    </w:rPr>
  </w:style>
  <w:style w:type="paragraph" w:styleId="45">
    <w:name w:val="footnote text"/>
    <w:basedOn w:val="1"/>
    <w:link w:val="94"/>
    <w:semiHidden/>
    <w:qFormat/>
    <w:uiPriority w:val="0"/>
    <w:pPr>
      <w:snapToGrid w:val="0"/>
      <w:jc w:val="left"/>
    </w:pPr>
    <w:rPr>
      <w:rFonts w:ascii="Times New Roman" w:hAnsi="Times New Roman"/>
      <w:sz w:val="18"/>
      <w:szCs w:val="20"/>
      <w:lang w:val="zh-CN"/>
    </w:rPr>
  </w:style>
  <w:style w:type="paragraph" w:styleId="46">
    <w:name w:val="toc 6"/>
    <w:basedOn w:val="1"/>
    <w:next w:val="1"/>
    <w:qFormat/>
    <w:uiPriority w:val="39"/>
    <w:pPr>
      <w:ind w:left="1050"/>
      <w:jc w:val="left"/>
    </w:pPr>
    <w:rPr>
      <w:rFonts w:ascii="Times New Roman" w:hAnsi="Times New Roman"/>
      <w:sz w:val="18"/>
      <w:szCs w:val="18"/>
    </w:rPr>
  </w:style>
  <w:style w:type="paragraph" w:styleId="47">
    <w:name w:val="List 5"/>
    <w:basedOn w:val="1"/>
    <w:unhideWhenUsed/>
    <w:qFormat/>
    <w:uiPriority w:val="0"/>
    <w:pPr>
      <w:adjustRightInd w:val="0"/>
      <w:spacing w:line="312" w:lineRule="atLeast"/>
      <w:ind w:left="100" w:leftChars="800" w:hanging="200" w:hangingChars="200"/>
    </w:pPr>
    <w:rPr>
      <w:rFonts w:ascii="Times New Roman" w:hAnsi="Times New Roman"/>
      <w:kern w:val="0"/>
      <w:szCs w:val="20"/>
    </w:rPr>
  </w:style>
  <w:style w:type="paragraph" w:styleId="48">
    <w:name w:val="Body Text Indent 3"/>
    <w:basedOn w:val="1"/>
    <w:link w:val="95"/>
    <w:qFormat/>
    <w:uiPriority w:val="0"/>
    <w:pPr>
      <w:spacing w:after="120"/>
      <w:ind w:left="420" w:leftChars="200"/>
    </w:pPr>
    <w:rPr>
      <w:rFonts w:ascii="Times New Roman" w:hAnsi="Times New Roman"/>
      <w:kern w:val="0"/>
      <w:sz w:val="16"/>
      <w:szCs w:val="16"/>
    </w:rPr>
  </w:style>
  <w:style w:type="paragraph" w:styleId="49">
    <w:name w:val="table of figures"/>
    <w:basedOn w:val="1"/>
    <w:next w:val="1"/>
    <w:unhideWhenUsed/>
    <w:qFormat/>
    <w:uiPriority w:val="0"/>
    <w:pPr>
      <w:ind w:left="400" w:leftChars="200" w:hanging="200" w:hangingChars="200"/>
    </w:pPr>
    <w:rPr>
      <w:rFonts w:ascii="Times New Roman" w:hAnsi="Times New Roman"/>
      <w:sz w:val="28"/>
      <w:szCs w:val="24"/>
    </w:rPr>
  </w:style>
  <w:style w:type="paragraph" w:styleId="50">
    <w:name w:val="toc 2"/>
    <w:basedOn w:val="1"/>
    <w:next w:val="1"/>
    <w:qFormat/>
    <w:uiPriority w:val="39"/>
    <w:pPr>
      <w:ind w:left="210"/>
      <w:jc w:val="left"/>
    </w:pPr>
    <w:rPr>
      <w:rFonts w:ascii="Times New Roman" w:hAnsi="Times New Roman"/>
      <w:smallCaps/>
      <w:sz w:val="20"/>
      <w:szCs w:val="20"/>
    </w:rPr>
  </w:style>
  <w:style w:type="paragraph" w:styleId="51">
    <w:name w:val="toc 9"/>
    <w:basedOn w:val="1"/>
    <w:next w:val="1"/>
    <w:qFormat/>
    <w:uiPriority w:val="39"/>
    <w:pPr>
      <w:ind w:left="1680"/>
      <w:jc w:val="left"/>
    </w:pPr>
    <w:rPr>
      <w:rFonts w:ascii="Times New Roman" w:hAnsi="Times New Roman"/>
      <w:sz w:val="18"/>
      <w:szCs w:val="18"/>
    </w:rPr>
  </w:style>
  <w:style w:type="paragraph" w:styleId="52">
    <w:name w:val="Body Text 2"/>
    <w:basedOn w:val="1"/>
    <w:link w:val="96"/>
    <w:qFormat/>
    <w:uiPriority w:val="0"/>
    <w:pPr>
      <w:spacing w:after="120" w:line="480" w:lineRule="auto"/>
    </w:pPr>
    <w:rPr>
      <w:rFonts w:ascii="Times New Roman" w:hAnsi="Times New Roman"/>
      <w:kern w:val="0"/>
      <w:sz w:val="20"/>
      <w:szCs w:val="24"/>
    </w:rPr>
  </w:style>
  <w:style w:type="paragraph" w:styleId="53">
    <w:name w:val="List 4"/>
    <w:basedOn w:val="1"/>
    <w:unhideWhenUsed/>
    <w:qFormat/>
    <w:uiPriority w:val="0"/>
    <w:pPr>
      <w:adjustRightInd w:val="0"/>
      <w:spacing w:line="312" w:lineRule="atLeast"/>
      <w:ind w:left="100" w:leftChars="600" w:hanging="200" w:hangingChars="200"/>
    </w:pPr>
    <w:rPr>
      <w:rFonts w:ascii="Times New Roman" w:hAnsi="Times New Roman"/>
      <w:kern w:val="0"/>
      <w:szCs w:val="20"/>
    </w:rPr>
  </w:style>
  <w:style w:type="paragraph" w:styleId="54">
    <w:name w:val="HTML Preformatted"/>
    <w:basedOn w:val="1"/>
    <w:link w:val="97"/>
    <w:qFormat/>
    <w:uiPriority w:val="0"/>
    <w:rPr>
      <w:rFonts w:ascii="Courier New" w:hAnsi="Courier New"/>
      <w:kern w:val="0"/>
      <w:sz w:val="20"/>
      <w:szCs w:val="20"/>
    </w:rPr>
  </w:style>
  <w:style w:type="paragraph" w:styleId="55">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56">
    <w:name w:val="Title"/>
    <w:basedOn w:val="1"/>
    <w:link w:val="98"/>
    <w:qFormat/>
    <w:uiPriority w:val="0"/>
    <w:pPr>
      <w:adjustRightInd w:val="0"/>
      <w:spacing w:before="240" w:after="60" w:line="420" w:lineRule="atLeast"/>
      <w:jc w:val="center"/>
      <w:textAlignment w:val="baseline"/>
      <w:outlineLvl w:val="0"/>
    </w:pPr>
    <w:rPr>
      <w:rFonts w:ascii="Arial" w:hAnsi="Arial"/>
      <w:b/>
      <w:kern w:val="0"/>
      <w:sz w:val="32"/>
      <w:szCs w:val="20"/>
    </w:rPr>
  </w:style>
  <w:style w:type="paragraph" w:styleId="57">
    <w:name w:val="annotation subject"/>
    <w:basedOn w:val="22"/>
    <w:next w:val="22"/>
    <w:link w:val="99"/>
    <w:qFormat/>
    <w:uiPriority w:val="0"/>
    <w:pPr>
      <w:jc w:val="both"/>
    </w:pPr>
    <w:rPr>
      <w:rFonts w:ascii="Times New Roman" w:hAnsi="Times New Roman"/>
      <w:b/>
      <w:bCs/>
      <w:kern w:val="0"/>
      <w:sz w:val="20"/>
      <w:szCs w:val="24"/>
    </w:rPr>
  </w:style>
  <w:style w:type="paragraph" w:styleId="58">
    <w:name w:val="Body Text First Indent"/>
    <w:basedOn w:val="2"/>
    <w:link w:val="100"/>
    <w:qFormat/>
    <w:uiPriority w:val="0"/>
    <w:pPr>
      <w:spacing w:line="312" w:lineRule="auto"/>
      <w:ind w:firstLine="420"/>
    </w:pPr>
    <w:rPr>
      <w:rFonts w:ascii="Times New Roman" w:hAnsi="Times New Roman"/>
      <w:kern w:val="0"/>
      <w:sz w:val="20"/>
      <w:szCs w:val="24"/>
    </w:rPr>
  </w:style>
  <w:style w:type="paragraph" w:styleId="59">
    <w:name w:val="Body Text First Indent 2"/>
    <w:basedOn w:val="25"/>
    <w:link w:val="101"/>
    <w:unhideWhenUsed/>
    <w:qFormat/>
    <w:uiPriority w:val="0"/>
    <w:pPr>
      <w:adjustRightInd w:val="0"/>
      <w:spacing w:line="360" w:lineRule="auto"/>
      <w:ind w:left="0" w:leftChars="0" w:firstLine="420"/>
    </w:pPr>
    <w:rPr>
      <w:color w:val="000000"/>
    </w:rPr>
  </w:style>
  <w:style w:type="table" w:styleId="61">
    <w:name w:val="Table Grid"/>
    <w:basedOn w:val="6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3">
    <w:name w:val="Strong"/>
    <w:qFormat/>
    <w:uiPriority w:val="0"/>
    <w:rPr>
      <w:b/>
      <w:bCs/>
    </w:rPr>
  </w:style>
  <w:style w:type="character" w:styleId="64">
    <w:name w:val="endnote reference"/>
    <w:qFormat/>
    <w:uiPriority w:val="0"/>
    <w:rPr>
      <w:vertAlign w:val="superscript"/>
    </w:rPr>
  </w:style>
  <w:style w:type="character" w:styleId="65">
    <w:name w:val="page number"/>
    <w:qFormat/>
    <w:uiPriority w:val="0"/>
  </w:style>
  <w:style w:type="character" w:styleId="66">
    <w:name w:val="FollowedHyperlink"/>
    <w:qFormat/>
    <w:uiPriority w:val="0"/>
    <w:rPr>
      <w:color w:val="800080"/>
      <w:u w:val="single"/>
    </w:rPr>
  </w:style>
  <w:style w:type="character" w:styleId="67">
    <w:name w:val="Emphasis"/>
    <w:qFormat/>
    <w:uiPriority w:val="0"/>
    <w:rPr>
      <w:rFonts w:eastAsia="宋体"/>
      <w:color w:val="CC0000"/>
      <w:kern w:val="2"/>
      <w:sz w:val="24"/>
      <w:szCs w:val="24"/>
      <w:lang w:val="en-US" w:eastAsia="zh-CN" w:bidi="ar-SA"/>
    </w:rPr>
  </w:style>
  <w:style w:type="character" w:styleId="68">
    <w:name w:val="Hyperlink"/>
    <w:qFormat/>
    <w:uiPriority w:val="99"/>
    <w:rPr>
      <w:color w:val="0000FF"/>
      <w:u w:val="single"/>
    </w:rPr>
  </w:style>
  <w:style w:type="character" w:styleId="69">
    <w:name w:val="annotation reference"/>
    <w:unhideWhenUsed/>
    <w:qFormat/>
    <w:uiPriority w:val="99"/>
    <w:rPr>
      <w:sz w:val="21"/>
      <w:szCs w:val="21"/>
    </w:rPr>
  </w:style>
  <w:style w:type="character" w:styleId="70">
    <w:name w:val="footnote reference"/>
    <w:qFormat/>
    <w:uiPriority w:val="0"/>
    <w:rPr>
      <w:vertAlign w:val="superscript"/>
    </w:rPr>
  </w:style>
  <w:style w:type="character" w:customStyle="1" w:styleId="71">
    <w:name w:val="正文文本 字符"/>
    <w:link w:val="2"/>
    <w:qFormat/>
    <w:uiPriority w:val="0"/>
    <w:rPr>
      <w:rFonts w:ascii="Calibri" w:hAnsi="Calibri" w:eastAsia="宋体" w:cs="Times New Roman"/>
    </w:rPr>
  </w:style>
  <w:style w:type="character" w:customStyle="1" w:styleId="72">
    <w:name w:val="标题 1 字符"/>
    <w:link w:val="3"/>
    <w:qFormat/>
    <w:uiPriority w:val="0"/>
    <w:rPr>
      <w:rFonts w:ascii="Times New Roman" w:hAnsi="Times New Roman" w:eastAsia="宋体" w:cs="Times New Roman"/>
      <w:b/>
      <w:bCs/>
      <w:kern w:val="44"/>
      <w:sz w:val="44"/>
      <w:szCs w:val="44"/>
      <w:lang w:val="zh-CN" w:eastAsia="zh-CN"/>
    </w:rPr>
  </w:style>
  <w:style w:type="character" w:customStyle="1" w:styleId="73">
    <w:name w:val="标题 2 字符"/>
    <w:link w:val="4"/>
    <w:qFormat/>
    <w:uiPriority w:val="0"/>
    <w:rPr>
      <w:rFonts w:ascii="Arial" w:hAnsi="Arial" w:eastAsia="黑体" w:cs="Times New Roman"/>
      <w:b/>
      <w:bCs/>
      <w:kern w:val="0"/>
      <w:sz w:val="32"/>
      <w:szCs w:val="32"/>
      <w:lang w:val="zh-CN" w:eastAsia="zh-CN"/>
    </w:rPr>
  </w:style>
  <w:style w:type="character" w:customStyle="1" w:styleId="74">
    <w:name w:val="标题 3 字符"/>
    <w:link w:val="5"/>
    <w:qFormat/>
    <w:uiPriority w:val="0"/>
    <w:rPr>
      <w:rFonts w:ascii="黑体" w:hAnsi="宋体" w:eastAsia="黑体" w:cs="Times New Roman"/>
      <w:bCs/>
      <w:kern w:val="0"/>
      <w:sz w:val="28"/>
      <w:szCs w:val="28"/>
      <w:lang w:val="zh-CN" w:eastAsia="zh-CN"/>
    </w:rPr>
  </w:style>
  <w:style w:type="character" w:customStyle="1" w:styleId="75">
    <w:name w:val="标题 4 字符"/>
    <w:link w:val="6"/>
    <w:qFormat/>
    <w:uiPriority w:val="0"/>
    <w:rPr>
      <w:rFonts w:ascii="Arial" w:hAnsi="Arial" w:eastAsia="黑体" w:cs="Times New Roman"/>
      <w:b/>
      <w:bCs/>
      <w:kern w:val="0"/>
      <w:sz w:val="28"/>
      <w:szCs w:val="28"/>
      <w:lang w:val="zh-CN" w:eastAsia="zh-CN"/>
    </w:rPr>
  </w:style>
  <w:style w:type="character" w:customStyle="1" w:styleId="76">
    <w:name w:val="标题 5 字符"/>
    <w:link w:val="7"/>
    <w:qFormat/>
    <w:uiPriority w:val="0"/>
    <w:rPr>
      <w:rFonts w:ascii="Arial" w:hAnsi="Arial" w:eastAsia="宋体" w:cs="Times New Roman"/>
      <w:color w:val="000000"/>
      <w:kern w:val="0"/>
      <w:sz w:val="24"/>
      <w:szCs w:val="24"/>
      <w:lang w:val="zh-CN" w:eastAsia="zh-CN"/>
    </w:rPr>
  </w:style>
  <w:style w:type="character" w:customStyle="1" w:styleId="77">
    <w:name w:val="正文缩进 字符"/>
    <w:link w:val="8"/>
    <w:qFormat/>
    <w:locked/>
    <w:uiPriority w:val="0"/>
    <w:rPr>
      <w:rFonts w:ascii="Calibri" w:hAnsi="Calibri" w:eastAsia="宋体" w:cs="Times New Roman"/>
      <w:kern w:val="0"/>
      <w:sz w:val="20"/>
      <w:szCs w:val="24"/>
      <w:lang w:val="zh-CN" w:eastAsia="zh-CN"/>
    </w:rPr>
  </w:style>
  <w:style w:type="character" w:customStyle="1" w:styleId="78">
    <w:name w:val="标题 6 字符"/>
    <w:link w:val="9"/>
    <w:qFormat/>
    <w:uiPriority w:val="0"/>
    <w:rPr>
      <w:rFonts w:ascii="Arial" w:hAnsi="Arial" w:eastAsia="黑体" w:cs="Times New Roman"/>
      <w:b/>
      <w:bCs/>
      <w:kern w:val="0"/>
      <w:sz w:val="24"/>
      <w:szCs w:val="24"/>
      <w:lang w:val="zh-CN" w:eastAsia="zh-CN"/>
    </w:rPr>
  </w:style>
  <w:style w:type="character" w:customStyle="1" w:styleId="79">
    <w:name w:val="标题 7 字符"/>
    <w:link w:val="10"/>
    <w:qFormat/>
    <w:uiPriority w:val="0"/>
    <w:rPr>
      <w:rFonts w:ascii="Times New Roman" w:hAnsi="Times New Roman" w:eastAsia="宋体" w:cs="Times New Roman"/>
      <w:b/>
      <w:bCs/>
      <w:kern w:val="0"/>
      <w:sz w:val="24"/>
      <w:szCs w:val="24"/>
      <w:lang w:val="zh-CN" w:eastAsia="zh-CN"/>
    </w:rPr>
  </w:style>
  <w:style w:type="character" w:customStyle="1" w:styleId="80">
    <w:name w:val="标题 8 字符"/>
    <w:link w:val="11"/>
    <w:qFormat/>
    <w:uiPriority w:val="0"/>
    <w:rPr>
      <w:rFonts w:ascii="Arial" w:hAnsi="Arial" w:eastAsia="黑体" w:cs="Times New Roman"/>
      <w:kern w:val="0"/>
      <w:sz w:val="24"/>
      <w:szCs w:val="24"/>
      <w:lang w:val="zh-CN" w:eastAsia="zh-CN"/>
    </w:rPr>
  </w:style>
  <w:style w:type="character" w:customStyle="1" w:styleId="81">
    <w:name w:val="标题 9 字符"/>
    <w:link w:val="12"/>
    <w:qFormat/>
    <w:uiPriority w:val="0"/>
    <w:rPr>
      <w:rFonts w:ascii="Arial" w:hAnsi="Arial" w:eastAsia="黑体" w:cs="Times New Roman"/>
      <w:kern w:val="0"/>
      <w:sz w:val="20"/>
      <w:szCs w:val="21"/>
      <w:lang w:val="zh-CN" w:eastAsia="zh-CN"/>
    </w:rPr>
  </w:style>
  <w:style w:type="character" w:customStyle="1" w:styleId="82">
    <w:name w:val="文档结构图 字符"/>
    <w:link w:val="20"/>
    <w:qFormat/>
    <w:uiPriority w:val="0"/>
    <w:rPr>
      <w:szCs w:val="24"/>
      <w:shd w:val="clear" w:color="auto" w:fill="000080"/>
    </w:rPr>
  </w:style>
  <w:style w:type="character" w:customStyle="1" w:styleId="83">
    <w:name w:val="批注文字 字符"/>
    <w:link w:val="22"/>
    <w:qFormat/>
    <w:uiPriority w:val="0"/>
    <w:rPr>
      <w:rFonts w:ascii="Calibri" w:hAnsi="Calibri" w:eastAsia="宋体" w:cs="Times New Roman"/>
    </w:rPr>
  </w:style>
  <w:style w:type="character" w:customStyle="1" w:styleId="84">
    <w:name w:val="正文文本 3 字符"/>
    <w:link w:val="23"/>
    <w:qFormat/>
    <w:uiPriority w:val="0"/>
    <w:rPr>
      <w:rFonts w:ascii="宋体"/>
      <w:sz w:val="24"/>
    </w:rPr>
  </w:style>
  <w:style w:type="character" w:customStyle="1" w:styleId="85">
    <w:name w:val="正文文本缩进 字符"/>
    <w:link w:val="25"/>
    <w:qFormat/>
    <w:uiPriority w:val="0"/>
    <w:rPr>
      <w:szCs w:val="24"/>
    </w:rPr>
  </w:style>
  <w:style w:type="character" w:customStyle="1" w:styleId="86">
    <w:name w:val="纯文本 字符"/>
    <w:link w:val="31"/>
    <w:qFormat/>
    <w:locked/>
    <w:uiPriority w:val="0"/>
    <w:rPr>
      <w:rFonts w:ascii="宋体" w:hAnsi="Courier New"/>
    </w:rPr>
  </w:style>
  <w:style w:type="character" w:customStyle="1" w:styleId="87">
    <w:name w:val="日期 字符"/>
    <w:link w:val="33"/>
    <w:qFormat/>
    <w:uiPriority w:val="0"/>
    <w:rPr>
      <w:sz w:val="24"/>
    </w:rPr>
  </w:style>
  <w:style w:type="character" w:customStyle="1" w:styleId="88">
    <w:name w:val="正文文本缩进 2 字符"/>
    <w:link w:val="34"/>
    <w:qFormat/>
    <w:uiPriority w:val="0"/>
    <w:rPr>
      <w:szCs w:val="24"/>
    </w:rPr>
  </w:style>
  <w:style w:type="character" w:customStyle="1" w:styleId="89">
    <w:name w:val="尾注文本 字符"/>
    <w:link w:val="35"/>
    <w:qFormat/>
    <w:uiPriority w:val="0"/>
  </w:style>
  <w:style w:type="character" w:customStyle="1" w:styleId="90">
    <w:name w:val="批注框文本 字符"/>
    <w:link w:val="36"/>
    <w:qFormat/>
    <w:uiPriority w:val="0"/>
    <w:rPr>
      <w:sz w:val="18"/>
      <w:szCs w:val="18"/>
    </w:rPr>
  </w:style>
  <w:style w:type="character" w:customStyle="1" w:styleId="91">
    <w:name w:val="页脚 字符"/>
    <w:link w:val="37"/>
    <w:qFormat/>
    <w:uiPriority w:val="99"/>
    <w:rPr>
      <w:sz w:val="18"/>
      <w:szCs w:val="18"/>
    </w:rPr>
  </w:style>
  <w:style w:type="character" w:customStyle="1" w:styleId="92">
    <w:name w:val="页眉 字符"/>
    <w:link w:val="38"/>
    <w:qFormat/>
    <w:uiPriority w:val="99"/>
    <w:rPr>
      <w:sz w:val="18"/>
      <w:szCs w:val="18"/>
    </w:rPr>
  </w:style>
  <w:style w:type="character" w:customStyle="1" w:styleId="93">
    <w:name w:val="副标题 字符"/>
    <w:link w:val="43"/>
    <w:qFormat/>
    <w:uiPriority w:val="0"/>
    <w:rPr>
      <w:rFonts w:ascii="Cambria" w:hAnsi="Cambria" w:eastAsia="宋体" w:cs="Times New Roman"/>
      <w:b/>
      <w:bCs/>
      <w:kern w:val="28"/>
      <w:sz w:val="32"/>
      <w:szCs w:val="32"/>
      <w:lang w:val="zh-CN" w:eastAsia="zh-CN"/>
    </w:rPr>
  </w:style>
  <w:style w:type="character" w:customStyle="1" w:styleId="94">
    <w:name w:val="脚注文本 字符"/>
    <w:link w:val="45"/>
    <w:semiHidden/>
    <w:qFormat/>
    <w:uiPriority w:val="0"/>
    <w:rPr>
      <w:rFonts w:ascii="Times New Roman" w:hAnsi="Times New Roman" w:eastAsia="宋体" w:cs="Times New Roman"/>
      <w:sz w:val="18"/>
      <w:szCs w:val="20"/>
      <w:lang w:val="zh-CN" w:eastAsia="zh-CN"/>
    </w:rPr>
  </w:style>
  <w:style w:type="character" w:customStyle="1" w:styleId="95">
    <w:name w:val="正文文本缩进 3 字符"/>
    <w:link w:val="48"/>
    <w:qFormat/>
    <w:uiPriority w:val="0"/>
    <w:rPr>
      <w:sz w:val="16"/>
      <w:szCs w:val="16"/>
    </w:rPr>
  </w:style>
  <w:style w:type="character" w:customStyle="1" w:styleId="96">
    <w:name w:val="正文文本 2 字符"/>
    <w:link w:val="52"/>
    <w:qFormat/>
    <w:uiPriority w:val="0"/>
    <w:rPr>
      <w:szCs w:val="24"/>
    </w:rPr>
  </w:style>
  <w:style w:type="character" w:customStyle="1" w:styleId="97">
    <w:name w:val="HTML 预设格式 字符"/>
    <w:link w:val="54"/>
    <w:qFormat/>
    <w:uiPriority w:val="0"/>
    <w:rPr>
      <w:rFonts w:ascii="Courier New" w:hAnsi="Courier New" w:cs="Courier New"/>
    </w:rPr>
  </w:style>
  <w:style w:type="character" w:customStyle="1" w:styleId="98">
    <w:name w:val="标题 字符"/>
    <w:link w:val="56"/>
    <w:qFormat/>
    <w:uiPriority w:val="0"/>
    <w:rPr>
      <w:rFonts w:ascii="Arial" w:hAnsi="Arial"/>
      <w:b/>
      <w:sz w:val="32"/>
    </w:rPr>
  </w:style>
  <w:style w:type="character" w:customStyle="1" w:styleId="99">
    <w:name w:val="批注主题 字符"/>
    <w:link w:val="57"/>
    <w:qFormat/>
    <w:uiPriority w:val="0"/>
    <w:rPr>
      <w:b/>
      <w:bCs/>
      <w:szCs w:val="24"/>
    </w:rPr>
  </w:style>
  <w:style w:type="character" w:customStyle="1" w:styleId="100">
    <w:name w:val="正文文本首行缩进 字符"/>
    <w:link w:val="58"/>
    <w:qFormat/>
    <w:uiPriority w:val="0"/>
    <w:rPr>
      <w:szCs w:val="24"/>
    </w:rPr>
  </w:style>
  <w:style w:type="character" w:customStyle="1" w:styleId="101">
    <w:name w:val="正文文本首行缩进 2 字符"/>
    <w:link w:val="59"/>
    <w:qFormat/>
    <w:uiPriority w:val="0"/>
    <w:rPr>
      <w:color w:val="000000"/>
      <w:szCs w:val="24"/>
    </w:rPr>
  </w:style>
  <w:style w:type="character" w:customStyle="1" w:styleId="102">
    <w:name w:val="标题 1 Char1"/>
    <w:qFormat/>
    <w:uiPriority w:val="0"/>
    <w:rPr>
      <w:rFonts w:eastAsia="宋体"/>
      <w:b/>
      <w:bCs/>
      <w:kern w:val="44"/>
      <w:sz w:val="44"/>
      <w:szCs w:val="44"/>
      <w:lang w:val="en-US" w:eastAsia="zh-CN" w:bidi="ar-SA"/>
    </w:rPr>
  </w:style>
  <w:style w:type="character" w:customStyle="1" w:styleId="103">
    <w:name w:val="正文文本 3 Char1"/>
    <w:semiHidden/>
    <w:qFormat/>
    <w:uiPriority w:val="99"/>
    <w:rPr>
      <w:kern w:val="2"/>
      <w:sz w:val="16"/>
      <w:szCs w:val="16"/>
    </w:rPr>
  </w:style>
  <w:style w:type="character" w:customStyle="1" w:styleId="104">
    <w:name w:val="Char Char Char"/>
    <w:qFormat/>
    <w:uiPriority w:val="0"/>
    <w:rPr>
      <w:rFonts w:hint="eastAsia" w:ascii="楷体_GB2312" w:eastAsia="楷体_GB2312"/>
      <w:b/>
      <w:kern w:val="2"/>
      <w:sz w:val="21"/>
    </w:rPr>
  </w:style>
  <w:style w:type="character" w:customStyle="1" w:styleId="105">
    <w:name w:val="不明显参考2"/>
    <w:qFormat/>
    <w:uiPriority w:val="0"/>
    <w:rPr>
      <w:smallCaps/>
      <w:color w:val="C0504D"/>
      <w:u w:val="single"/>
    </w:rPr>
  </w:style>
  <w:style w:type="character" w:customStyle="1" w:styleId="106">
    <w:name w:val="文一 Char"/>
    <w:link w:val="107"/>
    <w:qFormat/>
    <w:uiPriority w:val="0"/>
    <w:rPr>
      <w:snapToGrid w:val="0"/>
      <w:spacing w:val="4"/>
      <w:sz w:val="24"/>
      <w:szCs w:val="24"/>
    </w:rPr>
  </w:style>
  <w:style w:type="paragraph" w:customStyle="1" w:styleId="107">
    <w:name w:val="文一"/>
    <w:basedOn w:val="1"/>
    <w:link w:val="106"/>
    <w:qFormat/>
    <w:uiPriority w:val="0"/>
    <w:pPr>
      <w:topLinePunct/>
      <w:adjustRightInd w:val="0"/>
      <w:snapToGrid w:val="0"/>
      <w:spacing w:line="360" w:lineRule="auto"/>
      <w:ind w:firstLine="200" w:firstLineChars="200"/>
    </w:pPr>
    <w:rPr>
      <w:rFonts w:ascii="Times New Roman" w:hAnsi="Times New Roman"/>
      <w:snapToGrid w:val="0"/>
      <w:spacing w:val="4"/>
      <w:kern w:val="0"/>
      <w:sz w:val="24"/>
      <w:szCs w:val="24"/>
    </w:rPr>
  </w:style>
  <w:style w:type="character" w:customStyle="1" w:styleId="108">
    <w:name w:val="标题 Char Char"/>
    <w:qFormat/>
    <w:uiPriority w:val="0"/>
    <w:rPr>
      <w:rFonts w:hint="default" w:ascii="Arial" w:hAnsi="Arial" w:eastAsia="楷体_GB2312" w:cs="Arial"/>
      <w:b/>
      <w:kern w:val="2"/>
      <w:sz w:val="44"/>
      <w:szCs w:val="24"/>
      <w:lang w:val="en-US" w:eastAsia="zh-CN" w:bidi="ar-SA"/>
    </w:rPr>
  </w:style>
  <w:style w:type="character" w:customStyle="1" w:styleId="109">
    <w:name w:val="style31"/>
    <w:qFormat/>
    <w:uiPriority w:val="0"/>
    <w:rPr>
      <w:color w:val="000000"/>
    </w:rPr>
  </w:style>
  <w:style w:type="character" w:customStyle="1" w:styleId="110">
    <w:name w:val="正文首行缩进 2 Char2"/>
    <w:semiHidden/>
    <w:qFormat/>
    <w:uiPriority w:val="99"/>
    <w:rPr>
      <w:rFonts w:ascii="Calibri" w:hAnsi="Calibri" w:eastAsia="宋体" w:cs="Times New Roman"/>
    </w:rPr>
  </w:style>
  <w:style w:type="character" w:customStyle="1" w:styleId="111">
    <w:name w:val="正文文本缩进 Char1"/>
    <w:qFormat/>
    <w:uiPriority w:val="0"/>
    <w:rPr>
      <w:rFonts w:ascii="Calibri" w:hAnsi="Calibri" w:eastAsia="宋体" w:cs="Times New Roman"/>
    </w:rPr>
  </w:style>
  <w:style w:type="character" w:customStyle="1" w:styleId="112">
    <w:name w:val="WW8Num9z0"/>
    <w:qFormat/>
    <w:uiPriority w:val="0"/>
    <w:rPr>
      <w:rFonts w:hint="default" w:ascii="Wingdings" w:hAnsi="Wingdings"/>
    </w:rPr>
  </w:style>
  <w:style w:type="character" w:customStyle="1" w:styleId="113">
    <w:name w:val="标题 Char1"/>
    <w:qFormat/>
    <w:uiPriority w:val="10"/>
    <w:rPr>
      <w:rFonts w:ascii="Calibri Light" w:hAnsi="Calibri Light" w:eastAsia="宋体" w:cs="Times New Roman"/>
      <w:b/>
      <w:bCs/>
      <w:sz w:val="32"/>
      <w:szCs w:val="32"/>
    </w:rPr>
  </w:style>
  <w:style w:type="character" w:customStyle="1" w:styleId="114">
    <w:name w:val="标题 2 Char1"/>
    <w:qFormat/>
    <w:uiPriority w:val="0"/>
    <w:rPr>
      <w:rFonts w:ascii="Arial" w:hAnsi="Arial" w:eastAsia="黑体"/>
      <w:b/>
      <w:bCs/>
      <w:kern w:val="2"/>
      <w:sz w:val="30"/>
      <w:szCs w:val="32"/>
      <w:lang w:val="en-US" w:eastAsia="zh-CN" w:bidi="ar-SA"/>
    </w:rPr>
  </w:style>
  <w:style w:type="character" w:customStyle="1" w:styleId="115">
    <w:name w:val="标题 1.1 Char"/>
    <w:qFormat/>
    <w:uiPriority w:val="0"/>
    <w:rPr>
      <w:rFonts w:ascii="Arial" w:hAnsi="Arial" w:eastAsia="宋体"/>
      <w:b/>
      <w:color w:val="000000"/>
      <w:kern w:val="2"/>
      <w:sz w:val="24"/>
      <w:szCs w:val="24"/>
      <w:lang w:val="en-US" w:eastAsia="zh-CN" w:bidi="ar-SA"/>
    </w:rPr>
  </w:style>
  <w:style w:type="character" w:customStyle="1" w:styleId="116">
    <w:name w:val="正文文本缩进 3 Char1"/>
    <w:semiHidden/>
    <w:qFormat/>
    <w:uiPriority w:val="99"/>
    <w:rPr>
      <w:kern w:val="2"/>
      <w:sz w:val="16"/>
      <w:szCs w:val="16"/>
    </w:rPr>
  </w:style>
  <w:style w:type="character" w:customStyle="1" w:styleId="117">
    <w:name w:val="huei12b1"/>
    <w:qFormat/>
    <w:uiPriority w:val="0"/>
    <w:rPr>
      <w:b/>
      <w:bCs/>
      <w:color w:val="333333"/>
      <w:sz w:val="18"/>
      <w:szCs w:val="18"/>
    </w:rPr>
  </w:style>
  <w:style w:type="character" w:customStyle="1" w:styleId="118">
    <w:name w:val="unnamed31"/>
    <w:qFormat/>
    <w:uiPriority w:val="0"/>
    <w:rPr>
      <w:rFonts w:hint="eastAsia" w:ascii="幼圆" w:eastAsia="幼圆"/>
      <w:sz w:val="21"/>
      <w:szCs w:val="21"/>
    </w:rPr>
  </w:style>
  <w:style w:type="character" w:customStyle="1" w:styleId="119">
    <w:name w:val="WW8Num1z0"/>
    <w:qFormat/>
    <w:uiPriority w:val="0"/>
    <w:rPr>
      <w:sz w:val="24"/>
    </w:rPr>
  </w:style>
  <w:style w:type="character" w:customStyle="1" w:styleId="120">
    <w:name w:val="日期 Char1"/>
    <w:qFormat/>
    <w:uiPriority w:val="0"/>
    <w:rPr>
      <w:rFonts w:ascii="Calibri" w:hAnsi="Calibri" w:eastAsia="宋体" w:cs="Times New Roman"/>
    </w:rPr>
  </w:style>
  <w:style w:type="character" w:customStyle="1" w:styleId="121">
    <w:name w:val="普通文字 Char1"/>
    <w:qFormat/>
    <w:locked/>
    <w:uiPriority w:val="0"/>
    <w:rPr>
      <w:rFonts w:ascii="宋体" w:hAnsi="Courier New" w:eastAsia="宋体"/>
      <w:kern w:val="2"/>
      <w:sz w:val="21"/>
      <w:lang w:val="en-US" w:eastAsia="zh-CN" w:bidi="ar-SA"/>
    </w:rPr>
  </w:style>
  <w:style w:type="character" w:customStyle="1" w:styleId="122">
    <w:name w:val="specifications1"/>
    <w:qFormat/>
    <w:uiPriority w:val="0"/>
    <w:rPr>
      <w:color w:val="FF3300"/>
      <w:u w:val="none"/>
    </w:rPr>
  </w:style>
  <w:style w:type="character" w:customStyle="1" w:styleId="123">
    <w:name w:val="页眉 Char2"/>
    <w:semiHidden/>
    <w:qFormat/>
    <w:uiPriority w:val="99"/>
    <w:rPr>
      <w:rFonts w:ascii="Calibri" w:hAnsi="Calibri" w:eastAsia="宋体" w:cs="Times New Roman"/>
      <w:sz w:val="18"/>
      <w:szCs w:val="18"/>
    </w:rPr>
  </w:style>
  <w:style w:type="character" w:customStyle="1" w:styleId="124">
    <w:name w:val="项目符号1 Char Char"/>
    <w:link w:val="125"/>
    <w:qFormat/>
    <w:locked/>
    <w:uiPriority w:val="0"/>
    <w:rPr>
      <w:rFonts w:ascii="宋体" w:hAnsi="宋体"/>
      <w:sz w:val="26"/>
    </w:rPr>
  </w:style>
  <w:style w:type="paragraph" w:customStyle="1" w:styleId="125">
    <w:name w:val="项目符号1"/>
    <w:basedOn w:val="1"/>
    <w:next w:val="1"/>
    <w:link w:val="124"/>
    <w:qFormat/>
    <w:uiPriority w:val="0"/>
    <w:pPr>
      <w:tabs>
        <w:tab w:val="left" w:pos="420"/>
      </w:tabs>
      <w:adjustRightInd w:val="0"/>
      <w:snapToGrid w:val="0"/>
      <w:spacing w:line="360" w:lineRule="auto"/>
      <w:ind w:left="839" w:hanging="419"/>
    </w:pPr>
    <w:rPr>
      <w:rFonts w:ascii="宋体" w:hAnsi="宋体"/>
      <w:kern w:val="0"/>
      <w:sz w:val="26"/>
      <w:szCs w:val="20"/>
    </w:rPr>
  </w:style>
  <w:style w:type="character" w:customStyle="1" w:styleId="126">
    <w:name w:val="font11"/>
    <w:qFormat/>
    <w:uiPriority w:val="0"/>
    <w:rPr>
      <w:rFonts w:hint="eastAsia" w:ascii="宋体" w:hAnsi="宋体" w:eastAsia="宋体" w:cs="宋体"/>
      <w:color w:val="000000"/>
      <w:sz w:val="24"/>
      <w:szCs w:val="24"/>
      <w:u w:val="none"/>
    </w:rPr>
  </w:style>
  <w:style w:type="character" w:customStyle="1" w:styleId="127">
    <w:name w:val="+正文 Char1"/>
    <w:link w:val="128"/>
    <w:qFormat/>
    <w:locked/>
    <w:uiPriority w:val="0"/>
    <w:rPr>
      <w:sz w:val="24"/>
    </w:rPr>
  </w:style>
  <w:style w:type="paragraph" w:customStyle="1" w:styleId="128">
    <w:name w:val="+正文"/>
    <w:basedOn w:val="1"/>
    <w:link w:val="127"/>
    <w:qFormat/>
    <w:uiPriority w:val="0"/>
    <w:pPr>
      <w:spacing w:line="360" w:lineRule="auto"/>
      <w:ind w:firstLine="200" w:firstLineChars="200"/>
    </w:pPr>
    <w:rPr>
      <w:rFonts w:ascii="Times New Roman" w:hAnsi="Times New Roman"/>
      <w:kern w:val="0"/>
      <w:sz w:val="24"/>
      <w:szCs w:val="20"/>
    </w:rPr>
  </w:style>
  <w:style w:type="character" w:customStyle="1" w:styleId="129">
    <w:name w:val="font31"/>
    <w:qFormat/>
    <w:uiPriority w:val="0"/>
    <w:rPr>
      <w:rFonts w:hint="eastAsia" w:ascii="宋体" w:hAnsi="宋体" w:eastAsia="宋体" w:cs="宋体"/>
      <w:color w:val="000000"/>
      <w:sz w:val="24"/>
      <w:szCs w:val="24"/>
      <w:u w:val="none"/>
    </w:rPr>
  </w:style>
  <w:style w:type="character" w:customStyle="1" w:styleId="130">
    <w:name w:val="章标 Char Char"/>
    <w:link w:val="131"/>
    <w:qFormat/>
    <w:uiPriority w:val="0"/>
    <w:rPr>
      <w:rFonts w:ascii="黑体" w:hAnsi="黑体" w:eastAsia="黑体" w:cs="宋体"/>
      <w:b/>
      <w:bCs/>
      <w:kern w:val="44"/>
      <w:sz w:val="32"/>
      <w:szCs w:val="44"/>
    </w:rPr>
  </w:style>
  <w:style w:type="paragraph" w:customStyle="1" w:styleId="131">
    <w:name w:val="章标"/>
    <w:basedOn w:val="3"/>
    <w:link w:val="130"/>
    <w:qFormat/>
    <w:uiPriority w:val="0"/>
    <w:pPr>
      <w:spacing w:before="120" w:after="120" w:line="400" w:lineRule="exact"/>
      <w:jc w:val="center"/>
    </w:pPr>
    <w:rPr>
      <w:rFonts w:ascii="黑体" w:hAnsi="黑体" w:eastAsia="黑体"/>
      <w:sz w:val="32"/>
    </w:rPr>
  </w:style>
  <w:style w:type="character" w:customStyle="1" w:styleId="132">
    <w:name w:val="font161"/>
    <w:qFormat/>
    <w:uiPriority w:val="0"/>
    <w:rPr>
      <w:b/>
      <w:bCs/>
      <w:sz w:val="32"/>
      <w:szCs w:val="32"/>
    </w:rPr>
  </w:style>
  <w:style w:type="character" w:customStyle="1" w:styleId="133">
    <w:name w:val="line1"/>
    <w:qFormat/>
    <w:uiPriority w:val="0"/>
    <w:rPr>
      <w:sz w:val="18"/>
      <w:szCs w:val="18"/>
    </w:rPr>
  </w:style>
  <w:style w:type="character" w:customStyle="1" w:styleId="134">
    <w:name w:val="font21"/>
    <w:qFormat/>
    <w:uiPriority w:val="0"/>
    <w:rPr>
      <w:rFonts w:hint="eastAsia" w:ascii="宋体" w:hAnsi="宋体" w:eastAsia="宋体" w:cs="宋体"/>
      <w:b/>
      <w:bCs/>
      <w:color w:val="FF0000"/>
      <w:sz w:val="24"/>
      <w:szCs w:val="24"/>
      <w:u w:val="none"/>
    </w:rPr>
  </w:style>
  <w:style w:type="character" w:customStyle="1" w:styleId="135">
    <w:name w:val="引用 Char1"/>
    <w:qFormat/>
    <w:uiPriority w:val="29"/>
    <w:rPr>
      <w:rFonts w:ascii="Calibri" w:hAnsi="Calibri" w:eastAsia="宋体" w:cs="Times New Roman"/>
      <w:i/>
      <w:iCs/>
      <w:color w:val="000000"/>
    </w:rPr>
  </w:style>
  <w:style w:type="character" w:customStyle="1" w:styleId="136">
    <w:name w:val="Char Char111"/>
    <w:qFormat/>
    <w:uiPriority w:val="0"/>
    <w:rPr>
      <w:rFonts w:eastAsia="宋体"/>
      <w:b/>
      <w:bCs/>
      <w:kern w:val="44"/>
      <w:sz w:val="44"/>
      <w:szCs w:val="44"/>
      <w:lang w:val="en-US" w:eastAsia="zh-CN" w:bidi="ar-SA"/>
    </w:rPr>
  </w:style>
  <w:style w:type="character" w:customStyle="1" w:styleId="137">
    <w:name w:val="HTML 预设格式 Char1"/>
    <w:semiHidden/>
    <w:qFormat/>
    <w:uiPriority w:val="99"/>
    <w:rPr>
      <w:rFonts w:ascii="Courier New" w:hAnsi="Courier New" w:eastAsia="宋体" w:cs="Courier New"/>
      <w:sz w:val="20"/>
      <w:szCs w:val="20"/>
    </w:rPr>
  </w:style>
  <w:style w:type="character" w:customStyle="1" w:styleId="138">
    <w:name w:val="正文文本 2 Char1"/>
    <w:semiHidden/>
    <w:qFormat/>
    <w:uiPriority w:val="99"/>
    <w:rPr>
      <w:kern w:val="2"/>
      <w:sz w:val="21"/>
      <w:szCs w:val="24"/>
    </w:rPr>
  </w:style>
  <w:style w:type="character" w:customStyle="1" w:styleId="139">
    <w:name w:val="v151"/>
    <w:qFormat/>
    <w:uiPriority w:val="0"/>
    <w:rPr>
      <w:sz w:val="18"/>
      <w:szCs w:val="18"/>
    </w:rPr>
  </w:style>
  <w:style w:type="character" w:customStyle="1" w:styleId="140">
    <w:name w:val="txt1"/>
    <w:qFormat/>
    <w:uiPriority w:val="0"/>
    <w:rPr>
      <w:color w:val="000099"/>
      <w:sz w:val="20"/>
      <w:szCs w:val="20"/>
      <w:u w:val="none"/>
    </w:rPr>
  </w:style>
  <w:style w:type="character" w:customStyle="1" w:styleId="141">
    <w:name w:val="日期 Char2"/>
    <w:semiHidden/>
    <w:qFormat/>
    <w:uiPriority w:val="99"/>
    <w:rPr>
      <w:rFonts w:ascii="Calibri" w:hAnsi="Calibri" w:eastAsia="宋体" w:cs="Times New Roman"/>
    </w:rPr>
  </w:style>
  <w:style w:type="character" w:customStyle="1" w:styleId="142">
    <w:name w:val="WW8Num8z0"/>
    <w:qFormat/>
    <w:uiPriority w:val="0"/>
    <w:rPr>
      <w:sz w:val="24"/>
    </w:rPr>
  </w:style>
  <w:style w:type="character" w:customStyle="1" w:styleId="143">
    <w:name w:val="Char Char1"/>
    <w:qFormat/>
    <w:uiPriority w:val="0"/>
    <w:rPr>
      <w:rFonts w:hint="eastAsia" w:ascii="楷体_GB2312" w:eastAsia="楷体_GB2312"/>
      <w:sz w:val="28"/>
      <w:lang w:val="en-US" w:eastAsia="zh-CN" w:bidi="ar-SA"/>
    </w:rPr>
  </w:style>
  <w:style w:type="character" w:customStyle="1" w:styleId="144">
    <w:name w:val="+正文 Char4"/>
    <w:qFormat/>
    <w:uiPriority w:val="0"/>
    <w:rPr>
      <w:rFonts w:hint="eastAsia" w:ascii="宋体" w:hAnsi="宋体" w:eastAsia="宋体"/>
      <w:kern w:val="2"/>
      <w:sz w:val="24"/>
      <w:szCs w:val="28"/>
      <w:lang w:val="en-US" w:eastAsia="zh-CN" w:bidi="ar-SA"/>
    </w:rPr>
  </w:style>
  <w:style w:type="character" w:customStyle="1" w:styleId="145">
    <w:name w:val="WW8Num3z0"/>
    <w:qFormat/>
    <w:uiPriority w:val="0"/>
    <w:rPr>
      <w:sz w:val="24"/>
      <w:szCs w:val="24"/>
    </w:rPr>
  </w:style>
  <w:style w:type="character" w:customStyle="1" w:styleId="146">
    <w:name w:val="明显强调2"/>
    <w:qFormat/>
    <w:uiPriority w:val="0"/>
    <w:rPr>
      <w:b/>
      <w:bCs/>
      <w:i/>
      <w:iCs/>
      <w:color w:val="4F81BD"/>
    </w:rPr>
  </w:style>
  <w:style w:type="character" w:customStyle="1" w:styleId="147">
    <w:name w:val="Char Char10"/>
    <w:qFormat/>
    <w:uiPriority w:val="0"/>
    <w:rPr>
      <w:rFonts w:hint="default" w:ascii="Arial" w:hAnsi="Arial" w:eastAsia="黑体" w:cs="Arial"/>
      <w:b/>
      <w:bCs/>
      <w:kern w:val="2"/>
      <w:sz w:val="32"/>
      <w:szCs w:val="32"/>
      <w:lang w:val="en-US" w:eastAsia="zh-CN" w:bidi="ar-SA"/>
    </w:rPr>
  </w:style>
  <w:style w:type="character" w:customStyle="1" w:styleId="148">
    <w:name w:val="标题5 Char Char"/>
    <w:link w:val="149"/>
    <w:qFormat/>
    <w:uiPriority w:val="0"/>
    <w:rPr>
      <w:rFonts w:ascii="Arial" w:hAnsi="Arial"/>
      <w:b/>
      <w:bCs/>
      <w:sz w:val="24"/>
      <w:szCs w:val="32"/>
    </w:rPr>
  </w:style>
  <w:style w:type="paragraph" w:customStyle="1" w:styleId="149">
    <w:name w:val="标题5"/>
    <w:basedOn w:val="5"/>
    <w:link w:val="148"/>
    <w:qFormat/>
    <w:uiPriority w:val="0"/>
    <w:pPr>
      <w:spacing w:line="413" w:lineRule="auto"/>
      <w:ind w:firstLine="0" w:firstLineChars="0"/>
    </w:pPr>
    <w:rPr>
      <w:rFonts w:ascii="Arial" w:hAnsi="Arial" w:eastAsia="宋体"/>
      <w:b/>
      <w:sz w:val="24"/>
      <w:szCs w:val="32"/>
    </w:rPr>
  </w:style>
  <w:style w:type="character" w:customStyle="1" w:styleId="150">
    <w:name w:val="正文首行缩进 Char2"/>
    <w:semiHidden/>
    <w:qFormat/>
    <w:uiPriority w:val="99"/>
    <w:rPr>
      <w:rFonts w:ascii="Calibri" w:hAnsi="Calibri" w:eastAsia="宋体" w:cs="Times New Roman"/>
    </w:rPr>
  </w:style>
  <w:style w:type="character" w:customStyle="1" w:styleId="151">
    <w:name w:val="节标 Char Char"/>
    <w:link w:val="152"/>
    <w:qFormat/>
    <w:uiPriority w:val="0"/>
    <w:rPr>
      <w:rFonts w:ascii="Times New Roman" w:hAnsi="Times New Roman" w:eastAsia="黑体" w:cs="Times New Roman"/>
      <w:sz w:val="28"/>
      <w:szCs w:val="20"/>
    </w:rPr>
  </w:style>
  <w:style w:type="paragraph" w:customStyle="1" w:styleId="152">
    <w:name w:val="节标"/>
    <w:basedOn w:val="153"/>
    <w:link w:val="151"/>
    <w:qFormat/>
    <w:uiPriority w:val="0"/>
    <w:pPr>
      <w:spacing w:before="0" w:after="156" w:line="300" w:lineRule="auto"/>
      <w:jc w:val="center"/>
    </w:pPr>
  </w:style>
  <w:style w:type="paragraph" w:customStyle="1" w:styleId="153">
    <w:name w:val="样式 标题 2 + Times New Roman 四号 非加粗 段前: 5 磅 段后: 0 磅 行距: 固定值 20..."/>
    <w:basedOn w:val="4"/>
    <w:link w:val="154"/>
    <w:qFormat/>
    <w:uiPriority w:val="0"/>
    <w:pPr>
      <w:spacing w:before="100" w:after="0" w:line="400" w:lineRule="exact"/>
    </w:pPr>
    <w:rPr>
      <w:rFonts w:ascii="Times New Roman" w:hAnsi="Times New Roman"/>
      <w:b w:val="0"/>
      <w:bCs w:val="0"/>
      <w:sz w:val="28"/>
      <w:szCs w:val="20"/>
    </w:rPr>
  </w:style>
  <w:style w:type="character" w:customStyle="1" w:styleId="154">
    <w:name w:val="样式 标题 2 + Times New Roman 四号 非加粗 段前: 5 磅 段后: 0 磅 行距: 固定值 20... Char Char"/>
    <w:link w:val="153"/>
    <w:qFormat/>
    <w:uiPriority w:val="0"/>
    <w:rPr>
      <w:rFonts w:ascii="Times New Roman" w:hAnsi="Times New Roman" w:eastAsia="黑体" w:cs="Times New Roman"/>
      <w:kern w:val="0"/>
      <w:sz w:val="28"/>
      <w:szCs w:val="20"/>
      <w:lang w:val="zh-CN" w:eastAsia="zh-CN"/>
    </w:rPr>
  </w:style>
  <w:style w:type="character" w:customStyle="1" w:styleId="155">
    <w:name w:val="列表2 Char Char"/>
    <w:link w:val="156"/>
    <w:qFormat/>
    <w:locked/>
    <w:uiPriority w:val="0"/>
    <w:rPr>
      <w:rFonts w:ascii="宋体" w:hAnsi="宋体"/>
      <w:sz w:val="26"/>
    </w:rPr>
  </w:style>
  <w:style w:type="paragraph" w:customStyle="1" w:styleId="156">
    <w:name w:val="列表2"/>
    <w:basedOn w:val="1"/>
    <w:link w:val="155"/>
    <w:qFormat/>
    <w:uiPriority w:val="0"/>
    <w:pPr>
      <w:tabs>
        <w:tab w:val="left" w:pos="420"/>
      </w:tabs>
      <w:adjustRightInd w:val="0"/>
      <w:snapToGrid w:val="0"/>
      <w:spacing w:line="360" w:lineRule="auto"/>
      <w:ind w:firstLine="420"/>
    </w:pPr>
    <w:rPr>
      <w:rFonts w:ascii="宋体" w:hAnsi="宋体"/>
      <w:kern w:val="0"/>
      <w:sz w:val="26"/>
      <w:szCs w:val="20"/>
    </w:rPr>
  </w:style>
  <w:style w:type="character" w:customStyle="1" w:styleId="157">
    <w:name w:val="Char Char11"/>
    <w:qFormat/>
    <w:uiPriority w:val="0"/>
    <w:rPr>
      <w:rFonts w:hint="eastAsia" w:ascii="宋体" w:hAnsi="宋体" w:eastAsia="宋体"/>
      <w:b/>
      <w:bCs/>
      <w:kern w:val="44"/>
      <w:sz w:val="44"/>
      <w:szCs w:val="44"/>
      <w:lang w:val="en-US" w:eastAsia="zh-CN" w:bidi="ar-SA"/>
    </w:rPr>
  </w:style>
  <w:style w:type="character" w:customStyle="1" w:styleId="158">
    <w:name w:val="批注框文本 Char2"/>
    <w:semiHidden/>
    <w:qFormat/>
    <w:uiPriority w:val="99"/>
    <w:rPr>
      <w:rFonts w:ascii="Calibri" w:hAnsi="Calibri" w:eastAsia="宋体" w:cs="Times New Roman"/>
      <w:sz w:val="18"/>
      <w:szCs w:val="18"/>
    </w:rPr>
  </w:style>
  <w:style w:type="character" w:customStyle="1" w:styleId="159">
    <w:name w:val="标题2 Char"/>
    <w:link w:val="160"/>
    <w:qFormat/>
    <w:locked/>
    <w:uiPriority w:val="0"/>
    <w:rPr>
      <w:rFonts w:ascii="黑体" w:hAnsi="黑体" w:eastAsia="黑体"/>
      <w:b/>
      <w:bCs/>
      <w:sz w:val="28"/>
      <w:szCs w:val="32"/>
    </w:rPr>
  </w:style>
  <w:style w:type="paragraph" w:customStyle="1" w:styleId="160">
    <w:name w:val="标题2"/>
    <w:basedOn w:val="4"/>
    <w:link w:val="159"/>
    <w:qFormat/>
    <w:uiPriority w:val="0"/>
    <w:pPr>
      <w:tabs>
        <w:tab w:val="left" w:pos="840"/>
      </w:tabs>
      <w:adjustRightInd w:val="0"/>
      <w:snapToGrid w:val="0"/>
      <w:spacing w:before="0" w:after="0" w:line="360" w:lineRule="auto"/>
      <w:ind w:left="840" w:hanging="420"/>
    </w:pPr>
    <w:rPr>
      <w:rFonts w:ascii="黑体" w:hAnsi="黑体"/>
      <w:sz w:val="28"/>
    </w:rPr>
  </w:style>
  <w:style w:type="character" w:customStyle="1" w:styleId="161">
    <w:name w:val="正文首行缩进 2 Char1"/>
    <w:semiHidden/>
    <w:qFormat/>
    <w:uiPriority w:val="99"/>
  </w:style>
  <w:style w:type="character" w:customStyle="1" w:styleId="162">
    <w:name w:val="页脚 Char2"/>
    <w:semiHidden/>
    <w:qFormat/>
    <w:uiPriority w:val="99"/>
    <w:rPr>
      <w:rFonts w:ascii="Calibri" w:hAnsi="Calibri" w:eastAsia="宋体" w:cs="Times New Roman"/>
      <w:sz w:val="18"/>
      <w:szCs w:val="18"/>
    </w:rPr>
  </w:style>
  <w:style w:type="character" w:customStyle="1" w:styleId="163">
    <w:name w:val="key_point"/>
    <w:qFormat/>
    <w:uiPriority w:val="0"/>
    <w:rPr>
      <w:rFonts w:eastAsia="宋体"/>
      <w:kern w:val="2"/>
      <w:sz w:val="24"/>
      <w:szCs w:val="24"/>
      <w:lang w:val="en-US" w:eastAsia="zh-CN" w:bidi="ar-SA"/>
    </w:rPr>
  </w:style>
  <w:style w:type="character" w:customStyle="1" w:styleId="164">
    <w:name w:val="批注文字 Char Char"/>
    <w:qFormat/>
    <w:uiPriority w:val="0"/>
    <w:rPr>
      <w:rFonts w:ascii="宋体" w:hAnsi="Times New Roman" w:eastAsia="宋体" w:cs="Times New Roman"/>
      <w:sz w:val="28"/>
      <w:szCs w:val="20"/>
    </w:rPr>
  </w:style>
  <w:style w:type="character" w:customStyle="1" w:styleId="165">
    <w:name w:val="textcontents1"/>
    <w:qFormat/>
    <w:uiPriority w:val="0"/>
    <w:rPr>
      <w:rFonts w:hint="eastAsia" w:ascii="宋体" w:hAnsi="宋体" w:eastAsia="宋体"/>
      <w:color w:val="000000"/>
      <w:kern w:val="2"/>
      <w:sz w:val="22"/>
      <w:szCs w:val="22"/>
      <w:lang w:val="en-US" w:eastAsia="zh-CN" w:bidi="ar-SA"/>
    </w:rPr>
  </w:style>
  <w:style w:type="character" w:customStyle="1" w:styleId="166">
    <w:name w:val="纯文本 Char2"/>
    <w:qFormat/>
    <w:uiPriority w:val="0"/>
    <w:rPr>
      <w:rFonts w:ascii="宋体" w:hAnsi="Courier New" w:eastAsia="宋体" w:cs="Courier New"/>
      <w:szCs w:val="21"/>
    </w:rPr>
  </w:style>
  <w:style w:type="character" w:customStyle="1" w:styleId="167">
    <w:name w:val="unnamed1"/>
    <w:qFormat/>
    <w:uiPriority w:val="0"/>
  </w:style>
  <w:style w:type="character" w:customStyle="1" w:styleId="168">
    <w:name w:val="Comment Text Char"/>
    <w:semiHidden/>
    <w:qFormat/>
    <w:locked/>
    <w:uiPriority w:val="0"/>
    <w:rPr>
      <w:rFonts w:ascii="Times New Roman" w:hAnsi="Times New Roman" w:eastAsia="宋体" w:cs="Times New Roman"/>
      <w:sz w:val="24"/>
      <w:szCs w:val="24"/>
    </w:rPr>
  </w:style>
  <w:style w:type="character" w:customStyle="1" w:styleId="169">
    <w:name w:val="big1"/>
    <w:qFormat/>
    <w:uiPriority w:val="0"/>
    <w:rPr>
      <w:sz w:val="30"/>
      <w:szCs w:val="30"/>
    </w:rPr>
  </w:style>
  <w:style w:type="character" w:customStyle="1" w:styleId="170">
    <w:name w:val="正文首行缩进 Char1"/>
    <w:semiHidden/>
    <w:qFormat/>
    <w:uiPriority w:val="99"/>
  </w:style>
  <w:style w:type="character" w:customStyle="1" w:styleId="171">
    <w:name w:val="明显强调1"/>
    <w:qFormat/>
    <w:uiPriority w:val="0"/>
    <w:rPr>
      <w:b/>
      <w:bCs/>
      <w:i/>
      <w:iCs/>
      <w:color w:val="4F81BD"/>
    </w:rPr>
  </w:style>
  <w:style w:type="character" w:customStyle="1" w:styleId="172">
    <w:name w:val="尾注文本 Char1"/>
    <w:qFormat/>
    <w:uiPriority w:val="0"/>
    <w:rPr>
      <w:kern w:val="2"/>
      <w:sz w:val="21"/>
    </w:rPr>
  </w:style>
  <w:style w:type="character" w:customStyle="1" w:styleId="173">
    <w:name w:val="正文文本 Char1"/>
    <w:qFormat/>
    <w:uiPriority w:val="0"/>
    <w:rPr>
      <w:kern w:val="2"/>
      <w:sz w:val="21"/>
      <w:szCs w:val="24"/>
    </w:rPr>
  </w:style>
  <w:style w:type="character" w:customStyle="1" w:styleId="174">
    <w:name w:val="WW8Num15z1"/>
    <w:qFormat/>
    <w:uiPriority w:val="0"/>
    <w:rPr>
      <w:rFonts w:hint="default" w:ascii="Times New Roman" w:hAnsi="Times New Roman" w:cs="Times New Roman"/>
      <w:color w:val="auto"/>
    </w:rPr>
  </w:style>
  <w:style w:type="character" w:customStyle="1" w:styleId="175">
    <w:name w:val="标题n Char"/>
    <w:link w:val="176"/>
    <w:qFormat/>
    <w:uiPriority w:val="0"/>
    <w:rPr>
      <w:rFonts w:ascii="Arial" w:hAnsi="Arial"/>
      <w:sz w:val="24"/>
      <w:szCs w:val="32"/>
    </w:rPr>
  </w:style>
  <w:style w:type="paragraph" w:customStyle="1" w:styleId="176">
    <w:name w:val="标题n"/>
    <w:basedOn w:val="149"/>
    <w:link w:val="175"/>
    <w:qFormat/>
    <w:uiPriority w:val="0"/>
    <w:pPr>
      <w:spacing w:before="120" w:after="120" w:line="360" w:lineRule="auto"/>
      <w:ind w:firstLine="200" w:firstLineChars="200"/>
    </w:pPr>
  </w:style>
  <w:style w:type="character" w:customStyle="1" w:styleId="177">
    <w:name w:val="引用 Char"/>
    <w:link w:val="178"/>
    <w:qFormat/>
    <w:uiPriority w:val="0"/>
    <w:rPr>
      <w:i/>
      <w:iCs/>
      <w:color w:val="000000"/>
    </w:rPr>
  </w:style>
  <w:style w:type="paragraph" w:customStyle="1" w:styleId="178">
    <w:name w:val="引用1"/>
    <w:basedOn w:val="1"/>
    <w:next w:val="1"/>
    <w:link w:val="177"/>
    <w:qFormat/>
    <w:uiPriority w:val="0"/>
    <w:rPr>
      <w:rFonts w:ascii="Times New Roman" w:hAnsi="Times New Roman"/>
      <w:i/>
      <w:iCs/>
      <w:color w:val="000000"/>
      <w:kern w:val="0"/>
      <w:sz w:val="20"/>
      <w:szCs w:val="20"/>
    </w:rPr>
  </w:style>
  <w:style w:type="character" w:customStyle="1" w:styleId="179">
    <w:name w:val="批注文字 Char2"/>
    <w:qFormat/>
    <w:uiPriority w:val="0"/>
    <w:rPr>
      <w:rFonts w:ascii="Calibri" w:hAnsi="Calibri" w:eastAsia="宋体" w:cs="Times New Roman"/>
    </w:rPr>
  </w:style>
  <w:style w:type="character" w:customStyle="1" w:styleId="180">
    <w:name w:val="Char Char151"/>
    <w:qFormat/>
    <w:uiPriority w:val="0"/>
    <w:rPr>
      <w:sz w:val="18"/>
      <w:szCs w:val="18"/>
    </w:rPr>
  </w:style>
  <w:style w:type="character" w:customStyle="1" w:styleId="181">
    <w:name w:val="文档结构图 Char1"/>
    <w:qFormat/>
    <w:uiPriority w:val="0"/>
    <w:rPr>
      <w:rFonts w:hint="eastAsia" w:ascii="宋体" w:hAnsi="宋体" w:eastAsia="宋体"/>
      <w:kern w:val="2"/>
      <w:sz w:val="18"/>
      <w:szCs w:val="18"/>
    </w:rPr>
  </w:style>
  <w:style w:type="character" w:customStyle="1" w:styleId="182">
    <w:name w:val="11 Char Char"/>
    <w:link w:val="183"/>
    <w:qFormat/>
    <w:uiPriority w:val="0"/>
    <w:rPr>
      <w:rFonts w:ascii="Arial" w:hAnsi="Arial" w:eastAsia="黑体" w:cs="宋体"/>
      <w:b/>
      <w:color w:val="000000"/>
      <w:sz w:val="28"/>
      <w:szCs w:val="24"/>
    </w:rPr>
  </w:style>
  <w:style w:type="paragraph" w:customStyle="1" w:styleId="183">
    <w:name w:val="11"/>
    <w:basedOn w:val="153"/>
    <w:link w:val="182"/>
    <w:qFormat/>
    <w:uiPriority w:val="0"/>
    <w:pPr>
      <w:spacing w:before="0" w:after="240"/>
    </w:pPr>
    <w:rPr>
      <w:rFonts w:ascii="Arial" w:hAnsi="Arial"/>
      <w:b/>
      <w:color w:val="000000"/>
      <w:szCs w:val="24"/>
    </w:rPr>
  </w:style>
  <w:style w:type="character" w:customStyle="1" w:styleId="184">
    <w:name w:val="尾注文本 Char2"/>
    <w:semiHidden/>
    <w:qFormat/>
    <w:uiPriority w:val="99"/>
    <w:rPr>
      <w:rFonts w:ascii="Calibri" w:hAnsi="Calibri" w:eastAsia="宋体" w:cs="Times New Roman"/>
    </w:rPr>
  </w:style>
  <w:style w:type="character" w:customStyle="1" w:styleId="185">
    <w:name w:val="正文文本 2 Char2"/>
    <w:semiHidden/>
    <w:qFormat/>
    <w:uiPriority w:val="99"/>
    <w:rPr>
      <w:rFonts w:ascii="Calibri" w:hAnsi="Calibri" w:eastAsia="宋体" w:cs="Times New Roman"/>
    </w:rPr>
  </w:style>
  <w:style w:type="character" w:customStyle="1" w:styleId="186">
    <w:name w:val="point_normal1"/>
    <w:qFormat/>
    <w:uiPriority w:val="0"/>
    <w:rPr>
      <w:rFonts w:hint="default" w:ascii="Arial" w:hAnsi="Arial" w:cs="Arial"/>
      <w:sz w:val="24"/>
      <w:szCs w:val="24"/>
    </w:rPr>
  </w:style>
  <w:style w:type="character" w:customStyle="1" w:styleId="187">
    <w:name w:val="明显引用 Char1"/>
    <w:qFormat/>
    <w:uiPriority w:val="30"/>
    <w:rPr>
      <w:rFonts w:ascii="Calibri" w:hAnsi="Calibri" w:eastAsia="宋体" w:cs="Times New Roman"/>
      <w:b/>
      <w:bCs/>
      <w:i/>
      <w:iCs/>
      <w:color w:val="4F81BD"/>
    </w:rPr>
  </w:style>
  <w:style w:type="character" w:customStyle="1" w:styleId="188">
    <w:name w:val="明显引用 字符"/>
    <w:link w:val="189"/>
    <w:qFormat/>
    <w:uiPriority w:val="0"/>
    <w:rPr>
      <w:rFonts w:ascii="Calibri" w:hAnsi="Calibri" w:eastAsia="宋体" w:cs="Times New Roman"/>
      <w:b/>
      <w:bCs/>
      <w:i/>
      <w:iCs/>
      <w:color w:val="4F81BD"/>
      <w:lang w:val="zh-CN" w:eastAsia="zh-CN"/>
    </w:rPr>
  </w:style>
  <w:style w:type="paragraph" w:styleId="189">
    <w:name w:val="Intense Quote"/>
    <w:basedOn w:val="1"/>
    <w:next w:val="1"/>
    <w:link w:val="188"/>
    <w:qFormat/>
    <w:uiPriority w:val="0"/>
    <w:pPr>
      <w:pBdr>
        <w:bottom w:val="single" w:color="4F81BD" w:sz="4" w:space="4"/>
      </w:pBdr>
      <w:spacing w:before="200" w:after="280"/>
      <w:ind w:left="936" w:right="936"/>
    </w:pPr>
    <w:rPr>
      <w:b/>
      <w:bCs/>
      <w:i/>
      <w:iCs/>
      <w:color w:val="4F81BD"/>
      <w:lang w:val="zh-CN"/>
    </w:rPr>
  </w:style>
  <w:style w:type="character" w:customStyle="1" w:styleId="190">
    <w:name w:val="正文文本缩进 3 Char2"/>
    <w:semiHidden/>
    <w:qFormat/>
    <w:uiPriority w:val="99"/>
    <w:rPr>
      <w:rFonts w:ascii="Calibri" w:hAnsi="Calibri" w:eastAsia="宋体" w:cs="Times New Roman"/>
      <w:sz w:val="16"/>
      <w:szCs w:val="16"/>
    </w:rPr>
  </w:style>
  <w:style w:type="character" w:customStyle="1" w:styleId="191">
    <w:name w:val="副标题 Char1"/>
    <w:qFormat/>
    <w:uiPriority w:val="11"/>
    <w:rPr>
      <w:rFonts w:ascii="Cambria" w:hAnsi="Cambria" w:eastAsia="宋体" w:cs="Times New Roman"/>
      <w:b/>
      <w:bCs/>
      <w:kern w:val="28"/>
      <w:sz w:val="32"/>
      <w:szCs w:val="32"/>
    </w:rPr>
  </w:style>
  <w:style w:type="character" w:customStyle="1" w:styleId="192">
    <w:name w:val="111 Char Char"/>
    <w:link w:val="193"/>
    <w:qFormat/>
    <w:uiPriority w:val="0"/>
    <w:rPr>
      <w:rFonts w:ascii="Calibri" w:hAnsi="Calibri" w:eastAsia="黑体" w:cs="Times New Roman"/>
      <w:b/>
      <w:color w:val="000000"/>
      <w:kern w:val="0"/>
      <w:sz w:val="24"/>
      <w:szCs w:val="24"/>
      <w:lang w:val="zh-CN" w:eastAsia="zh-CN"/>
    </w:rPr>
  </w:style>
  <w:style w:type="paragraph" w:customStyle="1" w:styleId="193">
    <w:name w:val="111"/>
    <w:basedOn w:val="5"/>
    <w:link w:val="192"/>
    <w:qFormat/>
    <w:uiPriority w:val="0"/>
    <w:pPr>
      <w:spacing w:before="0" w:after="0" w:line="400" w:lineRule="exact"/>
      <w:ind w:firstLine="0" w:firstLineChars="0"/>
    </w:pPr>
    <w:rPr>
      <w:rFonts w:ascii="Calibri" w:hAnsi="Calibri"/>
      <w:b/>
      <w:bCs w:val="0"/>
      <w:color w:val="000000"/>
      <w:sz w:val="24"/>
      <w:szCs w:val="24"/>
    </w:rPr>
  </w:style>
  <w:style w:type="character" w:customStyle="1" w:styleId="194">
    <w:name w:val="默认段落字体1"/>
    <w:qFormat/>
    <w:uiPriority w:val="0"/>
  </w:style>
  <w:style w:type="character" w:customStyle="1" w:styleId="195">
    <w:name w:val="尾注文本 Char Char"/>
    <w:qFormat/>
    <w:uiPriority w:val="0"/>
    <w:rPr>
      <w:rFonts w:hint="eastAsia" w:ascii="宋体" w:hAnsi="宋体" w:eastAsia="宋体"/>
      <w:kern w:val="2"/>
      <w:sz w:val="21"/>
      <w:szCs w:val="24"/>
      <w:lang w:val="en-US" w:eastAsia="zh-CN" w:bidi="ar-SA"/>
    </w:rPr>
  </w:style>
  <w:style w:type="character" w:customStyle="1" w:styleId="196">
    <w:name w:val="WW8Num4z0"/>
    <w:qFormat/>
    <w:uiPriority w:val="0"/>
    <w:rPr>
      <w:rFonts w:hint="default" w:ascii="Courier New" w:hAnsi="Courier New" w:cs="Courier New"/>
      <w:sz w:val="22"/>
    </w:rPr>
  </w:style>
  <w:style w:type="character" w:customStyle="1" w:styleId="197">
    <w:name w:val="正文文本 Char"/>
    <w:qFormat/>
    <w:uiPriority w:val="0"/>
    <w:rPr>
      <w:rFonts w:eastAsia="宋体"/>
      <w:kern w:val="2"/>
      <w:sz w:val="21"/>
      <w:szCs w:val="24"/>
      <w:lang w:val="en-US" w:eastAsia="zh-CN" w:bidi="ar-SA"/>
    </w:rPr>
  </w:style>
  <w:style w:type="character" w:customStyle="1" w:styleId="198">
    <w:name w:val="附表 Char Char"/>
    <w:link w:val="199"/>
    <w:qFormat/>
    <w:uiPriority w:val="0"/>
    <w:rPr>
      <w:rFonts w:ascii="楷体_GB2312" w:hAnsi="楷体_GB2312" w:eastAsia="楷体_GB2312"/>
      <w:b/>
      <w:color w:val="000000"/>
      <w:sz w:val="24"/>
      <w:szCs w:val="24"/>
    </w:rPr>
  </w:style>
  <w:style w:type="paragraph" w:customStyle="1" w:styleId="199">
    <w:name w:val="附表"/>
    <w:basedOn w:val="193"/>
    <w:link w:val="198"/>
    <w:qFormat/>
    <w:uiPriority w:val="0"/>
    <w:rPr>
      <w:rFonts w:ascii="楷体_GB2312" w:hAnsi="楷体_GB2312" w:eastAsia="楷体_GB2312"/>
    </w:rPr>
  </w:style>
  <w:style w:type="character" w:customStyle="1" w:styleId="200">
    <w:name w:val="明显参考1"/>
    <w:qFormat/>
    <w:uiPriority w:val="0"/>
    <w:rPr>
      <w:b/>
      <w:bCs/>
      <w:smallCaps/>
      <w:color w:val="C0504D"/>
      <w:spacing w:val="5"/>
      <w:u w:val="single"/>
    </w:rPr>
  </w:style>
  <w:style w:type="character" w:customStyle="1" w:styleId="201">
    <w:name w:val="正文文本缩进 2 Char1"/>
    <w:semiHidden/>
    <w:qFormat/>
    <w:uiPriority w:val="99"/>
    <w:rPr>
      <w:kern w:val="2"/>
      <w:sz w:val="21"/>
      <w:szCs w:val="24"/>
    </w:rPr>
  </w:style>
  <w:style w:type="character" w:customStyle="1" w:styleId="202">
    <w:name w:val="引用 字符"/>
    <w:link w:val="203"/>
    <w:qFormat/>
    <w:uiPriority w:val="0"/>
    <w:rPr>
      <w:rFonts w:ascii="Calibri" w:hAnsi="Calibri" w:eastAsia="宋体" w:cs="Times New Roman"/>
      <w:i/>
      <w:iCs/>
      <w:color w:val="000000"/>
      <w:lang w:val="zh-CN" w:eastAsia="zh-CN"/>
    </w:rPr>
  </w:style>
  <w:style w:type="paragraph" w:styleId="203">
    <w:name w:val="Quote"/>
    <w:basedOn w:val="1"/>
    <w:next w:val="1"/>
    <w:link w:val="202"/>
    <w:qFormat/>
    <w:uiPriority w:val="0"/>
    <w:rPr>
      <w:i/>
      <w:iCs/>
      <w:color w:val="000000"/>
      <w:lang w:val="zh-CN"/>
    </w:rPr>
  </w:style>
  <w:style w:type="character" w:customStyle="1" w:styleId="204">
    <w:name w:val="Char Char15"/>
    <w:qFormat/>
    <w:uiPriority w:val="0"/>
    <w:rPr>
      <w:sz w:val="18"/>
      <w:szCs w:val="18"/>
    </w:rPr>
  </w:style>
  <w:style w:type="character" w:customStyle="1" w:styleId="205">
    <w:name w:val="textcontents"/>
    <w:qFormat/>
    <w:uiPriority w:val="0"/>
    <w:rPr>
      <w:rFonts w:cs="Times New Roman"/>
    </w:rPr>
  </w:style>
  <w:style w:type="character" w:customStyle="1" w:styleId="206">
    <w:name w:val="p9b"/>
    <w:qFormat/>
    <w:uiPriority w:val="0"/>
  </w:style>
  <w:style w:type="character" w:customStyle="1" w:styleId="207">
    <w:name w:val="Char Char9"/>
    <w:qFormat/>
    <w:uiPriority w:val="0"/>
    <w:rPr>
      <w:rFonts w:ascii="黑体" w:hAnsi="宋体" w:eastAsia="黑体"/>
      <w:bCs/>
      <w:kern w:val="2"/>
      <w:sz w:val="28"/>
      <w:szCs w:val="28"/>
      <w:lang w:val="en-US" w:eastAsia="zh-CN" w:bidi="ar-SA"/>
    </w:rPr>
  </w:style>
  <w:style w:type="character" w:customStyle="1" w:styleId="208">
    <w:name w:val="Char Char91"/>
    <w:qFormat/>
    <w:uiPriority w:val="0"/>
    <w:rPr>
      <w:rFonts w:hint="eastAsia" w:ascii="黑体" w:hAnsi="宋体" w:eastAsia="黑体"/>
      <w:bCs/>
      <w:kern w:val="2"/>
      <w:sz w:val="28"/>
      <w:szCs w:val="28"/>
      <w:lang w:val="en-US" w:eastAsia="zh-CN" w:bidi="ar-SA"/>
    </w:rPr>
  </w:style>
  <w:style w:type="character" w:customStyle="1" w:styleId="209">
    <w:name w:val="标题4 Char Char"/>
    <w:link w:val="210"/>
    <w:qFormat/>
    <w:uiPriority w:val="0"/>
    <w:rPr>
      <w:rFonts w:ascii="Arial" w:hAnsi="Arial"/>
      <w:b/>
      <w:bCs/>
      <w:sz w:val="24"/>
      <w:szCs w:val="32"/>
    </w:rPr>
  </w:style>
  <w:style w:type="paragraph" w:customStyle="1" w:styleId="210">
    <w:name w:val="标题4"/>
    <w:basedOn w:val="4"/>
    <w:next w:val="28"/>
    <w:link w:val="209"/>
    <w:qFormat/>
    <w:uiPriority w:val="0"/>
    <w:pPr>
      <w:spacing w:line="413" w:lineRule="auto"/>
    </w:pPr>
    <w:rPr>
      <w:rFonts w:eastAsia="宋体"/>
      <w:sz w:val="24"/>
    </w:rPr>
  </w:style>
  <w:style w:type="character" w:customStyle="1" w:styleId="211">
    <w:name w:val="书籍标题1"/>
    <w:qFormat/>
    <w:uiPriority w:val="0"/>
    <w:rPr>
      <w:b/>
      <w:bCs/>
      <w:smallCaps/>
      <w:spacing w:val="5"/>
    </w:rPr>
  </w:style>
  <w:style w:type="character" w:customStyle="1" w:styleId="212">
    <w:name w:val="书籍标题2"/>
    <w:qFormat/>
    <w:uiPriority w:val="0"/>
    <w:rPr>
      <w:b/>
      <w:bCs/>
      <w:smallCaps/>
      <w:spacing w:val="5"/>
    </w:rPr>
  </w:style>
  <w:style w:type="character" w:customStyle="1" w:styleId="213">
    <w:name w:val="不明显参考1"/>
    <w:qFormat/>
    <w:uiPriority w:val="0"/>
    <w:rPr>
      <w:smallCaps/>
      <w:color w:val="C0504D"/>
      <w:u w:val="single"/>
    </w:rPr>
  </w:style>
  <w:style w:type="character" w:customStyle="1" w:styleId="214">
    <w:name w:val="标题 2 Char Char"/>
    <w:qFormat/>
    <w:uiPriority w:val="0"/>
    <w:rPr>
      <w:rFonts w:ascii="Arial" w:hAnsi="Arial" w:eastAsia="黑体"/>
      <w:b/>
      <w:bCs/>
      <w:kern w:val="2"/>
      <w:sz w:val="32"/>
      <w:szCs w:val="32"/>
      <w:lang w:val="en-US" w:eastAsia="zh-CN" w:bidi="ar-SA"/>
    </w:rPr>
  </w:style>
  <w:style w:type="character" w:customStyle="1" w:styleId="215">
    <w:name w:val="文一 Char Char"/>
    <w:qFormat/>
    <w:uiPriority w:val="0"/>
    <w:rPr>
      <w:snapToGrid w:val="0"/>
      <w:spacing w:val="4"/>
      <w:sz w:val="24"/>
      <w:szCs w:val="24"/>
    </w:rPr>
  </w:style>
  <w:style w:type="character" w:customStyle="1" w:styleId="216">
    <w:name w:val="style261"/>
    <w:qFormat/>
    <w:uiPriority w:val="0"/>
    <w:rPr>
      <w:rFonts w:eastAsia="宋体"/>
      <w:kern w:val="2"/>
      <w:sz w:val="20"/>
      <w:szCs w:val="20"/>
      <w:lang w:val="en-US" w:eastAsia="zh-CN" w:bidi="ar-SA"/>
    </w:rPr>
  </w:style>
  <w:style w:type="character" w:customStyle="1" w:styleId="217">
    <w:name w:val="HTML Markup"/>
    <w:qFormat/>
    <w:uiPriority w:val="0"/>
    <w:rPr>
      <w:vanish/>
      <w:color w:val="FF0000"/>
    </w:rPr>
  </w:style>
  <w:style w:type="character" w:customStyle="1" w:styleId="218">
    <w:name w:val="标题3 Char"/>
    <w:link w:val="219"/>
    <w:qFormat/>
    <w:locked/>
    <w:uiPriority w:val="0"/>
    <w:rPr>
      <w:rFonts w:ascii="黑体" w:hAnsi="黑体" w:eastAsia="黑体"/>
      <w:b/>
      <w:bCs/>
      <w:sz w:val="26"/>
      <w:szCs w:val="32"/>
    </w:rPr>
  </w:style>
  <w:style w:type="paragraph" w:customStyle="1" w:styleId="219">
    <w:name w:val="标题3"/>
    <w:basedOn w:val="5"/>
    <w:link w:val="218"/>
    <w:qFormat/>
    <w:uiPriority w:val="0"/>
    <w:pPr>
      <w:tabs>
        <w:tab w:val="left" w:pos="1875"/>
      </w:tabs>
      <w:adjustRightInd w:val="0"/>
      <w:snapToGrid w:val="0"/>
      <w:spacing w:before="0" w:after="0" w:line="360" w:lineRule="auto"/>
      <w:ind w:left="1875" w:hanging="1035" w:firstLineChars="0"/>
    </w:pPr>
    <w:rPr>
      <w:rFonts w:hAnsi="黑体"/>
      <w:b/>
      <w:sz w:val="26"/>
      <w:szCs w:val="32"/>
    </w:rPr>
  </w:style>
  <w:style w:type="character" w:customStyle="1" w:styleId="220">
    <w:name w:val="附件 Char Char"/>
    <w:link w:val="221"/>
    <w:qFormat/>
    <w:uiPriority w:val="0"/>
    <w:rPr>
      <w:rFonts w:ascii="黑体" w:hAnsi="黑体" w:eastAsia="黑体"/>
      <w:b/>
      <w:color w:val="000000"/>
      <w:sz w:val="24"/>
      <w:szCs w:val="32"/>
    </w:rPr>
  </w:style>
  <w:style w:type="paragraph" w:customStyle="1" w:styleId="221">
    <w:name w:val="附件"/>
    <w:basedOn w:val="4"/>
    <w:link w:val="220"/>
    <w:qFormat/>
    <w:uiPriority w:val="0"/>
    <w:pPr>
      <w:spacing w:line="416" w:lineRule="auto"/>
    </w:pPr>
    <w:rPr>
      <w:rFonts w:ascii="黑体" w:hAnsi="黑体"/>
      <w:bCs w:val="0"/>
      <w:color w:val="000000"/>
      <w:sz w:val="24"/>
    </w:rPr>
  </w:style>
  <w:style w:type="character" w:customStyle="1" w:styleId="222">
    <w:name w:val="页眉 Char1"/>
    <w:semiHidden/>
    <w:qFormat/>
    <w:uiPriority w:val="99"/>
    <w:rPr>
      <w:kern w:val="2"/>
      <w:sz w:val="18"/>
      <w:szCs w:val="18"/>
    </w:rPr>
  </w:style>
  <w:style w:type="character" w:customStyle="1" w:styleId="223">
    <w:name w:val="批注框文本 Char1"/>
    <w:qFormat/>
    <w:uiPriority w:val="0"/>
    <w:rPr>
      <w:kern w:val="2"/>
      <w:sz w:val="18"/>
      <w:szCs w:val="18"/>
    </w:rPr>
  </w:style>
  <w:style w:type="character" w:customStyle="1" w:styleId="224">
    <w:name w:val="doc_title1"/>
    <w:qFormat/>
    <w:uiPriority w:val="0"/>
    <w:rPr>
      <w:color w:val="333333"/>
      <w:sz w:val="25"/>
      <w:szCs w:val="25"/>
    </w:rPr>
  </w:style>
  <w:style w:type="character" w:customStyle="1" w:styleId="225">
    <w:name w:val="明显参考2"/>
    <w:qFormat/>
    <w:uiPriority w:val="0"/>
    <w:rPr>
      <w:b/>
      <w:bCs/>
      <w:smallCaps/>
      <w:color w:val="C0504D"/>
      <w:spacing w:val="5"/>
      <w:u w:val="single"/>
    </w:rPr>
  </w:style>
  <w:style w:type="character" w:customStyle="1" w:styleId="226">
    <w:name w:val="FtrF Char Char"/>
    <w:qFormat/>
    <w:uiPriority w:val="0"/>
    <w:rPr>
      <w:rFonts w:eastAsia="宋体"/>
      <w:kern w:val="2"/>
      <w:sz w:val="18"/>
      <w:lang w:val="en-US" w:eastAsia="zh-CN" w:bidi="ar-SA"/>
    </w:rPr>
  </w:style>
  <w:style w:type="character" w:customStyle="1" w:styleId="227">
    <w:name w:val="标题 Char2"/>
    <w:qFormat/>
    <w:uiPriority w:val="10"/>
    <w:rPr>
      <w:rFonts w:ascii="Cambria" w:hAnsi="Cambria" w:eastAsia="宋体" w:cs="Times New Roman"/>
      <w:b/>
      <w:bCs/>
      <w:sz w:val="32"/>
      <w:szCs w:val="32"/>
    </w:rPr>
  </w:style>
  <w:style w:type="character" w:customStyle="1" w:styleId="228">
    <w:name w:val="批注主题 Char2"/>
    <w:semiHidden/>
    <w:qFormat/>
    <w:uiPriority w:val="99"/>
    <w:rPr>
      <w:rFonts w:ascii="Calibri" w:hAnsi="Calibri" w:eastAsia="宋体" w:cs="Times New Roman"/>
      <w:b/>
      <w:bCs/>
    </w:rPr>
  </w:style>
  <w:style w:type="character" w:customStyle="1" w:styleId="229">
    <w:name w:val="条标题1.1.1 Char"/>
    <w:qFormat/>
    <w:uiPriority w:val="0"/>
    <w:rPr>
      <w:rFonts w:eastAsia="宋体"/>
      <w:b/>
      <w:color w:val="000000"/>
      <w:kern w:val="2"/>
      <w:sz w:val="24"/>
      <w:szCs w:val="24"/>
      <w:lang w:val="en-US" w:eastAsia="zh-CN" w:bidi="ar-SA"/>
    </w:rPr>
  </w:style>
  <w:style w:type="character" w:customStyle="1" w:styleId="230">
    <w:name w:val="明显引用 Char"/>
    <w:link w:val="231"/>
    <w:qFormat/>
    <w:uiPriority w:val="0"/>
    <w:rPr>
      <w:b/>
      <w:bCs/>
      <w:i/>
      <w:iCs/>
      <w:color w:val="4F81BD"/>
    </w:rPr>
  </w:style>
  <w:style w:type="paragraph" w:customStyle="1" w:styleId="231">
    <w:name w:val="明显引用1"/>
    <w:basedOn w:val="1"/>
    <w:next w:val="1"/>
    <w:link w:val="230"/>
    <w:qFormat/>
    <w:uiPriority w:val="0"/>
    <w:pPr>
      <w:pBdr>
        <w:bottom w:val="single" w:color="4F81BD" w:sz="4" w:space="4"/>
      </w:pBdr>
      <w:spacing w:before="200" w:after="280"/>
      <w:ind w:left="936" w:right="936"/>
    </w:pPr>
    <w:rPr>
      <w:rFonts w:ascii="Times New Roman" w:hAnsi="Times New Roman"/>
      <w:b/>
      <w:bCs/>
      <w:i/>
      <w:iCs/>
      <w:color w:val="4F81BD"/>
      <w:kern w:val="0"/>
      <w:sz w:val="20"/>
      <w:szCs w:val="20"/>
    </w:rPr>
  </w:style>
  <w:style w:type="character" w:customStyle="1" w:styleId="232">
    <w:name w:val="不明显强调1"/>
    <w:qFormat/>
    <w:uiPriority w:val="0"/>
    <w:rPr>
      <w:i/>
      <w:iCs/>
      <w:color w:val="808080"/>
    </w:rPr>
  </w:style>
  <w:style w:type="character" w:customStyle="1" w:styleId="233">
    <w:name w:val="文档结构图 Char2"/>
    <w:semiHidden/>
    <w:qFormat/>
    <w:uiPriority w:val="99"/>
    <w:rPr>
      <w:rFonts w:ascii="Microsoft YaHei UI" w:hAnsi="Calibri" w:eastAsia="Microsoft YaHei UI" w:cs="Times New Roman"/>
      <w:sz w:val="18"/>
      <w:szCs w:val="18"/>
    </w:rPr>
  </w:style>
  <w:style w:type="character" w:customStyle="1" w:styleId="234">
    <w:name w:val="不明显强调2"/>
    <w:qFormat/>
    <w:uiPriority w:val="0"/>
    <w:rPr>
      <w:i/>
      <w:iCs/>
      <w:color w:val="808080"/>
    </w:rPr>
  </w:style>
  <w:style w:type="character" w:customStyle="1" w:styleId="235">
    <w:name w:val="font01"/>
    <w:qFormat/>
    <w:uiPriority w:val="0"/>
    <w:rPr>
      <w:rFonts w:hint="eastAsia" w:ascii="宋体" w:hAnsi="宋体" w:eastAsia="宋体" w:cs="宋体"/>
      <w:color w:val="000000"/>
      <w:sz w:val="24"/>
      <w:szCs w:val="24"/>
      <w:u w:val="none"/>
    </w:rPr>
  </w:style>
  <w:style w:type="character" w:customStyle="1" w:styleId="236">
    <w:name w:val="标题 1 Char Char"/>
    <w:qFormat/>
    <w:uiPriority w:val="0"/>
    <w:rPr>
      <w:rFonts w:hint="eastAsia" w:ascii="仿宋_GB2312" w:hAnsi="宋体" w:eastAsia="仿宋_GB2312" w:cs="宋体"/>
      <w:b/>
      <w:bCs/>
      <w:kern w:val="2"/>
      <w:sz w:val="30"/>
      <w:szCs w:val="30"/>
      <w:lang w:val="en-US" w:eastAsia="zh-CN" w:bidi="ar-SA"/>
    </w:rPr>
  </w:style>
  <w:style w:type="character" w:customStyle="1" w:styleId="237">
    <w:name w:val="Char Char2"/>
    <w:qFormat/>
    <w:uiPriority w:val="0"/>
    <w:rPr>
      <w:rFonts w:ascii="宋体" w:hAnsi="Courier New" w:cs="宋体"/>
      <w:color w:val="000000"/>
      <w:kern w:val="2"/>
      <w:sz w:val="21"/>
      <w:szCs w:val="21"/>
    </w:rPr>
  </w:style>
  <w:style w:type="character" w:customStyle="1" w:styleId="238">
    <w:name w:val="apple-style-span"/>
    <w:qFormat/>
    <w:uiPriority w:val="0"/>
    <w:rPr>
      <w:rFonts w:eastAsia="宋体"/>
      <w:kern w:val="2"/>
      <w:sz w:val="24"/>
      <w:szCs w:val="24"/>
      <w:lang w:val="en-US" w:eastAsia="zh-CN" w:bidi="ar-SA"/>
    </w:rPr>
  </w:style>
  <w:style w:type="character" w:customStyle="1" w:styleId="239">
    <w:name w:val="正文文本缩进 Char2"/>
    <w:semiHidden/>
    <w:qFormat/>
    <w:uiPriority w:val="99"/>
    <w:rPr>
      <w:kern w:val="2"/>
      <w:sz w:val="21"/>
      <w:szCs w:val="24"/>
    </w:rPr>
  </w:style>
  <w:style w:type="character" w:customStyle="1" w:styleId="240">
    <w:name w:val="正 文 1 Char Char"/>
    <w:qFormat/>
    <w:uiPriority w:val="0"/>
    <w:rPr>
      <w:rFonts w:ascii="宋体" w:hAnsi="Courier New" w:eastAsia="宋体"/>
      <w:kern w:val="2"/>
      <w:sz w:val="21"/>
      <w:szCs w:val="24"/>
      <w:lang w:val="en-US" w:eastAsia="zh-CN" w:bidi="ar-SA"/>
    </w:rPr>
  </w:style>
  <w:style w:type="character" w:customStyle="1" w:styleId="241">
    <w:name w:val="页脚 Char1"/>
    <w:semiHidden/>
    <w:qFormat/>
    <w:uiPriority w:val="99"/>
    <w:rPr>
      <w:rFonts w:ascii="Calibri" w:hAnsi="Calibri" w:eastAsia="宋体" w:cs="Times New Roman"/>
      <w:sz w:val="18"/>
      <w:szCs w:val="18"/>
    </w:rPr>
  </w:style>
  <w:style w:type="character" w:customStyle="1" w:styleId="242">
    <w:name w:val="批注文字 Char"/>
    <w:qFormat/>
    <w:uiPriority w:val="0"/>
    <w:rPr>
      <w:rFonts w:eastAsia="宋体"/>
      <w:kern w:val="2"/>
      <w:sz w:val="21"/>
      <w:szCs w:val="24"/>
      <w:lang w:val="en-US" w:eastAsia="zh-CN" w:bidi="ar-SA"/>
    </w:rPr>
  </w:style>
  <w:style w:type="character" w:customStyle="1" w:styleId="243">
    <w:name w:val="纯文本 Char1"/>
    <w:qFormat/>
    <w:locked/>
    <w:uiPriority w:val="0"/>
    <w:rPr>
      <w:rFonts w:ascii="宋体" w:hAnsi="Courier New" w:eastAsia="宋体"/>
      <w:kern w:val="2"/>
      <w:sz w:val="21"/>
      <w:lang w:val="en-US" w:eastAsia="zh-CN" w:bidi="ar-SA"/>
    </w:rPr>
  </w:style>
  <w:style w:type="character" w:customStyle="1" w:styleId="244">
    <w:name w:val="unnamed21"/>
    <w:qFormat/>
    <w:uiPriority w:val="0"/>
    <w:rPr>
      <w:rFonts w:hint="eastAsia" w:ascii="宋体" w:hAnsi="宋体" w:eastAsia="宋体"/>
      <w:sz w:val="24"/>
      <w:szCs w:val="24"/>
    </w:rPr>
  </w:style>
  <w:style w:type="character" w:customStyle="1" w:styleId="245">
    <w:name w:val="正文文本缩进 2 Char2"/>
    <w:semiHidden/>
    <w:qFormat/>
    <w:uiPriority w:val="99"/>
    <w:rPr>
      <w:rFonts w:ascii="Calibri" w:hAnsi="Calibri" w:eastAsia="宋体" w:cs="Times New Roman"/>
    </w:rPr>
  </w:style>
  <w:style w:type="character" w:customStyle="1" w:styleId="246">
    <w:name w:val="批注主题 Char1"/>
    <w:qFormat/>
    <w:uiPriority w:val="0"/>
    <w:rPr>
      <w:rFonts w:ascii="Calibri" w:hAnsi="Calibri" w:eastAsia="宋体" w:cs="Times New Roman"/>
      <w:b/>
      <w:bCs/>
    </w:rPr>
  </w:style>
  <w:style w:type="character" w:customStyle="1" w:styleId="247">
    <w:name w:val="正文文本 3 Char2"/>
    <w:semiHidden/>
    <w:qFormat/>
    <w:uiPriority w:val="99"/>
    <w:rPr>
      <w:rFonts w:ascii="Calibri" w:hAnsi="Calibri" w:eastAsia="宋体" w:cs="Times New Roman"/>
      <w:sz w:val="16"/>
      <w:szCs w:val="16"/>
    </w:rPr>
  </w:style>
  <w:style w:type="character" w:customStyle="1" w:styleId="248">
    <w:name w:val="+正文 Char"/>
    <w:qFormat/>
    <w:uiPriority w:val="0"/>
    <w:rPr>
      <w:rFonts w:hint="eastAsia" w:ascii="宋体" w:hAnsi="宋体" w:eastAsia="宋体"/>
      <w:kern w:val="2"/>
      <w:sz w:val="24"/>
      <w:szCs w:val="28"/>
      <w:lang w:val="en-US" w:eastAsia="zh-CN" w:bidi="ar-SA"/>
    </w:rPr>
  </w:style>
  <w:style w:type="character" w:customStyle="1" w:styleId="249">
    <w:name w:val="正文1 Char"/>
    <w:qFormat/>
    <w:uiPriority w:val="0"/>
    <w:rPr>
      <w:rFonts w:hint="eastAsia" w:ascii="宋体" w:hAnsi="宋体" w:eastAsia="宋体" w:cs="宋体"/>
      <w:kern w:val="44"/>
      <w:sz w:val="26"/>
      <w:lang w:val="en-US" w:eastAsia="zh-CN" w:bidi="ar-SA"/>
    </w:rPr>
  </w:style>
  <w:style w:type="character" w:customStyle="1" w:styleId="250">
    <w:name w:val="Char Char101"/>
    <w:qFormat/>
    <w:uiPriority w:val="0"/>
    <w:rPr>
      <w:rFonts w:ascii="Arial" w:hAnsi="Arial" w:eastAsia="黑体"/>
      <w:b/>
      <w:bCs/>
      <w:kern w:val="2"/>
      <w:sz w:val="32"/>
      <w:szCs w:val="32"/>
      <w:lang w:val="en-US" w:eastAsia="zh-CN" w:bidi="ar-SA"/>
    </w:rPr>
  </w:style>
  <w:style w:type="character" w:customStyle="1" w:styleId="251">
    <w:name w:val="正文文本缩进 Char3"/>
    <w:semiHidden/>
    <w:qFormat/>
    <w:uiPriority w:val="99"/>
    <w:rPr>
      <w:rFonts w:ascii="Calibri" w:hAnsi="Calibri" w:eastAsia="宋体" w:cs="Times New Roman"/>
    </w:rPr>
  </w:style>
  <w:style w:type="character" w:customStyle="1" w:styleId="252">
    <w:name w:val="纯文本 Char Char"/>
    <w:qFormat/>
    <w:uiPriority w:val="0"/>
    <w:rPr>
      <w:rFonts w:ascii="宋体" w:hAnsi="Courier New" w:eastAsia="宋体" w:cs="Courier New"/>
      <w:szCs w:val="21"/>
    </w:rPr>
  </w:style>
  <w:style w:type="paragraph" w:customStyle="1" w:styleId="253">
    <w:name w:val="条文1"/>
    <w:basedOn w:val="1"/>
    <w:qFormat/>
    <w:uiPriority w:val="0"/>
    <w:pPr>
      <w:tabs>
        <w:tab w:val="left" w:pos="2565"/>
      </w:tabs>
      <w:spacing w:line="360" w:lineRule="auto"/>
      <w:ind w:left="1845"/>
    </w:pPr>
    <w:rPr>
      <w:rFonts w:ascii="MS UI Gothic" w:hAnsi="MS UI Gothic"/>
      <w:bCs/>
      <w:kern w:val="44"/>
      <w:sz w:val="24"/>
      <w:szCs w:val="44"/>
    </w:rPr>
  </w:style>
  <w:style w:type="paragraph" w:customStyle="1" w:styleId="254">
    <w:name w:val="xl30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255">
    <w:name w:val="xl3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56">
    <w:name w:val="TOC 标题1"/>
    <w:basedOn w:val="3"/>
    <w:next w:val="1"/>
    <w:qFormat/>
    <w:uiPriority w:val="0"/>
    <w:pPr>
      <w:widowControl/>
      <w:spacing w:before="480" w:after="0" w:line="276" w:lineRule="auto"/>
      <w:jc w:val="left"/>
      <w:outlineLvl w:val="9"/>
    </w:pPr>
    <w:rPr>
      <w:rFonts w:ascii="Cambria" w:hAnsi="Cambria"/>
      <w:color w:val="365F91"/>
      <w:kern w:val="0"/>
      <w:sz w:val="28"/>
      <w:szCs w:val="28"/>
    </w:rPr>
  </w:style>
  <w:style w:type="paragraph" w:customStyle="1" w:styleId="257">
    <w:name w:val="xl263"/>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kern w:val="0"/>
      <w:sz w:val="24"/>
      <w:szCs w:val="24"/>
    </w:rPr>
  </w:style>
  <w:style w:type="paragraph" w:customStyle="1" w:styleId="258">
    <w:name w:val="公文抬头"/>
    <w:basedOn w:val="8"/>
    <w:qFormat/>
    <w:uiPriority w:val="0"/>
    <w:pPr>
      <w:ind w:firstLine="0" w:firstLineChars="0"/>
    </w:pPr>
    <w:rPr>
      <w:rFonts w:ascii="仿宋_GB2312" w:eastAsia="仿宋_GB2312"/>
      <w:sz w:val="30"/>
    </w:rPr>
  </w:style>
  <w:style w:type="paragraph" w:customStyle="1" w:styleId="259">
    <w:name w:val="章节二"/>
    <w:basedOn w:val="1"/>
    <w:next w:val="1"/>
    <w:qFormat/>
    <w:uiPriority w:val="0"/>
    <w:pPr>
      <w:topLinePunct/>
      <w:adjustRightInd w:val="0"/>
      <w:snapToGrid w:val="0"/>
      <w:spacing w:beforeLines="50" w:afterLines="50"/>
      <w:jc w:val="center"/>
      <w:outlineLvl w:val="1"/>
    </w:pPr>
    <w:rPr>
      <w:rFonts w:ascii="Times New Roman" w:hAnsi="Times New Roman" w:eastAsia="黑体"/>
      <w:b/>
      <w:snapToGrid w:val="0"/>
      <w:spacing w:val="4"/>
      <w:kern w:val="0"/>
      <w:sz w:val="30"/>
      <w:szCs w:val="30"/>
    </w:rPr>
  </w:style>
  <w:style w:type="paragraph" w:customStyle="1" w:styleId="260">
    <w:name w:val="Char3"/>
    <w:basedOn w:val="1"/>
    <w:qFormat/>
    <w:uiPriority w:val="0"/>
    <w:pPr>
      <w:numPr>
        <w:ilvl w:val="0"/>
        <w:numId w:val="1"/>
      </w:numPr>
    </w:pPr>
    <w:rPr>
      <w:rFonts w:ascii="Times New Roman" w:hAnsi="Times New Roman"/>
      <w:sz w:val="24"/>
      <w:szCs w:val="24"/>
    </w:rPr>
  </w:style>
  <w:style w:type="paragraph" w:customStyle="1" w:styleId="261">
    <w:name w:val="正文 New New New New New New New New New New"/>
    <w:qFormat/>
    <w:uiPriority w:val="0"/>
    <w:pPr>
      <w:widowControl w:val="0"/>
      <w:jc w:val="both"/>
    </w:pPr>
    <w:rPr>
      <w:rFonts w:ascii="Calibri" w:hAnsi="Calibri" w:eastAsia="宋体" w:cs="Times New Roman"/>
      <w:kern w:val="2"/>
      <w:sz w:val="21"/>
      <w:lang w:val="en-US" w:eastAsia="zh-CN" w:bidi="ar-SA"/>
    </w:rPr>
  </w:style>
  <w:style w:type="paragraph" w:customStyle="1" w:styleId="262">
    <w:name w:val="font7"/>
    <w:basedOn w:val="1"/>
    <w:qFormat/>
    <w:uiPriority w:val="0"/>
    <w:pPr>
      <w:widowControl/>
      <w:spacing w:before="100" w:beforeAutospacing="1" w:after="100" w:afterAutospacing="1"/>
      <w:jc w:val="left"/>
    </w:pPr>
    <w:rPr>
      <w:rFonts w:ascii="宋体" w:hAnsi="宋体"/>
      <w:color w:val="000000"/>
      <w:kern w:val="0"/>
      <w:sz w:val="18"/>
      <w:szCs w:val="18"/>
    </w:rPr>
  </w:style>
  <w:style w:type="paragraph" w:customStyle="1" w:styleId="263">
    <w:name w:val="默认段落字体 Para Char"/>
    <w:basedOn w:val="1"/>
    <w:qFormat/>
    <w:uiPriority w:val="0"/>
    <w:pPr>
      <w:spacing w:line="360" w:lineRule="auto"/>
      <w:jc w:val="left"/>
    </w:pPr>
    <w:rPr>
      <w:rFonts w:ascii="Times New Roman" w:hAnsi="Times New Roman"/>
      <w:szCs w:val="24"/>
    </w:rPr>
  </w:style>
  <w:style w:type="paragraph" w:customStyle="1" w:styleId="264">
    <w:name w:val="正文 New New New New New New New New New"/>
    <w:next w:val="265"/>
    <w:qFormat/>
    <w:uiPriority w:val="0"/>
    <w:pPr>
      <w:widowControl w:val="0"/>
      <w:jc w:val="both"/>
    </w:pPr>
    <w:rPr>
      <w:rFonts w:ascii="Calibri" w:hAnsi="Calibri" w:eastAsia="宋体" w:cs="Times New Roman"/>
      <w:kern w:val="2"/>
      <w:sz w:val="21"/>
      <w:szCs w:val="24"/>
      <w:lang w:val="en-US" w:eastAsia="zh-CN" w:bidi="ar-SA"/>
    </w:rPr>
  </w:style>
  <w:style w:type="paragraph" w:customStyle="1" w:styleId="265">
    <w:name w:val="正文缩进 New New"/>
    <w:basedOn w:val="264"/>
    <w:qFormat/>
    <w:uiPriority w:val="0"/>
    <w:pPr>
      <w:ind w:firstLine="420" w:firstLineChars="200"/>
    </w:pPr>
  </w:style>
  <w:style w:type="paragraph" w:customStyle="1" w:styleId="266">
    <w:name w:val="xl28"/>
    <w:basedOn w:val="1"/>
    <w:qFormat/>
    <w:uiPriority w:val="0"/>
    <w:pPr>
      <w:widowControl/>
      <w:pBdr>
        <w:left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267">
    <w:name w:val="批注文字1"/>
    <w:basedOn w:val="1"/>
    <w:qFormat/>
    <w:uiPriority w:val="0"/>
    <w:pPr>
      <w:suppressAutoHyphens/>
      <w:jc w:val="left"/>
    </w:pPr>
    <w:rPr>
      <w:rFonts w:ascii="Times New Roman" w:hAnsi="Times New Roman"/>
      <w:szCs w:val="20"/>
      <w:lang w:eastAsia="ar-SA"/>
    </w:rPr>
  </w:style>
  <w:style w:type="paragraph" w:customStyle="1" w:styleId="268">
    <w:name w:val="xl30"/>
    <w:basedOn w:val="1"/>
    <w:qFormat/>
    <w:uiPriority w:val="0"/>
    <w:pPr>
      <w:widowControl/>
      <w:pBdr>
        <w:left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269">
    <w:name w:val="xl3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70">
    <w:name w:val="xl2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71">
    <w:name w:val="xl41"/>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w:hAnsi="Arial" w:cs="Arial"/>
      <w:kern w:val="0"/>
      <w:sz w:val="16"/>
      <w:szCs w:val="16"/>
    </w:rPr>
  </w:style>
  <w:style w:type="paragraph" w:customStyle="1" w:styleId="272">
    <w:name w:val="font10"/>
    <w:basedOn w:val="1"/>
    <w:qFormat/>
    <w:uiPriority w:val="0"/>
    <w:pPr>
      <w:widowControl/>
      <w:spacing w:before="100" w:beforeAutospacing="1" w:after="100" w:afterAutospacing="1"/>
      <w:jc w:val="left"/>
    </w:pPr>
    <w:rPr>
      <w:rFonts w:ascii="仿宋_GB2312" w:hAnsi="宋体" w:eastAsia="仿宋_GB2312"/>
      <w:kern w:val="0"/>
      <w:sz w:val="16"/>
      <w:szCs w:val="16"/>
    </w:rPr>
  </w:style>
  <w:style w:type="paragraph" w:customStyle="1" w:styleId="273">
    <w:name w:val="xl3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74">
    <w:name w:val="xl3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75">
    <w:name w:val="xl2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76">
    <w:name w:val="_Style 41"/>
    <w:basedOn w:val="1"/>
    <w:qFormat/>
    <w:uiPriority w:val="0"/>
    <w:rPr>
      <w:rFonts w:ascii="宋体" w:hAnsi="CG Times (W1)"/>
      <w:kern w:val="0"/>
      <w:szCs w:val="20"/>
    </w:rPr>
  </w:style>
  <w:style w:type="paragraph" w:styleId="277">
    <w:name w:val="No Spacing"/>
    <w:qFormat/>
    <w:uiPriority w:val="0"/>
    <w:pPr>
      <w:widowControl w:val="0"/>
      <w:jc w:val="both"/>
    </w:pPr>
    <w:rPr>
      <w:rFonts w:ascii="Calibri" w:hAnsi="Calibri" w:eastAsia="宋体" w:cs="Times New Roman"/>
      <w:kern w:val="2"/>
      <w:sz w:val="21"/>
      <w:szCs w:val="22"/>
      <w:lang w:val="en-US" w:eastAsia="zh-CN" w:bidi="ar-SA"/>
    </w:rPr>
  </w:style>
  <w:style w:type="paragraph" w:customStyle="1" w:styleId="278">
    <w:name w:val="标题（章节）"/>
    <w:basedOn w:val="7"/>
    <w:qFormat/>
    <w:uiPriority w:val="0"/>
    <w:pPr>
      <w:tabs>
        <w:tab w:val="left" w:pos="4448"/>
      </w:tabs>
      <w:adjustRightInd w:val="0"/>
      <w:snapToGrid w:val="0"/>
      <w:spacing w:beforeLines="0" w:afterLines="0"/>
      <w:ind w:firstLine="0"/>
    </w:pPr>
    <w:rPr>
      <w:rFonts w:ascii="黑体" w:hAnsi="黑体" w:eastAsia="黑体"/>
      <w:b/>
      <w:bCs/>
      <w:color w:val="auto"/>
      <w:sz w:val="30"/>
      <w:szCs w:val="28"/>
    </w:rPr>
  </w:style>
  <w:style w:type="paragraph" w:customStyle="1" w:styleId="279">
    <w:name w:val="xl2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80">
    <w:name w:val="正文 New New New New New New New New New New New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281">
    <w:name w:val="xl34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82">
    <w:name w:val="xl3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283">
    <w:name w:val="样式 标题 1 + 黑体 小三 段前: 0 磅 段后: 0 磅 行距: 1.5 倍行距"/>
    <w:basedOn w:val="3"/>
    <w:qFormat/>
    <w:uiPriority w:val="0"/>
    <w:pPr>
      <w:tabs>
        <w:tab w:val="left" w:pos="1440"/>
      </w:tabs>
      <w:adjustRightInd w:val="0"/>
      <w:spacing w:before="0" w:after="0" w:line="360" w:lineRule="auto"/>
    </w:pPr>
    <w:rPr>
      <w:rFonts w:ascii="黑体" w:eastAsia="黑体" w:cs="宋体"/>
      <w:sz w:val="30"/>
      <w:szCs w:val="20"/>
    </w:rPr>
  </w:style>
  <w:style w:type="paragraph" w:customStyle="1" w:styleId="284">
    <w:name w:val="xl33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285">
    <w:name w:val="样式一"/>
    <w:basedOn w:val="1"/>
    <w:qFormat/>
    <w:uiPriority w:val="0"/>
    <w:pPr>
      <w:autoSpaceDE w:val="0"/>
      <w:autoSpaceDN w:val="0"/>
      <w:adjustRightInd w:val="0"/>
      <w:spacing w:line="360" w:lineRule="auto"/>
      <w:ind w:firstLine="480" w:firstLineChars="200"/>
    </w:pPr>
    <w:rPr>
      <w:rFonts w:hint="eastAsia" w:ascii="宋体" w:hAnsi="宋体"/>
      <w:kern w:val="0"/>
      <w:sz w:val="24"/>
      <w:szCs w:val="20"/>
      <w:lang w:val="en-GB"/>
    </w:rPr>
  </w:style>
  <w:style w:type="paragraph" w:customStyle="1" w:styleId="286">
    <w:name w:val="Char Char Char1 Char1"/>
    <w:basedOn w:val="1"/>
    <w:qFormat/>
    <w:uiPriority w:val="0"/>
    <w:rPr>
      <w:rFonts w:ascii="Times New Roman" w:hAnsi="Times New Roman"/>
      <w:szCs w:val="24"/>
    </w:rPr>
  </w:style>
  <w:style w:type="paragraph" w:customStyle="1" w:styleId="287">
    <w:name w:val="xl3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88">
    <w:name w:val="xl29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289">
    <w:name w:val="+标题4"/>
    <w:basedOn w:val="6"/>
    <w:qFormat/>
    <w:uiPriority w:val="0"/>
    <w:pPr>
      <w:tabs>
        <w:tab w:val="left" w:pos="280"/>
      </w:tabs>
      <w:spacing w:before="120" w:after="120" w:line="360" w:lineRule="auto"/>
      <w:ind w:left="-1"/>
    </w:pPr>
    <w:rPr>
      <w:rFonts w:ascii="Times New Roman" w:hAnsi="Times New Roman" w:eastAsia="宋体"/>
      <w:sz w:val="24"/>
    </w:rPr>
  </w:style>
  <w:style w:type="paragraph" w:customStyle="1" w:styleId="290">
    <w:name w:val="6'"/>
    <w:basedOn w:val="1"/>
    <w:qFormat/>
    <w:uiPriority w:val="0"/>
    <w:pPr>
      <w:autoSpaceDE w:val="0"/>
      <w:autoSpaceDN w:val="0"/>
      <w:adjustRightInd w:val="0"/>
      <w:snapToGrid w:val="0"/>
      <w:spacing w:line="320" w:lineRule="exact"/>
      <w:jc w:val="center"/>
      <w:textAlignment w:val="baseline"/>
    </w:pPr>
    <w:rPr>
      <w:rFonts w:ascii="Times New Roman" w:hAnsi="Times New Roman"/>
      <w:spacing w:val="20"/>
      <w:kern w:val="28"/>
      <w:szCs w:val="20"/>
    </w:rPr>
  </w:style>
  <w:style w:type="paragraph" w:customStyle="1" w:styleId="291">
    <w:name w:val="xl3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92">
    <w:name w:val="xl3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93">
    <w:name w:val="xl26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94">
    <w:name w:val="font5"/>
    <w:basedOn w:val="1"/>
    <w:qFormat/>
    <w:uiPriority w:val="0"/>
    <w:pPr>
      <w:widowControl/>
      <w:spacing w:before="100" w:beforeAutospacing="1" w:after="100" w:afterAutospacing="1"/>
      <w:jc w:val="left"/>
    </w:pPr>
    <w:rPr>
      <w:rFonts w:ascii="宋体" w:hAnsi="宋体"/>
      <w:kern w:val="0"/>
      <w:sz w:val="18"/>
      <w:szCs w:val="18"/>
    </w:rPr>
  </w:style>
  <w:style w:type="paragraph" w:customStyle="1" w:styleId="295">
    <w:name w:val="xl253"/>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96">
    <w:name w:val="xl2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297">
    <w:name w:val="xl2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98">
    <w:name w:val="p17"/>
    <w:basedOn w:val="1"/>
    <w:qFormat/>
    <w:uiPriority w:val="0"/>
    <w:pPr>
      <w:widowControl/>
      <w:topLinePunct/>
      <w:snapToGrid w:val="0"/>
      <w:spacing w:line="360" w:lineRule="auto"/>
      <w:ind w:firstLine="420"/>
    </w:pPr>
    <w:rPr>
      <w:rFonts w:ascii="Times New Roman" w:hAnsi="Times New Roman"/>
      <w:spacing w:val="4"/>
      <w:kern w:val="0"/>
      <w:sz w:val="24"/>
      <w:szCs w:val="24"/>
    </w:rPr>
  </w:style>
  <w:style w:type="paragraph" w:customStyle="1" w:styleId="299">
    <w:name w:val="xl43"/>
    <w:basedOn w:val="1"/>
    <w:qFormat/>
    <w:uiPriority w:val="0"/>
    <w:pPr>
      <w:widowControl/>
      <w:spacing w:before="100" w:beforeAutospacing="1" w:after="100" w:afterAutospacing="1"/>
      <w:jc w:val="center"/>
    </w:pPr>
    <w:rPr>
      <w:rFonts w:ascii="仿宋_GB2312" w:hAnsi="宋体" w:eastAsia="仿宋_GB2312"/>
      <w:kern w:val="0"/>
      <w:sz w:val="16"/>
      <w:szCs w:val="16"/>
    </w:rPr>
  </w:style>
  <w:style w:type="paragraph" w:customStyle="1" w:styleId="300">
    <w:name w:val="xl345"/>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01">
    <w:name w:val="font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02">
    <w:name w:val="无间隔1"/>
    <w:qFormat/>
    <w:uiPriority w:val="0"/>
    <w:pPr>
      <w:widowControl w:val="0"/>
      <w:jc w:val="both"/>
    </w:pPr>
    <w:rPr>
      <w:rFonts w:ascii="Calibri" w:hAnsi="Calibri" w:eastAsia="宋体" w:cs="Times New Roman"/>
      <w:kern w:val="2"/>
      <w:sz w:val="21"/>
      <w:szCs w:val="22"/>
      <w:lang w:val="en-US" w:eastAsia="zh-CN" w:bidi="ar-SA"/>
    </w:rPr>
  </w:style>
  <w:style w:type="paragraph" w:customStyle="1" w:styleId="303">
    <w:name w:val="xl2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04">
    <w:name w:val="xl3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05">
    <w:name w:val="xl2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06">
    <w:name w:val="字元 字元 Char Char Char Char1"/>
    <w:basedOn w:val="1"/>
    <w:qFormat/>
    <w:uiPriority w:val="0"/>
    <w:pPr>
      <w:spacing w:line="480" w:lineRule="exact"/>
      <w:outlineLvl w:val="3"/>
    </w:pPr>
    <w:rPr>
      <w:rFonts w:ascii="Times New Roman" w:hAnsi="Times New Roman"/>
      <w:szCs w:val="20"/>
    </w:rPr>
  </w:style>
  <w:style w:type="paragraph" w:customStyle="1" w:styleId="307">
    <w:name w:val="xl38"/>
    <w:basedOn w:val="1"/>
    <w:qFormat/>
    <w:uiPriority w:val="0"/>
    <w:pPr>
      <w:widowControl/>
      <w:pBdr>
        <w:left w:val="single" w:color="auto" w:sz="4" w:space="0"/>
        <w:bottom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308">
    <w:name w:val="Char1 Char Char Char"/>
    <w:basedOn w:val="1"/>
    <w:qFormat/>
    <w:uiPriority w:val="0"/>
    <w:rPr>
      <w:rFonts w:ascii="Tahoma" w:hAnsi="Tahoma"/>
      <w:sz w:val="24"/>
      <w:szCs w:val="20"/>
    </w:rPr>
  </w:style>
  <w:style w:type="paragraph" w:customStyle="1" w:styleId="309">
    <w:name w:val="zw"/>
    <w:basedOn w:val="1"/>
    <w:qFormat/>
    <w:uiPriority w:val="0"/>
    <w:pPr>
      <w:widowControl/>
      <w:ind w:left="100" w:right="100"/>
    </w:pPr>
    <w:rPr>
      <w:rFonts w:ascii="方正书宋简体" w:hAnsi="宋体" w:eastAsia="方正书宋简体"/>
      <w:color w:val="000000"/>
      <w:kern w:val="0"/>
      <w:szCs w:val="21"/>
    </w:rPr>
  </w:style>
  <w:style w:type="paragraph" w:customStyle="1" w:styleId="310">
    <w:name w:val="xl344"/>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11">
    <w:name w:val="文档结构图1"/>
    <w:basedOn w:val="1"/>
    <w:qFormat/>
    <w:uiPriority w:val="0"/>
    <w:pPr>
      <w:shd w:val="clear" w:color="auto" w:fill="000080"/>
      <w:suppressAutoHyphens/>
    </w:pPr>
    <w:rPr>
      <w:rFonts w:ascii="Times New Roman" w:hAnsi="Times New Roman"/>
      <w:szCs w:val="20"/>
      <w:lang w:eastAsia="ar-SA"/>
    </w:rPr>
  </w:style>
  <w:style w:type="paragraph" w:customStyle="1" w:styleId="312">
    <w:name w:val="xl26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13">
    <w:name w:val="xl30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314">
    <w:name w:val="xl26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15">
    <w:name w:val="xl2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316">
    <w:name w:val="表内容"/>
    <w:basedOn w:val="1"/>
    <w:qFormat/>
    <w:uiPriority w:val="0"/>
    <w:pPr>
      <w:autoSpaceDE w:val="0"/>
      <w:autoSpaceDN w:val="0"/>
      <w:adjustRightInd w:val="0"/>
      <w:spacing w:before="60" w:after="60" w:line="288" w:lineRule="auto"/>
      <w:jc w:val="center"/>
    </w:pPr>
    <w:rPr>
      <w:rFonts w:ascii="Arial" w:hAnsi="Arial"/>
      <w:kern w:val="0"/>
      <w:szCs w:val="20"/>
    </w:rPr>
  </w:style>
  <w:style w:type="paragraph" w:customStyle="1" w:styleId="317">
    <w:name w:val="样式 标题 1 + 黑体 三号 非加粗 居中 段前: 6 磅 段后: 6 磅 行距: 固定值 20 磅"/>
    <w:basedOn w:val="3"/>
    <w:qFormat/>
    <w:uiPriority w:val="0"/>
    <w:pPr>
      <w:spacing w:before="120" w:after="120" w:line="400" w:lineRule="exact"/>
      <w:jc w:val="center"/>
    </w:pPr>
    <w:rPr>
      <w:rFonts w:ascii="黑体" w:hAnsi="黑体" w:eastAsia="黑体" w:cs="宋体"/>
      <w:b w:val="0"/>
      <w:bCs w:val="0"/>
      <w:sz w:val="32"/>
      <w:szCs w:val="20"/>
    </w:rPr>
  </w:style>
  <w:style w:type="paragraph" w:customStyle="1" w:styleId="318">
    <w:name w:val="xl2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319">
    <w:name w:val="xl2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20">
    <w:name w:val="xl3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21">
    <w:name w:val="空半行"/>
    <w:basedOn w:val="1"/>
    <w:qFormat/>
    <w:uiPriority w:val="0"/>
    <w:pPr>
      <w:adjustRightInd w:val="0"/>
      <w:spacing w:line="120" w:lineRule="exact"/>
      <w:textAlignment w:val="baseline"/>
    </w:pPr>
    <w:rPr>
      <w:rFonts w:ascii="Times New Roman" w:hAnsi="Times New Roman" w:eastAsia="仿宋_GB2312"/>
      <w:color w:val="FFFFFF"/>
      <w:kern w:val="0"/>
      <w:sz w:val="30"/>
      <w:szCs w:val="20"/>
    </w:rPr>
  </w:style>
  <w:style w:type="paragraph" w:customStyle="1" w:styleId="322">
    <w:name w:val="xl31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323">
    <w:name w:val="xl3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324">
    <w:name w:val="目录"/>
    <w:basedOn w:val="1"/>
    <w:qFormat/>
    <w:uiPriority w:val="0"/>
    <w:pPr>
      <w:suppressLineNumbers/>
      <w:suppressAutoHyphens/>
    </w:pPr>
    <w:rPr>
      <w:rFonts w:ascii="Times New Roman" w:hAnsi="Times New Roman"/>
      <w:szCs w:val="20"/>
      <w:lang w:eastAsia="ar-SA"/>
    </w:rPr>
  </w:style>
  <w:style w:type="paragraph" w:customStyle="1" w:styleId="325">
    <w:name w:val="样式 标题 3 + 首行缩进:  1.06 厘米"/>
    <w:basedOn w:val="5"/>
    <w:qFormat/>
    <w:uiPriority w:val="0"/>
    <w:pPr>
      <w:spacing w:before="120" w:after="0" w:line="240" w:lineRule="auto"/>
      <w:ind w:firstLine="0" w:firstLineChars="0"/>
      <w:jc w:val="center"/>
    </w:pPr>
    <w:rPr>
      <w:rFonts w:ascii="宋体" w:eastAsia="宋体" w:cs="宋体"/>
      <w:b/>
      <w:bCs w:val="0"/>
      <w:color w:val="000000"/>
      <w:sz w:val="32"/>
      <w:szCs w:val="32"/>
    </w:rPr>
  </w:style>
  <w:style w:type="paragraph" w:customStyle="1" w:styleId="326">
    <w:name w:val="xl3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27">
    <w:name w:val="xl26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28">
    <w:name w:val="文字框居中"/>
    <w:basedOn w:val="1"/>
    <w:qFormat/>
    <w:uiPriority w:val="0"/>
    <w:pPr>
      <w:overflowPunct w:val="0"/>
      <w:topLinePunct/>
      <w:adjustRightInd w:val="0"/>
      <w:snapToGrid w:val="0"/>
      <w:spacing w:line="360" w:lineRule="auto"/>
      <w:jc w:val="center"/>
    </w:pPr>
    <w:rPr>
      <w:rFonts w:ascii="幼圆" w:hAnsi="宋体" w:eastAsia="幼圆"/>
      <w:snapToGrid w:val="0"/>
      <w:kern w:val="21"/>
      <w:sz w:val="24"/>
      <w:szCs w:val="20"/>
    </w:rPr>
  </w:style>
  <w:style w:type="paragraph" w:customStyle="1" w:styleId="329">
    <w:name w:val="样式 标题 2 + 段前: 0.5 行"/>
    <w:basedOn w:val="4"/>
    <w:qFormat/>
    <w:uiPriority w:val="0"/>
    <w:pPr>
      <w:tabs>
        <w:tab w:val="left" w:pos="645"/>
        <w:tab w:val="left" w:pos="2730"/>
      </w:tabs>
      <w:spacing w:beforeLines="50" w:afterLines="50" w:line="360" w:lineRule="auto"/>
      <w:ind w:left="645" w:right="91" w:hanging="645"/>
    </w:pPr>
    <w:rPr>
      <w:rFonts w:ascii="Times New Roman" w:hAnsi="宋体" w:eastAsia="宋体"/>
      <w:spacing w:val="6"/>
      <w:sz w:val="28"/>
      <w:szCs w:val="20"/>
    </w:rPr>
  </w:style>
  <w:style w:type="paragraph" w:customStyle="1" w:styleId="330">
    <w:name w:val="xl2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331">
    <w:name w:val="标准"/>
    <w:basedOn w:val="1"/>
    <w:qFormat/>
    <w:uiPriority w:val="0"/>
    <w:pPr>
      <w:overflowPunct w:val="0"/>
      <w:autoSpaceDE w:val="0"/>
      <w:autoSpaceDN w:val="0"/>
      <w:adjustRightInd w:val="0"/>
      <w:spacing w:line="240" w:lineRule="atLeast"/>
    </w:pPr>
    <w:rPr>
      <w:rFonts w:ascii="Times New Roman" w:hAnsi="Times New Roman" w:eastAsia="楷体_GB2312"/>
      <w:kern w:val="0"/>
      <w:sz w:val="24"/>
      <w:szCs w:val="20"/>
    </w:rPr>
  </w:style>
  <w:style w:type="paragraph" w:customStyle="1" w:styleId="332">
    <w:name w:val="xl32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333">
    <w:name w:val="小标题1"/>
    <w:basedOn w:val="1"/>
    <w:qFormat/>
    <w:uiPriority w:val="0"/>
    <w:pPr>
      <w:spacing w:line="300" w:lineRule="auto"/>
    </w:pPr>
    <w:rPr>
      <w:rFonts w:ascii="Times New Roman" w:hAnsi="Times New Roman"/>
      <w:sz w:val="24"/>
      <w:szCs w:val="24"/>
    </w:rPr>
  </w:style>
  <w:style w:type="paragraph" w:customStyle="1" w:styleId="334">
    <w:name w:val="xl2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335">
    <w:name w:val="List Paragraph1"/>
    <w:basedOn w:val="1"/>
    <w:qFormat/>
    <w:uiPriority w:val="99"/>
    <w:pPr>
      <w:spacing w:line="360" w:lineRule="auto"/>
      <w:ind w:firstLine="420" w:firstLineChars="200"/>
    </w:pPr>
    <w:rPr>
      <w:rFonts w:cs="Calibri"/>
      <w:kern w:val="0"/>
      <w:sz w:val="24"/>
      <w:szCs w:val="24"/>
    </w:rPr>
  </w:style>
  <w:style w:type="paragraph" w:customStyle="1" w:styleId="336">
    <w:name w:val="xl2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37">
    <w:name w:val="xl3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338">
    <w:name w:val="列表项目符号1"/>
    <w:basedOn w:val="1"/>
    <w:qFormat/>
    <w:uiPriority w:val="0"/>
    <w:pPr>
      <w:tabs>
        <w:tab w:val="left" w:pos="360"/>
      </w:tabs>
      <w:suppressAutoHyphens/>
    </w:pPr>
    <w:rPr>
      <w:rFonts w:ascii="Times New Roman" w:hAnsi="Times New Roman"/>
      <w:szCs w:val="20"/>
      <w:lang w:eastAsia="ar-SA"/>
    </w:rPr>
  </w:style>
  <w:style w:type="paragraph" w:customStyle="1" w:styleId="339">
    <w:name w:val="xl2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40">
    <w:name w:val="Char Char Char Char"/>
    <w:basedOn w:val="1"/>
    <w:qFormat/>
    <w:uiPriority w:val="0"/>
    <w:rPr>
      <w:rFonts w:ascii="Times New Roman" w:hAnsi="Times New Roman"/>
      <w:szCs w:val="24"/>
    </w:rPr>
  </w:style>
  <w:style w:type="paragraph" w:customStyle="1" w:styleId="341">
    <w:name w:val="xl42"/>
    <w:basedOn w:val="1"/>
    <w:qFormat/>
    <w:uiPriority w:val="0"/>
    <w:pPr>
      <w:widowControl/>
      <w:spacing w:before="100" w:beforeAutospacing="1" w:after="100" w:afterAutospacing="1"/>
      <w:jc w:val="center"/>
    </w:pPr>
    <w:rPr>
      <w:rFonts w:ascii="Arial" w:hAnsi="Arial" w:cs="Arial"/>
      <w:kern w:val="0"/>
      <w:sz w:val="16"/>
      <w:szCs w:val="16"/>
    </w:rPr>
  </w:style>
  <w:style w:type="paragraph" w:customStyle="1" w:styleId="342">
    <w:name w:val="xl2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43">
    <w:name w:val="xl2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44">
    <w:name w:val="xl3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45">
    <w:name w:val="xl291"/>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46">
    <w:name w:val="xl3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347">
    <w:name w:val="Char Char Char1 Char"/>
    <w:basedOn w:val="20"/>
    <w:qFormat/>
    <w:uiPriority w:val="0"/>
    <w:rPr>
      <w:rFonts w:ascii="Tahoma" w:hAnsi="Tahoma"/>
      <w:sz w:val="24"/>
    </w:rPr>
  </w:style>
  <w:style w:type="paragraph" w:customStyle="1" w:styleId="348">
    <w:name w:val="xl2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49">
    <w:name w:val="BodyText1I"/>
    <w:basedOn w:val="350"/>
    <w:qFormat/>
    <w:uiPriority w:val="0"/>
    <w:pPr>
      <w:spacing w:line="312" w:lineRule="auto"/>
      <w:ind w:firstLine="420"/>
    </w:pPr>
  </w:style>
  <w:style w:type="paragraph" w:customStyle="1" w:styleId="350">
    <w:name w:val="BodyText"/>
    <w:basedOn w:val="1"/>
    <w:qFormat/>
    <w:uiPriority w:val="0"/>
    <w:pPr>
      <w:spacing w:after="120"/>
      <w:textAlignment w:val="baseline"/>
    </w:pPr>
  </w:style>
  <w:style w:type="paragraph" w:customStyle="1" w:styleId="351">
    <w:name w:val="表格文字"/>
    <w:basedOn w:val="1"/>
    <w:qFormat/>
    <w:uiPriority w:val="0"/>
    <w:pPr>
      <w:adjustRightInd w:val="0"/>
      <w:spacing w:line="420" w:lineRule="atLeast"/>
      <w:jc w:val="left"/>
      <w:textAlignment w:val="baseline"/>
    </w:pPr>
    <w:rPr>
      <w:rFonts w:ascii="Times New Roman" w:hAnsi="Times New Roman"/>
      <w:kern w:val="0"/>
      <w:szCs w:val="20"/>
    </w:rPr>
  </w:style>
  <w:style w:type="paragraph" w:customStyle="1" w:styleId="352">
    <w:name w:val="正文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353">
    <w:name w:val="修订21"/>
    <w:semiHidden/>
    <w:qFormat/>
    <w:uiPriority w:val="99"/>
    <w:rPr>
      <w:rFonts w:ascii="Calibri" w:hAnsi="Calibri" w:eastAsia="宋体" w:cs="Times New Roman"/>
      <w:kern w:val="2"/>
      <w:sz w:val="21"/>
      <w:szCs w:val="24"/>
      <w:lang w:val="en-US" w:eastAsia="zh-CN" w:bidi="ar-SA"/>
    </w:rPr>
  </w:style>
  <w:style w:type="paragraph" w:customStyle="1" w:styleId="354">
    <w:name w:val="xl2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55">
    <w:name w:val="封四"/>
    <w:basedOn w:val="107"/>
    <w:next w:val="107"/>
    <w:qFormat/>
    <w:uiPriority w:val="0"/>
    <w:pPr>
      <w:jc w:val="left"/>
    </w:pPr>
    <w:rPr>
      <w:sz w:val="30"/>
      <w:szCs w:val="30"/>
    </w:rPr>
  </w:style>
  <w:style w:type="paragraph" w:customStyle="1" w:styleId="356">
    <w:name w:val="章节三"/>
    <w:basedOn w:val="107"/>
    <w:next w:val="107"/>
    <w:qFormat/>
    <w:uiPriority w:val="0"/>
    <w:pPr>
      <w:spacing w:beforeLines="50" w:afterLines="50" w:line="240" w:lineRule="auto"/>
      <w:ind w:firstLine="0" w:firstLineChars="0"/>
      <w:jc w:val="left"/>
      <w:outlineLvl w:val="2"/>
    </w:pPr>
    <w:rPr>
      <w:rFonts w:ascii="黑体" w:hAnsi="宋体" w:eastAsia="黑体"/>
      <w:b/>
    </w:rPr>
  </w:style>
  <w:style w:type="paragraph" w:customStyle="1" w:styleId="357">
    <w:name w:val="subject_matter"/>
    <w:basedOn w:val="1"/>
    <w:qFormat/>
    <w:uiPriority w:val="0"/>
    <w:pPr>
      <w:widowControl/>
      <w:spacing w:before="100" w:beforeAutospacing="1" w:after="100" w:afterAutospacing="1"/>
      <w:jc w:val="left"/>
    </w:pPr>
    <w:rPr>
      <w:rFonts w:ascii="Arial" w:hAnsi="Arial" w:cs="Arial"/>
      <w:color w:val="000000"/>
      <w:kern w:val="0"/>
      <w:sz w:val="20"/>
      <w:szCs w:val="24"/>
    </w:rPr>
  </w:style>
  <w:style w:type="paragraph" w:customStyle="1" w:styleId="358">
    <w:name w:val="正文1"/>
    <w:basedOn w:val="1"/>
    <w:qFormat/>
    <w:uiPriority w:val="0"/>
    <w:pPr>
      <w:adjustRightInd w:val="0"/>
      <w:spacing w:line="240" w:lineRule="atLeast"/>
      <w:jc w:val="center"/>
      <w:textAlignment w:val="baseline"/>
    </w:pPr>
    <w:rPr>
      <w:sz w:val="24"/>
      <w:szCs w:val="24"/>
    </w:rPr>
  </w:style>
  <w:style w:type="paragraph" w:customStyle="1" w:styleId="359">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kern w:val="0"/>
      <w:sz w:val="20"/>
      <w:szCs w:val="20"/>
    </w:rPr>
  </w:style>
  <w:style w:type="paragraph" w:customStyle="1" w:styleId="360">
    <w:name w:val="xl3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61">
    <w:name w:val="手册正文"/>
    <w:basedOn w:val="1"/>
    <w:qFormat/>
    <w:uiPriority w:val="0"/>
    <w:pPr>
      <w:spacing w:line="500" w:lineRule="exact"/>
      <w:ind w:firstLine="200" w:firstLineChars="200"/>
    </w:pPr>
    <w:rPr>
      <w:rFonts w:ascii="Arial" w:hAnsi="Arial"/>
      <w:sz w:val="24"/>
      <w:szCs w:val="24"/>
    </w:rPr>
  </w:style>
  <w:style w:type="paragraph" w:customStyle="1" w:styleId="362">
    <w:name w:val="封一"/>
    <w:basedOn w:val="107"/>
    <w:next w:val="107"/>
    <w:qFormat/>
    <w:uiPriority w:val="0"/>
    <w:pPr>
      <w:ind w:firstLine="0" w:firstLineChars="0"/>
      <w:jc w:val="center"/>
    </w:pPr>
    <w:rPr>
      <w:rFonts w:eastAsia="黑体"/>
      <w:b/>
      <w:sz w:val="84"/>
      <w:szCs w:val="84"/>
    </w:rPr>
  </w:style>
  <w:style w:type="paragraph" w:customStyle="1" w:styleId="363">
    <w:name w:val="xl45"/>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仿宋_GB2312" w:hAnsi="宋体" w:eastAsia="仿宋_GB2312"/>
      <w:kern w:val="0"/>
      <w:sz w:val="16"/>
      <w:szCs w:val="16"/>
    </w:rPr>
  </w:style>
  <w:style w:type="paragraph" w:customStyle="1" w:styleId="364">
    <w:name w:val="xl2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65">
    <w:name w:val="xl2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66">
    <w:name w:val="正文 New New New New New New New New New New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367">
    <w:name w:val="1"/>
    <w:basedOn w:val="1"/>
    <w:qFormat/>
    <w:uiPriority w:val="0"/>
    <w:rPr>
      <w:rFonts w:ascii="Times New Roman" w:hAnsi="Times New Roman"/>
      <w:szCs w:val="24"/>
    </w:rPr>
  </w:style>
  <w:style w:type="paragraph" w:customStyle="1" w:styleId="368">
    <w:name w:val="xl306"/>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369">
    <w:name w:val="xl2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70">
    <w:name w:val="xl2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71">
    <w:name w:val="Char Char Char Char Char Char Char Char Char Char Char Char Char"/>
    <w:basedOn w:val="20"/>
    <w:qFormat/>
    <w:uiPriority w:val="0"/>
    <w:rPr>
      <w:rFonts w:ascii="Tahoma" w:hAnsi="Tahoma"/>
      <w:sz w:val="24"/>
    </w:rPr>
  </w:style>
  <w:style w:type="paragraph" w:customStyle="1" w:styleId="372">
    <w:name w:val="xl2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73">
    <w:name w:val="xl3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74">
    <w:name w:val="xl37"/>
    <w:basedOn w:val="1"/>
    <w:qFormat/>
    <w:uiPriority w:val="0"/>
    <w:pPr>
      <w:widowControl/>
      <w:pBdr>
        <w:top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375">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s="Arial"/>
      <w:kern w:val="0"/>
      <w:sz w:val="16"/>
      <w:szCs w:val="16"/>
    </w:rPr>
  </w:style>
  <w:style w:type="paragraph" w:customStyle="1" w:styleId="376">
    <w:name w:val="xl2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77">
    <w:name w:val="xl34"/>
    <w:basedOn w:val="1"/>
    <w:qFormat/>
    <w:uiPriority w:val="0"/>
    <w:pPr>
      <w:widowControl/>
      <w:pBdr>
        <w:top w:val="single" w:color="auto" w:sz="4" w:space="0"/>
        <w:bottom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378">
    <w:name w:val="xl2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79">
    <w:name w:val="样式 标题 3 + (中文) 黑体 小四 非加粗 段前: 7.8 磅 段后: 0 磅 行距: 固定值 20 磅"/>
    <w:basedOn w:val="5"/>
    <w:qFormat/>
    <w:uiPriority w:val="0"/>
    <w:pPr>
      <w:spacing w:before="0" w:after="0" w:line="400" w:lineRule="exact"/>
    </w:pPr>
    <w:rPr>
      <w:rFonts w:cs="宋体"/>
      <w:bCs w:val="0"/>
      <w:sz w:val="24"/>
      <w:szCs w:val="20"/>
    </w:rPr>
  </w:style>
  <w:style w:type="paragraph" w:customStyle="1" w:styleId="380">
    <w:name w:val="产品描述"/>
    <w:qFormat/>
    <w:uiPriority w:val="0"/>
    <w:pPr>
      <w:widowControl w:val="0"/>
      <w:autoSpaceDE w:val="0"/>
      <w:autoSpaceDN w:val="0"/>
      <w:adjustRightInd w:val="0"/>
      <w:spacing w:line="270" w:lineRule="atLeast"/>
      <w:ind w:firstLine="397"/>
      <w:jc w:val="both"/>
    </w:pPr>
    <w:rPr>
      <w:rFonts w:ascii="宋体" w:hAnsi="Calibri" w:eastAsia="宋体" w:cs="Times New Roman"/>
      <w:sz w:val="18"/>
      <w:szCs w:val="18"/>
      <w:lang w:val="en-US" w:eastAsia="zh-CN" w:bidi="ar-SA"/>
    </w:rPr>
  </w:style>
  <w:style w:type="paragraph" w:customStyle="1" w:styleId="381">
    <w:name w:val="xl311"/>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82">
    <w:name w:val="xl2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83">
    <w:name w:val="标书正文"/>
    <w:basedOn w:val="1"/>
    <w:qFormat/>
    <w:uiPriority w:val="0"/>
    <w:pPr>
      <w:overflowPunct w:val="0"/>
      <w:topLinePunct/>
      <w:adjustRightInd w:val="0"/>
      <w:snapToGrid w:val="0"/>
      <w:spacing w:line="360" w:lineRule="auto"/>
      <w:ind w:firstLine="520" w:firstLineChars="200"/>
      <w:jc w:val="left"/>
    </w:pPr>
    <w:rPr>
      <w:rFonts w:ascii="宋体" w:hAnsi="宋体"/>
      <w:kern w:val="0"/>
      <w:sz w:val="26"/>
      <w:szCs w:val="26"/>
    </w:rPr>
  </w:style>
  <w:style w:type="paragraph" w:customStyle="1" w:styleId="384">
    <w:name w:val="xl2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385">
    <w:name w:val="样式 四号 左 行距: 1.5 倍行距 首行缩进:  2 字符"/>
    <w:basedOn w:val="1"/>
    <w:qFormat/>
    <w:uiPriority w:val="0"/>
    <w:pPr>
      <w:spacing w:line="360" w:lineRule="auto"/>
      <w:ind w:firstLine="560" w:firstLineChars="200"/>
      <w:jc w:val="left"/>
    </w:pPr>
    <w:rPr>
      <w:rFonts w:ascii="Times New Roman" w:hAnsi="Times New Roman"/>
      <w:sz w:val="24"/>
      <w:szCs w:val="20"/>
    </w:rPr>
  </w:style>
  <w:style w:type="paragraph" w:customStyle="1" w:styleId="386">
    <w:name w:val="xl295"/>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387">
    <w:name w:val="正文_1"/>
    <w:qFormat/>
    <w:uiPriority w:val="0"/>
    <w:pPr>
      <w:widowControl w:val="0"/>
      <w:jc w:val="both"/>
    </w:pPr>
    <w:rPr>
      <w:rFonts w:ascii="Calibri" w:hAnsi="Calibri" w:eastAsia="楷体_GB2312" w:cs="Times New Roman"/>
      <w:kern w:val="2"/>
      <w:sz w:val="21"/>
      <w:szCs w:val="22"/>
      <w:lang w:val="en-US" w:eastAsia="zh-CN" w:bidi="ar-SA"/>
    </w:rPr>
  </w:style>
  <w:style w:type="paragraph" w:customStyle="1" w:styleId="388">
    <w:name w:val="xl2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89">
    <w:name w:val="Char1 Char Char Char Char Char Char1"/>
    <w:basedOn w:val="1"/>
    <w:qFormat/>
    <w:uiPriority w:val="0"/>
    <w:rPr>
      <w:rFonts w:ascii="Times New Roman" w:hAnsi="Times New Roman"/>
      <w:sz w:val="24"/>
      <w:szCs w:val="24"/>
    </w:rPr>
  </w:style>
  <w:style w:type="paragraph" w:customStyle="1" w:styleId="390">
    <w:name w:val="表头"/>
    <w:basedOn w:val="1"/>
    <w:qFormat/>
    <w:uiPriority w:val="0"/>
    <w:pPr>
      <w:spacing w:line="360" w:lineRule="auto"/>
      <w:jc w:val="center"/>
    </w:pPr>
    <w:rPr>
      <w:rFonts w:ascii="黑体" w:hAnsi="Times New Roman" w:eastAsia="黑体"/>
      <w:kern w:val="0"/>
      <w:sz w:val="24"/>
      <w:szCs w:val="20"/>
    </w:rPr>
  </w:style>
  <w:style w:type="paragraph" w:customStyle="1" w:styleId="391">
    <w:name w:val="文本样式1"/>
    <w:basedOn w:val="55"/>
    <w:qFormat/>
    <w:uiPriority w:val="0"/>
    <w:pPr>
      <w:adjustRightInd w:val="0"/>
      <w:snapToGrid w:val="0"/>
      <w:spacing w:before="0" w:beforeAutospacing="0" w:after="0" w:afterAutospacing="0" w:line="360" w:lineRule="auto"/>
      <w:ind w:firstLine="480" w:firstLineChars="200"/>
    </w:pPr>
    <w:rPr>
      <w:rFonts w:cs="Times New Roman"/>
    </w:rPr>
  </w:style>
  <w:style w:type="paragraph" w:customStyle="1" w:styleId="392">
    <w:name w:val="TOC 标题11"/>
    <w:basedOn w:val="3"/>
    <w:next w:val="1"/>
    <w:qFormat/>
    <w:uiPriority w:val="0"/>
    <w:pPr>
      <w:outlineLvl w:val="9"/>
    </w:pPr>
    <w:rPr>
      <w:rFonts w:ascii="Calibri" w:hAnsi="Calibri"/>
    </w:rPr>
  </w:style>
  <w:style w:type="paragraph" w:customStyle="1" w:styleId="393">
    <w:name w:val="xl2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94">
    <w:name w:val="“目录”"/>
    <w:basedOn w:val="395"/>
    <w:qFormat/>
    <w:uiPriority w:val="0"/>
    <w:pPr>
      <w:ind w:firstLine="0" w:firstLineChars="0"/>
      <w:jc w:val="center"/>
    </w:pPr>
    <w:rPr>
      <w:b/>
      <w:sz w:val="44"/>
    </w:rPr>
  </w:style>
  <w:style w:type="paragraph" w:customStyle="1" w:styleId="395">
    <w:name w:val="正文样式"/>
    <w:basedOn w:val="1"/>
    <w:qFormat/>
    <w:uiPriority w:val="0"/>
    <w:pPr>
      <w:spacing w:line="480" w:lineRule="exact"/>
      <w:ind w:firstLine="480" w:firstLineChars="200"/>
    </w:pPr>
    <w:rPr>
      <w:kern w:val="0"/>
      <w:sz w:val="24"/>
    </w:rPr>
  </w:style>
  <w:style w:type="paragraph" w:customStyle="1" w:styleId="396">
    <w:name w:val="7"/>
    <w:basedOn w:val="1"/>
    <w:qFormat/>
    <w:uiPriority w:val="0"/>
    <w:pPr>
      <w:autoSpaceDE w:val="0"/>
      <w:autoSpaceDN w:val="0"/>
      <w:adjustRightInd w:val="0"/>
      <w:spacing w:line="270" w:lineRule="atLeast"/>
      <w:jc w:val="left"/>
    </w:pPr>
    <w:rPr>
      <w:rFonts w:ascii="宋体" w:hAnsi="Times New Roman"/>
      <w:kern w:val="0"/>
      <w:sz w:val="18"/>
      <w:szCs w:val="18"/>
    </w:rPr>
  </w:style>
  <w:style w:type="paragraph" w:customStyle="1" w:styleId="397">
    <w:name w:val="xl39"/>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styleId="398">
    <w:name w:val="List Paragraph"/>
    <w:basedOn w:val="1"/>
    <w:qFormat/>
    <w:uiPriority w:val="0"/>
    <w:pPr>
      <w:ind w:firstLine="420" w:firstLineChars="200"/>
    </w:pPr>
    <w:rPr>
      <w:rFonts w:ascii="Times New Roman" w:hAnsi="Times New Roman"/>
      <w:szCs w:val="24"/>
    </w:rPr>
  </w:style>
  <w:style w:type="paragraph" w:customStyle="1" w:styleId="399">
    <w:name w:val="文字"/>
    <w:basedOn w:val="1"/>
    <w:qFormat/>
    <w:uiPriority w:val="0"/>
    <w:pPr>
      <w:tabs>
        <w:tab w:val="left" w:pos="8520"/>
      </w:tabs>
      <w:spacing w:line="312" w:lineRule="auto"/>
      <w:ind w:right="-210" w:firstLine="556"/>
    </w:pPr>
    <w:rPr>
      <w:rFonts w:ascii="楷体_GB2312" w:hAnsi="Times New Roman" w:eastAsia="楷体_GB2312"/>
      <w:sz w:val="28"/>
      <w:szCs w:val="20"/>
    </w:rPr>
  </w:style>
  <w:style w:type="paragraph" w:customStyle="1" w:styleId="400">
    <w:name w:val="yyn"/>
    <w:basedOn w:val="1"/>
    <w:qFormat/>
    <w:uiPriority w:val="0"/>
    <w:pPr>
      <w:keepNext/>
      <w:widowControl/>
      <w:overflowPunct w:val="0"/>
      <w:autoSpaceDE w:val="0"/>
      <w:autoSpaceDN w:val="0"/>
      <w:adjustRightInd w:val="0"/>
      <w:spacing w:line="360" w:lineRule="auto"/>
      <w:ind w:right="562" w:firstLine="601"/>
    </w:pPr>
    <w:rPr>
      <w:rFonts w:ascii="宋体" w:hAnsi="Times New Roman"/>
      <w:spacing w:val="10"/>
      <w:kern w:val="16"/>
      <w:sz w:val="24"/>
      <w:szCs w:val="20"/>
    </w:rPr>
  </w:style>
  <w:style w:type="paragraph" w:customStyle="1" w:styleId="401">
    <w:name w:val="flNote"/>
    <w:basedOn w:val="1"/>
    <w:qFormat/>
    <w:uiPriority w:val="0"/>
    <w:pPr>
      <w:adjustRightInd w:val="0"/>
      <w:spacing w:before="320" w:after="160" w:line="360" w:lineRule="atLeast"/>
      <w:jc w:val="center"/>
      <w:textAlignment w:val="baseline"/>
    </w:pPr>
    <w:rPr>
      <w:rFonts w:ascii="Arial" w:hAnsi="Times New Roman" w:eastAsia="黑体"/>
      <w:kern w:val="0"/>
      <w:sz w:val="30"/>
      <w:szCs w:val="20"/>
    </w:rPr>
  </w:style>
  <w:style w:type="paragraph" w:customStyle="1" w:styleId="402">
    <w:name w:val="xl2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03">
    <w:name w:val="xl25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04">
    <w:name w:val="普通(网站)1"/>
    <w:basedOn w:val="1"/>
    <w:qFormat/>
    <w:uiPriority w:val="0"/>
    <w:pPr>
      <w:widowControl/>
      <w:suppressAutoHyphens/>
      <w:spacing w:before="284" w:after="280" w:line="360" w:lineRule="auto"/>
      <w:jc w:val="left"/>
    </w:pPr>
    <w:rPr>
      <w:rFonts w:ascii="宋体" w:hAnsi="宋体"/>
      <w:sz w:val="24"/>
      <w:szCs w:val="20"/>
      <w:lang w:eastAsia="ar-SA"/>
    </w:rPr>
  </w:style>
  <w:style w:type="paragraph" w:customStyle="1" w:styleId="405">
    <w:name w:val="公文正文"/>
    <w:qFormat/>
    <w:uiPriority w:val="0"/>
    <w:pPr>
      <w:widowControl w:val="0"/>
      <w:spacing w:line="360" w:lineRule="auto"/>
      <w:ind w:firstLine="629"/>
      <w:jc w:val="both"/>
    </w:pPr>
    <w:rPr>
      <w:rFonts w:ascii="仿宋_GB2312" w:hAnsi="Calisto MT" w:eastAsia="仿宋_GB2312" w:cs="Times New Roman"/>
      <w:color w:val="000000"/>
      <w:sz w:val="32"/>
      <w:lang w:val="en-US" w:eastAsia="zh-CN" w:bidi="ar-SA"/>
    </w:rPr>
  </w:style>
  <w:style w:type="paragraph" w:customStyle="1" w:styleId="406">
    <w:name w:val="xl3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07">
    <w:name w:val="样式 标题 3H3h33rd level3l3CT头标题 3(节)sect1.2.3Heading 3 - ..."/>
    <w:basedOn w:val="5"/>
    <w:qFormat/>
    <w:uiPriority w:val="0"/>
    <w:pPr>
      <w:adjustRightInd w:val="0"/>
      <w:snapToGrid w:val="0"/>
      <w:spacing w:before="0" w:after="0" w:line="360" w:lineRule="auto"/>
      <w:ind w:firstLine="0" w:firstLineChars="0"/>
    </w:pPr>
    <w:rPr>
      <w:rFonts w:hAnsi="Times New Roman" w:cs="宋体"/>
      <w:b/>
      <w:sz w:val="26"/>
      <w:szCs w:val="20"/>
    </w:rPr>
  </w:style>
  <w:style w:type="paragraph" w:customStyle="1" w:styleId="408">
    <w:name w:val="正题"/>
    <w:basedOn w:val="107"/>
    <w:next w:val="107"/>
    <w:qFormat/>
    <w:uiPriority w:val="0"/>
    <w:pPr>
      <w:ind w:firstLine="0" w:firstLineChars="0"/>
      <w:jc w:val="center"/>
    </w:pPr>
    <w:rPr>
      <w:rFonts w:eastAsia="黑体"/>
      <w:b/>
      <w:sz w:val="36"/>
      <w:szCs w:val="36"/>
    </w:rPr>
  </w:style>
  <w:style w:type="paragraph" w:customStyle="1" w:styleId="409">
    <w:name w:val="xl35"/>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410">
    <w:name w:val="xl2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11">
    <w:name w:val="正文文本 21"/>
    <w:basedOn w:val="1"/>
    <w:qFormat/>
    <w:uiPriority w:val="0"/>
    <w:pPr>
      <w:suppressAutoHyphens/>
    </w:pPr>
    <w:rPr>
      <w:rFonts w:ascii="Times New Roman" w:hAnsi="Times New Roman" w:eastAsia="楷体_GB2312"/>
      <w:b/>
      <w:szCs w:val="20"/>
      <w:lang w:eastAsia="ar-SA"/>
    </w:rPr>
  </w:style>
  <w:style w:type="paragraph" w:customStyle="1" w:styleId="412">
    <w:name w:val="正文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413">
    <w:name w:val="font8"/>
    <w:basedOn w:val="1"/>
    <w:qFormat/>
    <w:uiPriority w:val="0"/>
    <w:pPr>
      <w:widowControl/>
      <w:spacing w:before="100" w:beforeAutospacing="1" w:after="100" w:afterAutospacing="1"/>
      <w:jc w:val="left"/>
    </w:pPr>
    <w:rPr>
      <w:rFonts w:ascii="宋体" w:hAnsi="宋体"/>
      <w:b/>
      <w:bCs/>
      <w:color w:val="000000"/>
      <w:kern w:val="0"/>
      <w:sz w:val="18"/>
      <w:szCs w:val="18"/>
    </w:rPr>
  </w:style>
  <w:style w:type="paragraph" w:customStyle="1" w:styleId="414">
    <w:name w:val="xl34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15">
    <w:name w:val="Char1 Char Char Char1"/>
    <w:basedOn w:val="1"/>
    <w:qFormat/>
    <w:uiPriority w:val="0"/>
    <w:rPr>
      <w:rFonts w:ascii="Tahoma" w:hAnsi="Tahoma"/>
      <w:sz w:val="24"/>
      <w:szCs w:val="20"/>
    </w:rPr>
  </w:style>
  <w:style w:type="paragraph" w:customStyle="1" w:styleId="416">
    <w:name w:val="xl3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17">
    <w:name w:val="列表项目符号 21"/>
    <w:basedOn w:val="338"/>
    <w:qFormat/>
    <w:uiPriority w:val="0"/>
    <w:pPr>
      <w:widowControl/>
      <w:spacing w:after="220" w:line="220" w:lineRule="atLeast"/>
      <w:ind w:left="360" w:right="720"/>
      <w:jc w:val="left"/>
    </w:pPr>
  </w:style>
  <w:style w:type="paragraph" w:customStyle="1" w:styleId="418">
    <w:name w:val="xl3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19">
    <w:name w:val="文提"/>
    <w:basedOn w:val="107"/>
    <w:qFormat/>
    <w:uiPriority w:val="0"/>
    <w:pPr>
      <w:ind w:firstLine="0" w:firstLineChars="0"/>
    </w:pPr>
    <w:rPr>
      <w:rFonts w:eastAsia="黑体" w:cs="宋体"/>
      <w:b/>
    </w:rPr>
  </w:style>
  <w:style w:type="paragraph" w:customStyle="1" w:styleId="420">
    <w:name w:val="样式 标题 2 + 小四 段前: 0.5 行 段后: 0.5 行"/>
    <w:basedOn w:val="4"/>
    <w:qFormat/>
    <w:uiPriority w:val="0"/>
    <w:pPr>
      <w:tabs>
        <w:tab w:val="left" w:pos="645"/>
      </w:tabs>
      <w:spacing w:before="0" w:after="0" w:line="360" w:lineRule="auto"/>
      <w:ind w:left="645" w:hanging="645"/>
    </w:pPr>
    <w:rPr>
      <w:rFonts w:ascii="Times New Roman" w:hAnsi="Times New Roman" w:cs="宋体"/>
      <w:spacing w:val="6"/>
      <w:sz w:val="24"/>
      <w:szCs w:val="24"/>
    </w:rPr>
  </w:style>
  <w:style w:type="paragraph" w:customStyle="1" w:styleId="421">
    <w:name w:val="普通(网站)2"/>
    <w:basedOn w:val="1"/>
    <w:qFormat/>
    <w:uiPriority w:val="0"/>
    <w:pPr>
      <w:spacing w:beforeAutospacing="1" w:afterAutospacing="1"/>
    </w:pPr>
    <w:rPr>
      <w:rFonts w:ascii="宋体" w:hAnsi="宋体" w:cs="宋体"/>
      <w:sz w:val="24"/>
      <w:szCs w:val="24"/>
    </w:rPr>
  </w:style>
  <w:style w:type="paragraph" w:customStyle="1" w:styleId="422">
    <w:name w:val="p22"/>
    <w:basedOn w:val="1"/>
    <w:qFormat/>
    <w:uiPriority w:val="0"/>
    <w:pPr>
      <w:widowControl/>
      <w:ind w:firstLine="420"/>
    </w:pPr>
    <w:rPr>
      <w:rFonts w:ascii="Times New Roman" w:hAnsi="Times New Roman"/>
      <w:kern w:val="0"/>
      <w:szCs w:val="21"/>
    </w:rPr>
  </w:style>
  <w:style w:type="paragraph" w:customStyle="1" w:styleId="423">
    <w:name w:val="纯文本1"/>
    <w:basedOn w:val="1"/>
    <w:qFormat/>
    <w:uiPriority w:val="0"/>
    <w:pPr>
      <w:suppressAutoHyphens/>
    </w:pPr>
    <w:rPr>
      <w:rFonts w:ascii="宋体" w:hAnsi="宋体"/>
      <w:szCs w:val="20"/>
      <w:lang w:eastAsia="ar-SA"/>
    </w:rPr>
  </w:style>
  <w:style w:type="paragraph" w:customStyle="1" w:styleId="424">
    <w:name w:val="xl3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25">
    <w:name w:val="默认段落字体 Para Char Char Char1 Char"/>
    <w:basedOn w:val="1"/>
    <w:qFormat/>
    <w:uiPriority w:val="0"/>
    <w:pPr>
      <w:spacing w:line="360" w:lineRule="auto"/>
      <w:ind w:left="420" w:firstLine="420"/>
    </w:pPr>
    <w:rPr>
      <w:rFonts w:ascii="Times New Roman" w:hAnsi="Times New Roman"/>
      <w:kern w:val="0"/>
      <w:sz w:val="24"/>
      <w:szCs w:val="21"/>
    </w:rPr>
  </w:style>
  <w:style w:type="paragraph" w:customStyle="1" w:styleId="426">
    <w:name w:val="xl3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27">
    <w:name w:val="样式4"/>
    <w:basedOn w:val="1"/>
    <w:qFormat/>
    <w:uiPriority w:val="0"/>
    <w:pPr>
      <w:tabs>
        <w:tab w:val="left" w:pos="1984"/>
      </w:tabs>
      <w:ind w:left="1984" w:hanging="708"/>
    </w:pPr>
    <w:rPr>
      <w:rFonts w:ascii="Times New Roman" w:hAnsi="Times New Roman"/>
      <w:szCs w:val="24"/>
    </w:rPr>
  </w:style>
  <w:style w:type="paragraph" w:customStyle="1" w:styleId="428">
    <w:name w:val="xl2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29">
    <w:name w:val="默认段落字体 Para Char Char Char Char Char Char Char"/>
    <w:basedOn w:val="20"/>
    <w:qFormat/>
    <w:uiPriority w:val="0"/>
    <w:pPr>
      <w:adjustRightInd w:val="0"/>
      <w:spacing w:line="436" w:lineRule="exact"/>
      <w:ind w:left="357"/>
      <w:jc w:val="left"/>
      <w:outlineLvl w:val="3"/>
    </w:pPr>
    <w:rPr>
      <w:rFonts w:ascii="Tahoma" w:hAnsi="Tahoma"/>
      <w:b/>
      <w:sz w:val="24"/>
    </w:rPr>
  </w:style>
  <w:style w:type="paragraph" w:customStyle="1" w:styleId="430">
    <w:name w:val="ÕýÎÄ"/>
    <w:qFormat/>
    <w:uiPriority w:val="0"/>
    <w:pPr>
      <w:widowControl w:val="0"/>
      <w:overflowPunct w:val="0"/>
      <w:autoSpaceDE w:val="0"/>
      <w:autoSpaceDN w:val="0"/>
      <w:adjustRightInd w:val="0"/>
    </w:pPr>
    <w:rPr>
      <w:rFonts w:ascii="Courier New" w:hAnsi="Courier New" w:eastAsia="宋体" w:cs="Times New Roman"/>
      <w:sz w:val="24"/>
      <w:lang w:val="en-US" w:eastAsia="zh-CN" w:bidi="ar-SA"/>
    </w:rPr>
  </w:style>
  <w:style w:type="paragraph" w:customStyle="1" w:styleId="431">
    <w:name w:val="表格内容"/>
    <w:basedOn w:val="1"/>
    <w:qFormat/>
    <w:uiPriority w:val="0"/>
    <w:pPr>
      <w:suppressLineNumbers/>
      <w:suppressAutoHyphens/>
    </w:pPr>
    <w:rPr>
      <w:rFonts w:ascii="Times New Roman" w:hAnsi="Times New Roman"/>
      <w:szCs w:val="20"/>
      <w:lang w:eastAsia="ar-SA"/>
    </w:rPr>
  </w:style>
  <w:style w:type="paragraph" w:customStyle="1" w:styleId="432">
    <w:name w:val="xl2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33">
    <w:name w:val="Char Char Char Char Char Char"/>
    <w:basedOn w:val="1"/>
    <w:qFormat/>
    <w:uiPriority w:val="0"/>
    <w:rPr>
      <w:rFonts w:ascii="Times New Roman" w:hAnsi="Times New Roman"/>
      <w:szCs w:val="21"/>
    </w:rPr>
  </w:style>
  <w:style w:type="paragraph" w:customStyle="1" w:styleId="434">
    <w:name w:val="封三"/>
    <w:basedOn w:val="107"/>
    <w:next w:val="107"/>
    <w:qFormat/>
    <w:uiPriority w:val="0"/>
    <w:pPr>
      <w:ind w:firstLine="0" w:firstLineChars="0"/>
      <w:jc w:val="center"/>
    </w:pPr>
    <w:rPr>
      <w:sz w:val="30"/>
    </w:rPr>
  </w:style>
  <w:style w:type="paragraph" w:customStyle="1" w:styleId="435">
    <w:name w:val="xl27"/>
    <w:basedOn w:val="1"/>
    <w:qFormat/>
    <w:uiPriority w:val="0"/>
    <w:pPr>
      <w:widowControl/>
      <w:pBdr>
        <w:top w:val="single" w:color="auto" w:sz="4" w:space="0"/>
        <w:left w:val="single" w:color="auto" w:sz="4" w:space="0"/>
        <w:right w:val="single" w:color="auto" w:sz="4" w:space="0"/>
      </w:pBdr>
      <w:tabs>
        <w:tab w:val="left" w:pos="720"/>
      </w:tabs>
      <w:spacing w:before="100" w:beforeAutospacing="1" w:after="100" w:afterAutospacing="1"/>
      <w:ind w:left="700" w:hanging="340"/>
      <w:jc w:val="center"/>
    </w:pPr>
    <w:rPr>
      <w:rFonts w:ascii="仿宋_GB2312" w:hAnsi="宋体" w:eastAsia="仿宋_GB2312"/>
      <w:kern w:val="0"/>
      <w:sz w:val="16"/>
      <w:szCs w:val="16"/>
    </w:rPr>
  </w:style>
  <w:style w:type="paragraph" w:customStyle="1" w:styleId="436">
    <w:name w:val="xl3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37">
    <w:name w:val="xl3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38">
    <w:name w:val="xl34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39">
    <w:name w:val="xl35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40">
    <w:name w:val="普通 (Web)"/>
    <w:basedOn w:val="1"/>
    <w:qFormat/>
    <w:uiPriority w:val="0"/>
    <w:pPr>
      <w:widowControl/>
      <w:spacing w:before="100" w:after="100"/>
      <w:jc w:val="left"/>
    </w:pPr>
    <w:rPr>
      <w:rFonts w:ascii="Arial Unicode MS" w:hAnsi="Arial Unicode MS" w:eastAsia="Arial Unicode MS"/>
      <w:kern w:val="0"/>
      <w:sz w:val="24"/>
      <w:szCs w:val="20"/>
    </w:rPr>
  </w:style>
  <w:style w:type="paragraph" w:customStyle="1" w:styleId="441">
    <w:name w:val="手册页眉"/>
    <w:basedOn w:val="1"/>
    <w:qFormat/>
    <w:uiPriority w:val="0"/>
    <w:pPr>
      <w:spacing w:line="400" w:lineRule="exact"/>
    </w:pPr>
    <w:rPr>
      <w:rFonts w:ascii="Arial" w:hAnsi="Arial"/>
      <w:sz w:val="18"/>
      <w:szCs w:val="24"/>
    </w:rPr>
  </w:style>
  <w:style w:type="paragraph" w:customStyle="1" w:styleId="442">
    <w:name w:val="xl2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43">
    <w:name w:val="表格正文居中"/>
    <w:basedOn w:val="1"/>
    <w:qFormat/>
    <w:uiPriority w:val="0"/>
    <w:pPr>
      <w:autoSpaceDE w:val="0"/>
      <w:autoSpaceDN w:val="0"/>
      <w:adjustRightInd w:val="0"/>
      <w:snapToGrid w:val="0"/>
      <w:spacing w:line="380" w:lineRule="exact"/>
      <w:ind w:left="57" w:right="57"/>
      <w:textAlignment w:val="baseline"/>
    </w:pPr>
    <w:rPr>
      <w:rFonts w:ascii="宋体" w:hAnsi="Times New Roman"/>
      <w:color w:val="000000"/>
      <w:spacing w:val="8"/>
      <w:kern w:val="0"/>
      <w:sz w:val="24"/>
      <w:szCs w:val="20"/>
    </w:rPr>
  </w:style>
  <w:style w:type="paragraph" w:customStyle="1" w:styleId="444">
    <w:name w:val="xl36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kern w:val="0"/>
      <w:sz w:val="24"/>
      <w:szCs w:val="24"/>
    </w:rPr>
  </w:style>
  <w:style w:type="paragraph" w:customStyle="1" w:styleId="445">
    <w:name w:val="xl33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446">
    <w:name w:val="xl31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447">
    <w:name w:val="p0"/>
    <w:basedOn w:val="1"/>
    <w:qFormat/>
    <w:uiPriority w:val="0"/>
    <w:pPr>
      <w:widowControl/>
    </w:pPr>
    <w:rPr>
      <w:rFonts w:ascii="Times New Roman" w:hAnsi="Times New Roman"/>
      <w:kern w:val="0"/>
      <w:szCs w:val="21"/>
    </w:rPr>
  </w:style>
  <w:style w:type="paragraph" w:customStyle="1" w:styleId="448">
    <w:name w:val="修订1"/>
    <w:qFormat/>
    <w:uiPriority w:val="0"/>
    <w:rPr>
      <w:rFonts w:ascii="Calibri" w:hAnsi="Calibri" w:eastAsia="宋体" w:cs="Times New Roman"/>
      <w:kern w:val="2"/>
      <w:sz w:val="21"/>
      <w:szCs w:val="24"/>
      <w:lang w:val="en-US" w:eastAsia="zh-CN" w:bidi="ar-SA"/>
    </w:rPr>
  </w:style>
  <w:style w:type="paragraph" w:customStyle="1" w:styleId="449">
    <w:name w:val="xl34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450">
    <w:name w:val="xl2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51">
    <w:name w:val="xl2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52">
    <w:name w:val="xl31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453">
    <w:name w:val="Char Char"/>
    <w:basedOn w:val="1"/>
    <w:qFormat/>
    <w:uiPriority w:val="0"/>
    <w:rPr>
      <w:rFonts w:ascii="仿宋_GB2312" w:hAnsi="Times New Roman" w:eastAsia="仿宋_GB2312"/>
      <w:b/>
      <w:sz w:val="32"/>
      <w:szCs w:val="32"/>
    </w:rPr>
  </w:style>
  <w:style w:type="paragraph" w:customStyle="1" w:styleId="454">
    <w:name w:val="表格内文字"/>
    <w:basedOn w:val="2"/>
    <w:qFormat/>
    <w:uiPriority w:val="0"/>
    <w:pPr>
      <w:widowControl/>
      <w:spacing w:after="0"/>
      <w:jc w:val="center"/>
    </w:pPr>
    <w:rPr>
      <w:rFonts w:ascii="Times New Roman" w:hAnsi="Times New Roman"/>
      <w:bCs/>
      <w:kern w:val="0"/>
      <w:sz w:val="20"/>
      <w:szCs w:val="21"/>
      <w:lang w:val="zh-CN"/>
    </w:rPr>
  </w:style>
  <w:style w:type="paragraph" w:customStyle="1" w:styleId="455">
    <w:name w:val="正文2"/>
    <w:basedOn w:val="1"/>
    <w:qFormat/>
    <w:uiPriority w:val="0"/>
    <w:pPr>
      <w:widowControl/>
      <w:spacing w:after="160" w:line="360" w:lineRule="auto"/>
      <w:ind w:firstLine="200" w:firstLineChars="200"/>
      <w:jc w:val="left"/>
    </w:pPr>
    <w:rPr>
      <w:rFonts w:ascii="Verdana" w:hAnsi="Verdana" w:eastAsia="黑体"/>
      <w:kern w:val="0"/>
      <w:szCs w:val="20"/>
      <w:lang w:eastAsia="en-US"/>
    </w:rPr>
  </w:style>
  <w:style w:type="paragraph" w:customStyle="1" w:styleId="456">
    <w:name w:val="－列表2"/>
    <w:basedOn w:val="1"/>
    <w:qFormat/>
    <w:uiPriority w:val="0"/>
    <w:pPr>
      <w:jc w:val="left"/>
    </w:pPr>
    <w:rPr>
      <w:rFonts w:ascii="Times New Roman" w:hAnsi="Arial"/>
      <w:sz w:val="24"/>
      <w:szCs w:val="24"/>
    </w:rPr>
  </w:style>
  <w:style w:type="paragraph" w:customStyle="1" w:styleId="457">
    <w:name w:val="xl2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58">
    <w:name w:val="正文 New New New New New New New New"/>
    <w:qFormat/>
    <w:uiPriority w:val="0"/>
    <w:pPr>
      <w:widowControl w:val="0"/>
      <w:jc w:val="both"/>
    </w:pPr>
    <w:rPr>
      <w:rFonts w:ascii="Calibri" w:hAnsi="Calibri" w:eastAsia="宋体" w:cs="Times New Roman"/>
      <w:kern w:val="2"/>
      <w:sz w:val="21"/>
      <w:lang w:val="en-US" w:eastAsia="zh-CN" w:bidi="ar-SA"/>
    </w:rPr>
  </w:style>
  <w:style w:type="paragraph" w:customStyle="1" w:styleId="459">
    <w:name w:val="+1."/>
    <w:basedOn w:val="1"/>
    <w:qFormat/>
    <w:uiPriority w:val="0"/>
    <w:pPr>
      <w:spacing w:line="360" w:lineRule="auto"/>
    </w:pPr>
    <w:rPr>
      <w:rFonts w:ascii="Times New Roman" w:hAnsi="Times New Roman"/>
      <w:sz w:val="24"/>
      <w:szCs w:val="28"/>
    </w:rPr>
  </w:style>
  <w:style w:type="paragraph" w:customStyle="1" w:styleId="460">
    <w:name w:val="表格"/>
    <w:basedOn w:val="1"/>
    <w:qFormat/>
    <w:uiPriority w:val="0"/>
    <w:pPr>
      <w:jc w:val="center"/>
      <w:textAlignment w:val="center"/>
    </w:pPr>
    <w:rPr>
      <w:rFonts w:ascii="华文细黑" w:hAnsi="华文细黑"/>
      <w:kern w:val="0"/>
      <w:szCs w:val="20"/>
    </w:rPr>
  </w:style>
  <w:style w:type="paragraph" w:customStyle="1" w:styleId="461">
    <w:name w:val="reader-word-layer"/>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462">
    <w:name w:val="xl26"/>
    <w:basedOn w:val="1"/>
    <w:qFormat/>
    <w:uiPriority w:val="0"/>
    <w:pPr>
      <w:widowControl/>
      <w:pBdr>
        <w:left w:val="single" w:color="000000" w:sz="4" w:space="0"/>
        <w:bottom w:val="single" w:color="000000" w:sz="4" w:space="0"/>
        <w:right w:val="single" w:color="000000" w:sz="4" w:space="0"/>
      </w:pBdr>
      <w:suppressAutoHyphens/>
      <w:spacing w:before="280" w:after="280"/>
      <w:jc w:val="center"/>
    </w:pPr>
    <w:rPr>
      <w:rFonts w:ascii="宋体" w:hAnsi="宋体"/>
      <w:sz w:val="24"/>
      <w:szCs w:val="20"/>
      <w:lang w:eastAsia="ar-SA"/>
    </w:rPr>
  </w:style>
  <w:style w:type="paragraph" w:customStyle="1" w:styleId="463">
    <w:name w:val="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464">
    <w:name w:val="xl2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65">
    <w:name w:val="修订2"/>
    <w:qFormat/>
    <w:uiPriority w:val="0"/>
    <w:rPr>
      <w:rFonts w:ascii="Calibri" w:hAnsi="Calibri" w:eastAsia="宋体" w:cs="Times New Roman"/>
      <w:kern w:val="2"/>
      <w:sz w:val="21"/>
      <w:szCs w:val="24"/>
      <w:lang w:val="en-US" w:eastAsia="zh-CN" w:bidi="ar-SA"/>
    </w:rPr>
  </w:style>
  <w:style w:type="paragraph" w:customStyle="1" w:styleId="466">
    <w:name w:val="样式 标题 2 + 宋体"/>
    <w:basedOn w:val="4"/>
    <w:qFormat/>
    <w:uiPriority w:val="0"/>
    <w:pPr>
      <w:keepNext w:val="0"/>
      <w:keepLines w:val="0"/>
      <w:spacing w:before="100" w:beforeAutospacing="1" w:after="100" w:afterAutospacing="1" w:line="360" w:lineRule="auto"/>
    </w:pPr>
    <w:rPr>
      <w:rFonts w:ascii="宋体" w:hAnsi="宋体" w:eastAsia="宋体"/>
      <w:color w:val="000000"/>
      <w:sz w:val="30"/>
      <w:szCs w:val="24"/>
    </w:rPr>
  </w:style>
  <w:style w:type="paragraph" w:customStyle="1" w:styleId="467">
    <w:name w:val="Char Char Char Char1"/>
    <w:basedOn w:val="1"/>
    <w:qFormat/>
    <w:uiPriority w:val="0"/>
    <w:rPr>
      <w:rFonts w:ascii="Times New Roman" w:hAnsi="Times New Roman"/>
      <w:szCs w:val="24"/>
    </w:rPr>
  </w:style>
  <w:style w:type="paragraph" w:customStyle="1" w:styleId="468">
    <w:name w:val="xl3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69">
    <w:name w:val="xl315"/>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70">
    <w:name w:val="默认段落字体 Para Char Char Char Char"/>
    <w:basedOn w:val="1"/>
    <w:qFormat/>
    <w:uiPriority w:val="0"/>
    <w:pPr>
      <w:tabs>
        <w:tab w:val="left" w:pos="960"/>
      </w:tabs>
      <w:spacing w:line="400" w:lineRule="exact"/>
      <w:ind w:left="960" w:hanging="420"/>
    </w:pPr>
    <w:rPr>
      <w:rFonts w:ascii="Times New Roman" w:hAnsi="Times New Roman" w:eastAsia="黑体"/>
      <w:sz w:val="24"/>
      <w:szCs w:val="24"/>
    </w:rPr>
  </w:style>
  <w:style w:type="paragraph" w:customStyle="1" w:styleId="471">
    <w:name w:val="xl2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72">
    <w:name w:val="xl2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73">
    <w:name w:val="标题1"/>
    <w:basedOn w:val="1"/>
    <w:next w:val="2"/>
    <w:qFormat/>
    <w:uiPriority w:val="0"/>
    <w:pPr>
      <w:keepNext/>
      <w:suppressAutoHyphens/>
      <w:spacing w:before="240" w:after="120"/>
    </w:pPr>
    <w:rPr>
      <w:rFonts w:ascii="DejaVu Sans" w:hAnsi="DejaVu Sans" w:eastAsia="DejaVu Sans" w:cs="DejaVu Sans"/>
      <w:sz w:val="28"/>
      <w:szCs w:val="28"/>
      <w:lang w:eastAsia="ar-SA"/>
    </w:rPr>
  </w:style>
  <w:style w:type="paragraph" w:customStyle="1" w:styleId="474">
    <w:name w:val="xl40"/>
    <w:basedOn w:val="1"/>
    <w:qFormat/>
    <w:uiPriority w:val="0"/>
    <w:pPr>
      <w:widowControl/>
      <w:pBdr>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475">
    <w:name w:val="xl2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76">
    <w:name w:val="+标题2"/>
    <w:basedOn w:val="4"/>
    <w:qFormat/>
    <w:uiPriority w:val="0"/>
    <w:pPr>
      <w:spacing w:before="120" w:after="120" w:line="360" w:lineRule="auto"/>
      <w:ind w:left="840" w:hanging="420"/>
    </w:pPr>
    <w:rPr>
      <w:rFonts w:ascii="Times New Roman" w:hAnsi="Times New Roman" w:eastAsia="宋体"/>
      <w:sz w:val="24"/>
      <w:szCs w:val="28"/>
    </w:rPr>
  </w:style>
  <w:style w:type="paragraph" w:customStyle="1" w:styleId="477">
    <w:name w:val="xl33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78">
    <w:name w:val="xl3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479">
    <w:name w:val="Char1"/>
    <w:basedOn w:val="1"/>
    <w:qFormat/>
    <w:uiPriority w:val="0"/>
    <w:pPr>
      <w:tabs>
        <w:tab w:val="left" w:pos="360"/>
      </w:tabs>
    </w:pPr>
    <w:rPr>
      <w:rFonts w:ascii="Times New Roman" w:hAnsi="Times New Roman"/>
      <w:sz w:val="24"/>
      <w:szCs w:val="24"/>
    </w:rPr>
  </w:style>
  <w:style w:type="paragraph" w:customStyle="1" w:styleId="480">
    <w:name w:val="IK_TabAufzaehl_1"/>
    <w:basedOn w:val="1"/>
    <w:qFormat/>
    <w:uiPriority w:val="0"/>
    <w:pPr>
      <w:tabs>
        <w:tab w:val="left" w:pos="113"/>
      </w:tabs>
      <w:autoSpaceDE w:val="0"/>
      <w:autoSpaceDN w:val="0"/>
      <w:adjustRightInd w:val="0"/>
      <w:spacing w:before="60" w:after="60"/>
      <w:ind w:right="57"/>
      <w:jc w:val="left"/>
    </w:pPr>
    <w:rPr>
      <w:rFonts w:ascii="宋体" w:hAnsi="Times New Roman" w:cs="宋体"/>
      <w:kern w:val="0"/>
      <w:sz w:val="18"/>
      <w:szCs w:val="18"/>
    </w:rPr>
  </w:style>
  <w:style w:type="paragraph" w:customStyle="1" w:styleId="481">
    <w:name w:val="xl1244"/>
    <w:basedOn w:val="1"/>
    <w:qFormat/>
    <w:uiPriority w:val="0"/>
    <w:pPr>
      <w:widowControl/>
      <w:pBdr>
        <w:top w:val="single" w:color="auto" w:sz="4" w:space="0"/>
        <w:left w:val="single" w:color="auto" w:sz="4" w:space="0"/>
        <w:bottom w:val="single" w:color="auto" w:sz="4" w:space="0"/>
      </w:pBdr>
      <w:spacing w:before="100" w:after="100" w:line="360" w:lineRule="auto"/>
      <w:jc w:val="left"/>
    </w:pPr>
    <w:rPr>
      <w:rFonts w:ascii="宋体" w:hAnsi="宋体"/>
      <w:b/>
      <w:kern w:val="0"/>
      <w:sz w:val="20"/>
      <w:szCs w:val="20"/>
    </w:rPr>
  </w:style>
  <w:style w:type="paragraph" w:customStyle="1" w:styleId="482">
    <w:name w:val="xl2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83">
    <w:name w:val="xl2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84">
    <w:name w:val="+标题1"/>
    <w:basedOn w:val="3"/>
    <w:qFormat/>
    <w:uiPriority w:val="0"/>
    <w:pPr>
      <w:pageBreakBefore/>
      <w:spacing w:before="240" w:after="240" w:line="360" w:lineRule="auto"/>
      <w:ind w:left="360" w:hanging="360"/>
      <w:jc w:val="left"/>
    </w:pPr>
    <w:rPr>
      <w:rFonts w:eastAsia="黑体"/>
      <w:kern w:val="32"/>
      <w:sz w:val="28"/>
      <w:szCs w:val="28"/>
    </w:rPr>
  </w:style>
  <w:style w:type="paragraph" w:customStyle="1" w:styleId="485">
    <w:name w:val="xl302"/>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86">
    <w:name w:val="xl325"/>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87">
    <w:name w:val="Char Char2 Char"/>
    <w:basedOn w:val="1"/>
    <w:qFormat/>
    <w:uiPriority w:val="0"/>
    <w:pPr>
      <w:keepNext/>
      <w:keepLines/>
      <w:pageBreakBefore/>
      <w:tabs>
        <w:tab w:val="left" w:pos="845"/>
      </w:tabs>
      <w:ind w:left="845" w:hanging="420"/>
    </w:pPr>
    <w:rPr>
      <w:rFonts w:ascii="Tahoma" w:hAnsi="Tahoma"/>
      <w:sz w:val="24"/>
      <w:szCs w:val="20"/>
    </w:rPr>
  </w:style>
  <w:style w:type="paragraph" w:customStyle="1" w:styleId="488">
    <w:name w:val="表格正文缩进"/>
    <w:basedOn w:val="1"/>
    <w:qFormat/>
    <w:uiPriority w:val="0"/>
    <w:pPr>
      <w:autoSpaceDE w:val="0"/>
      <w:autoSpaceDN w:val="0"/>
      <w:snapToGrid w:val="0"/>
      <w:ind w:firstLine="244"/>
    </w:pPr>
    <w:rPr>
      <w:rFonts w:ascii="宋体" w:hAnsi="Times New Roman" w:eastAsia="仿宋体"/>
      <w:color w:val="000000"/>
      <w:spacing w:val="8"/>
      <w:kern w:val="0"/>
      <w:szCs w:val="20"/>
    </w:rPr>
  </w:style>
  <w:style w:type="paragraph" w:customStyle="1" w:styleId="489">
    <w:name w:val="xl2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90">
    <w:name w:val="xl3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91">
    <w:name w:val="正文文本缩进 21"/>
    <w:basedOn w:val="1"/>
    <w:qFormat/>
    <w:uiPriority w:val="0"/>
    <w:pPr>
      <w:suppressAutoHyphens/>
      <w:spacing w:after="120" w:line="480" w:lineRule="auto"/>
      <w:ind w:left="420"/>
    </w:pPr>
    <w:rPr>
      <w:rFonts w:ascii="Times New Roman" w:hAnsi="Times New Roman"/>
      <w:szCs w:val="20"/>
      <w:lang w:eastAsia="ar-SA"/>
    </w:rPr>
  </w:style>
  <w:style w:type="paragraph" w:customStyle="1" w:styleId="492">
    <w:name w:val="cjk"/>
    <w:basedOn w:val="1"/>
    <w:qFormat/>
    <w:uiPriority w:val="0"/>
    <w:pPr>
      <w:widowControl/>
      <w:spacing w:before="284" w:after="100" w:afterAutospacing="1" w:line="360" w:lineRule="auto"/>
      <w:jc w:val="left"/>
    </w:pPr>
    <w:rPr>
      <w:rFonts w:ascii="宋体" w:hAnsi="宋体"/>
      <w:kern w:val="0"/>
      <w:sz w:val="22"/>
    </w:rPr>
  </w:style>
  <w:style w:type="paragraph" w:customStyle="1" w:styleId="493">
    <w:name w:val="普通(Web)1"/>
    <w:basedOn w:val="1"/>
    <w:qFormat/>
    <w:uiPriority w:val="99"/>
    <w:pPr>
      <w:widowControl/>
      <w:spacing w:line="360" w:lineRule="auto"/>
      <w:jc w:val="left"/>
    </w:pPr>
    <w:rPr>
      <w:rFonts w:ascii="Arial" w:hAnsi="Arial" w:cs="Arial"/>
      <w:color w:val="000000"/>
      <w:kern w:val="0"/>
      <w:sz w:val="24"/>
      <w:szCs w:val="24"/>
    </w:rPr>
  </w:style>
  <w:style w:type="paragraph" w:customStyle="1" w:styleId="494">
    <w:name w:val="xl3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495">
    <w:name w:val="v15"/>
    <w:basedOn w:val="1"/>
    <w:qFormat/>
    <w:uiPriority w:val="0"/>
    <w:pPr>
      <w:widowControl/>
      <w:spacing w:before="100" w:beforeAutospacing="1" w:after="100" w:afterAutospacing="1" w:line="280" w:lineRule="atLeast"/>
      <w:jc w:val="left"/>
    </w:pPr>
    <w:rPr>
      <w:rFonts w:ascii="Arial" w:hAnsi="Arial" w:cs="Arial"/>
      <w:color w:val="000000"/>
      <w:kern w:val="0"/>
      <w:sz w:val="18"/>
      <w:szCs w:val="18"/>
    </w:rPr>
  </w:style>
  <w:style w:type="paragraph" w:customStyle="1" w:styleId="496">
    <w:name w:val="xl31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497">
    <w:name w:val="xl3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98">
    <w:name w:val="xl2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99">
    <w:name w:val="目录文字"/>
    <w:basedOn w:val="1"/>
    <w:qFormat/>
    <w:uiPriority w:val="0"/>
    <w:pPr>
      <w:widowControl/>
      <w:spacing w:line="480" w:lineRule="auto"/>
      <w:jc w:val="left"/>
    </w:pPr>
    <w:rPr>
      <w:rFonts w:ascii="宋体" w:hAnsi="宋体"/>
      <w:kern w:val="0"/>
      <w:sz w:val="24"/>
      <w:szCs w:val="20"/>
    </w:rPr>
  </w:style>
  <w:style w:type="paragraph" w:customStyle="1" w:styleId="500">
    <w:name w:val="Style2"/>
    <w:basedOn w:val="1"/>
    <w:qFormat/>
    <w:uiPriority w:val="0"/>
    <w:pPr>
      <w:autoSpaceDE w:val="0"/>
      <w:autoSpaceDN w:val="0"/>
      <w:adjustRightInd w:val="0"/>
      <w:spacing w:line="360" w:lineRule="auto"/>
      <w:jc w:val="left"/>
      <w:textAlignment w:val="baseline"/>
    </w:pPr>
    <w:rPr>
      <w:rFonts w:ascii="Arial" w:hAnsi="Arial" w:eastAsia="Times New Roman"/>
      <w:spacing w:val="10"/>
      <w:kern w:val="0"/>
      <w:sz w:val="28"/>
      <w:szCs w:val="20"/>
    </w:rPr>
  </w:style>
  <w:style w:type="paragraph" w:customStyle="1" w:styleId="501">
    <w:name w:val="xl2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Cs w:val="21"/>
    </w:rPr>
  </w:style>
  <w:style w:type="paragraph" w:customStyle="1" w:styleId="502">
    <w:name w:val="IK_TabText"/>
    <w:basedOn w:val="1"/>
    <w:qFormat/>
    <w:uiPriority w:val="0"/>
    <w:pPr>
      <w:autoSpaceDE w:val="0"/>
      <w:autoSpaceDN w:val="0"/>
      <w:adjustRightInd w:val="0"/>
      <w:spacing w:before="60" w:after="60"/>
      <w:ind w:left="113" w:right="57"/>
      <w:jc w:val="left"/>
    </w:pPr>
    <w:rPr>
      <w:rFonts w:ascii="宋体" w:hAnsi="Times New Roman" w:cs="宋体"/>
      <w:kern w:val="0"/>
      <w:sz w:val="18"/>
      <w:szCs w:val="18"/>
    </w:rPr>
  </w:style>
  <w:style w:type="paragraph" w:customStyle="1" w:styleId="503">
    <w:name w:val="正文文本缩进 31"/>
    <w:basedOn w:val="1"/>
    <w:qFormat/>
    <w:uiPriority w:val="0"/>
    <w:pPr>
      <w:suppressAutoHyphens/>
      <w:spacing w:after="120"/>
      <w:ind w:left="420"/>
    </w:pPr>
    <w:rPr>
      <w:rFonts w:ascii="Times New Roman" w:hAnsi="Times New Roman"/>
      <w:sz w:val="16"/>
      <w:szCs w:val="20"/>
      <w:lang w:eastAsia="ar-SA"/>
    </w:rPr>
  </w:style>
  <w:style w:type="paragraph" w:customStyle="1" w:styleId="504">
    <w:name w:val="列出段落1"/>
    <w:basedOn w:val="1"/>
    <w:qFormat/>
    <w:uiPriority w:val="0"/>
    <w:rPr>
      <w:sz w:val="20"/>
      <w:szCs w:val="20"/>
    </w:rPr>
  </w:style>
  <w:style w:type="paragraph" w:customStyle="1" w:styleId="505">
    <w:name w:val="xl32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506">
    <w:name w:val="样式2"/>
    <w:basedOn w:val="5"/>
    <w:qFormat/>
    <w:uiPriority w:val="0"/>
    <w:rPr>
      <w:i/>
    </w:rPr>
  </w:style>
  <w:style w:type="paragraph" w:customStyle="1" w:styleId="507">
    <w:name w:val="xl2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508">
    <w:name w:val="Char1 Char Char Char Char Char Char11"/>
    <w:basedOn w:val="1"/>
    <w:qFormat/>
    <w:uiPriority w:val="0"/>
    <w:rPr>
      <w:rFonts w:ascii="Times New Roman" w:hAnsi="Times New Roman"/>
      <w:sz w:val="24"/>
      <w:szCs w:val="24"/>
    </w:rPr>
  </w:style>
  <w:style w:type="paragraph" w:customStyle="1" w:styleId="509">
    <w:name w:val="内部列表"/>
    <w:basedOn w:val="1"/>
    <w:qFormat/>
    <w:uiPriority w:val="0"/>
    <w:pPr>
      <w:tabs>
        <w:tab w:val="left" w:pos="420"/>
      </w:tabs>
      <w:adjustRightInd w:val="0"/>
      <w:snapToGrid w:val="0"/>
      <w:spacing w:line="300" w:lineRule="auto"/>
      <w:ind w:left="420" w:hanging="420"/>
    </w:pPr>
    <w:rPr>
      <w:rFonts w:ascii="Times New Roman" w:hAnsi="Times New Roman"/>
      <w:szCs w:val="24"/>
    </w:rPr>
  </w:style>
  <w:style w:type="paragraph" w:customStyle="1" w:styleId="510">
    <w:name w:val="xl2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11">
    <w:name w:val="日期1"/>
    <w:basedOn w:val="1"/>
    <w:next w:val="1"/>
    <w:qFormat/>
    <w:uiPriority w:val="0"/>
    <w:pPr>
      <w:suppressAutoHyphens/>
      <w:ind w:left="100"/>
    </w:pPr>
    <w:rPr>
      <w:rFonts w:ascii="Times New Roman" w:hAnsi="Times New Roman"/>
      <w:szCs w:val="20"/>
      <w:lang w:eastAsia="ar-SA"/>
    </w:rPr>
  </w:style>
  <w:style w:type="paragraph" w:customStyle="1" w:styleId="512">
    <w:name w:val="IK_Ueberschrift"/>
    <w:basedOn w:val="1"/>
    <w:qFormat/>
    <w:uiPriority w:val="0"/>
    <w:pPr>
      <w:autoSpaceDE w:val="0"/>
      <w:autoSpaceDN w:val="0"/>
      <w:adjustRightInd w:val="0"/>
      <w:spacing w:before="20" w:after="20"/>
      <w:ind w:left="113"/>
      <w:jc w:val="left"/>
    </w:pPr>
    <w:rPr>
      <w:rFonts w:ascii="宋体" w:hAnsi="Times New Roman" w:cs="宋体"/>
      <w:kern w:val="0"/>
      <w:sz w:val="18"/>
      <w:szCs w:val="18"/>
    </w:rPr>
  </w:style>
  <w:style w:type="paragraph" w:customStyle="1" w:styleId="513">
    <w:name w:val="xl3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14">
    <w:name w:val="xl3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515">
    <w:name w:val="xl329"/>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kern w:val="0"/>
      <w:sz w:val="24"/>
      <w:szCs w:val="24"/>
    </w:rPr>
  </w:style>
  <w:style w:type="paragraph" w:customStyle="1" w:styleId="516">
    <w:name w:val="xl2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17">
    <w:name w:val="xl3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18">
    <w:name w:val="xl26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19">
    <w:name w:val="xl2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520">
    <w:name w:val="xl36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21">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522">
    <w:name w:val="xl2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23">
    <w:name w:val="xl2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24">
    <w:name w:val="方框图"/>
    <w:basedOn w:val="1"/>
    <w:qFormat/>
    <w:uiPriority w:val="0"/>
    <w:pPr>
      <w:jc w:val="center"/>
    </w:pPr>
    <w:rPr>
      <w:rFonts w:ascii="Times New Roman" w:hAnsi="Times New Roman"/>
      <w:bCs/>
      <w:szCs w:val="24"/>
    </w:rPr>
  </w:style>
  <w:style w:type="paragraph" w:customStyle="1" w:styleId="525">
    <w:name w:val="_Style 113"/>
    <w:next w:val="1"/>
    <w:qFormat/>
    <w:uiPriority w:val="0"/>
    <w:pPr>
      <w:widowControl w:val="0"/>
      <w:jc w:val="both"/>
    </w:pPr>
    <w:rPr>
      <w:rFonts w:ascii="Calibri" w:hAnsi="Calibri" w:eastAsia="宋体" w:cs="Times New Roman"/>
      <w:kern w:val="2"/>
      <w:sz w:val="21"/>
      <w:szCs w:val="24"/>
      <w:lang w:val="en-US" w:eastAsia="zh-CN" w:bidi="ar-SA"/>
    </w:rPr>
  </w:style>
  <w:style w:type="paragraph" w:customStyle="1" w:styleId="526">
    <w:name w:val="标题 11"/>
    <w:basedOn w:val="1"/>
    <w:qFormat/>
    <w:uiPriority w:val="0"/>
    <w:rPr>
      <w:rFonts w:ascii="Times New Roman" w:hAnsi="Times New Roman"/>
      <w:szCs w:val="20"/>
    </w:rPr>
  </w:style>
  <w:style w:type="paragraph" w:customStyle="1" w:styleId="527">
    <w:name w:val="00"/>
    <w:basedOn w:val="1"/>
    <w:qFormat/>
    <w:uiPriority w:val="0"/>
    <w:pPr>
      <w:autoSpaceDE w:val="0"/>
      <w:autoSpaceDN w:val="0"/>
      <w:adjustRightInd w:val="0"/>
      <w:jc w:val="left"/>
    </w:pPr>
    <w:rPr>
      <w:rFonts w:ascii="黑体" w:hAnsi="Times New Roman" w:eastAsia="黑体"/>
      <w:b/>
      <w:bCs/>
      <w:kern w:val="0"/>
      <w:sz w:val="20"/>
      <w:szCs w:val="20"/>
    </w:rPr>
  </w:style>
  <w:style w:type="paragraph" w:customStyle="1" w:styleId="528">
    <w:name w:val="样式3"/>
    <w:basedOn w:val="4"/>
    <w:qFormat/>
    <w:uiPriority w:val="0"/>
    <w:rPr>
      <w:bCs w:val="0"/>
      <w:szCs w:val="20"/>
    </w:rPr>
  </w:style>
  <w:style w:type="paragraph" w:customStyle="1" w:styleId="529">
    <w:name w:val="xl36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30">
    <w:name w:val="正文（2）"/>
    <w:qFormat/>
    <w:uiPriority w:val="0"/>
    <w:pPr>
      <w:spacing w:line="560" w:lineRule="exact"/>
      <w:ind w:firstLine="200" w:firstLineChars="200"/>
    </w:pPr>
    <w:rPr>
      <w:rFonts w:ascii="宋体" w:hAnsi="Calibri" w:eastAsia="宋体" w:cs="Times New Roman"/>
      <w:snapToGrid w:val="0"/>
      <w:spacing w:val="10"/>
      <w:sz w:val="24"/>
      <w:lang w:val="en-US" w:eastAsia="zh-CN" w:bidi="ar-SA"/>
    </w:rPr>
  </w:style>
  <w:style w:type="paragraph" w:customStyle="1" w:styleId="531">
    <w:name w:val="内容目录 10"/>
    <w:basedOn w:val="324"/>
    <w:qFormat/>
    <w:uiPriority w:val="0"/>
    <w:pPr>
      <w:tabs>
        <w:tab w:val="right" w:leader="dot" w:pos="9637"/>
      </w:tabs>
      <w:ind w:left="2547"/>
    </w:pPr>
  </w:style>
  <w:style w:type="paragraph" w:customStyle="1" w:styleId="532">
    <w:name w:val="表标"/>
    <w:basedOn w:val="1"/>
    <w:next w:val="1"/>
    <w:qFormat/>
    <w:uiPriority w:val="0"/>
    <w:pPr>
      <w:keepNext/>
      <w:keepLines/>
      <w:widowControl/>
      <w:autoSpaceDE w:val="0"/>
      <w:autoSpaceDN w:val="0"/>
      <w:adjustRightInd w:val="0"/>
      <w:snapToGrid w:val="0"/>
      <w:spacing w:before="80" w:after="80" w:line="300" w:lineRule="auto"/>
      <w:jc w:val="center"/>
      <w:textAlignment w:val="baseline"/>
    </w:pPr>
    <w:rPr>
      <w:rFonts w:ascii="黑体" w:hAnsi="Times New Roman" w:eastAsia="黑体"/>
      <w:color w:val="000000"/>
      <w:kern w:val="0"/>
      <w:sz w:val="24"/>
      <w:szCs w:val="20"/>
    </w:rPr>
  </w:style>
  <w:style w:type="paragraph" w:customStyle="1" w:styleId="533">
    <w:name w:val="xl3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34">
    <w:name w:val="xl36"/>
    <w:basedOn w:val="1"/>
    <w:qFormat/>
    <w:uiPriority w:val="0"/>
    <w:pPr>
      <w:widowControl/>
      <w:pBdr>
        <w:top w:val="single" w:color="auto" w:sz="4" w:space="0"/>
        <w:left w:val="single" w:color="auto" w:sz="4" w:space="0"/>
      </w:pBdr>
      <w:spacing w:before="100" w:beforeAutospacing="1" w:after="100" w:afterAutospacing="1"/>
      <w:jc w:val="center"/>
    </w:pPr>
    <w:rPr>
      <w:rFonts w:ascii="仿宋_GB2312" w:hAnsi="宋体" w:eastAsia="仿宋_GB2312"/>
      <w:kern w:val="0"/>
      <w:sz w:val="16"/>
      <w:szCs w:val="16"/>
    </w:rPr>
  </w:style>
  <w:style w:type="paragraph" w:customStyle="1" w:styleId="535">
    <w:name w:val="xl3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36">
    <w:name w:val="xl3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37">
    <w:name w:val="font6"/>
    <w:basedOn w:val="1"/>
    <w:qFormat/>
    <w:uiPriority w:val="0"/>
    <w:pPr>
      <w:widowControl/>
      <w:spacing w:before="100" w:beforeAutospacing="1" w:after="100" w:afterAutospacing="1"/>
      <w:jc w:val="left"/>
    </w:pPr>
    <w:rPr>
      <w:rFonts w:ascii="Times New Roman" w:hAnsi="Times New Roman"/>
      <w:kern w:val="0"/>
      <w:sz w:val="16"/>
      <w:szCs w:val="16"/>
    </w:rPr>
  </w:style>
  <w:style w:type="paragraph" w:customStyle="1" w:styleId="538">
    <w:name w:val="xl3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39">
    <w:name w:val="文书"/>
    <w:basedOn w:val="1"/>
    <w:qFormat/>
    <w:uiPriority w:val="0"/>
    <w:pPr>
      <w:ind w:firstLine="560" w:firstLineChars="200"/>
    </w:pPr>
    <w:rPr>
      <w:rFonts w:ascii="Times New Roman" w:hAnsi="Times New Roman"/>
      <w:sz w:val="28"/>
      <w:szCs w:val="24"/>
    </w:rPr>
  </w:style>
  <w:style w:type="paragraph" w:customStyle="1" w:styleId="540">
    <w:name w:val="p23"/>
    <w:basedOn w:val="1"/>
    <w:qFormat/>
    <w:uiPriority w:val="0"/>
    <w:pPr>
      <w:widowControl/>
    </w:pPr>
    <w:rPr>
      <w:rFonts w:ascii="宋体" w:hAnsi="宋体" w:cs="宋体"/>
      <w:kern w:val="0"/>
      <w:szCs w:val="21"/>
    </w:rPr>
  </w:style>
  <w:style w:type="paragraph" w:customStyle="1" w:styleId="541">
    <w:name w:val="font9"/>
    <w:basedOn w:val="1"/>
    <w:qFormat/>
    <w:uiPriority w:val="0"/>
    <w:pPr>
      <w:widowControl/>
      <w:spacing w:before="100" w:beforeAutospacing="1" w:after="100" w:afterAutospacing="1"/>
      <w:jc w:val="left"/>
    </w:pPr>
    <w:rPr>
      <w:rFonts w:ascii="Arial" w:hAnsi="Arial" w:cs="Arial"/>
      <w:kern w:val="0"/>
      <w:sz w:val="16"/>
      <w:szCs w:val="16"/>
    </w:rPr>
  </w:style>
  <w:style w:type="paragraph" w:customStyle="1" w:styleId="542">
    <w:name w:val="表格标题"/>
    <w:basedOn w:val="431"/>
    <w:qFormat/>
    <w:uiPriority w:val="0"/>
    <w:pPr>
      <w:jc w:val="center"/>
    </w:pPr>
    <w:rPr>
      <w:b/>
      <w:bCs/>
    </w:rPr>
  </w:style>
  <w:style w:type="paragraph" w:customStyle="1" w:styleId="543">
    <w:name w:val="1正文 Char1"/>
    <w:basedOn w:val="1"/>
    <w:qFormat/>
    <w:uiPriority w:val="0"/>
    <w:pPr>
      <w:widowControl/>
      <w:adjustRightInd w:val="0"/>
      <w:snapToGrid w:val="0"/>
      <w:spacing w:line="440" w:lineRule="exact"/>
    </w:pPr>
    <w:rPr>
      <w:rFonts w:ascii="宋体" w:hAnsi="宋体"/>
      <w:sz w:val="24"/>
      <w:szCs w:val="20"/>
    </w:rPr>
  </w:style>
  <w:style w:type="paragraph" w:customStyle="1" w:styleId="544">
    <w:name w:val="xl2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545">
    <w:name w:val="字元 字元 Char Char Char Char"/>
    <w:basedOn w:val="1"/>
    <w:qFormat/>
    <w:uiPriority w:val="0"/>
    <w:pPr>
      <w:spacing w:line="480" w:lineRule="exact"/>
      <w:outlineLvl w:val="3"/>
    </w:pPr>
    <w:rPr>
      <w:rFonts w:ascii="Times New Roman" w:hAnsi="Times New Roman"/>
      <w:szCs w:val="20"/>
    </w:rPr>
  </w:style>
  <w:style w:type="paragraph" w:customStyle="1" w:styleId="546">
    <w:name w:val="样式1"/>
    <w:basedOn w:val="1"/>
    <w:next w:val="6"/>
    <w:qFormat/>
    <w:uiPriority w:val="0"/>
    <w:pPr>
      <w:spacing w:line="360" w:lineRule="auto"/>
      <w:ind w:firstLine="420" w:firstLineChars="200"/>
    </w:pPr>
    <w:rPr>
      <w:rFonts w:ascii="宋体" w:hAnsi="宋体"/>
      <w:szCs w:val="21"/>
    </w:rPr>
  </w:style>
  <w:style w:type="paragraph" w:customStyle="1" w:styleId="547">
    <w:name w:val="Char Char Char Char Char Char1 Char"/>
    <w:basedOn w:val="1"/>
    <w:qFormat/>
    <w:uiPriority w:val="0"/>
    <w:pPr>
      <w:widowControl/>
      <w:spacing w:after="160" w:line="240" w:lineRule="exact"/>
      <w:jc w:val="left"/>
    </w:pPr>
    <w:rPr>
      <w:rFonts w:ascii="Verdana" w:hAnsi="Verdana" w:eastAsia="仿宋_GB2312"/>
      <w:kern w:val="0"/>
      <w:sz w:val="24"/>
      <w:szCs w:val="32"/>
      <w:lang w:eastAsia="en-US"/>
    </w:rPr>
  </w:style>
  <w:style w:type="paragraph" w:customStyle="1" w:styleId="548">
    <w:name w:val="手册文字"/>
    <w:qFormat/>
    <w:uiPriority w:val="0"/>
    <w:pPr>
      <w:spacing w:beforeLines="50" w:line="360" w:lineRule="auto"/>
      <w:ind w:firstLine="538" w:firstLineChars="256"/>
      <w:jc w:val="both"/>
    </w:pPr>
    <w:rPr>
      <w:rFonts w:ascii="Calibri" w:hAnsi="Calibri" w:eastAsia="宋体" w:cs="Times New Roman"/>
      <w:sz w:val="21"/>
      <w:szCs w:val="21"/>
      <w:lang w:val="en-US" w:eastAsia="zh-CN" w:bidi="ar-SA"/>
    </w:rPr>
  </w:style>
  <w:style w:type="paragraph" w:customStyle="1" w:styleId="549">
    <w:name w:val="Char Char Char Char Char Char Char Char Char Char Char"/>
    <w:basedOn w:val="6"/>
    <w:qFormat/>
    <w:uiPriority w:val="0"/>
    <w:pPr>
      <w:spacing w:line="376" w:lineRule="auto"/>
      <w:ind w:left="3"/>
    </w:pPr>
    <w:rPr>
      <w:rFonts w:ascii="Times New Roman" w:hAnsi="Times New Roman" w:eastAsia="宋体"/>
      <w:b w:val="0"/>
      <w:bCs w:val="0"/>
      <w:sz w:val="24"/>
      <w:szCs w:val="24"/>
    </w:rPr>
  </w:style>
  <w:style w:type="paragraph" w:customStyle="1" w:styleId="550">
    <w:name w:val="保留正文"/>
    <w:basedOn w:val="2"/>
    <w:qFormat/>
    <w:uiPriority w:val="0"/>
    <w:pPr>
      <w:keepNext/>
      <w:spacing w:after="160"/>
    </w:pPr>
    <w:rPr>
      <w:rFonts w:ascii="Times New Roman" w:hAnsi="Times New Roman"/>
      <w:kern w:val="0"/>
      <w:sz w:val="20"/>
      <w:szCs w:val="24"/>
      <w:lang w:val="zh-CN"/>
    </w:rPr>
  </w:style>
  <w:style w:type="paragraph" w:customStyle="1" w:styleId="551">
    <w:name w:val="p26"/>
    <w:basedOn w:val="1"/>
    <w:qFormat/>
    <w:uiPriority w:val="0"/>
    <w:pPr>
      <w:widowControl/>
    </w:pPr>
    <w:rPr>
      <w:rFonts w:ascii="Times New Roman" w:hAnsi="Times New Roman"/>
      <w:kern w:val="0"/>
      <w:szCs w:val="21"/>
    </w:rPr>
  </w:style>
  <w:style w:type="paragraph" w:customStyle="1" w:styleId="552">
    <w:name w:val="发文落款"/>
    <w:basedOn w:val="405"/>
    <w:qFormat/>
    <w:uiPriority w:val="0"/>
    <w:pPr>
      <w:ind w:left="4094" w:right="607" w:firstLine="0"/>
      <w:jc w:val="center"/>
    </w:pPr>
  </w:style>
  <w:style w:type="paragraph" w:customStyle="1" w:styleId="553">
    <w:name w:val="font12"/>
    <w:basedOn w:val="1"/>
    <w:qFormat/>
    <w:uiPriority w:val="0"/>
    <w:pPr>
      <w:widowControl/>
      <w:spacing w:before="100" w:after="100" w:line="360" w:lineRule="auto"/>
      <w:jc w:val="left"/>
    </w:pPr>
    <w:rPr>
      <w:rFonts w:ascii="宋体" w:hAnsi="宋体"/>
      <w:b/>
      <w:kern w:val="0"/>
      <w:sz w:val="20"/>
      <w:szCs w:val="20"/>
    </w:rPr>
  </w:style>
  <w:style w:type="paragraph" w:customStyle="1" w:styleId="554">
    <w:name w:val="封二"/>
    <w:basedOn w:val="107"/>
    <w:next w:val="107"/>
    <w:qFormat/>
    <w:uiPriority w:val="0"/>
    <w:pPr>
      <w:ind w:firstLine="0" w:firstLineChars="0"/>
      <w:jc w:val="center"/>
    </w:pPr>
    <w:rPr>
      <w:rFonts w:eastAsia="黑体"/>
      <w:b/>
      <w:sz w:val="36"/>
      <w:szCs w:val="36"/>
    </w:rPr>
  </w:style>
  <w:style w:type="paragraph" w:customStyle="1" w:styleId="555">
    <w:name w:val="xl33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4"/>
      <w:szCs w:val="24"/>
    </w:rPr>
  </w:style>
  <w:style w:type="paragraph" w:customStyle="1" w:styleId="556">
    <w:name w:val="标签"/>
    <w:basedOn w:val="1"/>
    <w:qFormat/>
    <w:uiPriority w:val="0"/>
    <w:pPr>
      <w:suppressLineNumbers/>
      <w:suppressAutoHyphens/>
      <w:spacing w:before="120" w:after="120"/>
    </w:pPr>
    <w:rPr>
      <w:rFonts w:ascii="Times New Roman" w:hAnsi="Times New Roman"/>
      <w:i/>
      <w:iCs/>
      <w:sz w:val="24"/>
      <w:szCs w:val="24"/>
      <w:lang w:eastAsia="ar-SA"/>
    </w:rPr>
  </w:style>
  <w:style w:type="paragraph" w:customStyle="1" w:styleId="557">
    <w:name w:val="xl2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558">
    <w:name w:val="样式 标题 3 + 仿宋_GB2312 小四 加粗 两端对齐 段后: 6 磅 行距: 单倍行距"/>
    <w:basedOn w:val="5"/>
    <w:qFormat/>
    <w:uiPriority w:val="0"/>
    <w:pPr>
      <w:widowControl/>
      <w:tabs>
        <w:tab w:val="left" w:pos="1200"/>
      </w:tabs>
      <w:adjustRightInd w:val="0"/>
      <w:spacing w:before="120" w:after="120" w:line="240" w:lineRule="auto"/>
      <w:ind w:left="1200" w:hanging="720" w:firstLineChars="0"/>
    </w:pPr>
    <w:rPr>
      <w:rFonts w:ascii="仿宋_GB2312" w:hAnsi="Times New Roman" w:eastAsia="仿宋_GB2312"/>
      <w:b/>
      <w:sz w:val="24"/>
      <w:szCs w:val="20"/>
    </w:rPr>
  </w:style>
  <w:style w:type="paragraph" w:customStyle="1" w:styleId="559">
    <w:name w:val="xl2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560">
    <w:name w:val="xl36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61">
    <w:name w:val="设计方案"/>
    <w:basedOn w:val="1"/>
    <w:qFormat/>
    <w:uiPriority w:val="0"/>
    <w:pPr>
      <w:widowControl/>
      <w:spacing w:after="160" w:line="240" w:lineRule="exact"/>
      <w:jc w:val="left"/>
    </w:pPr>
    <w:rPr>
      <w:rFonts w:ascii="Verdana" w:hAnsi="Verdana"/>
      <w:kern w:val="0"/>
      <w:szCs w:val="20"/>
      <w:lang w:eastAsia="en-US"/>
    </w:rPr>
  </w:style>
  <w:style w:type="paragraph" w:customStyle="1" w:styleId="562">
    <w:name w:val="xl44"/>
    <w:basedOn w:val="1"/>
    <w:qFormat/>
    <w:uiPriority w:val="0"/>
    <w:pPr>
      <w:widowControl/>
      <w:pBdr>
        <w:left w:val="single" w:color="000000" w:sz="8" w:space="0"/>
        <w:bottom w:val="single" w:color="000000" w:sz="8" w:space="0"/>
        <w:right w:val="single" w:color="000000" w:sz="8" w:space="0"/>
      </w:pBdr>
      <w:spacing w:before="100" w:beforeAutospacing="1" w:after="100" w:afterAutospacing="1"/>
      <w:jc w:val="center"/>
    </w:pPr>
    <w:rPr>
      <w:rFonts w:ascii="宋体" w:hAnsi="宋体" w:cs="Arial Unicode MS"/>
      <w:kern w:val="0"/>
      <w:sz w:val="22"/>
      <w:lang w:eastAsia="en-US"/>
    </w:rPr>
  </w:style>
  <w:style w:type="paragraph" w:customStyle="1" w:styleId="563">
    <w:name w:val="xl25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64">
    <w:name w:val="+标题3"/>
    <w:basedOn w:val="5"/>
    <w:qFormat/>
    <w:uiPriority w:val="0"/>
    <w:pPr>
      <w:tabs>
        <w:tab w:val="left" w:pos="560"/>
      </w:tabs>
      <w:spacing w:before="120" w:after="120" w:line="360" w:lineRule="auto"/>
      <w:ind w:left="1260" w:hanging="420" w:firstLineChars="0"/>
      <w:jc w:val="left"/>
    </w:pPr>
    <w:rPr>
      <w:rFonts w:ascii="Times New Roman" w:hAnsi="Times New Roman" w:eastAsia="宋体"/>
      <w:b/>
      <w:sz w:val="24"/>
    </w:rPr>
  </w:style>
  <w:style w:type="paragraph" w:customStyle="1" w:styleId="565">
    <w:name w:val="xl3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66">
    <w:name w:val="Blockquote"/>
    <w:basedOn w:val="1"/>
    <w:qFormat/>
    <w:uiPriority w:val="0"/>
    <w:pPr>
      <w:autoSpaceDE w:val="0"/>
      <w:autoSpaceDN w:val="0"/>
      <w:adjustRightInd w:val="0"/>
      <w:spacing w:before="100" w:after="100"/>
      <w:ind w:left="360" w:right="360"/>
      <w:jc w:val="left"/>
    </w:pPr>
    <w:rPr>
      <w:rFonts w:ascii="Times New Roman" w:hAnsi="Times New Roman"/>
      <w:kern w:val="0"/>
      <w:sz w:val="24"/>
      <w:szCs w:val="20"/>
    </w:rPr>
  </w:style>
  <w:style w:type="paragraph" w:customStyle="1" w:styleId="567">
    <w:name w:val="xl3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68">
    <w:name w:val="样式 标题 3 + 小四"/>
    <w:basedOn w:val="5"/>
    <w:qFormat/>
    <w:uiPriority w:val="0"/>
    <w:pPr>
      <w:widowControl/>
      <w:tabs>
        <w:tab w:val="left" w:pos="645"/>
        <w:tab w:val="left" w:pos="921"/>
        <w:tab w:val="left" w:pos="1125"/>
      </w:tabs>
      <w:adjustRightInd w:val="0"/>
      <w:spacing w:before="0" w:after="0" w:line="360" w:lineRule="auto"/>
      <w:ind w:left="645" w:hanging="645" w:firstLineChars="0"/>
      <w:jc w:val="left"/>
      <w:textAlignment w:val="baseline"/>
    </w:pPr>
    <w:rPr>
      <w:rFonts w:ascii="Times New Roman" w:hAnsi="Times New Roman"/>
      <w:b/>
      <w:spacing w:val="6"/>
      <w:sz w:val="24"/>
      <w:szCs w:val="24"/>
    </w:rPr>
  </w:style>
  <w:style w:type="paragraph" w:customStyle="1" w:styleId="569">
    <w:name w:val="para"/>
    <w:basedOn w:val="1"/>
    <w:qFormat/>
    <w:uiPriority w:val="0"/>
    <w:pPr>
      <w:widowControl/>
      <w:spacing w:before="100" w:beforeAutospacing="1" w:after="100" w:afterAutospacing="1"/>
      <w:jc w:val="left"/>
    </w:pPr>
    <w:rPr>
      <w:rFonts w:ascii="Arial" w:hAnsi="Arial" w:cs="Arial"/>
      <w:kern w:val="0"/>
      <w:sz w:val="24"/>
      <w:szCs w:val="24"/>
    </w:rPr>
  </w:style>
  <w:style w:type="paragraph" w:customStyle="1" w:styleId="570">
    <w:name w:val="xl3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571">
    <w:name w:val="xl32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572">
    <w:name w:val="Char"/>
    <w:basedOn w:val="1"/>
    <w:qFormat/>
    <w:uiPriority w:val="0"/>
    <w:pPr>
      <w:tabs>
        <w:tab w:val="left" w:pos="360"/>
      </w:tabs>
    </w:pPr>
    <w:rPr>
      <w:rFonts w:ascii="Times New Roman" w:hAnsi="Times New Roman"/>
      <w:sz w:val="24"/>
      <w:szCs w:val="24"/>
    </w:rPr>
  </w:style>
  <w:style w:type="paragraph" w:customStyle="1" w:styleId="573">
    <w:name w:val="xl2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74">
    <w:name w:val="公文标题"/>
    <w:basedOn w:val="5"/>
    <w:qFormat/>
    <w:uiPriority w:val="0"/>
    <w:pPr>
      <w:spacing w:line="240" w:lineRule="auto"/>
      <w:ind w:left="1469" w:right="1542" w:firstLine="0" w:firstLineChars="0"/>
      <w:jc w:val="center"/>
    </w:pPr>
    <w:rPr>
      <w:rFonts w:ascii="Times New Roman" w:hAnsi="Times New Roman" w:eastAsia="宋体"/>
      <w:b/>
      <w:bCs w:val="0"/>
      <w:sz w:val="44"/>
      <w:szCs w:val="24"/>
    </w:rPr>
  </w:style>
  <w:style w:type="paragraph" w:customStyle="1" w:styleId="575">
    <w:name w:val="xl3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76">
    <w:name w:val="文二"/>
    <w:basedOn w:val="1"/>
    <w:qFormat/>
    <w:uiPriority w:val="0"/>
    <w:pPr>
      <w:jc w:val="left"/>
    </w:pPr>
    <w:rPr>
      <w:rFonts w:ascii="宋体" w:hAnsi="宋体"/>
      <w:szCs w:val="21"/>
    </w:rPr>
  </w:style>
  <w:style w:type="paragraph" w:customStyle="1" w:styleId="577">
    <w:name w:val="Char2"/>
    <w:basedOn w:val="1"/>
    <w:qFormat/>
    <w:uiPriority w:val="0"/>
    <w:pPr>
      <w:tabs>
        <w:tab w:val="left" w:pos="1360"/>
      </w:tabs>
      <w:ind w:left="1360" w:hanging="720"/>
    </w:pPr>
    <w:rPr>
      <w:rFonts w:ascii="Times New Roman" w:hAnsi="Times New Roman"/>
      <w:szCs w:val="20"/>
    </w:rPr>
  </w:style>
  <w:style w:type="paragraph" w:customStyle="1" w:styleId="578">
    <w:name w:val="xl2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79">
    <w:name w:val="xl2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80">
    <w:name w:val="+列表1"/>
    <w:basedOn w:val="1"/>
    <w:qFormat/>
    <w:uiPriority w:val="0"/>
    <w:pPr>
      <w:jc w:val="center"/>
    </w:pPr>
    <w:rPr>
      <w:rFonts w:ascii="Times New Roman" w:hAnsi="Times New Roman"/>
      <w:szCs w:val="24"/>
    </w:rPr>
  </w:style>
  <w:style w:type="paragraph" w:customStyle="1" w:styleId="581">
    <w:name w:val="xl2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82">
    <w:name w:val="xl29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83">
    <w:name w:val="medaps_tab_03"/>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584">
    <w:name w:val="_Style 583"/>
    <w:unhideWhenUsed/>
    <w:qFormat/>
    <w:uiPriority w:val="99"/>
    <w:rPr>
      <w:rFonts w:ascii="Calibri" w:hAnsi="Calibri" w:eastAsia="宋体" w:cs="Times New Roman"/>
      <w:kern w:val="2"/>
      <w:sz w:val="21"/>
      <w:szCs w:val="22"/>
      <w:lang w:val="en-US" w:eastAsia="zh-CN" w:bidi="ar-SA"/>
    </w:rPr>
  </w:style>
  <w:style w:type="paragraph" w:customStyle="1" w:styleId="585">
    <w:name w:val="协议书标题"/>
    <w:basedOn w:val="1"/>
    <w:link w:val="586"/>
    <w:qFormat/>
    <w:uiPriority w:val="0"/>
    <w:pPr>
      <w:adjustRightInd w:val="0"/>
      <w:snapToGrid w:val="0"/>
      <w:spacing w:before="50" w:beforeLines="50" w:after="50" w:afterLines="50" w:line="360" w:lineRule="auto"/>
      <w:ind w:right="11" w:firstLine="422" w:firstLineChars="200"/>
      <w:outlineLvl w:val="1"/>
    </w:pPr>
    <w:rPr>
      <w:rFonts w:ascii="宋体" w:hAnsi="宋体"/>
      <w:b/>
      <w:bCs/>
      <w:snapToGrid w:val="0"/>
      <w:kern w:val="0"/>
      <w:szCs w:val="21"/>
    </w:rPr>
  </w:style>
  <w:style w:type="character" w:customStyle="1" w:styleId="586">
    <w:name w:val="协议书标题 Char"/>
    <w:link w:val="585"/>
    <w:qFormat/>
    <w:uiPriority w:val="0"/>
    <w:rPr>
      <w:rFonts w:ascii="宋体" w:hAnsi="宋体" w:eastAsia="宋体"/>
      <w:b/>
      <w:bCs/>
      <w:snapToGrid w:val="0"/>
      <w:kern w:val="0"/>
      <w:szCs w:val="21"/>
    </w:rPr>
  </w:style>
  <w:style w:type="paragraph" w:customStyle="1" w:styleId="587">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588">
    <w:name w:val="修订3"/>
    <w:hidden/>
    <w:unhideWhenUsed/>
    <w:qFormat/>
    <w:uiPriority w:val="99"/>
    <w:rPr>
      <w:rFonts w:ascii="Calibri" w:hAnsi="Calibri" w:eastAsia="宋体" w:cs="Times New Roman"/>
      <w:kern w:val="2"/>
      <w:sz w:val="21"/>
      <w:szCs w:val="22"/>
      <w:lang w:val="en-US" w:eastAsia="zh-CN" w:bidi="ar-SA"/>
    </w:rPr>
  </w:style>
  <w:style w:type="paragraph" w:customStyle="1" w:styleId="589">
    <w:name w:val="修订4"/>
    <w:hidden/>
    <w:unhideWhenUsed/>
    <w:qFormat/>
    <w:uiPriority w:val="99"/>
    <w:rPr>
      <w:rFonts w:ascii="Calibri" w:hAnsi="Calibri" w:eastAsia="宋体" w:cs="Times New Roman"/>
      <w:kern w:val="2"/>
      <w:sz w:val="21"/>
      <w:szCs w:val="22"/>
      <w:lang w:val="en-US" w:eastAsia="zh-CN" w:bidi="ar-SA"/>
    </w:rPr>
  </w:style>
  <w:style w:type="paragraph" w:customStyle="1" w:styleId="590">
    <w:name w:val="Revision"/>
    <w:hidden/>
    <w:unhideWhenUsed/>
    <w:uiPriority w:val="99"/>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4.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3.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7" Type="http://schemas.openxmlformats.org/officeDocument/2006/relationships/fontTable" Target="fontTable.xml"/><Relationship Id="rId136" Type="http://schemas.openxmlformats.org/officeDocument/2006/relationships/customXml" Target="../customXml/item1.xml"/><Relationship Id="rId135" Type="http://schemas.openxmlformats.org/officeDocument/2006/relationships/numbering" Target="numbering.xml"/><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jpe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pn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B16AE-4BB5-48EC-8AEB-8A9A6912B3CC}">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302</Pages>
  <Words>125150</Words>
  <Characters>131244</Characters>
  <Lines>152</Lines>
  <Paragraphs>286</Paragraphs>
  <TotalTime>1</TotalTime>
  <ScaleCrop>false</ScaleCrop>
  <LinksUpToDate>false</LinksUpToDate>
  <CharactersWithSpaces>134979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2023-10-16T08:29:00Z</dcterms:created>
  <dc:creator>岳梦霞</dc:creator>
  <cp:lastModifiedBy>Administrator</cp:lastModifiedBy>
  <cp:lastPrinted>2023-08-29T06:59:00Z</cp:lastPrinted>
  <dcterms:modified xsi:type="dcterms:W3CDTF">2023-10-17T10:06:30Z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B9CDEF190E474F9B8BA1A44E3A28EEA8_13</vt:lpwstr>
  </property>
</Properties>
</file>