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ind w:left="359" w:leftChars="171"/>
        <w:jc w:val="left"/>
        <w:rPr>
          <w:rFonts w:ascii="宋体"/>
          <w:b/>
          <w:bCs/>
          <w:color w:val="auto"/>
          <w:spacing w:val="40"/>
          <w:sz w:val="44"/>
          <w:szCs w:val="44"/>
          <w:highlight w:val="none"/>
        </w:rPr>
      </w:pPr>
    </w:p>
    <w:p>
      <w:pPr>
        <w:spacing w:line="360" w:lineRule="auto"/>
        <w:rPr>
          <w:rFonts w:ascii="宋体"/>
          <w:b/>
          <w:bCs/>
          <w:color w:val="auto"/>
          <w:spacing w:val="40"/>
          <w:sz w:val="44"/>
          <w:szCs w:val="44"/>
          <w:highlight w:val="none"/>
        </w:rPr>
      </w:pPr>
    </w:p>
    <w:p>
      <w:pPr>
        <w:spacing w:line="360" w:lineRule="auto"/>
        <w:ind w:left="359" w:leftChars="171"/>
        <w:jc w:val="center"/>
        <w:rPr>
          <w:rFonts w:hint="eastAsia"/>
          <w:color w:val="auto"/>
          <w:sz w:val="48"/>
          <w:szCs w:val="48"/>
          <w:highlight w:val="none"/>
          <w:lang w:eastAsia="zh-CN"/>
        </w:rPr>
      </w:pPr>
      <w:r>
        <w:rPr>
          <w:rFonts w:hint="eastAsia"/>
          <w:color w:val="auto"/>
          <w:sz w:val="48"/>
          <w:szCs w:val="48"/>
          <w:highlight w:val="none"/>
          <w:lang w:eastAsia="zh-CN"/>
        </w:rPr>
        <w:t>鱼窝头社区停车场建设工程等3个项目</w:t>
      </w:r>
    </w:p>
    <w:p>
      <w:pPr>
        <w:spacing w:line="360" w:lineRule="auto"/>
        <w:jc w:val="center"/>
        <w:rPr>
          <w:color w:val="auto"/>
          <w:sz w:val="36"/>
          <w:highlight w:val="none"/>
          <w:u w:val="single"/>
        </w:rPr>
      </w:pPr>
    </w:p>
    <w:p>
      <w:pPr>
        <w:pStyle w:val="36"/>
        <w:ind w:left="420" w:firstLine="720"/>
        <w:rPr>
          <w:color w:val="auto"/>
          <w:sz w:val="36"/>
          <w:highlight w:val="none"/>
          <w:u w:val="single"/>
        </w:rPr>
      </w:pPr>
    </w:p>
    <w:p>
      <w:pPr>
        <w:pStyle w:val="36"/>
        <w:ind w:left="420" w:firstLine="720"/>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rFonts w:hint="eastAsia" w:eastAsia="宋体"/>
          <w:color w:val="auto"/>
          <w:sz w:val="30"/>
          <w:szCs w:val="30"/>
          <w:highlight w:val="none"/>
          <w:u w:val="none"/>
          <w:lang w:eastAsia="zh-CN"/>
        </w:rPr>
      </w:pPr>
      <w:r>
        <w:rPr>
          <w:rFonts w:hint="eastAsia"/>
          <w:color w:val="auto"/>
          <w:sz w:val="30"/>
          <w:szCs w:val="30"/>
          <w:highlight w:val="none"/>
        </w:rPr>
        <w:t>招</w:t>
      </w:r>
      <w:r>
        <w:rPr>
          <w:rFonts w:hint="eastAsia"/>
          <w:color w:val="auto"/>
          <w:sz w:val="30"/>
          <w:szCs w:val="30"/>
          <w:highlight w:val="none"/>
          <w:lang w:val="en-US" w:eastAsia="zh-CN"/>
        </w:rPr>
        <w:t xml:space="preserve"> </w:t>
      </w:r>
      <w:r>
        <w:rPr>
          <w:rFonts w:hint="eastAsia"/>
          <w:color w:val="auto"/>
          <w:sz w:val="30"/>
          <w:szCs w:val="30"/>
          <w:highlight w:val="none"/>
        </w:rPr>
        <w:t>标</w:t>
      </w:r>
      <w:r>
        <w:rPr>
          <w:rFonts w:hint="eastAsia"/>
          <w:color w:val="auto"/>
          <w:sz w:val="30"/>
          <w:szCs w:val="30"/>
          <w:highlight w:val="none"/>
          <w:lang w:val="en-US" w:eastAsia="zh-CN"/>
        </w:rPr>
        <w:t xml:space="preserve"> </w:t>
      </w:r>
      <w:r>
        <w:rPr>
          <w:rFonts w:hint="eastAsia"/>
          <w:color w:val="auto"/>
          <w:sz w:val="30"/>
          <w:szCs w:val="30"/>
          <w:highlight w:val="none"/>
        </w:rPr>
        <w:t>单</w:t>
      </w:r>
      <w:r>
        <w:rPr>
          <w:rFonts w:hint="eastAsia"/>
          <w:color w:val="auto"/>
          <w:sz w:val="30"/>
          <w:szCs w:val="30"/>
          <w:highlight w:val="none"/>
          <w:lang w:val="en-US" w:eastAsia="zh-CN"/>
        </w:rPr>
        <w:t xml:space="preserve"> </w:t>
      </w:r>
      <w:r>
        <w:rPr>
          <w:rFonts w:hint="eastAsia"/>
          <w:color w:val="auto"/>
          <w:sz w:val="30"/>
          <w:szCs w:val="30"/>
          <w:highlight w:val="none"/>
        </w:rPr>
        <w:t>位：</w:t>
      </w:r>
      <w:r>
        <w:rPr>
          <w:rFonts w:hint="eastAsia"/>
          <w:color w:val="auto"/>
          <w:sz w:val="30"/>
          <w:szCs w:val="30"/>
          <w:highlight w:val="none"/>
          <w:u w:val="none"/>
          <w:lang w:eastAsia="zh-CN"/>
        </w:rPr>
        <w:t>广州市南沙区东涌镇人民政府</w:t>
      </w:r>
    </w:p>
    <w:p>
      <w:pPr>
        <w:ind w:firstLine="900" w:firstLineChars="300"/>
        <w:rPr>
          <w:rFonts w:hint="eastAsia" w:ascii="Calibri" w:hAnsi="Calibri"/>
          <w:strike w:val="0"/>
          <w:color w:val="auto"/>
          <w:sz w:val="30"/>
          <w:szCs w:val="30"/>
          <w:highlight w:val="none"/>
          <w:u w:val="none"/>
          <w:lang w:eastAsia="zh-CN"/>
        </w:rPr>
      </w:pPr>
      <w:r>
        <w:rPr>
          <w:rFonts w:hint="eastAsia"/>
          <w:strike w:val="0"/>
          <w:color w:val="auto"/>
          <w:sz w:val="30"/>
          <w:szCs w:val="30"/>
          <w:highlight w:val="none"/>
          <w:u w:val="none"/>
          <w:lang w:val="en-US" w:eastAsia="zh-CN"/>
        </w:rPr>
        <w:t>项目建设管理单位：广东广建项目管理有限公司</w:t>
      </w:r>
    </w:p>
    <w:p>
      <w:pPr>
        <w:spacing w:line="360" w:lineRule="auto"/>
        <w:ind w:firstLine="945"/>
        <w:rPr>
          <w:rFonts w:hint="eastAsia" w:eastAsia="宋体"/>
          <w:color w:val="auto"/>
          <w:sz w:val="30"/>
          <w:szCs w:val="30"/>
          <w:highlight w:val="none"/>
          <w:u w:val="none"/>
          <w:lang w:eastAsia="zh-CN"/>
        </w:rPr>
      </w:pPr>
      <w:r>
        <w:rPr>
          <w:rFonts w:hint="eastAsia"/>
          <w:color w:val="auto"/>
          <w:sz w:val="30"/>
          <w:szCs w:val="30"/>
          <w:highlight w:val="none"/>
          <w:u w:val="none"/>
        </w:rPr>
        <w:t>招标代理单位：</w:t>
      </w:r>
      <w:r>
        <w:rPr>
          <w:rFonts w:hint="eastAsia"/>
          <w:color w:val="auto"/>
          <w:sz w:val="30"/>
          <w:szCs w:val="30"/>
          <w:highlight w:val="none"/>
          <w:u w:val="none"/>
          <w:lang w:eastAsia="zh-CN"/>
        </w:rPr>
        <w:t>广东海外建设咨询有限公司</w:t>
      </w:r>
    </w:p>
    <w:p>
      <w:pPr>
        <w:spacing w:line="360" w:lineRule="auto"/>
        <w:ind w:firstLine="945"/>
        <w:rPr>
          <w:color w:val="auto"/>
          <w:sz w:val="32"/>
          <w:highlight w:val="none"/>
          <w:u w:val="none"/>
        </w:rPr>
      </w:pPr>
      <w:r>
        <w:rPr>
          <w:rFonts w:hint="eastAsia"/>
          <w:color w:val="auto"/>
          <w:sz w:val="32"/>
          <w:highlight w:val="none"/>
        </w:rPr>
        <w:t>日</w:t>
      </w:r>
      <w:r>
        <w:rPr>
          <w:rFonts w:hint="eastAsia"/>
          <w:color w:val="auto"/>
          <w:sz w:val="32"/>
          <w:highlight w:val="none"/>
          <w:lang w:val="en-US" w:eastAsia="zh-CN"/>
        </w:rPr>
        <w:t xml:space="preserve">       </w:t>
      </w:r>
      <w:r>
        <w:rPr>
          <w:rFonts w:hint="eastAsia"/>
          <w:color w:val="auto"/>
          <w:sz w:val="32"/>
          <w:highlight w:val="none"/>
        </w:rPr>
        <w:t>期</w:t>
      </w:r>
      <w:r>
        <w:rPr>
          <w:rFonts w:hint="eastAsia"/>
          <w:color w:val="auto"/>
          <w:sz w:val="32"/>
          <w:highlight w:val="none"/>
          <w:u w:val="none"/>
        </w:rPr>
        <w:t>：202</w:t>
      </w:r>
      <w:r>
        <w:rPr>
          <w:rFonts w:hint="eastAsia"/>
          <w:color w:val="auto"/>
          <w:sz w:val="32"/>
          <w:highlight w:val="none"/>
          <w:u w:val="none"/>
          <w:lang w:val="en-US" w:eastAsia="zh-CN"/>
        </w:rPr>
        <w:t>3</w:t>
      </w:r>
      <w:r>
        <w:rPr>
          <w:rFonts w:hint="eastAsia"/>
          <w:color w:val="auto"/>
          <w:sz w:val="32"/>
          <w:highlight w:val="none"/>
          <w:u w:val="none"/>
        </w:rPr>
        <w:t>年</w:t>
      </w:r>
      <w:r>
        <w:rPr>
          <w:rFonts w:hint="eastAsia"/>
          <w:color w:val="auto"/>
          <w:sz w:val="32"/>
          <w:highlight w:val="none"/>
          <w:u w:val="none"/>
          <w:lang w:val="en-US" w:eastAsia="zh-CN"/>
        </w:rPr>
        <w:t>10</w:t>
      </w:r>
      <w:r>
        <w:rPr>
          <w:rFonts w:hint="eastAsia"/>
          <w:color w:val="auto"/>
          <w:sz w:val="32"/>
          <w:highlight w:val="none"/>
          <w:u w:val="none"/>
        </w:rPr>
        <w:t>月</w:t>
      </w:r>
    </w:p>
    <w:p>
      <w:pPr>
        <w:jc w:val="center"/>
        <w:rPr>
          <w:rFonts w:ascii="宋体" w:hAnsi="宋体"/>
          <w:b/>
          <w:caps/>
          <w:color w:val="auto"/>
          <w:kern w:val="0"/>
          <w:highlight w:val="none"/>
        </w:rPr>
      </w:pPr>
      <w:r>
        <w:rPr>
          <w:rStyle w:val="45"/>
          <w:b/>
          <w:bCs/>
          <w:color w:val="auto"/>
          <w:highlight w:val="none"/>
        </w:rPr>
        <w:br w:type="page"/>
      </w:r>
      <w:r>
        <w:rPr>
          <w:rStyle w:val="45"/>
          <w:rFonts w:hint="eastAsia"/>
          <w:b/>
          <w:bCs/>
          <w:color w:val="auto"/>
          <w:sz w:val="28"/>
          <w:szCs w:val="28"/>
          <w:highlight w:val="none"/>
        </w:rPr>
        <w:t>目录</w:t>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5"/>
          <w:color w:val="auto"/>
          <w:highlight w:val="none"/>
        </w:rPr>
        <w:t>第一章  投标须知</w:t>
      </w:r>
      <w:r>
        <w:rPr>
          <w:color w:val="auto"/>
          <w:highlight w:val="none"/>
        </w:rPr>
        <w:tab/>
      </w:r>
      <w:r>
        <w:rPr>
          <w:rFonts w:hint="eastAsia"/>
          <w:color w:val="auto"/>
          <w:highlight w:val="none"/>
        </w:rPr>
        <w:t>3</w:t>
      </w:r>
      <w:r>
        <w:rPr>
          <w:rFonts w:hint="eastAsia"/>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5"/>
          <w:color w:val="auto"/>
          <w:highlight w:val="none"/>
        </w:rPr>
        <w:t>一、投标须知前附表</w:t>
      </w:r>
      <w:r>
        <w:rPr>
          <w:color w:val="auto"/>
          <w:highlight w:val="none"/>
        </w:rPr>
        <w:tab/>
      </w:r>
      <w:r>
        <w:rPr>
          <w:rFonts w:hint="eastAsia"/>
          <w:color w:val="auto"/>
          <w:highlight w:val="none"/>
        </w:rPr>
        <w:t>3</w:t>
      </w:r>
      <w:r>
        <w:rPr>
          <w:rFonts w:hint="eastAsia"/>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5"/>
          <w:color w:val="auto"/>
          <w:highlight w:val="none"/>
        </w:rPr>
        <w:t>二、投标须知修改表</w:t>
      </w:r>
      <w:r>
        <w:rPr>
          <w:color w:val="auto"/>
          <w:highlight w:val="none"/>
        </w:rPr>
        <w:tab/>
      </w:r>
      <w:r>
        <w:rPr>
          <w:rFonts w:hint="eastAsia"/>
          <w:color w:val="auto"/>
          <w:highlight w:val="none"/>
        </w:rPr>
        <w:t>8</w:t>
      </w:r>
      <w:r>
        <w:rPr>
          <w:rFonts w:hint="eastAsia"/>
          <w:color w:val="auto"/>
          <w:highlight w:val="none"/>
        </w:rPr>
        <w:fldChar w:fldCharType="end"/>
      </w:r>
    </w:p>
    <w:p>
      <w:pPr>
        <w:pStyle w:val="29"/>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5"/>
          <w:color w:val="auto"/>
          <w:highlight w:val="none"/>
        </w:rPr>
        <w:t>三、投标须知通用条款</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5"/>
          <w:color w:val="auto"/>
          <w:highlight w:val="none"/>
        </w:rPr>
        <w:t>（一）总则</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5"/>
          <w:color w:val="auto"/>
          <w:highlight w:val="none"/>
        </w:rPr>
        <w:t>（二）招标文件</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6</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5"/>
          <w:color w:val="auto"/>
          <w:highlight w:val="none"/>
        </w:rPr>
        <w:t>（三）投标文件的编制</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7</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5"/>
          <w:color w:val="auto"/>
          <w:highlight w:val="none"/>
        </w:rPr>
        <w:t>（四）投标文件的提交</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4</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5"/>
          <w:color w:val="auto"/>
          <w:highlight w:val="none"/>
        </w:rPr>
        <w:t>（五）开标、评标、定标及合同签定</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5</w:t>
      </w:r>
    </w:p>
    <w:p>
      <w:pPr>
        <w:pStyle w:val="26"/>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5"/>
          <w:color w:val="auto"/>
          <w:highlight w:val="none"/>
        </w:rPr>
        <w:t>第二章  开标、评标及定标办法</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8</w:t>
      </w:r>
    </w:p>
    <w:p>
      <w:pPr>
        <w:pStyle w:val="29"/>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5"/>
          <w:color w:val="auto"/>
          <w:highlight w:val="none"/>
        </w:rPr>
        <w:t>一、开标、评标及定标办法修改表</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8</w:t>
      </w:r>
    </w:p>
    <w:p>
      <w:pPr>
        <w:pStyle w:val="29"/>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5"/>
          <w:color w:val="auto"/>
          <w:highlight w:val="none"/>
        </w:rPr>
        <w:t>二、开标、评标及定标办法通用条款</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3</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5"/>
          <w:color w:val="auto"/>
          <w:highlight w:val="none"/>
        </w:rPr>
        <w:t>（一）总则</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3</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5"/>
          <w:color w:val="auto"/>
          <w:highlight w:val="none"/>
        </w:rPr>
        <w:t>（二）开标评标办法程序和细则</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5</w:t>
      </w:r>
    </w:p>
    <w:p>
      <w:pPr>
        <w:pStyle w:val="18"/>
        <w:tabs>
          <w:tab w:val="right" w:leader="dot" w:pos="9060"/>
        </w:tabs>
        <w:ind w:left="840"/>
        <w:rPr>
          <w:rFonts w:asciiTheme="minorHAnsi" w:hAnsiTheme="minorHAnsi"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5"/>
          <w:color w:val="auto"/>
          <w:highlight w:val="none"/>
        </w:rPr>
        <w:t>可选办法七（适合综合评分法四，技术标与经济标同时开启）</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5</w:t>
      </w:r>
    </w:p>
    <w:p>
      <w:pPr>
        <w:pStyle w:val="26"/>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5"/>
          <w:color w:val="auto"/>
          <w:highlight w:val="none"/>
        </w:rPr>
        <w:t>第三章  合同条款</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3</w:t>
      </w:r>
    </w:p>
    <w:p>
      <w:pPr>
        <w:pStyle w:val="26"/>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5"/>
          <w:color w:val="auto"/>
          <w:highlight w:val="none"/>
        </w:rPr>
        <w:t>第四章  投标文件格式</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4</w:t>
      </w:r>
    </w:p>
    <w:p>
      <w:pPr>
        <w:pStyle w:val="26"/>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5"/>
          <w:color w:val="auto"/>
          <w:highlight w:val="none"/>
        </w:rPr>
        <w:t>第五章  技术条件（工程建设标准）</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0</w:t>
      </w:r>
    </w:p>
    <w:p>
      <w:pPr>
        <w:pStyle w:val="26"/>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5"/>
          <w:color w:val="auto"/>
          <w:highlight w:val="none"/>
        </w:rPr>
        <w:t>第六章  图纸及勘察资料</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1</w:t>
      </w:r>
    </w:p>
    <w:p>
      <w:pPr>
        <w:pStyle w:val="26"/>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5"/>
          <w:color w:val="auto"/>
          <w:highlight w:val="none"/>
        </w:rPr>
        <w:t>第七章  工程量清单</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2</w:t>
      </w:r>
    </w:p>
    <w:p>
      <w:pPr>
        <w:pStyle w:val="26"/>
        <w:rPr>
          <w:rFonts w:asciiTheme="minorHAnsi" w:hAnsiTheme="minorHAnsi"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5"/>
          <w:color w:val="auto"/>
          <w:highlight w:val="none"/>
        </w:rPr>
        <w:t>第八章  最高投标限价</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3</w:t>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end"/>
      </w:r>
    </w:p>
    <w:p>
      <w:pPr>
        <w:pStyle w:val="3"/>
        <w:rPr>
          <w:color w:val="auto"/>
          <w:highlight w:val="none"/>
        </w:rPr>
      </w:pPr>
      <w:r>
        <w:rPr>
          <w:color w:val="auto"/>
          <w:highlight w:val="none"/>
        </w:rPr>
        <w:fldChar w:fldCharType="end"/>
      </w:r>
      <w:bookmarkStart w:id="0" w:name="_Toc21525489"/>
      <w:bookmarkStart w:id="1" w:name="_Toc2272545"/>
    </w:p>
    <w:p>
      <w:pPr>
        <w:pStyle w:val="3"/>
        <w:rPr>
          <w:color w:val="auto"/>
          <w:highlight w:val="none"/>
        </w:rPr>
      </w:pPr>
    </w:p>
    <w:p>
      <w:pPr>
        <w:rPr>
          <w:rFonts w:hint="eastAsia"/>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第一章投标须知</w:t>
      </w:r>
      <w:bookmarkEnd w:id="0"/>
      <w:bookmarkEnd w:id="1"/>
    </w:p>
    <w:p>
      <w:pPr>
        <w:pStyle w:val="2"/>
        <w:rPr>
          <w:color w:val="auto"/>
          <w:highlight w:val="none"/>
        </w:rPr>
      </w:pPr>
      <w:bookmarkStart w:id="2" w:name="_Toc2272546"/>
      <w:bookmarkStart w:id="3" w:name="_Toc21525490"/>
      <w:r>
        <w:rPr>
          <w:rFonts w:hint="eastAsia"/>
          <w:color w:val="auto"/>
          <w:highlight w:val="none"/>
        </w:rPr>
        <w:t>一、投标须知前附表</w:t>
      </w:r>
      <w:bookmarkEnd w:id="2"/>
      <w:bookmarkEnd w:id="3"/>
    </w:p>
    <w:p>
      <w:pPr>
        <w:pStyle w:val="6"/>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bookmarkStart w:id="48" w:name="_GoBack"/>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none"/>
              </w:rPr>
              <w:t xml:space="preserve"> </w:t>
            </w:r>
            <w:r>
              <w:rPr>
                <w:rFonts w:hint="eastAsia" w:ascii="宋体" w:hAnsi="宋体"/>
                <w:color w:val="auto"/>
                <w:szCs w:val="21"/>
                <w:highlight w:val="none"/>
                <w:u w:val="none"/>
                <w:lang w:eastAsia="zh-CN"/>
              </w:rPr>
              <w:t>广州市南沙区东涌镇人民政府</w:t>
            </w:r>
          </w:p>
          <w:p>
            <w:pPr>
              <w:ind w:firstLine="0" w:firstLineChars="0"/>
              <w:rPr>
                <w:rFonts w:hint="eastAsia" w:ascii="宋体" w:hAnsi="宋体" w:eastAsia="宋体"/>
                <w:strike w:val="0"/>
                <w:color w:val="auto"/>
                <w:szCs w:val="21"/>
                <w:highlight w:val="none"/>
                <w:lang w:eastAsia="zh-CN"/>
              </w:rPr>
            </w:pPr>
            <w:r>
              <w:rPr>
                <w:rFonts w:hint="eastAsia" w:ascii="宋体" w:hAnsi="宋体"/>
                <w:strike w:val="0"/>
                <w:color w:val="auto"/>
                <w:szCs w:val="21"/>
                <w:highlight w:val="none"/>
              </w:rPr>
              <w:t>项目建设管理单位：广东广建项目管理有限公司</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none"/>
                <w:lang w:eastAsia="zh-CN"/>
              </w:rPr>
              <w:t>广东海外建设咨询有限公司</w:t>
            </w:r>
          </w:p>
          <w:p>
            <w:pPr>
              <w:rPr>
                <w:rFonts w:hint="eastAsia" w:ascii="宋体" w:hAnsi="宋体" w:eastAsia="宋体"/>
                <w:color w:val="auto"/>
                <w:szCs w:val="21"/>
                <w:highlight w:val="none"/>
                <w:lang w:eastAsia="zh-CN"/>
              </w:rPr>
            </w:pPr>
            <w:r>
              <w:rPr>
                <w:rFonts w:hint="eastAsia" w:ascii="宋体" w:hAnsi="宋体"/>
                <w:color w:val="auto"/>
                <w:szCs w:val="21"/>
                <w:highlight w:val="none"/>
              </w:rPr>
              <w:t>设计单位：</w:t>
            </w:r>
            <w:r>
              <w:rPr>
                <w:rFonts w:hint="eastAsia" w:ascii="宋体" w:hAnsi="宋体"/>
                <w:color w:val="auto"/>
                <w:szCs w:val="21"/>
                <w:highlight w:val="none"/>
                <w:u w:val="none"/>
                <w:lang w:val="en-US" w:eastAsia="zh-CN"/>
              </w:rPr>
              <w:t>广州市城建规划设计院有限公司</w:t>
            </w:r>
          </w:p>
          <w:p>
            <w:pPr>
              <w:rPr>
                <w:rFonts w:hint="eastAsia" w:ascii="宋体" w:hAnsi="宋体"/>
                <w:color w:val="auto"/>
                <w:szCs w:val="21"/>
                <w:highlight w:val="none"/>
                <w:u w:val="none"/>
              </w:rPr>
            </w:pPr>
            <w:r>
              <w:rPr>
                <w:rFonts w:hint="eastAsia" w:ascii="宋体" w:hAnsi="宋体"/>
                <w:color w:val="auto"/>
                <w:szCs w:val="21"/>
                <w:highlight w:val="none"/>
              </w:rPr>
              <w:t>监理单位：</w:t>
            </w:r>
            <w:r>
              <w:rPr>
                <w:rFonts w:hint="eastAsia" w:ascii="宋体" w:hAnsi="宋体"/>
                <w:color w:val="auto"/>
                <w:szCs w:val="21"/>
                <w:highlight w:val="none"/>
                <w:u w:val="none"/>
              </w:rPr>
              <w:t>/</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鱼窝头社区停车场建设工程等3个项目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auto"/>
                <w:szCs w:val="21"/>
                <w:highlight w:val="none"/>
                <w:u w:val="none"/>
              </w:rPr>
            </w:pPr>
            <w:r>
              <w:rPr>
                <w:rFonts w:hint="eastAsia" w:ascii="宋体" w:hAnsi="宋体" w:cs="Times New Roman"/>
                <w:color w:val="auto"/>
                <w:szCs w:val="21"/>
                <w:highlight w:val="none"/>
                <w:u w:val="none"/>
              </w:rPr>
              <w:t>广州市南沙区</w:t>
            </w:r>
            <w:r>
              <w:rPr>
                <w:rFonts w:hint="eastAsia" w:ascii="宋体" w:hAnsi="宋体" w:cs="Times New Roman"/>
                <w:color w:val="auto"/>
                <w:szCs w:val="21"/>
                <w:highlight w:val="none"/>
                <w:u w:val="none"/>
                <w:lang w:eastAsia="zh-CN"/>
              </w:rPr>
              <w:t>东涌镇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auto"/>
                <w:szCs w:val="21"/>
                <w:highlight w:val="none"/>
                <w:u w:val="none"/>
              </w:rPr>
            </w:pPr>
            <w:r>
              <w:rPr>
                <w:rFonts w:hint="eastAsia" w:ascii="宋体" w:hAnsi="宋体" w:cs="Times New Roman"/>
                <w:color w:val="auto"/>
                <w:szCs w:val="21"/>
                <w:highlight w:val="none"/>
                <w:u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Times New Roman"/>
                <w:color w:val="auto"/>
                <w:sz w:val="21"/>
                <w:szCs w:val="21"/>
                <w:highlight w:val="none"/>
                <w:u w:val="none"/>
              </w:rPr>
              <w:t>由承包人按照本招标文件约定招标范围和图纸内容实行施工，包括但不限于包工、包料、包施工措施（含场地准备及临时设施费）、包质量、包安全生产、包文明施工、包工期、包施工承包管理和现场整体组织、包专业协调及配合、包施工图深化设计（如有）、包竣工图、包验收通过（含附属工程）、包照管、包移交、包资料整理移交档案、包竣工备案、包结算、包保修等。</w:t>
            </w:r>
            <w:r>
              <w:rPr>
                <w:rFonts w:hint="eastAsia" w:ascii="宋体" w:hAnsi="宋体" w:cs="Times New Roman"/>
                <w:color w:val="auto"/>
                <w:sz w:val="21"/>
                <w:szCs w:val="21"/>
                <w:highlight w:val="none"/>
                <w:u w:val="none"/>
                <w:lang w:eastAsia="zh-CN"/>
              </w:rPr>
              <w:t>综合单价包干</w:t>
            </w:r>
            <w:r>
              <w:rPr>
                <w:rFonts w:hint="eastAsia" w:ascii="宋体" w:hAnsi="宋体" w:cs="Times New Roman"/>
                <w:color w:val="auto"/>
                <w:szCs w:val="21"/>
                <w:highlight w:val="none"/>
                <w:u w:val="none"/>
              </w:rPr>
              <w:t>、项目措施费包干。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val="en-US" w:eastAsia="zh-CN"/>
              </w:rPr>
            </w:pPr>
            <w:r>
              <w:rPr>
                <w:rFonts w:hint="eastAsia"/>
                <w:color w:val="auto"/>
                <w:highlight w:val="none"/>
              </w:rPr>
              <w:t>施</w:t>
            </w:r>
            <w:r>
              <w:rPr>
                <w:rFonts w:hint="eastAsia" w:ascii="宋体" w:hAnsi="宋体"/>
                <w:color w:val="auto"/>
                <w:szCs w:val="21"/>
                <w:highlight w:val="none"/>
              </w:rPr>
              <w:t>工总期：</w:t>
            </w:r>
            <w:r>
              <w:rPr>
                <w:rFonts w:hint="eastAsia" w:ascii="宋体" w:hAnsi="宋体"/>
                <w:color w:val="auto"/>
                <w:szCs w:val="21"/>
                <w:highlight w:val="none"/>
                <w:lang w:val="en-US" w:eastAsia="zh-CN"/>
              </w:rPr>
              <w:t>150</w:t>
            </w:r>
            <w:r>
              <w:rPr>
                <w:rFonts w:hint="eastAsia" w:ascii="宋体" w:hAnsi="宋体"/>
                <w:color w:val="auto"/>
                <w:szCs w:val="21"/>
                <w:highlight w:val="none"/>
              </w:rPr>
              <w:t>日历天。</w:t>
            </w:r>
            <w:r>
              <w:rPr>
                <w:rFonts w:hint="eastAsia" w:ascii="宋体" w:hAnsi="宋体"/>
                <w:color w:val="auto"/>
                <w:szCs w:val="21"/>
                <w:highlight w:val="none"/>
                <w:lang w:val="en-US" w:eastAsia="zh-CN"/>
              </w:rPr>
              <w:t>其中：</w:t>
            </w:r>
          </w:p>
          <w:p>
            <w:pPr>
              <w:spacing w:line="240" w:lineRule="auto"/>
              <w:ind w:firstLine="0" w:firstLineChars="0"/>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①</w:t>
            </w:r>
            <w:r>
              <w:rPr>
                <w:rFonts w:hint="eastAsia" w:ascii="宋体" w:hAnsi="宋体" w:cs="Times New Roman"/>
                <w:color w:val="auto"/>
                <w:sz w:val="21"/>
                <w:szCs w:val="21"/>
                <w:highlight w:val="none"/>
                <w:u w:val="none"/>
                <w:lang w:eastAsia="zh-CN"/>
              </w:rPr>
              <w:t>鱼窝头社区停车场建设工程</w:t>
            </w:r>
            <w:r>
              <w:rPr>
                <w:rFonts w:hint="eastAsia" w:ascii="宋体" w:hAnsi="宋体" w:eastAsia="宋体" w:cs="Times New Roman"/>
                <w:color w:val="auto"/>
                <w:sz w:val="21"/>
                <w:szCs w:val="21"/>
                <w:highlight w:val="none"/>
                <w:u w:val="none"/>
                <w:lang w:eastAsia="zh-CN"/>
              </w:rPr>
              <w:t>为</w:t>
            </w:r>
            <w:r>
              <w:rPr>
                <w:rFonts w:hint="eastAsia" w:ascii="宋体" w:hAnsi="宋体" w:cs="Times New Roman"/>
                <w:color w:val="auto"/>
                <w:sz w:val="21"/>
                <w:szCs w:val="21"/>
                <w:highlight w:val="none"/>
                <w:u w:val="none"/>
                <w:lang w:val="en-US" w:eastAsia="zh-CN"/>
              </w:rPr>
              <w:t>45</w:t>
            </w:r>
            <w:r>
              <w:rPr>
                <w:rFonts w:hint="eastAsia" w:ascii="宋体" w:hAnsi="宋体" w:eastAsia="宋体" w:cs="Times New Roman"/>
                <w:color w:val="auto"/>
                <w:sz w:val="21"/>
                <w:szCs w:val="21"/>
                <w:highlight w:val="none"/>
                <w:u w:val="none"/>
                <w:lang w:val="en-US" w:eastAsia="zh-CN"/>
              </w:rPr>
              <w:t>日历天</w:t>
            </w:r>
          </w:p>
          <w:p>
            <w:pPr>
              <w:spacing w:line="240" w:lineRule="auto"/>
              <w:ind w:firstLine="0" w:firstLineChars="0"/>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②</w:t>
            </w:r>
            <w:r>
              <w:rPr>
                <w:rFonts w:hint="eastAsia" w:ascii="宋体" w:hAnsi="宋体" w:cs="Times New Roman"/>
                <w:color w:val="auto"/>
                <w:sz w:val="21"/>
                <w:szCs w:val="21"/>
                <w:highlight w:val="none"/>
                <w:u w:val="none"/>
                <w:lang w:eastAsia="zh-CN"/>
              </w:rPr>
              <w:t>东涌镇2023年桥梁建设工程</w:t>
            </w:r>
            <w:r>
              <w:rPr>
                <w:rFonts w:hint="eastAsia" w:ascii="宋体" w:hAnsi="宋体" w:cs="Times New Roman"/>
                <w:color w:val="auto"/>
                <w:sz w:val="21"/>
                <w:szCs w:val="21"/>
                <w:highlight w:val="none"/>
                <w:u w:val="none"/>
                <w:lang w:val="en-US" w:eastAsia="zh-CN"/>
              </w:rPr>
              <w:t>150</w:t>
            </w:r>
            <w:r>
              <w:rPr>
                <w:rFonts w:hint="eastAsia" w:ascii="宋体" w:hAnsi="宋体" w:eastAsia="宋体" w:cs="Times New Roman"/>
                <w:color w:val="auto"/>
                <w:sz w:val="21"/>
                <w:szCs w:val="21"/>
                <w:highlight w:val="none"/>
                <w:u w:val="none"/>
                <w:lang w:val="en-US" w:eastAsia="zh-CN"/>
              </w:rPr>
              <w:t>日历天</w:t>
            </w:r>
          </w:p>
          <w:p>
            <w:pPr>
              <w:spacing w:line="240" w:lineRule="auto"/>
              <w:ind w:firstLine="0" w:firstLineChars="0"/>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③</w:t>
            </w:r>
            <w:r>
              <w:rPr>
                <w:rFonts w:hint="eastAsia" w:ascii="宋体" w:hAnsi="宋体" w:cs="Times New Roman"/>
                <w:color w:val="auto"/>
                <w:sz w:val="21"/>
                <w:szCs w:val="21"/>
                <w:highlight w:val="none"/>
                <w:u w:val="none"/>
                <w:lang w:eastAsia="zh-CN"/>
              </w:rPr>
              <w:t>东涌地铁站非机动车停车场建设工程</w:t>
            </w:r>
            <w:r>
              <w:rPr>
                <w:rFonts w:hint="eastAsia" w:ascii="宋体" w:hAnsi="宋体" w:cs="Times New Roman"/>
                <w:color w:val="auto"/>
                <w:sz w:val="21"/>
                <w:szCs w:val="21"/>
                <w:highlight w:val="none"/>
                <w:u w:val="none"/>
                <w:lang w:val="en-US" w:eastAsia="zh-CN"/>
              </w:rPr>
              <w:t>45</w:t>
            </w:r>
            <w:r>
              <w:rPr>
                <w:rFonts w:hint="eastAsia" w:ascii="宋体" w:hAnsi="宋体" w:eastAsia="宋体" w:cs="Times New Roman"/>
                <w:color w:val="auto"/>
                <w:sz w:val="21"/>
                <w:szCs w:val="21"/>
                <w:highlight w:val="none"/>
                <w:u w:val="none"/>
                <w:lang w:val="en-US" w:eastAsia="zh-CN"/>
              </w:rPr>
              <w:t>日历天</w:t>
            </w:r>
          </w:p>
          <w:p>
            <w:pPr>
              <w:ind w:firstLine="0"/>
              <w:rPr>
                <w:color w:val="auto"/>
                <w:highlight w:val="none"/>
              </w:rPr>
            </w:pPr>
            <w:r>
              <w:rPr>
                <w:rFonts w:hint="eastAsia" w:ascii="宋体" w:hAnsi="宋体" w:cs="Times New Roman"/>
                <w:color w:val="auto"/>
                <w:szCs w:val="21"/>
                <w:highlight w:val="none"/>
                <w:u w:val="none"/>
              </w:rPr>
              <w:t>具体开工日期以总监理工程师发出的开工令为准。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none"/>
              </w:rPr>
            </w:pPr>
            <w:r>
              <w:rPr>
                <w:rFonts w:hint="eastAsia" w:ascii="宋体" w:hAnsi="宋体" w:cs="宋体"/>
                <w:color w:val="auto"/>
                <w:szCs w:val="21"/>
                <w:highlight w:val="none"/>
                <w:u w:val="none"/>
              </w:rPr>
              <w:t>是否要求投标人递交投标保证金：</w:t>
            </w:r>
          </w:p>
          <w:p>
            <w:pPr>
              <w:spacing w:line="276" w:lineRule="auto"/>
              <w:rPr>
                <w:rFonts w:ascii="宋体" w:hAnsi="宋体" w:cs="宋体"/>
                <w:color w:val="auto"/>
                <w:szCs w:val="21"/>
                <w:highlight w:val="none"/>
                <w:u w:val="none"/>
              </w:rPr>
            </w:pP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不要求递交投标保证金。</w:t>
            </w:r>
          </w:p>
          <w:p>
            <w:pPr>
              <w:spacing w:line="276" w:lineRule="auto"/>
              <w:rPr>
                <w:rFonts w:ascii="宋体" w:hAnsi="宋体" w:cs="宋体"/>
                <w:color w:val="auto"/>
                <w:szCs w:val="21"/>
                <w:highlight w:val="none"/>
                <w:u w:val="none"/>
              </w:rPr>
            </w:pP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要求递交投标保证金。投标保证金的金额：</w:t>
            </w:r>
            <w:r>
              <w:rPr>
                <w:rFonts w:hint="eastAsia" w:ascii="宋体" w:hAnsi="宋体" w:cs="宋体"/>
                <w:b/>
                <w:color w:val="auto"/>
                <w:szCs w:val="21"/>
                <w:highlight w:val="none"/>
                <w:u w:val="none"/>
                <w:lang w:val="en-US" w:eastAsia="zh-CN"/>
              </w:rPr>
              <w:t>/</w:t>
            </w:r>
            <w:r>
              <w:rPr>
                <w:rFonts w:hint="eastAsia" w:ascii="宋体" w:hAnsi="宋体" w:cs="宋体"/>
                <w:color w:val="auto"/>
                <w:szCs w:val="21"/>
                <w:highlight w:val="none"/>
                <w:u w:val="none"/>
              </w:rPr>
              <w:t>万元</w:t>
            </w:r>
          </w:p>
          <w:p>
            <w:pPr>
              <w:spacing w:line="276" w:lineRule="auto"/>
              <w:rPr>
                <w:rFonts w:ascii="宋体" w:hAnsi="宋体" w:cs="宋体"/>
                <w:color w:val="auto"/>
                <w:szCs w:val="21"/>
                <w:highlight w:val="none"/>
                <w:u w:val="none"/>
              </w:rPr>
            </w:pPr>
            <w:r>
              <w:rPr>
                <w:rFonts w:hint="eastAsia" w:ascii="宋体" w:hAnsi="宋体" w:cs="宋体"/>
                <w:color w:val="auto"/>
                <w:szCs w:val="21"/>
                <w:highlight w:val="none"/>
                <w:u w:val="none"/>
              </w:rPr>
              <w:t>缴纳时间：递交投标文件截止时间前。</w:t>
            </w:r>
          </w:p>
          <w:p>
            <w:pPr>
              <w:spacing w:line="276" w:lineRule="auto"/>
              <w:rPr>
                <w:rFonts w:ascii="宋体" w:hAnsi="宋体" w:cs="宋体"/>
                <w:color w:val="auto"/>
                <w:szCs w:val="21"/>
                <w:highlight w:val="none"/>
                <w:u w:val="none"/>
              </w:rPr>
            </w:pPr>
            <w:r>
              <w:rPr>
                <w:rFonts w:hint="eastAsia" w:ascii="宋体" w:hAnsi="宋体" w:cs="宋体"/>
                <w:color w:val="auto"/>
                <w:szCs w:val="21"/>
                <w:highlight w:val="none"/>
                <w:u w:val="none"/>
              </w:rPr>
              <w:t>投标保证金有效期：与投标有效期一致。</w:t>
            </w:r>
          </w:p>
          <w:p>
            <w:pPr>
              <w:spacing w:line="276" w:lineRule="auto"/>
              <w:rPr>
                <w:rFonts w:ascii="宋体" w:hAnsi="宋体" w:cs="宋体"/>
                <w:color w:val="auto"/>
                <w:szCs w:val="21"/>
                <w:highlight w:val="none"/>
                <w:u w:val="none"/>
              </w:rPr>
            </w:pPr>
            <w:r>
              <w:rPr>
                <w:rFonts w:hint="eastAsia" w:ascii="宋体" w:hAnsi="宋体" w:cs="宋体"/>
                <w:color w:val="auto"/>
                <w:szCs w:val="21"/>
                <w:highlight w:val="none"/>
                <w:u w:val="none"/>
              </w:rPr>
              <w:t>注：投标保证金相关事宜详见招标文件16款。</w:t>
            </w:r>
          </w:p>
          <w:p>
            <w:pPr>
              <w:rPr>
                <w:rFonts w:ascii="宋体" w:hAnsi="宋体" w:cs="宋体"/>
                <w:color w:val="auto"/>
                <w:szCs w:val="21"/>
                <w:highlight w:val="none"/>
                <w:u w:val="none"/>
              </w:rPr>
            </w:pPr>
            <w:r>
              <w:rPr>
                <w:rFonts w:hint="eastAsia" w:ascii="宋体" w:hAnsi="宋体" w:cs="宋体"/>
                <w:color w:val="auto"/>
                <w:szCs w:val="21"/>
                <w:highlight w:val="none"/>
                <w:u w:val="none"/>
              </w:rPr>
              <w:t>1、投标保证金的形式：投标保证金可采用现金、支票、转账、投标保证保险、投标保函（银行或专业担保公司出具）等形式，须在递交投标文件截止时间前完成缴纳。</w:t>
            </w:r>
          </w:p>
          <w:p>
            <w:pPr>
              <w:rPr>
                <w:rFonts w:ascii="宋体" w:hAnsi="宋体" w:cs="宋体"/>
                <w:color w:val="auto"/>
                <w:szCs w:val="21"/>
                <w:highlight w:val="none"/>
                <w:u w:val="none"/>
              </w:rPr>
            </w:pPr>
            <w:r>
              <w:rPr>
                <w:rFonts w:hint="eastAsia" w:ascii="宋体" w:hAnsi="宋体" w:cs="宋体"/>
                <w:color w:val="auto"/>
                <w:szCs w:val="21"/>
                <w:highlight w:val="none"/>
                <w:u w:val="none"/>
              </w:rPr>
              <w:t>2、递交方式：（1）如采用现金或者转账或者支票形式提交的由广州交易集团有限公司代收。缴纳情况以开标时广州公共资源交易中心网站查询为准。具体操作流程详见广州公共资源交易中心最新的投标保证金缴纳操作指引或自行咨询交易中心。</w:t>
            </w:r>
          </w:p>
          <w:p>
            <w:pPr>
              <w:rPr>
                <w:rFonts w:ascii="宋体" w:hAnsi="宋体" w:cs="宋体"/>
                <w:color w:val="auto"/>
                <w:szCs w:val="21"/>
                <w:highlight w:val="none"/>
                <w:u w:val="none"/>
              </w:rPr>
            </w:pPr>
            <w:r>
              <w:rPr>
                <w:rFonts w:hint="eastAsia" w:ascii="宋体" w:hAnsi="宋体" w:cs="宋体"/>
                <w:color w:val="auto"/>
                <w:szCs w:val="21"/>
                <w:highlight w:val="none"/>
                <w:u w:val="none"/>
              </w:rPr>
              <w:t>（2）如采用投标保证保险、投标保函（银行或专业担保公司出具）形式提交投标保证金的，投标保证保险、投标保函（银行或专业担保公司出具）须开具给招标人（保险受益人须为招标人）。开标前可不提交纸质原件，但投标人应在投标文件中提交投标保证保险、投标保函（银行或专业担保公司出具）的扫描件并加盖投标人电子印章，完成评标后，由中标候选人在中标候选人公示前向招标代理单位提交纸质原件并在网上公示。如投标人选择在开标前提交纸质原件的，可在递交投标文件备用光盘的同时单独密封递交至开标室。</w:t>
            </w:r>
          </w:p>
          <w:p>
            <w:pPr>
              <w:rPr>
                <w:rFonts w:ascii="宋体" w:hAnsi="宋体" w:cs="宋体"/>
                <w:color w:val="auto"/>
                <w:szCs w:val="21"/>
                <w:highlight w:val="none"/>
                <w:u w:val="none"/>
              </w:rPr>
            </w:pPr>
            <w:r>
              <w:rPr>
                <w:rFonts w:hint="eastAsia" w:ascii="宋体" w:hAnsi="宋体" w:cs="宋体"/>
                <w:color w:val="auto"/>
                <w:szCs w:val="21"/>
                <w:highlight w:val="none"/>
                <w:u w:val="none"/>
              </w:rPr>
              <w:t>（3）如采用电子保函形式递交投标保证金，按广州公共资源交易中心发布的《广州公共资源交易中心关于开通电子保函服务功能的通知》（详见：http://ggzy.gz.gov.cn/zxgg/822128.jhtml）和《广州公共资源交易中心关于进一步完善电子保函服务功能的通知》（详见：http://ggzy.gz.gov.cn/jtgg/842436.jhtml）操作。到账情况以开标时广州公共资源交易中心数据库查询信息为准。</w:t>
            </w:r>
          </w:p>
          <w:p>
            <w:pPr>
              <w:rPr>
                <w:rFonts w:ascii="宋体" w:hAnsi="宋体" w:cs="宋体"/>
                <w:color w:val="auto"/>
                <w:szCs w:val="21"/>
                <w:highlight w:val="none"/>
                <w:u w:val="none"/>
              </w:rPr>
            </w:pPr>
            <w:r>
              <w:rPr>
                <w:rFonts w:hint="eastAsia" w:ascii="宋体" w:hAnsi="宋体" w:cs="宋体"/>
                <w:color w:val="auto"/>
                <w:szCs w:val="21"/>
                <w:highlight w:val="none"/>
                <w:u w:val="none"/>
              </w:rPr>
              <w:t>(4)对于信用良好的投标人，本项目免收投标保证金。但投标人应在投标文件中提供信用状况良好的相关证明（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扫描件加盖投标人电子印章。</w:t>
            </w:r>
          </w:p>
          <w:p>
            <w:pPr>
              <w:rPr>
                <w:color w:val="auto"/>
                <w:highlight w:val="none"/>
                <w:u w:val="none"/>
              </w:rPr>
            </w:pPr>
            <w:r>
              <w:rPr>
                <w:rFonts w:hint="eastAsia" w:ascii="宋体" w:hAnsi="宋体" w:cs="宋体"/>
                <w:color w:val="auto"/>
                <w:szCs w:val="21"/>
                <w:highlight w:val="none"/>
                <w:u w:val="none"/>
              </w:rPr>
              <w:t>（5）为减轻中小企业资金占用压力，本项目免收中小企业（包括中型、小型和微型企业）的投标保证金。但投标人应提供属于中小企业的资料（提供自行查询企业划型截图和《中小企业声明函》（格式见第四章）。中小企业的划型标准依据《关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none"/>
              </w:rPr>
            </w:pPr>
            <w:r>
              <w:rPr>
                <w:rFonts w:hint="eastAsia" w:ascii="宋体" w:hAnsi="宋体" w:cs="宋体"/>
                <w:color w:val="auto"/>
                <w:szCs w:val="21"/>
                <w:highlight w:val="none"/>
                <w:u w:val="none"/>
              </w:rPr>
              <w:t>印发中小企业划型标准规定的通知》（工信部联企业（2011）300号）执行，投标人提供以http://202.106.120.146/baosong/appweb/orgScale.html网址查询结果为准，网页截图需包含网址信息。没有按上述要求提供证明材料的投标人，不免于交纳投标保证金。）扫描件加盖投标人电子印章。</w:t>
            </w:r>
          </w:p>
          <w:p>
            <w:pPr>
              <w:pStyle w:val="19"/>
              <w:rPr>
                <w:rFonts w:hAnsi="宋体" w:cs="宋体"/>
                <w:color w:val="auto"/>
                <w:szCs w:val="21"/>
                <w:highlight w:val="none"/>
                <w:u w:val="none"/>
              </w:rPr>
            </w:pPr>
            <w:r>
              <w:rPr>
                <w:rFonts w:hint="eastAsia" w:hAnsi="宋体" w:cs="宋体"/>
                <w:color w:val="auto"/>
                <w:szCs w:val="21"/>
                <w:highlight w:val="none"/>
                <w:u w:val="none"/>
              </w:rPr>
              <w:t>（6）免交投标保证金的投标人需提供《关于投标保证金的承诺》（格式见第四章）</w:t>
            </w:r>
          </w:p>
          <w:p>
            <w:pPr>
              <w:rPr>
                <w:rFonts w:ascii="宋体" w:hAnsi="宋体" w:cs="宋体"/>
                <w:color w:val="auto"/>
                <w:szCs w:val="21"/>
                <w:highlight w:val="none"/>
                <w:u w:val="none"/>
              </w:rPr>
            </w:pPr>
            <w:r>
              <w:rPr>
                <w:rFonts w:hint="eastAsia" w:ascii="宋体" w:hAnsi="宋体" w:cs="宋体"/>
                <w:color w:val="auto"/>
                <w:szCs w:val="21"/>
                <w:highlight w:val="none"/>
                <w:u w:val="none"/>
              </w:rPr>
              <w:t>3、开标时投标人没有按要求提供投标保证金的，其投标文件将被否决；未按招标文件要求提交符合免予提供投标保证金相关证明材料，且未提交投标保证金的投标人，视为未按要求提供投标保证金。</w:t>
            </w:r>
          </w:p>
          <w:p>
            <w:pPr>
              <w:rPr>
                <w:rFonts w:ascii="宋体" w:hAnsi="宋体" w:cs="宋体"/>
                <w:color w:val="auto"/>
                <w:szCs w:val="21"/>
                <w:highlight w:val="none"/>
                <w:u w:val="none"/>
              </w:rPr>
            </w:pPr>
            <w:r>
              <w:rPr>
                <w:rFonts w:hint="eastAsia" w:ascii="宋体" w:hAnsi="宋体" w:cs="宋体"/>
                <w:color w:val="auto"/>
                <w:szCs w:val="21"/>
                <w:highlight w:val="none"/>
                <w:u w:val="none"/>
              </w:rPr>
              <w:t>注：1）、投标保证金不得超过招标项目估算价的2%，投标保证金有效期应当长于或等于投标文件有效期。根据《房屋建筑和市政基础设施工程施工招标投标管理办法》（建设部令第89号）第二十六条的规定，投标保证金最高不得超过50万元。</w:t>
            </w:r>
          </w:p>
          <w:p>
            <w:pPr>
              <w:rPr>
                <w:rFonts w:ascii="宋体" w:hAnsi="宋体" w:cs="宋体"/>
                <w:color w:val="auto"/>
                <w:szCs w:val="21"/>
                <w:highlight w:val="none"/>
                <w:u w:val="none"/>
              </w:rPr>
            </w:pPr>
            <w:r>
              <w:rPr>
                <w:rFonts w:hint="eastAsia" w:ascii="宋体" w:hAnsi="宋体" w:cs="宋体"/>
                <w:color w:val="auto"/>
                <w:szCs w:val="21"/>
                <w:highlight w:val="none"/>
                <w:u w:val="none"/>
              </w:rPr>
              <w:t>2）、鼓励招标人对简单小额项目不要求提供投标担保，对中小企业投标人免除投标担保。</w:t>
            </w:r>
          </w:p>
          <w:p>
            <w:pPr>
              <w:pStyle w:val="20"/>
              <w:rPr>
                <w:rFonts w:hint="eastAsia" w:ascii="宋体" w:hAnsi="宋体"/>
                <w:color w:val="auto"/>
                <w:szCs w:val="21"/>
                <w:highlight w:val="none"/>
                <w:u w:val="none"/>
              </w:rPr>
            </w:pPr>
            <w:r>
              <w:rPr>
                <w:rFonts w:hint="eastAsia" w:ascii="宋体" w:hAnsi="宋体" w:cs="宋体"/>
                <w:color w:val="auto"/>
                <w:szCs w:val="21"/>
                <w:highlight w:val="none"/>
                <w:u w:val="none"/>
              </w:rPr>
              <w:t>3）、招标人在免收投标保证金的同时，应约定免交投标保证金的投标人存在16.4条款所列情形的后续处理措施。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auto"/>
                <w:szCs w:val="21"/>
                <w:highlight w:val="none"/>
              </w:rPr>
            </w:pPr>
            <w:r>
              <w:rPr>
                <w:rFonts w:hint="eastAsia" w:ascii="宋体" w:hAnsi="宋体"/>
                <w:color w:val="auto"/>
                <w:szCs w:val="21"/>
                <w:highlight w:val="non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时前</w:t>
            </w:r>
            <w:r>
              <w:rPr>
                <w:rFonts w:hint="eastAsia" w:ascii="宋体" w:hAnsi="宋体"/>
                <w:color w:val="auto"/>
                <w:szCs w:val="21"/>
                <w:highlight w:val="none"/>
                <w:u w:val="single"/>
              </w:rPr>
              <w:t>（投标人在递交投标文件截止时间18天前提出）</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Cs w:val="21"/>
                <w:highlight w:val="none"/>
              </w:rPr>
              <w:t>提交。</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w:t>
            </w:r>
            <w:r>
              <w:rPr>
                <w:rFonts w:hint="eastAsia" w:ascii="宋体" w:hAnsi="宋体"/>
                <w:color w:val="auto"/>
                <w:sz w:val="21"/>
                <w:szCs w:val="21"/>
                <w:highlight w:val="none"/>
              </w:rPr>
              <w:t>见：</w:t>
            </w:r>
            <w:r>
              <w:rPr>
                <w:rFonts w:hint="eastAsia" w:ascii="宋体" w:hAnsi="宋体"/>
                <w:color w:val="auto"/>
                <w:sz w:val="21"/>
                <w:szCs w:val="21"/>
                <w:highlight w:val="none"/>
                <w:u w:val="single"/>
              </w:rPr>
              <w:t>广州公共资源交易中心，首页→服务指南→办事指引→建设工程《房屋建筑和市政基础设施工程全流程电子化项目专章》</w:t>
            </w:r>
            <w:r>
              <w:rPr>
                <w:rFonts w:hint="eastAsia" w:ascii="宋体" w:hAnsi="宋体"/>
                <w:color w:val="auto"/>
                <w:sz w:val="21"/>
                <w:szCs w:val="21"/>
                <w:highlight w:val="none"/>
              </w:rPr>
              <w:t>。</w:t>
            </w:r>
            <w:r>
              <w:rPr>
                <w:rFonts w:hint="eastAsia" w:ascii="宋体" w:hAnsi="宋体"/>
                <w:color w:val="auto"/>
                <w:sz w:val="18"/>
                <w:szCs w:val="18"/>
                <w:highlight w:val="none"/>
              </w:rPr>
              <w:t xml:space="preserve"> </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u w:val="single"/>
                <w:lang w:eastAsia="zh-CN"/>
              </w:rPr>
              <w:t>2023</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分</w:t>
            </w:r>
            <w:r>
              <w:rPr>
                <w:rFonts w:hint="eastAsia" w:ascii="宋体" w:hAnsi="宋体"/>
                <w:color w:val="auto"/>
                <w:szCs w:val="21"/>
                <w:highlight w:val="none"/>
              </w:rPr>
              <w:t>（北京时间）。详见广州公共资源交易中心交易活动日程安排。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hint="eastAsia" w:ascii="宋体" w:hAnsi="宋体" w:cs="宋体"/>
                <w:color w:val="auto"/>
                <w:szCs w:val="21"/>
                <w:highlight w:val="none"/>
              </w:rPr>
            </w:pPr>
            <w:r>
              <w:rPr>
                <w:rFonts w:hint="eastAsia" w:ascii="宋体" w:hAnsi="宋体"/>
                <w:color w:val="auto"/>
                <w:szCs w:val="21"/>
                <w:highlight w:val="none"/>
              </w:rPr>
              <w:t>1、开标开始时间：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rPr>
              <w:t>广州公共资源交易中心南沙交易部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室。</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b/>
                <w:bCs/>
                <w:color w:val="auto"/>
                <w:kern w:val="0"/>
                <w:szCs w:val="21"/>
                <w:highlight w:val="none"/>
                <w:u w:val="single"/>
              </w:rPr>
              <w:t>网站发布的最新版操作指引</w:t>
            </w:r>
            <w:r>
              <w:rPr>
                <w:rFonts w:hint="eastAsia" w:ascii="宋体" w:hAnsi="宋体" w:cs="宋体"/>
                <w:b/>
                <w:bCs/>
                <w:color w:val="auto"/>
                <w:kern w:val="0"/>
                <w:szCs w:val="21"/>
                <w:highlight w:val="none"/>
              </w:rPr>
              <w:t>。</w:t>
            </w:r>
          </w:p>
          <w:p>
            <w:pPr>
              <w:rPr>
                <w:rFonts w:ascii="宋体" w:hAnsi="宋体"/>
                <w:color w:val="auto"/>
                <w:highlight w:val="none"/>
              </w:rPr>
            </w:pPr>
            <w:r>
              <w:rPr>
                <w:rFonts w:hint="eastAsia" w:ascii="宋体" w:hAnsi="宋体"/>
                <w:color w:val="auto"/>
                <w:szCs w:val="21"/>
                <w:highlight w:val="none"/>
              </w:rPr>
              <w:t>2、递交投标文件备用光盘时间：</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w:t>
            </w:r>
            <w:r>
              <w:rPr>
                <w:rFonts w:hint="eastAsia" w:ascii="宋体" w:hAnsi="宋体"/>
                <w:color w:val="auto"/>
                <w:szCs w:val="21"/>
                <w:highlight w:val="none"/>
              </w:rPr>
              <w:t>；递交地点：</w:t>
            </w:r>
            <w:r>
              <w:rPr>
                <w:rFonts w:hint="eastAsia" w:ascii="宋体" w:hAnsi="宋体" w:cs="宋体"/>
                <w:color w:val="auto"/>
                <w:szCs w:val="21"/>
                <w:highlight w:val="none"/>
              </w:rPr>
              <w:t>广州公共资源交易中心南沙交易部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室</w:t>
            </w:r>
            <w:r>
              <w:rPr>
                <w:rFonts w:hint="eastAsia" w:ascii="宋体" w:hAnsi="宋体" w:cs="宋体"/>
                <w:color w:val="auto"/>
                <w:szCs w:val="21"/>
                <w:highlight w:val="none"/>
                <w:lang w:eastAsia="zh-CN"/>
              </w:rPr>
              <w:t>（</w:t>
            </w:r>
            <w:r>
              <w:rPr>
                <w:rFonts w:ascii="Arial" w:hAnsi="Arial" w:eastAsia="宋体" w:cs="Arial"/>
                <w:i w:val="0"/>
                <w:iCs w:val="0"/>
                <w:caps w:val="0"/>
                <w:color w:val="auto"/>
                <w:spacing w:val="0"/>
                <w:sz w:val="19"/>
                <w:szCs w:val="19"/>
                <w:highlight w:val="none"/>
                <w:shd w:val="clear" w:fill="FFFFFF"/>
              </w:rPr>
              <w:t>广州市南沙区南沙街道环市大道中成汇街2号南沙城商务A栋2层</w:t>
            </w:r>
            <w:r>
              <w:rPr>
                <w:rFonts w:hint="eastAsia" w:ascii="宋体" w:hAnsi="宋体" w:cs="宋体"/>
                <w:color w:val="auto"/>
                <w:szCs w:val="21"/>
                <w:highlight w:val="none"/>
                <w:lang w:eastAsia="zh-CN"/>
              </w:rPr>
              <w:t>）</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
                <w:color w:val="auto"/>
                <w:kern w:val="0"/>
                <w:szCs w:val="21"/>
                <w:highlight w:val="none"/>
              </w:rPr>
              <w:t>补充公告和</w:t>
            </w:r>
            <w:r>
              <w:rPr>
                <w:rFonts w:hint="eastAsia" w:ascii="宋体" w:hAnsi="宋体" w:cs="宋体"/>
                <w:bCs/>
                <w:color w:val="auto"/>
                <w:kern w:val="0"/>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5"/>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七 （综合评分法四，技术标与经济标同时开启）</w:t>
            </w:r>
            <w:r>
              <w:rPr>
                <w:rFonts w:hint="eastAsia" w:ascii="宋体" w:hAnsi="宋体"/>
                <w:color w:val="auto"/>
                <w:szCs w:val="21"/>
                <w:highlight w:val="none"/>
              </w:rPr>
              <w:t>；</w:t>
            </w:r>
          </w:p>
          <w:p>
            <w:pPr>
              <w:pStyle w:val="35"/>
              <w:ind w:firstLine="0"/>
              <w:rPr>
                <w:rFonts w:ascii="宋体" w:hAnsi="宋体"/>
                <w:color w:val="auto"/>
                <w:szCs w:val="21"/>
                <w:highlight w:val="none"/>
              </w:rPr>
            </w:pPr>
            <w:r>
              <w:rPr>
                <w:rFonts w:hint="eastAsia" w:ascii="宋体" w:hAnsi="宋体"/>
                <w:color w:val="auto"/>
                <w:szCs w:val="21"/>
                <w:highlight w:val="none"/>
                <w:u w:val="single"/>
              </w:rPr>
              <w:t>投标人总得分=[技术得分（满分</w:t>
            </w:r>
            <w:r>
              <w:rPr>
                <w:rFonts w:hint="eastAsia" w:ascii="宋体" w:hAnsi="宋体"/>
                <w:color w:val="auto"/>
                <w:szCs w:val="21"/>
                <w:highlight w:val="none"/>
                <w:u w:val="single"/>
                <w:lang w:val="en-US" w:eastAsia="zh-CN"/>
              </w:rPr>
              <w:t>100</w:t>
            </w:r>
            <w:r>
              <w:rPr>
                <w:rFonts w:hint="eastAsia" w:ascii="宋体" w:hAnsi="宋体"/>
                <w:color w:val="auto"/>
                <w:szCs w:val="21"/>
                <w:highlight w:val="none"/>
                <w:u w:val="single"/>
              </w:rPr>
              <w:t>分）×技术得分权重（</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经济得分（满分100分）×经济得分权重（80%）]。总得分四舍五入保留两位小数。总得分相同情况下的排序方式：总得分相同的投标文件，以技术分高的排前；技术分均相同的投标文件，按报价低者排前的原则，若报价亦一致的，由评标委员会采用记名投票方式，确定其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after="0"/>
              <w:ind w:firstLine="0"/>
              <w:rPr>
                <w:rFonts w:ascii="宋体" w:hAnsi="宋体"/>
                <w:color w:val="auto"/>
                <w:highlight w:val="none"/>
              </w:rPr>
            </w:pPr>
            <w:r>
              <w:rPr>
                <w:rFonts w:hint="eastAsia" w:ascii="宋体" w:hAnsi="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eastAsia="宋体"/>
                <w:color w:val="auto"/>
                <w:highlight w:val="none"/>
                <w:lang w:eastAsia="zh-CN"/>
              </w:rPr>
            </w:pPr>
            <w:r>
              <w:rPr>
                <w:rFonts w:hint="eastAsia"/>
                <w:color w:val="auto"/>
                <w:highlight w:val="none"/>
              </w:rPr>
              <w:t>本项目最高投标限价为人民币</w:t>
            </w:r>
            <w:r>
              <w:rPr>
                <w:rFonts w:hint="eastAsia" w:ascii="宋体" w:hAnsi="宋体" w:cs="宋体"/>
                <w:b/>
                <w:color w:val="auto"/>
                <w:sz w:val="24"/>
                <w:szCs w:val="24"/>
                <w:highlight w:val="none"/>
                <w:u w:val="single"/>
                <w:lang w:val="en-US" w:eastAsia="zh-CN"/>
              </w:rPr>
              <w:t>7489699.78</w:t>
            </w:r>
            <w:r>
              <w:rPr>
                <w:rFonts w:hint="eastAsia"/>
                <w:color w:val="auto"/>
                <w:highlight w:val="none"/>
              </w:rPr>
              <w:t>元。</w:t>
            </w:r>
            <w:r>
              <w:rPr>
                <w:rFonts w:hint="eastAsia"/>
                <w:color w:val="auto"/>
                <w:highlight w:val="none"/>
                <w:lang w:eastAsia="zh-CN"/>
              </w:rPr>
              <w:t>其中：</w:t>
            </w:r>
          </w:p>
          <w:p>
            <w:pPr>
              <w:spacing w:line="240" w:lineRule="auto"/>
              <w:ind w:firstLine="0" w:firstLineChars="0"/>
              <w:rPr>
                <w:rFonts w:hint="eastAsia" w:ascii="Calibri" w:hAnsi="Calibri" w:eastAsia="宋体" w:cs="Times New Roman"/>
                <w:color w:val="auto"/>
                <w:sz w:val="21"/>
                <w:highlight w:val="none"/>
                <w:u w:val="none"/>
                <w:lang w:val="en-US" w:eastAsia="zh-CN"/>
              </w:rPr>
            </w:pPr>
            <w:r>
              <w:rPr>
                <w:rFonts w:hint="eastAsia" w:ascii="Calibri" w:hAnsi="Calibri" w:eastAsia="宋体" w:cs="Times New Roman"/>
                <w:color w:val="auto"/>
                <w:sz w:val="21"/>
                <w:highlight w:val="none"/>
                <w:u w:val="none"/>
                <w:lang w:val="en-US" w:eastAsia="zh-CN"/>
              </w:rPr>
              <w:t>①</w:t>
            </w:r>
            <w:r>
              <w:rPr>
                <w:rFonts w:hint="eastAsia" w:cs="Times New Roman"/>
                <w:color w:val="auto"/>
                <w:sz w:val="21"/>
                <w:highlight w:val="none"/>
                <w:u w:val="none"/>
                <w:lang w:eastAsia="zh-CN"/>
              </w:rPr>
              <w:t>鱼窝头社区停车场建设工程</w:t>
            </w:r>
            <w:r>
              <w:rPr>
                <w:rFonts w:hint="eastAsia" w:ascii="Calibri" w:hAnsi="Calibri" w:eastAsia="宋体" w:cs="Times New Roman"/>
                <w:color w:val="auto"/>
                <w:sz w:val="21"/>
                <w:highlight w:val="none"/>
                <w:u w:val="none"/>
                <w:lang w:eastAsia="zh-CN"/>
              </w:rPr>
              <w:t>：</w:t>
            </w:r>
            <w:r>
              <w:rPr>
                <w:rFonts w:hint="eastAsia" w:ascii="宋体" w:hAnsi="宋体" w:cs="宋体"/>
                <w:b/>
                <w:bCs/>
                <w:color w:val="auto"/>
                <w:sz w:val="24"/>
                <w:highlight w:val="none"/>
                <w:u w:val="single"/>
                <w:lang w:val="en-US" w:eastAsia="zh-CN"/>
              </w:rPr>
              <w:t>2854624.05</w:t>
            </w:r>
            <w:r>
              <w:rPr>
                <w:rFonts w:hint="eastAsia" w:ascii="Calibri" w:hAnsi="Calibri" w:eastAsia="宋体" w:cs="Times New Roman"/>
                <w:color w:val="auto"/>
                <w:sz w:val="21"/>
                <w:highlight w:val="none"/>
                <w:u w:val="none"/>
                <w:lang w:val="en-US" w:eastAsia="zh-CN"/>
              </w:rPr>
              <w:t>元</w:t>
            </w:r>
          </w:p>
          <w:p>
            <w:pPr>
              <w:spacing w:line="240" w:lineRule="auto"/>
              <w:ind w:firstLine="0" w:firstLineChars="0"/>
              <w:rPr>
                <w:rFonts w:hint="eastAsia" w:ascii="Calibri" w:hAnsi="Calibri" w:eastAsia="宋体" w:cs="Times New Roman"/>
                <w:color w:val="auto"/>
                <w:sz w:val="21"/>
                <w:highlight w:val="none"/>
                <w:u w:val="none"/>
                <w:lang w:val="en-US" w:eastAsia="zh-CN"/>
              </w:rPr>
            </w:pPr>
            <w:r>
              <w:rPr>
                <w:rFonts w:hint="eastAsia" w:ascii="Calibri" w:hAnsi="Calibri" w:eastAsia="宋体" w:cs="Times New Roman"/>
                <w:color w:val="auto"/>
                <w:sz w:val="21"/>
                <w:highlight w:val="none"/>
                <w:u w:val="none"/>
                <w:lang w:val="en-US" w:eastAsia="zh-CN"/>
              </w:rPr>
              <w:t>②</w:t>
            </w:r>
            <w:r>
              <w:rPr>
                <w:rFonts w:hint="eastAsia" w:cs="Times New Roman"/>
                <w:color w:val="auto"/>
                <w:sz w:val="21"/>
                <w:highlight w:val="none"/>
                <w:u w:val="none"/>
                <w:lang w:eastAsia="zh-CN"/>
              </w:rPr>
              <w:t>东涌镇2023年桥梁建设工程</w:t>
            </w:r>
            <w:r>
              <w:rPr>
                <w:rFonts w:hint="eastAsia" w:ascii="Calibri" w:hAnsi="Calibri" w:eastAsia="宋体" w:cs="Times New Roman"/>
                <w:color w:val="auto"/>
                <w:sz w:val="21"/>
                <w:highlight w:val="none"/>
                <w:u w:val="none"/>
                <w:lang w:eastAsia="zh-CN"/>
              </w:rPr>
              <w:t>：</w:t>
            </w:r>
            <w:r>
              <w:rPr>
                <w:rFonts w:hint="eastAsia" w:ascii="宋体" w:hAnsi="宋体" w:cs="宋体"/>
                <w:b/>
                <w:bCs/>
                <w:color w:val="auto"/>
                <w:sz w:val="24"/>
                <w:highlight w:val="none"/>
                <w:u w:val="single"/>
                <w:lang w:val="en-US" w:eastAsia="zh-CN"/>
              </w:rPr>
              <w:t>3060035.15</w:t>
            </w:r>
            <w:r>
              <w:rPr>
                <w:rFonts w:hint="eastAsia" w:ascii="Calibri" w:hAnsi="Calibri" w:eastAsia="宋体" w:cs="Times New Roman"/>
                <w:color w:val="auto"/>
                <w:sz w:val="21"/>
                <w:highlight w:val="none"/>
                <w:u w:val="none"/>
                <w:lang w:val="en-US" w:eastAsia="zh-CN"/>
              </w:rPr>
              <w:t>元</w:t>
            </w:r>
          </w:p>
          <w:p>
            <w:pPr>
              <w:spacing w:line="240" w:lineRule="auto"/>
              <w:ind w:firstLine="0" w:firstLineChars="0"/>
              <w:rPr>
                <w:rFonts w:hint="eastAsia" w:ascii="Calibri" w:hAnsi="Calibri" w:eastAsia="宋体" w:cs="Times New Roman"/>
                <w:color w:val="auto"/>
                <w:sz w:val="21"/>
                <w:highlight w:val="none"/>
                <w:u w:val="none"/>
                <w:lang w:val="en-US" w:eastAsia="zh-CN"/>
              </w:rPr>
            </w:pPr>
            <w:r>
              <w:rPr>
                <w:rFonts w:hint="eastAsia" w:ascii="Calibri" w:hAnsi="Calibri" w:eastAsia="宋体" w:cs="Times New Roman"/>
                <w:color w:val="auto"/>
                <w:sz w:val="21"/>
                <w:highlight w:val="none"/>
                <w:u w:val="none"/>
                <w:lang w:val="en-US" w:eastAsia="zh-CN"/>
              </w:rPr>
              <w:t>③</w:t>
            </w:r>
            <w:r>
              <w:rPr>
                <w:rFonts w:hint="eastAsia" w:cs="Times New Roman"/>
                <w:color w:val="auto"/>
                <w:sz w:val="21"/>
                <w:highlight w:val="none"/>
                <w:u w:val="none"/>
                <w:lang w:eastAsia="zh-CN"/>
              </w:rPr>
              <w:t>东涌地铁站非机动车停车场建设工程</w:t>
            </w:r>
            <w:r>
              <w:rPr>
                <w:rFonts w:hint="eastAsia" w:ascii="Calibri" w:hAnsi="Calibri" w:eastAsia="宋体" w:cs="Times New Roman"/>
                <w:color w:val="auto"/>
                <w:sz w:val="21"/>
                <w:highlight w:val="none"/>
                <w:u w:val="none"/>
                <w:lang w:eastAsia="zh-CN"/>
              </w:rPr>
              <w:t>：</w:t>
            </w:r>
            <w:r>
              <w:rPr>
                <w:rFonts w:hint="eastAsia" w:ascii="宋体" w:hAnsi="宋体" w:cs="宋体"/>
                <w:b/>
                <w:bCs/>
                <w:color w:val="auto"/>
                <w:sz w:val="24"/>
                <w:highlight w:val="none"/>
                <w:u w:val="single"/>
                <w:lang w:val="en-US" w:eastAsia="zh-CN"/>
              </w:rPr>
              <w:t>1575040.58</w:t>
            </w:r>
            <w:r>
              <w:rPr>
                <w:rFonts w:hint="eastAsia" w:ascii="Calibri" w:hAnsi="Calibri" w:eastAsia="宋体" w:cs="Times New Roman"/>
                <w:color w:val="auto"/>
                <w:sz w:val="21"/>
                <w:highlight w:val="none"/>
                <w:u w:val="none"/>
                <w:lang w:val="en-US" w:eastAsia="zh-CN"/>
              </w:rPr>
              <w:t>元</w:t>
            </w:r>
          </w:p>
          <w:p>
            <w:pPr>
              <w:pStyle w:val="19"/>
              <w:rPr>
                <w:color w:val="auto"/>
                <w:highlight w:val="none"/>
              </w:rPr>
            </w:pPr>
            <w:r>
              <w:rPr>
                <w:rFonts w:hint="eastAsia" w:ascii="宋体" w:hAnsi="宋体" w:cs="宋体"/>
                <w:b/>
                <w:bCs/>
                <w:color w:val="auto"/>
                <w:sz w:val="21"/>
                <w:szCs w:val="21"/>
                <w:highlight w:val="none"/>
                <w:u w:val="single"/>
              </w:rPr>
              <w:t>注：投标总报价不得超过最高投标限价，各部分的投标报价均不得超过相应部分的最高投标限价</w:t>
            </w:r>
            <w:r>
              <w:rPr>
                <w:rFonts w:hint="eastAsia" w:ascii="宋体" w:hAnsi="宋体" w:cs="宋体"/>
                <w:color w:val="auto"/>
                <w:sz w:val="21"/>
                <w:szCs w:val="21"/>
                <w:highlight w:val="none"/>
                <w:u w:val="single"/>
              </w:rPr>
              <w:t>。</w:t>
            </w:r>
            <w:r>
              <w:rPr>
                <w:rFonts w:hint="eastAsia" w:ascii="宋体" w:hAnsi="宋体" w:cs="宋体"/>
                <w:b/>
                <w:bCs/>
                <w:color w:val="auto"/>
                <w:sz w:val="21"/>
                <w:szCs w:val="21"/>
                <w:highlight w:val="none"/>
                <w:u w:val="single"/>
              </w:rPr>
              <w:t>详见《最高投标限价公布函》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2"/>
                <w:sz w:val="21"/>
                <w:szCs w:val="21"/>
                <w:highlight w:val="none"/>
                <w:lang w:val="en-US" w:eastAsia="zh-CN" w:bidi="ar-SA"/>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s="Times New Roman"/>
                <w:i w:val="0"/>
                <w:iCs w:val="0"/>
                <w:color w:val="auto"/>
                <w:kern w:val="2"/>
                <w:sz w:val="21"/>
                <w:szCs w:val="21"/>
                <w:highlight w:val="none"/>
                <w:u w:val="single"/>
                <w:lang w:val="en-US" w:eastAsia="zh-CN" w:bidi="ar-SA"/>
              </w:rPr>
              <w:t>310024.51</w:t>
            </w:r>
            <w:r>
              <w:rPr>
                <w:rFonts w:hint="eastAsia" w:ascii="宋体" w:hAnsi="宋体"/>
                <w:color w:val="auto"/>
                <w:szCs w:val="21"/>
                <w:highlight w:val="none"/>
              </w:rPr>
              <w:t>元</w:t>
            </w:r>
            <w:r>
              <w:rPr>
                <w:rFonts w:hint="eastAsia" w:ascii="宋体" w:hAnsi="宋体"/>
                <w:color w:val="auto"/>
                <w:szCs w:val="21"/>
                <w:highlight w:val="none"/>
                <w:lang w:eastAsia="zh-CN"/>
              </w:rPr>
              <w:t>，</w:t>
            </w:r>
            <w:r>
              <w:rPr>
                <w:rFonts w:hint="eastAsia" w:ascii="宋体" w:hAnsi="宋体"/>
                <w:color w:val="auto"/>
                <w:szCs w:val="21"/>
                <w:highlight w:val="none"/>
              </w:rPr>
              <w:t>暂列金额为</w:t>
            </w:r>
            <w:r>
              <w:rPr>
                <w:rFonts w:hint="eastAsia" w:ascii="宋体" w:hAnsi="宋体" w:cs="Times New Roman"/>
                <w:i w:val="0"/>
                <w:iCs w:val="0"/>
                <w:color w:val="auto"/>
                <w:kern w:val="2"/>
                <w:sz w:val="21"/>
                <w:szCs w:val="21"/>
                <w:highlight w:val="none"/>
                <w:u w:val="single"/>
                <w:lang w:val="en-US" w:eastAsia="zh-CN" w:bidi="ar-SA"/>
              </w:rPr>
              <w:t>0</w:t>
            </w:r>
            <w:r>
              <w:rPr>
                <w:rFonts w:hint="eastAsia" w:ascii="宋体" w:hAnsi="宋体"/>
                <w:color w:val="auto"/>
                <w:szCs w:val="21"/>
                <w:highlight w:val="none"/>
              </w:rPr>
              <w:t>元，暂估价为</w:t>
            </w:r>
            <w:r>
              <w:rPr>
                <w:rFonts w:hint="eastAsia" w:ascii="宋体" w:hAnsi="宋体" w:cs="Times New Roman"/>
                <w:i w:val="0"/>
                <w:iCs w:val="0"/>
                <w:color w:val="auto"/>
                <w:kern w:val="2"/>
                <w:sz w:val="21"/>
                <w:szCs w:val="21"/>
                <w:highlight w:val="none"/>
                <w:u w:val="single"/>
                <w:lang w:val="en-US" w:eastAsia="zh-CN" w:bidi="ar-SA"/>
              </w:rPr>
              <w:t>363299.99</w:t>
            </w:r>
            <w:r>
              <w:rPr>
                <w:rFonts w:hint="eastAsia" w:ascii="宋体" w:hAnsi="宋体"/>
                <w:color w:val="auto"/>
                <w:szCs w:val="21"/>
                <w:highlight w:val="none"/>
              </w:rPr>
              <w:t>元。</w:t>
            </w:r>
          </w:p>
          <w:p>
            <w:pPr>
              <w:spacing w:line="240" w:lineRule="auto"/>
              <w:ind w:firstLine="0" w:firstLineChars="0"/>
              <w:rPr>
                <w:rFonts w:hint="eastAsia" w:ascii="宋体" w:hAnsi="宋体"/>
                <w:color w:val="auto"/>
                <w:szCs w:val="21"/>
                <w:highlight w:val="none"/>
                <w:lang w:eastAsia="zh-CN"/>
              </w:rPr>
            </w:pPr>
            <w:r>
              <w:rPr>
                <w:rFonts w:hint="eastAsia" w:ascii="宋体" w:hAnsi="宋体"/>
                <w:color w:val="auto"/>
                <w:szCs w:val="21"/>
                <w:highlight w:val="none"/>
                <w:lang w:eastAsia="zh-CN"/>
              </w:rPr>
              <w:t>（其中：</w:t>
            </w:r>
            <w:r>
              <w:rPr>
                <w:rFonts w:hint="eastAsia" w:ascii="Calibri" w:hAnsi="Calibri" w:eastAsia="宋体" w:cs="Times New Roman"/>
                <w:color w:val="auto"/>
                <w:sz w:val="21"/>
                <w:highlight w:val="none"/>
                <w:u w:val="none"/>
                <w:lang w:val="en-US" w:eastAsia="zh-CN"/>
              </w:rPr>
              <w:t>①</w:t>
            </w:r>
            <w:r>
              <w:rPr>
                <w:rFonts w:hint="eastAsia" w:cs="Times New Roman"/>
                <w:color w:val="auto"/>
                <w:sz w:val="21"/>
                <w:highlight w:val="none"/>
                <w:u w:val="none"/>
                <w:lang w:eastAsia="zh-CN"/>
              </w:rPr>
              <w:t>鱼窝头社区停车场建设工程</w:t>
            </w:r>
            <w:r>
              <w:rPr>
                <w:rFonts w:hint="eastAsia" w:ascii="Calibri" w:hAnsi="Calibri" w:eastAsia="宋体" w:cs="Times New Roman"/>
                <w:color w:val="auto"/>
                <w:sz w:val="21"/>
                <w:highlight w:val="none"/>
                <w:u w:val="none"/>
                <w:lang w:eastAsia="zh-CN"/>
              </w:rPr>
              <w:t>：</w:t>
            </w:r>
            <w:r>
              <w:rPr>
                <w:rFonts w:hint="eastAsia" w:ascii="宋体" w:hAnsi="宋体"/>
                <w:color w:val="auto"/>
                <w:szCs w:val="21"/>
                <w:highlight w:val="none"/>
              </w:rPr>
              <w:t>绿色施工安全防护措施费为</w:t>
            </w:r>
            <w:r>
              <w:rPr>
                <w:rFonts w:hint="eastAsia" w:ascii="宋体" w:hAnsi="宋体" w:cs="Times New Roman"/>
                <w:i w:val="0"/>
                <w:iCs w:val="0"/>
                <w:color w:val="auto"/>
                <w:kern w:val="2"/>
                <w:sz w:val="21"/>
                <w:szCs w:val="21"/>
                <w:highlight w:val="none"/>
                <w:u w:val="single"/>
                <w:lang w:val="en-US" w:eastAsia="zh-CN" w:bidi="ar-SA"/>
              </w:rPr>
              <w:t>125015.26</w:t>
            </w:r>
            <w:r>
              <w:rPr>
                <w:rFonts w:hint="eastAsia" w:ascii="Calibri" w:hAnsi="Calibri" w:eastAsia="宋体" w:cs="Times New Roman"/>
                <w:color w:val="auto"/>
                <w:sz w:val="21"/>
                <w:highlight w:val="none"/>
                <w:u w:val="none"/>
                <w:lang w:val="en-US" w:eastAsia="zh-CN"/>
              </w:rPr>
              <w:t>元</w:t>
            </w:r>
            <w:r>
              <w:rPr>
                <w:rFonts w:hint="eastAsia" w:cs="Times New Roman"/>
                <w:color w:val="auto"/>
                <w:sz w:val="21"/>
                <w:highlight w:val="none"/>
                <w:u w:val="none"/>
                <w:lang w:val="en-US" w:eastAsia="zh-CN"/>
              </w:rPr>
              <w:t>，</w:t>
            </w:r>
            <w:r>
              <w:rPr>
                <w:rFonts w:hint="eastAsia" w:ascii="宋体" w:hAnsi="宋体"/>
                <w:color w:val="auto"/>
                <w:szCs w:val="21"/>
                <w:highlight w:val="none"/>
              </w:rPr>
              <w:t>暂估价为</w:t>
            </w:r>
            <w:r>
              <w:rPr>
                <w:rFonts w:hint="eastAsia" w:ascii="宋体" w:hAnsi="宋体" w:eastAsia="宋体" w:cs="Times New Roman"/>
                <w:i w:val="0"/>
                <w:iCs w:val="0"/>
                <w:color w:val="auto"/>
                <w:kern w:val="2"/>
                <w:sz w:val="21"/>
                <w:szCs w:val="21"/>
                <w:highlight w:val="none"/>
                <w:u w:val="single"/>
                <w:lang w:val="en-US" w:eastAsia="zh-CN" w:bidi="ar-SA"/>
              </w:rPr>
              <w:t xml:space="preserve"> </w:t>
            </w:r>
            <w:r>
              <w:rPr>
                <w:rFonts w:hint="eastAsia" w:ascii="宋体" w:hAnsi="宋体" w:cs="Times New Roman"/>
                <w:i w:val="0"/>
                <w:iCs w:val="0"/>
                <w:color w:val="auto"/>
                <w:kern w:val="2"/>
                <w:sz w:val="21"/>
                <w:szCs w:val="21"/>
                <w:highlight w:val="none"/>
                <w:u w:val="single"/>
                <w:lang w:val="en-US" w:eastAsia="zh-CN" w:bidi="ar-SA"/>
              </w:rPr>
              <w:t>0</w:t>
            </w:r>
            <w:r>
              <w:rPr>
                <w:rFonts w:hint="eastAsia" w:ascii="宋体" w:hAnsi="宋体"/>
                <w:color w:val="auto"/>
                <w:szCs w:val="21"/>
                <w:highlight w:val="none"/>
              </w:rPr>
              <w:t>元</w:t>
            </w:r>
            <w:r>
              <w:rPr>
                <w:rFonts w:hint="eastAsia" w:ascii="宋体" w:hAnsi="宋体"/>
                <w:color w:val="auto"/>
                <w:szCs w:val="21"/>
                <w:highlight w:val="none"/>
                <w:lang w:eastAsia="zh-CN"/>
              </w:rPr>
              <w:t>；</w:t>
            </w:r>
          </w:p>
          <w:p>
            <w:pPr>
              <w:spacing w:line="240" w:lineRule="auto"/>
              <w:ind w:firstLine="0" w:firstLineChars="0"/>
              <w:rPr>
                <w:rFonts w:hint="eastAsia" w:ascii="宋体" w:hAnsi="宋体"/>
                <w:color w:val="auto"/>
                <w:szCs w:val="21"/>
                <w:highlight w:val="none"/>
                <w:lang w:eastAsia="zh-CN"/>
              </w:rPr>
            </w:pPr>
            <w:r>
              <w:rPr>
                <w:rFonts w:hint="eastAsia" w:ascii="Calibri" w:hAnsi="Calibri" w:eastAsia="宋体" w:cs="Times New Roman"/>
                <w:color w:val="auto"/>
                <w:sz w:val="21"/>
                <w:highlight w:val="none"/>
                <w:u w:val="none"/>
                <w:lang w:val="en-US" w:eastAsia="zh-CN"/>
              </w:rPr>
              <w:t>②</w:t>
            </w:r>
            <w:r>
              <w:rPr>
                <w:rFonts w:hint="eastAsia" w:cs="Times New Roman"/>
                <w:color w:val="auto"/>
                <w:sz w:val="21"/>
                <w:highlight w:val="none"/>
                <w:u w:val="none"/>
                <w:lang w:eastAsia="zh-CN"/>
              </w:rPr>
              <w:t>东涌镇2023年桥梁建设工程</w:t>
            </w:r>
            <w:r>
              <w:rPr>
                <w:rFonts w:hint="eastAsia" w:ascii="Calibri" w:hAnsi="Calibri" w:eastAsia="宋体" w:cs="Times New Roman"/>
                <w:color w:val="auto"/>
                <w:sz w:val="21"/>
                <w:highlight w:val="none"/>
                <w:u w:val="none"/>
                <w:lang w:eastAsia="zh-CN"/>
              </w:rPr>
              <w:t>：</w:t>
            </w:r>
            <w:r>
              <w:rPr>
                <w:rFonts w:hint="eastAsia" w:ascii="宋体" w:hAnsi="宋体"/>
                <w:color w:val="auto"/>
                <w:szCs w:val="21"/>
                <w:highlight w:val="none"/>
              </w:rPr>
              <w:t>绿色施工安全防护措施费为</w:t>
            </w:r>
            <w:r>
              <w:rPr>
                <w:rFonts w:hint="eastAsia" w:ascii="宋体" w:hAnsi="宋体" w:cs="Times New Roman"/>
                <w:i w:val="0"/>
                <w:iCs w:val="0"/>
                <w:color w:val="auto"/>
                <w:kern w:val="2"/>
                <w:sz w:val="21"/>
                <w:szCs w:val="21"/>
                <w:highlight w:val="none"/>
                <w:u w:val="single"/>
                <w:lang w:val="en-US" w:eastAsia="zh-CN" w:bidi="ar-SA"/>
              </w:rPr>
              <w:t>130458.93</w:t>
            </w:r>
            <w:r>
              <w:rPr>
                <w:rFonts w:hint="eastAsia" w:ascii="Calibri" w:hAnsi="Calibri" w:eastAsia="宋体" w:cs="Times New Roman"/>
                <w:color w:val="auto"/>
                <w:sz w:val="21"/>
                <w:highlight w:val="none"/>
                <w:u w:val="none"/>
                <w:lang w:val="en-US" w:eastAsia="zh-CN"/>
              </w:rPr>
              <w:t>元</w:t>
            </w:r>
            <w:r>
              <w:rPr>
                <w:rFonts w:hint="eastAsia" w:cs="Times New Roman"/>
                <w:color w:val="auto"/>
                <w:sz w:val="21"/>
                <w:highlight w:val="none"/>
                <w:u w:val="none"/>
                <w:lang w:val="en-US" w:eastAsia="zh-CN"/>
              </w:rPr>
              <w:t>，</w:t>
            </w:r>
            <w:r>
              <w:rPr>
                <w:rFonts w:hint="eastAsia" w:ascii="宋体" w:hAnsi="宋体"/>
                <w:color w:val="auto"/>
                <w:szCs w:val="21"/>
                <w:highlight w:val="none"/>
              </w:rPr>
              <w:t>暂估价为</w:t>
            </w:r>
            <w:r>
              <w:rPr>
                <w:rFonts w:hint="eastAsia" w:ascii="宋体" w:hAnsi="宋体"/>
                <w:color w:val="auto"/>
                <w:szCs w:val="21"/>
                <w:highlight w:val="none"/>
                <w:lang w:val="en-US" w:eastAsia="zh-CN"/>
              </w:rPr>
              <w:t>0</w:t>
            </w:r>
            <w:r>
              <w:rPr>
                <w:rFonts w:hint="eastAsia" w:ascii="宋体" w:hAnsi="宋体"/>
                <w:color w:val="auto"/>
                <w:szCs w:val="21"/>
                <w:highlight w:val="none"/>
              </w:rPr>
              <w:t>元</w:t>
            </w:r>
            <w:r>
              <w:rPr>
                <w:rFonts w:hint="eastAsia" w:ascii="宋体" w:hAnsi="宋体"/>
                <w:color w:val="auto"/>
                <w:szCs w:val="21"/>
                <w:highlight w:val="none"/>
                <w:lang w:eastAsia="zh-CN"/>
              </w:rPr>
              <w:t>；</w:t>
            </w:r>
          </w:p>
          <w:p>
            <w:pPr>
              <w:rPr>
                <w:color w:val="auto"/>
                <w:highlight w:val="none"/>
              </w:rPr>
            </w:pPr>
            <w:r>
              <w:rPr>
                <w:rFonts w:hint="eastAsia"/>
                <w:color w:val="auto"/>
                <w:highlight w:val="none"/>
                <w:lang w:val="en-US" w:eastAsia="zh-CN"/>
              </w:rPr>
              <w:t>③</w:t>
            </w:r>
            <w:r>
              <w:rPr>
                <w:rFonts w:hint="eastAsia"/>
                <w:color w:val="auto"/>
                <w:highlight w:val="none"/>
                <w:lang w:eastAsia="zh-CN"/>
              </w:rPr>
              <w:t>东涌地铁站非机动车停车场建设工程：</w:t>
            </w:r>
            <w:r>
              <w:rPr>
                <w:rFonts w:hint="eastAsia"/>
                <w:color w:val="auto"/>
                <w:highlight w:val="none"/>
              </w:rPr>
              <w:t>绿色施工安全防护措施费为</w:t>
            </w:r>
            <w:r>
              <w:rPr>
                <w:rFonts w:hint="eastAsia" w:ascii="宋体" w:hAnsi="宋体" w:cs="Times New Roman"/>
                <w:i w:val="0"/>
                <w:iCs w:val="0"/>
                <w:color w:val="auto"/>
                <w:kern w:val="2"/>
                <w:sz w:val="21"/>
                <w:szCs w:val="21"/>
                <w:highlight w:val="none"/>
                <w:u w:val="single"/>
                <w:lang w:val="en-US" w:eastAsia="zh-CN" w:bidi="ar-SA"/>
              </w:rPr>
              <w:t>54550.32</w:t>
            </w:r>
            <w:r>
              <w:rPr>
                <w:rFonts w:hint="eastAsia"/>
                <w:color w:val="auto"/>
                <w:highlight w:val="none"/>
                <w:lang w:val="en-US" w:eastAsia="zh-CN"/>
              </w:rPr>
              <w:t>元，</w:t>
            </w:r>
            <w:r>
              <w:rPr>
                <w:rFonts w:hint="eastAsia"/>
                <w:color w:val="auto"/>
                <w:highlight w:val="none"/>
              </w:rPr>
              <w:t>暂估价为</w:t>
            </w:r>
            <w:r>
              <w:rPr>
                <w:rFonts w:hint="eastAsia" w:ascii="宋体" w:hAnsi="宋体" w:cs="Times New Roman"/>
                <w:i w:val="0"/>
                <w:iCs w:val="0"/>
                <w:color w:val="auto"/>
                <w:kern w:val="2"/>
                <w:sz w:val="21"/>
                <w:szCs w:val="21"/>
                <w:highlight w:val="none"/>
                <w:u w:val="single"/>
                <w:lang w:val="en-US" w:eastAsia="zh-CN" w:bidi="ar-SA"/>
              </w:rPr>
              <w:t>363299.99</w:t>
            </w:r>
            <w:r>
              <w:rPr>
                <w:rFonts w:hint="eastAsia"/>
                <w:color w:val="auto"/>
                <w:highlight w:val="none"/>
              </w:rPr>
              <w:t>元</w:t>
            </w:r>
            <w:r>
              <w:rPr>
                <w:rFonts w:hint="eastAsia"/>
                <w:color w:val="auto"/>
                <w:highlight w:val="none"/>
                <w:lang w:eastAsia="zh-CN"/>
              </w:rPr>
              <w:t>；</w:t>
            </w:r>
          </w:p>
          <w:p>
            <w:pPr>
              <w:spacing w:line="240" w:lineRule="auto"/>
              <w:ind w:firstLine="0" w:firstLineChars="0"/>
              <w:rPr>
                <w:rFonts w:hint="eastAsia" w:ascii="宋体" w:hAnsi="宋体" w:cs="宋体"/>
                <w:b/>
                <w:bCs/>
                <w:color w:val="auto"/>
                <w:sz w:val="21"/>
                <w:szCs w:val="21"/>
                <w:highlight w:val="none"/>
                <w:u w:val="single"/>
              </w:rPr>
            </w:pPr>
            <w:r>
              <w:rPr>
                <w:rFonts w:hint="eastAsia"/>
                <w:b/>
                <w:bCs/>
                <w:color w:val="auto"/>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5"/>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40" w:lineRule="auto"/>
              <w:ind w:firstLine="0" w:firstLineChars="0"/>
              <w:rPr>
                <w:rFonts w:hint="eastAsia" w:ascii="宋体" w:hAnsi="宋体"/>
                <w:color w:val="auto"/>
                <w:szCs w:val="21"/>
                <w:highlight w:val="none"/>
                <w:lang w:eastAsia="zh-CN"/>
              </w:rPr>
            </w:pPr>
            <w:r>
              <w:rPr>
                <w:rFonts w:hint="eastAsia" w:ascii="宋体" w:hAnsi="宋体"/>
                <w:color w:val="auto"/>
                <w:szCs w:val="21"/>
                <w:highlight w:val="none"/>
              </w:rPr>
              <w:t>工程成本警戒价为</w:t>
            </w:r>
            <w:r>
              <w:rPr>
                <w:rFonts w:hint="eastAsia" w:ascii="宋体" w:hAnsi="宋体" w:cs="Times New Roman"/>
                <w:i w:val="0"/>
                <w:iCs w:val="0"/>
                <w:color w:val="auto"/>
                <w:kern w:val="2"/>
                <w:sz w:val="21"/>
                <w:szCs w:val="21"/>
                <w:highlight w:val="none"/>
                <w:u w:val="single"/>
                <w:lang w:val="en-US" w:eastAsia="zh-CN" w:bidi="ar-SA"/>
              </w:rPr>
              <w:t>6740729.80</w:t>
            </w:r>
            <w:r>
              <w:rPr>
                <w:rFonts w:hint="eastAsia" w:ascii="宋体" w:hAnsi="宋体"/>
                <w:color w:val="auto"/>
                <w:szCs w:val="21"/>
                <w:highlight w:val="none"/>
              </w:rPr>
              <w:t>元（</w:t>
            </w:r>
            <w:r>
              <w:rPr>
                <w:rFonts w:hint="eastAsia" w:ascii="宋体" w:hAnsi="宋体"/>
                <w:color w:val="auto"/>
                <w:szCs w:val="21"/>
                <w:highlight w:val="none"/>
              </w:rPr>
              <w:t>招标控制价的9</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eastAsia="zh-CN"/>
              </w:rPr>
              <w:t>（其中：</w:t>
            </w:r>
          </w:p>
          <w:p>
            <w:pPr>
              <w:spacing w:line="240" w:lineRule="auto"/>
              <w:ind w:firstLine="0" w:firstLineChars="0"/>
              <w:rPr>
                <w:rFonts w:hint="default" w:ascii="Calibri" w:hAnsi="Calibri" w:eastAsia="宋体" w:cs="Times New Roman"/>
                <w:color w:val="auto"/>
                <w:sz w:val="21"/>
                <w:highlight w:val="none"/>
                <w:u w:val="none"/>
                <w:lang w:val="en-US" w:eastAsia="zh-CN"/>
              </w:rPr>
            </w:pPr>
            <w:r>
              <w:rPr>
                <w:rFonts w:hint="eastAsia" w:ascii="Calibri" w:hAnsi="Calibri" w:eastAsia="宋体" w:cs="Times New Roman"/>
                <w:color w:val="auto"/>
                <w:sz w:val="21"/>
                <w:highlight w:val="none"/>
                <w:u w:val="none"/>
                <w:lang w:val="en-US" w:eastAsia="zh-CN"/>
              </w:rPr>
              <w:t>①</w:t>
            </w:r>
            <w:r>
              <w:rPr>
                <w:rFonts w:hint="eastAsia" w:cs="Times New Roman"/>
                <w:color w:val="auto"/>
                <w:sz w:val="21"/>
                <w:highlight w:val="none"/>
                <w:u w:val="none"/>
                <w:lang w:eastAsia="zh-CN"/>
              </w:rPr>
              <w:t>鱼窝头社区停车场建设工程</w:t>
            </w:r>
            <w:r>
              <w:rPr>
                <w:rFonts w:hint="eastAsia" w:ascii="Calibri" w:hAnsi="Calibri" w:eastAsia="宋体" w:cs="Times New Roman"/>
                <w:color w:val="auto"/>
                <w:sz w:val="21"/>
                <w:highlight w:val="none"/>
                <w:u w:val="none"/>
                <w:lang w:eastAsia="zh-CN"/>
              </w:rPr>
              <w:t>：</w:t>
            </w:r>
            <w:r>
              <w:rPr>
                <w:rFonts w:hint="eastAsia" w:ascii="宋体" w:hAnsi="宋体" w:cs="Times New Roman"/>
                <w:i w:val="0"/>
                <w:iCs w:val="0"/>
                <w:color w:val="auto"/>
                <w:kern w:val="2"/>
                <w:sz w:val="21"/>
                <w:szCs w:val="21"/>
                <w:highlight w:val="none"/>
                <w:u w:val="single"/>
                <w:lang w:val="en-US" w:eastAsia="zh-CN" w:bidi="ar-SA"/>
              </w:rPr>
              <w:t>2569161.65</w:t>
            </w:r>
            <w:r>
              <w:rPr>
                <w:rFonts w:hint="eastAsia" w:ascii="Calibri" w:hAnsi="Calibri" w:eastAsia="宋体" w:cs="Times New Roman"/>
                <w:color w:val="auto"/>
                <w:sz w:val="21"/>
                <w:highlight w:val="none"/>
                <w:u w:val="none"/>
                <w:lang w:val="en-US" w:eastAsia="zh-CN"/>
              </w:rPr>
              <w:t>元</w:t>
            </w:r>
          </w:p>
          <w:p>
            <w:pPr>
              <w:spacing w:line="240" w:lineRule="auto"/>
              <w:ind w:firstLine="0" w:firstLineChars="0"/>
              <w:rPr>
                <w:rFonts w:hint="eastAsia" w:ascii="Calibri" w:hAnsi="Calibri" w:eastAsia="宋体" w:cs="Times New Roman"/>
                <w:color w:val="auto"/>
                <w:sz w:val="21"/>
                <w:highlight w:val="none"/>
                <w:u w:val="none"/>
                <w:lang w:val="en-US" w:eastAsia="zh-CN"/>
              </w:rPr>
            </w:pPr>
            <w:r>
              <w:rPr>
                <w:rFonts w:hint="eastAsia" w:ascii="Calibri" w:hAnsi="Calibri" w:eastAsia="宋体" w:cs="Times New Roman"/>
                <w:color w:val="auto"/>
                <w:sz w:val="21"/>
                <w:highlight w:val="none"/>
                <w:u w:val="none"/>
                <w:lang w:val="en-US" w:eastAsia="zh-CN"/>
              </w:rPr>
              <w:t>②</w:t>
            </w:r>
            <w:r>
              <w:rPr>
                <w:rFonts w:hint="eastAsia" w:cs="Times New Roman"/>
                <w:color w:val="auto"/>
                <w:sz w:val="21"/>
                <w:highlight w:val="none"/>
                <w:u w:val="none"/>
                <w:lang w:eastAsia="zh-CN"/>
              </w:rPr>
              <w:t>东涌镇2023年桥梁建设工程</w:t>
            </w:r>
            <w:r>
              <w:rPr>
                <w:rFonts w:hint="eastAsia" w:ascii="Calibri" w:hAnsi="Calibri" w:eastAsia="宋体" w:cs="Times New Roman"/>
                <w:color w:val="auto"/>
                <w:sz w:val="21"/>
                <w:highlight w:val="none"/>
                <w:u w:val="none"/>
                <w:lang w:eastAsia="zh-CN"/>
              </w:rPr>
              <w:t>：</w:t>
            </w:r>
            <w:r>
              <w:rPr>
                <w:rFonts w:hint="eastAsia" w:ascii="宋体" w:hAnsi="宋体" w:cs="Times New Roman"/>
                <w:i w:val="0"/>
                <w:iCs w:val="0"/>
                <w:color w:val="auto"/>
                <w:kern w:val="2"/>
                <w:sz w:val="21"/>
                <w:szCs w:val="21"/>
                <w:highlight w:val="none"/>
                <w:u w:val="single"/>
                <w:lang w:val="en-US" w:eastAsia="zh-CN" w:bidi="ar-SA"/>
              </w:rPr>
              <w:t>2754031.63</w:t>
            </w:r>
            <w:r>
              <w:rPr>
                <w:rFonts w:hint="eastAsia" w:ascii="Calibri" w:hAnsi="Calibri" w:eastAsia="宋体" w:cs="Times New Roman"/>
                <w:color w:val="auto"/>
                <w:sz w:val="21"/>
                <w:highlight w:val="none"/>
                <w:u w:val="none"/>
                <w:lang w:val="en-US" w:eastAsia="zh-CN"/>
              </w:rPr>
              <w:t>元</w:t>
            </w:r>
          </w:p>
          <w:p>
            <w:pPr>
              <w:spacing w:line="240" w:lineRule="auto"/>
              <w:ind w:firstLine="0" w:firstLineChars="0"/>
              <w:rPr>
                <w:rFonts w:hint="eastAsia" w:ascii="Calibri" w:hAnsi="Calibri" w:eastAsia="宋体" w:cs="Times New Roman"/>
                <w:color w:val="auto"/>
                <w:sz w:val="21"/>
                <w:highlight w:val="none"/>
                <w:u w:val="none"/>
                <w:lang w:val="en-US" w:eastAsia="zh-CN"/>
              </w:rPr>
            </w:pPr>
            <w:r>
              <w:rPr>
                <w:rFonts w:hint="eastAsia" w:ascii="Calibri" w:hAnsi="Calibri" w:eastAsia="宋体" w:cs="Times New Roman"/>
                <w:color w:val="auto"/>
                <w:sz w:val="21"/>
                <w:highlight w:val="none"/>
                <w:u w:val="none"/>
                <w:lang w:val="en-US" w:eastAsia="zh-CN"/>
              </w:rPr>
              <w:t>③</w:t>
            </w:r>
            <w:r>
              <w:rPr>
                <w:rFonts w:hint="eastAsia" w:cs="Times New Roman"/>
                <w:color w:val="auto"/>
                <w:sz w:val="21"/>
                <w:highlight w:val="none"/>
                <w:u w:val="none"/>
                <w:lang w:eastAsia="zh-CN"/>
              </w:rPr>
              <w:t>东涌地铁站非机动车停车场建设工程</w:t>
            </w:r>
            <w:r>
              <w:rPr>
                <w:rFonts w:hint="eastAsia" w:ascii="Calibri" w:hAnsi="Calibri" w:eastAsia="宋体" w:cs="Times New Roman"/>
                <w:color w:val="auto"/>
                <w:sz w:val="21"/>
                <w:highlight w:val="none"/>
                <w:u w:val="none"/>
                <w:lang w:eastAsia="zh-CN"/>
              </w:rPr>
              <w:t>：</w:t>
            </w:r>
            <w:r>
              <w:rPr>
                <w:rFonts w:hint="eastAsia" w:ascii="宋体" w:hAnsi="宋体" w:cs="Times New Roman"/>
                <w:i w:val="0"/>
                <w:iCs w:val="0"/>
                <w:color w:val="auto"/>
                <w:kern w:val="2"/>
                <w:sz w:val="21"/>
                <w:szCs w:val="21"/>
                <w:highlight w:val="none"/>
                <w:u w:val="single"/>
                <w:lang w:val="en-US" w:eastAsia="zh-CN" w:bidi="ar-SA"/>
              </w:rPr>
              <w:t>1417536.52</w:t>
            </w:r>
            <w:r>
              <w:rPr>
                <w:rFonts w:hint="eastAsia" w:ascii="Calibri" w:hAnsi="Calibri" w:eastAsia="宋体" w:cs="Times New Roman"/>
                <w:color w:val="auto"/>
                <w:sz w:val="21"/>
                <w:highlight w:val="none"/>
                <w:u w:val="none"/>
                <w:lang w:val="en-US" w:eastAsia="zh-CN"/>
              </w:rPr>
              <w:t>元</w:t>
            </w:r>
          </w:p>
          <w:p>
            <w:pPr>
              <w:rPr>
                <w:rFonts w:ascii="宋体" w:hAnsi="宋体"/>
                <w:color w:val="auto"/>
                <w:szCs w:val="21"/>
                <w:highlight w:val="none"/>
              </w:rPr>
            </w:pP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val="en-US" w:eastAsia="zh-CN"/>
              </w:rPr>
            </w:pPr>
            <w:r>
              <w:rPr>
                <w:rFonts w:hint="eastAsia" w:ascii="宋体" w:hAnsi="宋体"/>
                <w:color w:val="auto"/>
                <w:szCs w:val="21"/>
                <w:highlight w:val="none"/>
                <w:u w:val="single"/>
              </w:rPr>
              <w:t>本款不适用。</w:t>
            </w:r>
            <w:r>
              <w:rPr>
                <w:rFonts w:hint="eastAsia" w:ascii="宋体" w:hAnsi="宋体"/>
                <w:color w:val="auto"/>
                <w:szCs w:val="21"/>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Times New Roman"/>
                <w:color w:val="auto"/>
                <w:szCs w:val="21"/>
                <w:highlight w:val="none"/>
                <w:u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non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Courier New"/>
                <w:color w:val="auto"/>
                <w:szCs w:val="21"/>
                <w:highlight w:val="none"/>
                <w:u w:val="single"/>
              </w:rPr>
              <w:t>广州公共资源交易中心，首页→服务指南→办事指引→建设工程《房屋建筑和市政基础设施工程全流程电子化项目专章》。</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cs="Courier New"/>
                <w:b/>
                <w:bCs/>
                <w:color w:val="auto"/>
                <w:szCs w:val="21"/>
                <w:highlight w:val="none"/>
              </w:rPr>
              <w:t>投标人也可不提交备用光盘</w:t>
            </w:r>
            <w:r>
              <w:rPr>
                <w:rFonts w:hint="eastAsia" w:ascii="宋体" w:hAnsi="宋体" w:cs="Courier New"/>
                <w:color w:val="auto"/>
                <w:szCs w:val="21"/>
                <w:highlight w:val="none"/>
              </w:rPr>
              <w:t>。</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color w:val="auto"/>
                <w:szCs w:val="21"/>
                <w:highlight w:val="none"/>
                <w:u w:val="single"/>
              </w:rPr>
              <w:t>中标人代缴公共资源交易服务费，其费用包含在中标人投标报价中，交易中心向中标人开具增值税发票。</w:t>
            </w:r>
          </w:p>
        </w:tc>
      </w:tr>
      <w:bookmarkEnd w:id="48"/>
    </w:tbl>
    <w:p>
      <w:pPr>
        <w:pStyle w:val="2"/>
        <w:rPr>
          <w:color w:val="auto"/>
          <w:highlight w:val="none"/>
        </w:rPr>
      </w:pPr>
      <w:r>
        <w:rPr>
          <w:color w:val="auto"/>
          <w:highlight w:val="none"/>
        </w:rPr>
        <w:br w:type="page"/>
      </w:r>
      <w:bookmarkStart w:id="4" w:name="_Toc21525491"/>
      <w:bookmarkStart w:id="5" w:name="_Toc2272547"/>
      <w:r>
        <w:rPr>
          <w:rFonts w:hint="eastAsia"/>
          <w:color w:val="auto"/>
          <w:highlight w:val="none"/>
        </w:rPr>
        <w:t>二、投标须知修改表</w:t>
      </w:r>
      <w:bookmarkEnd w:id="4"/>
      <w:bookmarkEnd w:id="5"/>
    </w:p>
    <w:p>
      <w:pPr>
        <w:pStyle w:val="3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Style w:val="35"/>
        <w:spacing w:line="360" w:lineRule="auto"/>
        <w:rPr>
          <w:b/>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Cs/>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color w:val="auto"/>
          <w:szCs w:val="21"/>
          <w:highlight w:val="none"/>
        </w:rPr>
        <w:t>一旦中标，这种考察即被认为其结果已在中标文件中得到充分反映。考察现场的费用由投标人自己承担。</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7</w:t>
      </w:r>
      <w:r>
        <w:rPr>
          <w:rFonts w:hint="eastAsia" w:ascii="宋体" w:hAnsi="宋体"/>
          <w:b/>
          <w:color w:val="auto"/>
          <w:szCs w:val="21"/>
          <w:highlight w:val="none"/>
        </w:rPr>
        <w:t>.1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olor w:val="auto"/>
          <w:sz w:val="24"/>
          <w:highlight w:val="none"/>
        </w:rPr>
      </w:pPr>
      <w:r>
        <w:rPr>
          <w:rFonts w:hint="eastAsia" w:ascii="宋体" w:hAnsi="宋体"/>
          <w:b/>
          <w:color w:val="auto"/>
          <w:szCs w:val="21"/>
          <w:highlight w:val="none"/>
        </w:rPr>
        <w:t>原文：</w:t>
      </w:r>
      <w:r>
        <w:rPr>
          <w:rFonts w:ascii="宋体" w:hAnsi="宋体"/>
          <w:color w:val="auto"/>
          <w:szCs w:val="21"/>
          <w:highlight w:val="none"/>
        </w:rPr>
        <w:t xml:space="preserve">7.1 </w:t>
      </w:r>
      <w:r>
        <w:rPr>
          <w:rFonts w:hint="eastAsia" w:ascii="宋体" w:hAnsi="宋体" w:cs="宋体"/>
          <w:color w:val="auto"/>
          <w:kern w:val="0"/>
          <w:szCs w:val="21"/>
          <w:highlight w:val="none"/>
        </w:rPr>
        <w:t>本招标文件包括下列文件，以及所有按本须知第</w:t>
      </w:r>
      <w:r>
        <w:rPr>
          <w:rFonts w:ascii="宋体" w:hAnsi="宋体" w:cs="宋体"/>
          <w:color w:val="auto"/>
          <w:kern w:val="0"/>
          <w:szCs w:val="21"/>
          <w:highlight w:val="none"/>
        </w:rPr>
        <w:t>8</w:t>
      </w:r>
      <w:r>
        <w:rPr>
          <w:rFonts w:hint="eastAsia" w:ascii="宋体" w:hAnsi="宋体" w:cs="宋体"/>
          <w:color w:val="auto"/>
          <w:kern w:val="0"/>
          <w:szCs w:val="21"/>
          <w:highlight w:val="none"/>
        </w:rPr>
        <w:t>条发出的招标答疑会会议纪要和按本须知第</w:t>
      </w:r>
      <w:r>
        <w:rPr>
          <w:rFonts w:ascii="宋体" w:hAnsi="宋体" w:cs="宋体"/>
          <w:color w:val="auto"/>
          <w:kern w:val="0"/>
          <w:szCs w:val="21"/>
          <w:highlight w:val="none"/>
        </w:rPr>
        <w:t>9</w:t>
      </w:r>
      <w:r>
        <w:rPr>
          <w:rFonts w:hint="eastAsia" w:ascii="宋体" w:hAnsi="宋体" w:cs="宋体"/>
          <w:color w:val="auto"/>
          <w:kern w:val="0"/>
          <w:szCs w:val="21"/>
          <w:highlight w:val="none"/>
        </w:rPr>
        <w:t>条发出的澄清或修改：</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第一章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投标须知</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第二章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开标、评标及定标办法</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第三章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合同条款</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第四章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投标文件格式</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第五章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技术条件（工程建设标准）（另册）</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第六章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图纸及勘察资料（另册）</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第七章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招标工程量清单（另册）</w:t>
      </w:r>
    </w:p>
    <w:p>
      <w:pPr>
        <w:pBdr>
          <w:bottom w:val="single" w:color="auto"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第八章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最高投标限价</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eastAsia="宋体" w:cs="宋体"/>
          <w:b w:val="0"/>
          <w:bCs w:val="0"/>
          <w:color w:val="auto"/>
          <w:kern w:val="0"/>
          <w:sz w:val="21"/>
          <w:szCs w:val="21"/>
          <w:highlight w:val="none"/>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22" w:firstLineChars="200"/>
        <w:rPr>
          <w:rFonts w:ascii="宋体" w:hAnsi="宋体" w:cs="宋体"/>
          <w:color w:val="auto"/>
          <w:kern w:val="0"/>
          <w:szCs w:val="21"/>
          <w:highlight w:val="none"/>
        </w:rPr>
      </w:pPr>
      <w:r>
        <w:rPr>
          <w:rFonts w:hint="eastAsia" w:ascii="宋体" w:hAnsi="宋体"/>
          <w:b/>
          <w:color w:val="auto"/>
          <w:szCs w:val="21"/>
          <w:highlight w:val="none"/>
        </w:rPr>
        <w:t>现文：</w:t>
      </w:r>
      <w:r>
        <w:rPr>
          <w:rFonts w:ascii="宋体" w:hAnsi="宋体"/>
          <w:color w:val="auto"/>
          <w:szCs w:val="21"/>
          <w:highlight w:val="none"/>
        </w:rPr>
        <w:t>7.1</w:t>
      </w:r>
      <w:r>
        <w:rPr>
          <w:rFonts w:hint="eastAsia" w:ascii="宋体" w:hAnsi="宋体" w:cs="宋体"/>
          <w:color w:val="auto"/>
          <w:kern w:val="0"/>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ascii="宋体" w:hAnsi="宋体" w:cs="宋体"/>
          <w:color w:val="auto"/>
          <w:kern w:val="0"/>
          <w:szCs w:val="21"/>
          <w:highlight w:val="none"/>
        </w:rPr>
        <w:t>和按本须知第9条发出的澄清或修改：</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第一章  投标须知</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第二章  开标、评标及定标办法</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第三章  合同条款</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第四章  投标文件格式</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第五章  技术条件（工程建设标准）</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第六章  图纸及勘察资料（另册）</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第七章  招标工程量清单（另册）</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第八章  最高投标限价</w:t>
      </w:r>
    </w:p>
    <w:p>
      <w:pPr>
        <w:pBdr>
          <w:bottom w:val="single" w:color="auto" w:sz="6" w:space="1"/>
        </w:pBdr>
        <w:spacing w:line="360" w:lineRule="auto"/>
        <w:ind w:firstLine="422" w:firstLineChars="192"/>
        <w:rPr>
          <w:rFonts w:ascii="宋体" w:hAnsi="宋体" w:cs="宋体"/>
          <w:color w:val="auto"/>
          <w:kern w:val="0"/>
          <w:sz w:val="22"/>
          <w:highlight w:val="none"/>
          <w:u w:val="none"/>
        </w:rPr>
      </w:pPr>
      <w:r>
        <w:rPr>
          <w:rFonts w:hint="eastAsia" w:ascii="宋体" w:hAnsi="宋体" w:cs="宋体"/>
          <w:color w:val="auto"/>
          <w:kern w:val="0"/>
          <w:sz w:val="22"/>
          <w:highlight w:val="none"/>
          <w:u w:val="none"/>
        </w:rPr>
        <w:t>注</w:t>
      </w:r>
      <w:r>
        <w:rPr>
          <w:rFonts w:ascii="宋体" w:hAnsi="宋体" w:cs="宋体"/>
          <w:color w:val="auto"/>
          <w:kern w:val="0"/>
          <w:sz w:val="22"/>
          <w:highlight w:val="none"/>
          <w:u w:val="none"/>
        </w:rPr>
        <w:t>：招标人应在</w:t>
      </w:r>
      <w:r>
        <w:rPr>
          <w:rFonts w:hint="eastAsia" w:ascii="宋体" w:hAnsi="宋体" w:cs="宋体"/>
          <w:color w:val="auto"/>
          <w:kern w:val="0"/>
          <w:sz w:val="22"/>
          <w:highlight w:val="none"/>
          <w:u w:val="none"/>
        </w:rPr>
        <w:t>技术条件（工程建设标准）中</w:t>
      </w:r>
      <w:r>
        <w:rPr>
          <w:rFonts w:ascii="宋体" w:hAnsi="宋体" w:cs="宋体"/>
          <w:color w:val="auto"/>
          <w:kern w:val="0"/>
          <w:sz w:val="22"/>
          <w:highlight w:val="none"/>
          <w:u w:val="none"/>
        </w:rPr>
        <w:t>明确</w:t>
      </w:r>
      <w:r>
        <w:rPr>
          <w:rFonts w:hint="eastAsia" w:ascii="宋体" w:hAnsi="宋体" w:cs="宋体"/>
          <w:color w:val="auto"/>
          <w:kern w:val="0"/>
          <w:sz w:val="22"/>
          <w:highlight w:val="none"/>
          <w:u w:val="none"/>
        </w:rPr>
        <w:t>施工现场建筑垃圾源头减量的具体要求和建筑垃圾综合利用产品的使用要求。</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8.1 投标人若对招标文件（包括招标图纸）中有疑问，可以书面形式通过</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rPr>
        <w:t>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8.1</w:t>
      </w:r>
      <w:r>
        <w:rPr>
          <w:rFonts w:hint="eastAsia" w:ascii="宋体" w:hAnsi="宋体" w:cs="宋体"/>
          <w:bCs/>
          <w:color w:val="auto"/>
          <w:szCs w:val="21"/>
          <w:highlight w:val="none"/>
          <w:u w:val="single"/>
        </w:rPr>
        <w:t>招标答疑采用网上答疑方式进行。投标人若对招标文件（包括招标图纸、工程量清单、招标控制价、合同条款）有疑问的，可在规定的时间内通过广州公共资源交易中心网站进入提问区域将问题提交给招标人或招标代理人，提交问题时一律不得署名。</w:t>
      </w:r>
      <w:r>
        <w:rPr>
          <w:rFonts w:hint="eastAsia" w:ascii="宋体" w:hAnsi="宋体"/>
          <w:color w:val="auto"/>
          <w:szCs w:val="21"/>
          <w:highlight w:val="none"/>
          <w:u w:val="single"/>
        </w:rPr>
        <w:t>网上答疑的操作指南为：登陆广州公共资源交易中心网站→进入“项目招标答疑”专区→通过项目编号或名称找到所需的项目→在上述的答疑时间内点击“提问”→提出问题以及查看所有的问题</w:t>
      </w:r>
      <w:r>
        <w:rPr>
          <w:rFonts w:hint="eastAsia" w:ascii="宋体" w:hAnsi="宋体" w:cs="宋体"/>
          <w:bCs/>
          <w:color w:val="auto"/>
          <w:szCs w:val="21"/>
          <w:highlight w:val="none"/>
          <w:u w:val="singl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交易平台 “项目答疑纪要”专区公开发布。答疑纪要一经在交易</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Cs w:val="21"/>
          <w:highlight w:val="none"/>
        </w:rPr>
        <w:t>平台发布，视作已发放给所有投标人。</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w:t>
      </w:r>
      <w:r>
        <w:rPr>
          <w:rFonts w:hint="eastAsia" w:ascii="宋体" w:hAnsi="宋体" w:cs="宋体"/>
          <w:color w:val="auto"/>
          <w:szCs w:val="21"/>
          <w:highlight w:val="none"/>
          <w:u w:val="single"/>
        </w:rPr>
        <w:t>答疑</w:t>
      </w:r>
      <w:r>
        <w:rPr>
          <w:rFonts w:hint="eastAsia" w:ascii="宋体" w:hAnsi="宋体" w:cs="宋体"/>
          <w:bCs/>
          <w:color w:val="auto"/>
          <w:szCs w:val="21"/>
          <w:highlight w:val="none"/>
        </w:rPr>
        <w:t>纪要将在提交投标文件截止时间15日前在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“建设工程-项目查询（日程安排、答疑纪要）”</w:t>
      </w:r>
      <w:r>
        <w:rPr>
          <w:rFonts w:hint="eastAsia" w:ascii="宋体" w:hAnsi="宋体" w:cs="宋体"/>
          <w:bCs/>
          <w:color w:val="auto"/>
          <w:szCs w:val="21"/>
          <w:highlight w:val="none"/>
        </w:rPr>
        <w:t>公开发布。答疑纪要一经在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交易平台发布，视作已发放给所有投标人。</w:t>
      </w:r>
    </w:p>
    <w:p>
      <w:pPr>
        <w:pStyle w:val="35"/>
        <w:spacing w:after="0" w:line="360" w:lineRule="auto"/>
        <w:ind w:firstLine="422" w:firstLineChars="200"/>
        <w:rPr>
          <w:rFonts w:ascii="宋体" w:hAnsi="宋体" w:cs="宋体"/>
          <w:b/>
          <w:color w:val="auto"/>
          <w:szCs w:val="21"/>
          <w:highlight w:val="none"/>
        </w:rPr>
      </w:pPr>
      <w:r>
        <w:rPr>
          <w:rFonts w:hint="eastAsia" w:ascii="宋体" w:hAnsi="宋体" w:eastAsia="宋体" w:cs="宋体"/>
          <w:b/>
          <w:color w:val="auto"/>
          <w:szCs w:val="21"/>
          <w:highlight w:val="none"/>
        </w:rPr>
        <w:t>条款号：8.</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 xml:space="preserve">              修改类型：修改</w:t>
      </w:r>
    </w:p>
    <w:p>
      <w:pPr>
        <w:pStyle w:val="35"/>
        <w:spacing w:after="0"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8.</w:t>
      </w:r>
      <w:r>
        <w:rPr>
          <w:rFonts w:ascii="宋体" w:hAnsi="宋体" w:eastAsia="宋体" w:cs="宋体"/>
          <w:b/>
          <w:color w:val="auto"/>
          <w:szCs w:val="21"/>
          <w:highlight w:val="none"/>
        </w:rPr>
        <w:t>3</w:t>
      </w:r>
      <w:r>
        <w:rPr>
          <w:rFonts w:hint="eastAsia" w:ascii="宋体" w:hAnsi="宋体" w:eastAsia="宋体" w:cs="宋体"/>
          <w:color w:val="auto"/>
          <w:kern w:val="2"/>
          <w:sz w:val="21"/>
          <w:szCs w:val="21"/>
          <w:highlight w:val="none"/>
          <w:lang w:val="en-US" w:eastAsia="zh-CN"/>
        </w:rPr>
        <w:t>答疑会会议纪要为招标文件的一部分。</w:t>
      </w:r>
    </w:p>
    <w:p>
      <w:pPr>
        <w:pBdr>
          <w:bottom w:val="single" w:color="auto" w:sz="6" w:space="1"/>
        </w:pBdr>
        <w:spacing w:line="360" w:lineRule="auto"/>
        <w:ind w:firstLine="424" w:firstLineChars="201"/>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原文：8.4</w:t>
      </w:r>
      <w:r>
        <w:rPr>
          <w:rFonts w:hint="eastAsia" w:ascii="宋体" w:hAnsi="宋体" w:cs="宋体"/>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现文：8.4</w:t>
      </w:r>
      <w:r>
        <w:rPr>
          <w:rFonts w:hint="eastAsia" w:ascii="宋体" w:hAnsi="宋体" w:cs="宋体"/>
          <w:color w:val="auto"/>
          <w:szCs w:val="21"/>
          <w:highlight w:val="none"/>
        </w:rPr>
        <w:t>若招标</w:t>
      </w:r>
      <w:r>
        <w:rPr>
          <w:rFonts w:hint="eastAsia" w:ascii="宋体" w:hAnsi="宋体" w:cs="宋体"/>
          <w:color w:val="auto"/>
          <w:szCs w:val="21"/>
          <w:highlight w:val="none"/>
          <w:u w:val="single"/>
        </w:rPr>
        <w:t>答疑</w:t>
      </w:r>
      <w:r>
        <w:rPr>
          <w:rFonts w:hint="eastAsia" w:ascii="宋体" w:hAnsi="宋体" w:cs="宋体"/>
          <w:color w:val="auto"/>
          <w:szCs w:val="21"/>
          <w:highlight w:val="none"/>
        </w:rPr>
        <w:t>纪要与招标文件有矛盾，以</w:t>
      </w:r>
      <w:r>
        <w:rPr>
          <w:rFonts w:hint="eastAsia" w:ascii="宋体" w:hAnsi="宋体" w:cs="宋体"/>
          <w:color w:val="auto"/>
          <w:szCs w:val="21"/>
          <w:highlight w:val="none"/>
          <w:u w:val="single"/>
        </w:rPr>
        <w:t>广州公共资源交易中心交易平台最后发布的答疑纪要为准。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u w:val="single"/>
        </w:rPr>
        <w:t>“建设工程-项目查询（日程安排、答疑纪要）”</w:t>
      </w:r>
      <w:r>
        <w:rPr>
          <w:rFonts w:hint="eastAsia" w:ascii="宋体" w:hAnsi="宋体" w:cs="宋体"/>
          <w:color w:val="auto"/>
          <w:szCs w:val="21"/>
          <w:highlight w:val="none"/>
        </w:rPr>
        <w:t>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条款号：9.3                                                         修改类型：修改</w:t>
      </w:r>
    </w:p>
    <w:p>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9.3招标文件的修改内容为招标文件的组成部分。</w:t>
      </w:r>
    </w:p>
    <w:p>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9.3招标文件的</w:t>
      </w:r>
      <w:r>
        <w:rPr>
          <w:rFonts w:hint="eastAsia" w:ascii="宋体" w:hAnsi="宋体" w:cs="宋体"/>
          <w:color w:val="auto"/>
          <w:szCs w:val="21"/>
          <w:highlight w:val="none"/>
          <w:u w:val="single"/>
        </w:rPr>
        <w:t>澄清及修改，补充内容</w:t>
      </w:r>
      <w:r>
        <w:rPr>
          <w:rFonts w:hint="eastAsia" w:ascii="宋体" w:hAnsi="宋体" w:cs="宋体"/>
          <w:color w:val="auto"/>
          <w:szCs w:val="21"/>
          <w:highlight w:val="none"/>
        </w:rPr>
        <w:t>为招标文件的组成部分。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现文：9.4</w:t>
      </w:r>
      <w:r>
        <w:rPr>
          <w:rFonts w:hint="eastAsia" w:ascii="宋体" w:hAnsi="宋体" w:cs="宋体"/>
          <w:color w:val="auto"/>
          <w:szCs w:val="21"/>
          <w:highlight w:val="none"/>
        </w:rPr>
        <w:t>招标文件的澄清或修改以</w:t>
      </w:r>
      <w:r>
        <w:rPr>
          <w:rFonts w:hint="eastAsia" w:ascii="宋体" w:hAnsi="宋体" w:cs="宋体"/>
          <w:color w:val="auto"/>
          <w:szCs w:val="21"/>
          <w:highlight w:val="none"/>
          <w:u w:val="single"/>
        </w:rPr>
        <w:t>广州公共资源交易中心交易平台最后发布的答疑纪要为准。</w:t>
      </w:r>
      <w:r>
        <w:rPr>
          <w:rFonts w:hint="eastAsia" w:ascii="宋体" w:hAnsi="宋体" w:cs="宋体"/>
          <w:color w:val="auto"/>
          <w:szCs w:val="21"/>
          <w:highlight w:val="none"/>
        </w:rPr>
        <w:t>当招标文件的澄清、修改、补充等在同一内容的表述不一致时，以最后发出的文件为准。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条款号：11.2.2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Times New Roman"/>
          <w:b/>
          <w:bCs w:val="0"/>
          <w:color w:val="auto"/>
          <w:szCs w:val="21"/>
          <w:highlight w:val="none"/>
        </w:rPr>
        <w:t xml:space="preserve">11.2.2 </w:t>
      </w:r>
      <w:r>
        <w:rPr>
          <w:rFonts w:hint="eastAsia" w:ascii="宋体" w:hAnsi="宋体" w:cs="宋体"/>
          <w:bCs/>
          <w:color w:val="auto"/>
          <w:szCs w:val="21"/>
          <w:highlight w:val="none"/>
        </w:rPr>
        <w:t>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kern w:val="0"/>
          <w:szCs w:val="21"/>
          <w:highlight w:val="none"/>
        </w:rPr>
        <w:t>（取自平台内上传件）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kern w:val="0"/>
          <w:szCs w:val="21"/>
          <w:highlight w:val="none"/>
        </w:rPr>
        <w:t>（取自平台内上传件）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kern w:val="0"/>
          <w:szCs w:val="21"/>
          <w:highlight w:val="none"/>
        </w:rPr>
        <w:t>（取自平台内上传件）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（9）</w:t>
      </w:r>
      <w:r>
        <w:rPr>
          <w:rFonts w:hint="eastAsia" w:ascii="宋体" w:hAnsi="宋体"/>
          <w:bCs/>
          <w:color w:val="auto"/>
          <w:szCs w:val="21"/>
          <w:highlight w:val="none"/>
        </w:rPr>
        <w:t>拟委派项目负责人的建造师注册证书（取自平台内上传件）；</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（10）</w:t>
      </w:r>
      <w:r>
        <w:rPr>
          <w:rFonts w:hint="eastAsia" w:ascii="宋体" w:hAnsi="宋体" w:cs="宋体"/>
          <w:bCs/>
          <w:color w:val="auto"/>
          <w:kern w:val="0"/>
          <w:szCs w:val="21"/>
          <w:highlight w:val="none"/>
        </w:rPr>
        <w:t>项目负责人安全</w:t>
      </w:r>
      <w:r>
        <w:rPr>
          <w:rFonts w:hint="eastAsia" w:ascii="宋体" w:hAnsi="宋体" w:cs="宋体"/>
          <w:bCs/>
          <w:color w:val="auto"/>
          <w:kern w:val="0"/>
          <w:szCs w:val="21"/>
          <w:highlight w:val="none"/>
          <w:lang w:val="en-US" w:eastAsia="zh-CN"/>
        </w:rPr>
        <w:t>生产</w:t>
      </w:r>
      <w:r>
        <w:rPr>
          <w:rFonts w:hint="eastAsia" w:ascii="宋体" w:hAnsi="宋体" w:cs="宋体"/>
          <w:bCs/>
          <w:color w:val="auto"/>
          <w:kern w:val="0"/>
          <w:szCs w:val="21"/>
          <w:highlight w:val="none"/>
        </w:rPr>
        <w:t>考核合格证明或在有效期内的安全</w:t>
      </w:r>
      <w:r>
        <w:rPr>
          <w:rFonts w:hint="eastAsia" w:ascii="宋体" w:hAnsi="宋体" w:cs="宋体"/>
          <w:bCs/>
          <w:color w:val="auto"/>
          <w:kern w:val="0"/>
          <w:szCs w:val="21"/>
          <w:highlight w:val="none"/>
          <w:lang w:val="en-US" w:eastAsia="zh-CN"/>
        </w:rPr>
        <w:t>生产</w:t>
      </w:r>
      <w:r>
        <w:rPr>
          <w:rFonts w:hint="eastAsia" w:ascii="宋体" w:hAnsi="宋体" w:cs="宋体"/>
          <w:bCs/>
          <w:color w:val="auto"/>
          <w:kern w:val="0"/>
          <w:szCs w:val="21"/>
          <w:highlight w:val="none"/>
        </w:rPr>
        <w:t>考核合格证书（B类）或建筑施工企业项目负责人安全生产考核合格证书（取自平台内上传件）；</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（11）</w:t>
      </w:r>
      <w:r>
        <w:rPr>
          <w:rFonts w:hint="eastAsia" w:ascii="宋体" w:hAnsi="宋体" w:cs="宋体"/>
          <w:bCs/>
          <w:color w:val="auto"/>
          <w:kern w:val="0"/>
          <w:szCs w:val="21"/>
          <w:highlight w:val="none"/>
        </w:rPr>
        <w:t>专职安全员须具有在有效期内的安全</w:t>
      </w:r>
      <w:r>
        <w:rPr>
          <w:rFonts w:hint="eastAsia" w:ascii="宋体" w:hAnsi="宋体" w:cs="宋体"/>
          <w:bCs/>
          <w:color w:val="auto"/>
          <w:kern w:val="0"/>
          <w:szCs w:val="21"/>
          <w:highlight w:val="none"/>
          <w:lang w:val="en-US" w:eastAsia="zh-CN"/>
        </w:rPr>
        <w:t>生产</w:t>
      </w:r>
      <w:r>
        <w:rPr>
          <w:rFonts w:hint="eastAsia" w:ascii="宋体" w:hAnsi="宋体" w:cs="宋体"/>
          <w:bCs/>
          <w:color w:val="auto"/>
          <w:kern w:val="0"/>
          <w:szCs w:val="21"/>
          <w:highlight w:val="none"/>
        </w:rPr>
        <w:t>考核合格证书（C类）或建筑施工企业专职安全生产管理人员安全生产考核合格证书（取自平台内上传件）；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w:t>
      </w:r>
      <w:r>
        <w:rPr>
          <w:rFonts w:hint="eastAsia" w:ascii="宋体" w:hAnsi="宋体" w:cs="宋体"/>
          <w:bCs/>
          <w:color w:val="auto"/>
          <w:kern w:val="0"/>
          <w:szCs w:val="21"/>
          <w:highlight w:val="none"/>
        </w:rPr>
        <w:t>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（14）</w:t>
      </w:r>
      <w:r>
        <w:rPr>
          <w:rFonts w:hint="eastAsia" w:ascii="宋体" w:hAnsi="宋体" w:cs="宋体"/>
          <w:bCs/>
          <w:color w:val="auto"/>
          <w:kern w:val="0"/>
          <w:szCs w:val="21"/>
          <w:highlight w:val="none"/>
        </w:rPr>
        <w:t>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r>
        <w:rPr>
          <w:rFonts w:hint="eastAsia" w:ascii="宋体" w:hAnsi="宋体" w:cs="宋体"/>
          <w:color w:val="auto"/>
          <w:szCs w:val="21"/>
          <w:highlight w:val="none"/>
        </w:rPr>
        <w:t>。</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现文：11.2.2</w:t>
      </w:r>
      <w:r>
        <w:rPr>
          <w:rFonts w:hint="eastAsia" w:ascii="宋体" w:hAnsi="宋体" w:cs="宋体"/>
          <w:bCs/>
          <w:color w:val="auto"/>
          <w:szCs w:val="21"/>
          <w:highlight w:val="none"/>
        </w:rPr>
        <w:t xml:space="preserve">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bCs/>
          <w:color w:val="auto"/>
          <w:szCs w:val="21"/>
          <w:highlight w:val="none"/>
          <w:u w:val="single"/>
        </w:rPr>
        <w:t>（按招标公告附件一格式填写）</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bCs/>
          <w:color w:val="auto"/>
          <w:szCs w:val="21"/>
          <w:highlight w:val="none"/>
        </w:rPr>
        <w:t>取自</w:t>
      </w:r>
      <w:r>
        <w:rPr>
          <w:rFonts w:hint="eastAsia" w:ascii="宋体" w:hAnsi="宋体" w:cs="宋体"/>
          <w:color w:val="auto"/>
          <w:szCs w:val="21"/>
          <w:highlight w:val="none"/>
          <w:lang w:eastAsia="zh-CN"/>
        </w:rPr>
        <w:t>平台</w:t>
      </w:r>
      <w:r>
        <w:rPr>
          <w:rFonts w:hint="eastAsia" w:ascii="宋体"/>
          <w:bCs/>
          <w:color w:val="auto"/>
          <w:szCs w:val="21"/>
          <w:highlight w:val="none"/>
        </w:rPr>
        <w:t>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bCs/>
          <w:color w:val="auto"/>
          <w:szCs w:val="21"/>
          <w:highlight w:val="none"/>
        </w:rPr>
        <w:t>取自</w:t>
      </w:r>
      <w:r>
        <w:rPr>
          <w:rFonts w:hint="eastAsia" w:ascii="宋体" w:hAnsi="宋体" w:cs="宋体"/>
          <w:color w:val="auto"/>
          <w:szCs w:val="21"/>
          <w:highlight w:val="none"/>
          <w:lang w:eastAsia="zh-CN"/>
        </w:rPr>
        <w:t>平台</w:t>
      </w:r>
      <w:r>
        <w:rPr>
          <w:rFonts w:hint="eastAsia" w:ascii="宋体"/>
          <w:bCs/>
          <w:color w:val="auto"/>
          <w:szCs w:val="21"/>
          <w:highlight w:val="none"/>
        </w:rPr>
        <w:t>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bCs/>
          <w:color w:val="auto"/>
          <w:szCs w:val="21"/>
          <w:highlight w:val="none"/>
        </w:rPr>
        <w:t>取自</w:t>
      </w:r>
      <w:r>
        <w:rPr>
          <w:rFonts w:hint="eastAsia" w:ascii="宋体" w:hAnsi="宋体" w:cs="宋体"/>
          <w:color w:val="auto"/>
          <w:szCs w:val="21"/>
          <w:highlight w:val="none"/>
          <w:lang w:eastAsia="zh-CN"/>
        </w:rPr>
        <w:t>平台</w:t>
      </w:r>
      <w:r>
        <w:rPr>
          <w:rFonts w:hint="eastAsia" w:ascii="宋体"/>
          <w:bCs/>
          <w:color w:val="auto"/>
          <w:szCs w:val="21"/>
          <w:highlight w:val="none"/>
        </w:rPr>
        <w:t>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w:t>
      </w:r>
      <w:r>
        <w:rPr>
          <w:rFonts w:hint="eastAsia" w:ascii="宋体" w:hAnsi="宋体" w:cs="宋体"/>
          <w:color w:val="auto"/>
          <w:szCs w:val="21"/>
          <w:highlight w:val="none"/>
        </w:rPr>
        <w:t>拟委托技术负责人的相关证书、资料</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（9）</w:t>
      </w:r>
      <w:r>
        <w:rPr>
          <w:rFonts w:hint="eastAsia" w:ascii="宋体"/>
          <w:bCs/>
          <w:color w:val="auto"/>
          <w:sz w:val="21"/>
          <w:szCs w:val="21"/>
          <w:highlight w:val="none"/>
        </w:rPr>
        <w:t>拟委派项目负责人的建造师注册证书</w:t>
      </w:r>
      <w:r>
        <w:rPr>
          <w:rFonts w:hint="eastAsia" w:ascii="宋体"/>
          <w:bCs/>
          <w:color w:val="auto"/>
          <w:sz w:val="21"/>
          <w:szCs w:val="21"/>
          <w:highlight w:val="none"/>
          <w:u w:val="single"/>
        </w:rPr>
        <w:t>相关证明</w:t>
      </w:r>
      <w:r>
        <w:rPr>
          <w:rFonts w:hint="eastAsia" w:ascii="宋体" w:hAnsi="宋体" w:cs="宋体"/>
          <w:color w:val="auto"/>
          <w:highlight w:val="none"/>
          <w:u w:val="none"/>
        </w:rPr>
        <w:t>（取自</w:t>
      </w:r>
      <w:r>
        <w:rPr>
          <w:rFonts w:hint="eastAsia" w:ascii="宋体" w:hAnsi="宋体" w:cs="宋体"/>
          <w:color w:val="auto"/>
          <w:szCs w:val="21"/>
          <w:highlight w:val="none"/>
          <w:u w:val="none"/>
          <w:lang w:eastAsia="zh-CN"/>
        </w:rPr>
        <w:t>平台</w:t>
      </w:r>
      <w:r>
        <w:rPr>
          <w:rFonts w:hint="eastAsia" w:ascii="宋体" w:hAnsi="宋体" w:cs="宋体"/>
          <w:color w:val="auto"/>
          <w:highlight w:val="none"/>
          <w:u w:val="none"/>
        </w:rPr>
        <w:t>内上传件）</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w:t>
      </w:r>
      <w:r>
        <w:rPr>
          <w:rFonts w:hint="eastAsia" w:ascii="宋体" w:hAnsi="宋体" w:cs="宋体"/>
          <w:bCs/>
          <w:color w:val="auto"/>
          <w:szCs w:val="21"/>
          <w:highlight w:val="none"/>
          <w:lang w:val="en-US" w:eastAsia="zh-CN"/>
        </w:rPr>
        <w:t>生产</w:t>
      </w:r>
      <w:r>
        <w:rPr>
          <w:rFonts w:hint="eastAsia" w:ascii="宋体" w:hAnsi="宋体" w:cs="宋体"/>
          <w:bCs/>
          <w:color w:val="auto"/>
          <w:szCs w:val="21"/>
          <w:highlight w:val="none"/>
        </w:rPr>
        <w:t>考核合格证明或在有效期内的安全</w:t>
      </w:r>
      <w:r>
        <w:rPr>
          <w:rFonts w:hint="eastAsia" w:ascii="宋体" w:hAnsi="宋体" w:cs="宋体"/>
          <w:bCs/>
          <w:color w:val="auto"/>
          <w:szCs w:val="21"/>
          <w:highlight w:val="none"/>
          <w:lang w:val="en-US" w:eastAsia="zh-CN"/>
        </w:rPr>
        <w:t>生产</w:t>
      </w:r>
      <w:r>
        <w:rPr>
          <w:rFonts w:hint="eastAsia" w:ascii="宋体" w:hAnsi="宋体" w:cs="宋体"/>
          <w:bCs/>
          <w:color w:val="auto"/>
          <w:szCs w:val="21"/>
          <w:highlight w:val="none"/>
        </w:rPr>
        <w:t>考核合格证书（</w:t>
      </w:r>
      <w:r>
        <w:rPr>
          <w:rFonts w:ascii="宋体" w:hAnsi="宋体" w:cs="宋体"/>
          <w:bCs/>
          <w:color w:val="auto"/>
          <w:szCs w:val="21"/>
          <w:highlight w:val="none"/>
        </w:rPr>
        <w:t>B类）或建筑施工企业项目负责人安全生产考核合格证书</w:t>
      </w:r>
      <w:r>
        <w:rPr>
          <w:rFonts w:hint="eastAsia" w:ascii="宋体" w:hAnsi="宋体" w:cs="宋体"/>
          <w:bCs/>
          <w:color w:val="auto"/>
          <w:szCs w:val="21"/>
          <w:highlight w:val="none"/>
        </w:rPr>
        <w:t>（取自库内上传件）；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bCs/>
          <w:color w:val="auto"/>
          <w:szCs w:val="21"/>
          <w:highlight w:val="none"/>
        </w:rPr>
        <w:t>专职安全员须具有安全生产考核合格证（C证）或建筑施工企业专职安全生产管理人员安全生产考核合格证（C3类）</w:t>
      </w:r>
      <w:r>
        <w:rPr>
          <w:rFonts w:hint="eastAsia" w:ascii="宋体" w:hAnsi="宋体" w:cs="宋体"/>
          <w:color w:val="auto"/>
          <w:szCs w:val="21"/>
          <w:highlight w:val="none"/>
          <w:u w:val="single"/>
        </w:rPr>
        <w:t>；</w:t>
      </w:r>
    </w:p>
    <w:p>
      <w:pPr>
        <w:spacing w:line="460" w:lineRule="exact"/>
        <w:ind w:firstLine="470" w:firstLineChars="224"/>
        <w:rPr>
          <w:rFonts w:hint="eastAsia" w:ascii="宋体" w:hAnsi="宋体" w:cs="宋体"/>
          <w:color w:val="auto"/>
          <w:szCs w:val="21"/>
          <w:highlight w:val="none"/>
        </w:rPr>
      </w:pPr>
      <w:r>
        <w:rPr>
          <w:rFonts w:hint="eastAsia" w:ascii="宋体" w:hAnsi="宋体" w:cs="宋体"/>
          <w:bCs/>
          <w:color w:val="auto"/>
          <w:szCs w:val="21"/>
          <w:highlight w:val="none"/>
          <w:u w:val="single"/>
        </w:rPr>
        <w:t>（12）</w:t>
      </w:r>
      <w:r>
        <w:rPr>
          <w:rFonts w:hint="eastAsia" w:ascii="宋体" w:hAnsi="宋体"/>
          <w:color w:val="auto"/>
          <w:szCs w:val="21"/>
          <w:highlight w:val="none"/>
          <w:u w:val="single"/>
        </w:rPr>
        <w:t>资格审查前，投标人须在广州市住房和城乡建设局建立企业</w:t>
      </w:r>
      <w:r>
        <w:rPr>
          <w:rFonts w:hint="eastAsia" w:ascii="宋体" w:hAnsi="宋体"/>
          <w:color w:val="auto"/>
          <w:szCs w:val="21"/>
          <w:highlight w:val="none"/>
          <w:u w:val="single"/>
          <w:lang w:eastAsia="zh-CN"/>
        </w:rPr>
        <w:t>信用</w:t>
      </w:r>
      <w:r>
        <w:rPr>
          <w:rFonts w:hint="eastAsia" w:ascii="宋体" w:hAnsi="宋体"/>
          <w:color w:val="auto"/>
          <w:szCs w:val="21"/>
          <w:highlight w:val="none"/>
          <w:u w:val="single"/>
        </w:rPr>
        <w:t>档案及拟担任本工程项目负责人、专职安全员须是本企业</w:t>
      </w:r>
      <w:r>
        <w:rPr>
          <w:rFonts w:hint="eastAsia" w:ascii="宋体" w:hAnsi="宋体"/>
          <w:color w:val="auto"/>
          <w:szCs w:val="21"/>
          <w:highlight w:val="none"/>
          <w:u w:val="single"/>
          <w:lang w:eastAsia="zh-CN"/>
        </w:rPr>
        <w:t>信用</w:t>
      </w:r>
      <w:r>
        <w:rPr>
          <w:rFonts w:hint="eastAsia" w:ascii="宋体" w:hAnsi="宋体"/>
          <w:color w:val="auto"/>
          <w:szCs w:val="21"/>
          <w:highlight w:val="none"/>
          <w:u w:val="single"/>
        </w:rPr>
        <w:t>档案中的在册人员。企业</w:t>
      </w:r>
      <w:r>
        <w:rPr>
          <w:rFonts w:hint="eastAsia" w:ascii="宋体" w:hAnsi="宋体"/>
          <w:color w:val="auto"/>
          <w:szCs w:val="21"/>
          <w:highlight w:val="none"/>
          <w:u w:val="single"/>
          <w:lang w:eastAsia="zh-CN"/>
        </w:rPr>
        <w:t>信用</w:t>
      </w:r>
      <w:r>
        <w:rPr>
          <w:rFonts w:hint="eastAsia" w:ascii="宋体" w:hAnsi="宋体"/>
          <w:color w:val="auto"/>
          <w:szCs w:val="21"/>
          <w:highlight w:val="none"/>
          <w:u w:val="single"/>
        </w:rPr>
        <w:t>档案取自投标截止时间投标人在</w:t>
      </w:r>
      <w:r>
        <w:rPr>
          <w:rFonts w:hint="eastAsia" w:ascii="宋体" w:hAnsi="宋体"/>
          <w:color w:val="auto"/>
          <w:szCs w:val="21"/>
          <w:highlight w:val="none"/>
        </w:rPr>
        <w:t>信用管理平台</w:t>
      </w:r>
      <w:r>
        <w:rPr>
          <w:rFonts w:hint="eastAsia" w:ascii="宋体" w:hAnsi="宋体"/>
          <w:color w:val="auto"/>
          <w:szCs w:val="21"/>
          <w:highlight w:val="none"/>
          <w:u w:val="single"/>
        </w:rPr>
        <w:t>内的信息，投标人无需提交相关资料，若招标人延长递交投标文件截止时间的，</w:t>
      </w:r>
      <w:r>
        <w:rPr>
          <w:rFonts w:hint="eastAsia" w:ascii="宋体" w:hAnsi="宋体"/>
          <w:color w:val="auto"/>
          <w:szCs w:val="21"/>
          <w:highlight w:val="none"/>
          <w:u w:val="single"/>
          <w:lang w:eastAsia="zh-CN"/>
        </w:rPr>
        <w:t>信用</w:t>
      </w:r>
      <w:r>
        <w:rPr>
          <w:rFonts w:hint="eastAsia" w:ascii="宋体" w:hAnsi="宋体"/>
          <w:color w:val="auto"/>
          <w:szCs w:val="21"/>
          <w:highlight w:val="none"/>
          <w:u w:val="single"/>
        </w:rPr>
        <w:t>档案信息的评审时点也相应延长。（</w:t>
      </w:r>
      <w:r>
        <w:rPr>
          <w:rFonts w:hint="eastAsia" w:ascii="宋体" w:hAnsi="宋体"/>
          <w:color w:val="auto"/>
          <w:szCs w:val="21"/>
          <w:highlight w:val="none"/>
          <w:u w:val="single"/>
          <w:lang w:eastAsia="zh-CN"/>
        </w:rPr>
        <w:t>信用</w:t>
      </w:r>
      <w:r>
        <w:rPr>
          <w:rFonts w:hint="eastAsia" w:ascii="宋体" w:hAnsi="宋体"/>
          <w:color w:val="auto"/>
          <w:szCs w:val="21"/>
          <w:highlight w:val="none"/>
          <w:u w:val="single"/>
        </w:rPr>
        <w:t>档案办理详见《施工企业办事指引》</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u w:val="single"/>
        </w:rPr>
        <w:t>http://zfcj.gz.gov.cn/gzcc/jszxbszy/201907/405efd7dc43540c3a84f1b6a7569e370.shtml）</w:t>
      </w:r>
    </w:p>
    <w:p>
      <w:pPr>
        <w:numPr>
          <w:ilvl w:val="-1"/>
          <w:numId w:val="0"/>
        </w:numPr>
        <w:pBdr>
          <w:bottom w:val="none" w:color="auto" w:sz="0" w:space="0"/>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（13）关于联合体投标：本项目不接受联合体投标</w:t>
      </w:r>
      <w:r>
        <w:rPr>
          <w:rFonts w:hint="eastAsia" w:ascii="宋体" w:hAnsi="宋体" w:cs="宋体"/>
          <w:color w:val="auto"/>
          <w:szCs w:val="21"/>
          <w:highlight w:val="none"/>
        </w:rPr>
        <w:t>。</w:t>
      </w:r>
    </w:p>
    <w:p>
      <w:pPr>
        <w:pBdr>
          <w:bottom w:val="single" w:color="auto" w:sz="6" w:space="1"/>
        </w:pBdr>
        <w:spacing w:line="360" w:lineRule="auto"/>
        <w:ind w:firstLine="0" w:firstLineChars="0"/>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条款号：11.2.4             修改类型：删除</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pBdr>
          <w:bottom w:val="single" w:color="auto" w:sz="6" w:space="1"/>
        </w:pBdr>
        <w:spacing w:line="360" w:lineRule="auto"/>
        <w:ind w:firstLine="0" w:firstLineChars="0"/>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条款号：11.2.5             修改类型：修改</w:t>
      </w:r>
    </w:p>
    <w:p>
      <w:pPr>
        <w:spacing w:line="360" w:lineRule="auto"/>
        <w:ind w:firstLine="472" w:firstLineChars="224"/>
        <w:rPr>
          <w:rFonts w:hint="eastAsia" w:ascii="宋体" w:hAnsi="宋体" w:cs="宋体"/>
          <w:b w:val="0"/>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11.2.5施工组织设计或施工方案。</w:t>
      </w:r>
      <w:r>
        <w:rPr>
          <w:rFonts w:hint="eastAsia" w:ascii="宋体" w:hAnsi="宋体" w:eastAsia="宋体" w:cs="宋体"/>
          <w:bCs w:val="0"/>
          <w:color w:val="auto"/>
          <w:kern w:val="2"/>
          <w:sz w:val="21"/>
          <w:szCs w:val="21"/>
          <w:highlight w:val="none"/>
        </w:rPr>
        <w:t>（</w:t>
      </w:r>
      <w:r>
        <w:rPr>
          <w:rFonts w:hint="eastAsia" w:ascii="宋体" w:hAnsi="宋体" w:eastAsia="宋体" w:cs="宋体"/>
          <w:b w:val="0"/>
          <w:bCs w:val="0"/>
          <w:color w:val="auto"/>
          <w:kern w:val="2"/>
          <w:sz w:val="21"/>
          <w:szCs w:val="21"/>
          <w:highlight w:val="none"/>
        </w:rPr>
        <w:t>投标人在编制施工组织设计或施工方案时应按照招标人提出的施工现场建筑垃圾源头减量的具体要求以及建筑垃圾综合利用产品的使用要求提供相应措施。</w:t>
      </w:r>
      <w:r>
        <w:rPr>
          <w:rFonts w:hint="eastAsia" w:ascii="宋体" w:hAnsi="宋体" w:eastAsia="宋体" w:cs="宋体"/>
          <w:bCs w:val="0"/>
          <w:color w:val="auto"/>
          <w:kern w:val="2"/>
          <w:sz w:val="21"/>
          <w:szCs w:val="21"/>
          <w:highlight w:val="none"/>
        </w:rPr>
        <w:t>）</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11.2.5</w:t>
      </w:r>
      <w:r>
        <w:rPr>
          <w:rFonts w:hint="eastAsia" w:ascii="宋体" w:hAnsi="宋体" w:cs="宋体"/>
          <w:bCs/>
          <w:color w:val="auto"/>
          <w:szCs w:val="21"/>
          <w:highlight w:val="none"/>
          <w:u w:val="single"/>
        </w:rPr>
        <w:t>《响应招标文件所附施工组织设计要点的承诺书》（格式见第四章）</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条款号：11.2.7             修改类型：增加</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11.2.7 投</w:t>
      </w:r>
      <w:r>
        <w:rPr>
          <w:rFonts w:hint="eastAsia" w:ascii="宋体" w:hAnsi="宋体" w:cs="宋体"/>
          <w:color w:val="auto"/>
          <w:szCs w:val="21"/>
          <w:highlight w:val="none"/>
          <w:u w:val="single"/>
        </w:rPr>
        <w:t>标人认为应该提供的其他资料。</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Cs w:val="21"/>
          <w:highlight w:val="none"/>
        </w:rPr>
        <w:t>。</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 xml:space="preserve">12.2 </w:t>
      </w:r>
      <w:r>
        <w:rPr>
          <w:rFonts w:hint="eastAsia" w:ascii="宋体" w:hAnsi="宋体"/>
          <w:color w:val="auto"/>
          <w:sz w:val="21"/>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1"/>
          <w:szCs w:val="21"/>
          <w:highlight w:val="none"/>
        </w:rPr>
        <w:t>全流程电子化项目的相关指南进行操作。详见：</w:t>
      </w:r>
      <w:r>
        <w:rPr>
          <w:rFonts w:hint="eastAsia"/>
          <w:color w:val="auto"/>
          <w:sz w:val="21"/>
          <w:szCs w:val="21"/>
          <w:highlight w:val="none"/>
          <w:u w:val="single"/>
        </w:rPr>
        <w:t>广州公共资源交易中心交易平台</w:t>
      </w:r>
      <w:r>
        <w:rPr>
          <w:rFonts w:hint="eastAsia"/>
          <w:color w:val="auto"/>
          <w:sz w:val="21"/>
          <w:szCs w:val="21"/>
          <w:highlight w:val="none"/>
        </w:rPr>
        <w:t xml:space="preserve"> 。</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12.3 投标文件应按照交易平台关于全流程电子化项目的相关指南进行编制，详见：</w:t>
      </w:r>
      <w:r>
        <w:rPr>
          <w:color w:val="auto"/>
          <w:sz w:val="24"/>
          <w:szCs w:val="24"/>
          <w:highlight w:val="none"/>
          <w:u w:val="single"/>
        </w:rPr>
        <w:t xml:space="preserve">    </w:t>
      </w:r>
      <w:r>
        <w:rPr>
          <w:rFonts w:hint="eastAsia" w:ascii="宋体" w:hAnsi="宋体" w:cs="宋体"/>
          <w:bCs/>
          <w:color w:val="auto"/>
          <w:szCs w:val="21"/>
          <w:highlight w:val="none"/>
        </w:rPr>
        <w:t>。</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广州公共资源交易中心，首页→服务指南→办事指引→建设工程《房屋建筑和市政基础设施工程全流程电子化项目专章》。</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13.1 本</w:t>
      </w:r>
      <w:r>
        <w:rPr>
          <w:rFonts w:hint="eastAsia" w:ascii="宋体" w:hAnsi="宋体" w:cs="宋体"/>
          <w:color w:val="auto"/>
          <w:szCs w:val="21"/>
          <w:highlight w:val="none"/>
        </w:rPr>
        <w:t>工程的投标报价采用投标须知前附表第12项所规定的方式。投标报价（含单价及总价）精确到“分”。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13.5</w:t>
      </w:r>
      <w:r>
        <w:rPr>
          <w:rFonts w:hint="eastAsia" w:ascii="宋体" w:hAnsi="宋体" w:cs="宋体"/>
          <w:b/>
          <w:color w:val="auto"/>
          <w:szCs w:val="21"/>
          <w:highlight w:val="none"/>
        </w:rPr>
        <w:t xml:space="preserve">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w:t>
      </w:r>
      <w:r>
        <w:rPr>
          <w:rFonts w:hint="eastAsia" w:ascii="宋体" w:hAnsi="宋体" w:cs="宋体"/>
          <w:color w:val="auto"/>
          <w:sz w:val="21"/>
          <w:szCs w:val="21"/>
          <w:highlight w:val="none"/>
        </w:rPr>
        <w:t>场签证确认的工程项目、原设计没有而由招标人批准设计变更产生的工程项目，视为新增项目，按以下顺序确定价格：</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bCs/>
          <w:color w:val="auto"/>
          <w:szCs w:val="21"/>
          <w:highlight w:val="none"/>
          <w:u w:val="single"/>
        </w:rPr>
        <w:t>工程项目实施期间和结算时，原设计没有而由招标人批准设计变更产生的工程项目，视为新增项目，增加或减少工程量确定价格办法详见施工合同。</w:t>
      </w:r>
    </w:p>
    <w:p>
      <w:pPr>
        <w:pBdr>
          <w:top w:val="single" w:color="auto" w:sz="4" w:space="0"/>
        </w:pBdr>
        <w:tabs>
          <w:tab w:val="left" w:pos="3119"/>
        </w:tabs>
        <w:spacing w:line="480" w:lineRule="atLeas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条款号：13.5.3            修改类型：修改</w:t>
      </w:r>
    </w:p>
    <w:p>
      <w:pPr>
        <w:pStyle w:val="35"/>
        <w:spacing w:after="0" w:line="480" w:lineRule="atLeast"/>
        <w:ind w:firstLine="422" w:firstLineChars="200"/>
        <w:rPr>
          <w:rFonts w:hint="eastAsia" w:ascii="宋体" w:hAnsi="宋体" w:cs="宋体"/>
          <w:bCs/>
          <w:color w:val="auto"/>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Cs/>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527" w:firstLineChars="250"/>
        <w:rPr>
          <w:rFonts w:hint="eastAsia"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13.5.3 </w:t>
      </w:r>
      <w:r>
        <w:rPr>
          <w:rFonts w:hint="eastAsia" w:ascii="宋体" w:hAnsi="宋体" w:cs="宋体"/>
          <w:bCs/>
          <w:color w:val="auto"/>
          <w:szCs w:val="21"/>
          <w:highlight w:val="none"/>
          <w:u w:val="single"/>
        </w:rPr>
        <w:t>中标的投标文件工程量清单中没有适用或类似的，则作为新增项目（是否为新增项目由评审单位确定），套用招标时期相应的定额，按清单方式计价，其综合单价依据广东省相关定额、广东省补充定额【定额使用的依次顺序为：① 本合同项目主体工程所属专业的定额、附属工程所属专业的定额；② 第①点所述定额中若个别分项项目没有定额可套用，则采用与该分项项目性质、功能、工艺相似或相近的其它定额换算】；定额采用招标时期行政主管部门颁发的定额及对应的工程计价办法计算确定。项目的人工、材料、机械台班价格按实际施工期间建设行政主管部门的有关规定及按广州市造价管理站同期《广州地区建设工程常用材料综合价格》执行，《广州地区建设工程常用材料综合价格》没有的材料单价，则参照广州市造价管理站同期《广州地区建设工程材料（设备）厂商价格信息》并进行市场询价；对《广州地区建设工程材料（设备）厂商价格信息》仍然没有的材料单价，由承包人提出适当的材料单价，经发包人和监理工程师确认后执行。管理费地区类别按一类地区计算，利润按人工费的18%计算，预算包干费按1%计算，税金按9%计算。对于新增项目</w:t>
      </w:r>
      <w:r>
        <w:rPr>
          <w:rFonts w:hint="eastAsia" w:ascii="宋体" w:hAnsi="宋体" w:cs="宋体"/>
          <w:bCs/>
          <w:color w:val="auto"/>
          <w:szCs w:val="21"/>
          <w:highlight w:val="none"/>
          <w:u w:val="single"/>
          <w:lang w:val="en-US" w:eastAsia="zh-CN"/>
        </w:rPr>
        <w:t>按合同约定为准</w:t>
      </w:r>
      <w:r>
        <w:rPr>
          <w:rFonts w:hint="eastAsia" w:ascii="宋体" w:hAnsi="宋体" w:cs="宋体"/>
          <w:bCs/>
          <w:color w:val="auto"/>
          <w:szCs w:val="21"/>
          <w:highlight w:val="none"/>
          <w:u w:val="singl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w:t>
      </w:r>
      <w:r>
        <w:rPr>
          <w:rFonts w:ascii="宋体" w:hAnsi="宋体" w:cs="宋体"/>
          <w:b/>
          <w:color w:val="auto"/>
          <w:szCs w:val="21"/>
          <w:highlight w:val="none"/>
        </w:rPr>
        <w:t>4</w:t>
      </w:r>
      <w:r>
        <w:rPr>
          <w:rFonts w:hint="eastAsia" w:ascii="宋体" w:hAnsi="宋体" w:cs="宋体"/>
          <w:b/>
          <w:color w:val="auto"/>
          <w:szCs w:val="21"/>
          <w:highlight w:val="none"/>
        </w:rPr>
        <w:t xml:space="preserve">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原文：16.4</w:t>
      </w:r>
      <w:r>
        <w:rPr>
          <w:rFonts w:hint="eastAsia" w:ascii="宋体" w:hAnsi="宋体"/>
          <w:color w:val="auto"/>
          <w:szCs w:val="21"/>
          <w:highlight w:val="none"/>
        </w:rPr>
        <w:t>如有下列情况之一的，招标人可以不予退还投标保证金（是否退还投标保证金由招标人在招标文件中规定）：</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pBdr>
          <w:bottom w:val="single" w:color="auto" w:sz="4" w:space="1"/>
        </w:pBdr>
        <w:spacing w:line="360" w:lineRule="auto"/>
        <w:ind w:firstLine="422" w:firstLineChars="200"/>
        <w:rPr>
          <w:rFonts w:ascii="宋体" w:hAnsi="宋体"/>
          <w:color w:val="auto"/>
          <w:szCs w:val="21"/>
          <w:highlight w:val="none"/>
          <w:u w:val="single"/>
        </w:rPr>
      </w:pPr>
      <w:r>
        <w:rPr>
          <w:rFonts w:hint="eastAsia" w:ascii="宋体" w:hAnsi="宋体" w:cs="宋体"/>
          <w:b/>
          <w:color w:val="auto"/>
          <w:szCs w:val="21"/>
          <w:highlight w:val="none"/>
        </w:rPr>
        <w:t>现文：16.4</w:t>
      </w:r>
      <w:r>
        <w:rPr>
          <w:rFonts w:hint="eastAsia" w:ascii="宋体" w:hAnsi="宋体"/>
          <w:color w:val="auto"/>
          <w:szCs w:val="21"/>
          <w:highlight w:val="none"/>
        </w:rPr>
        <w:t>如有下列情况之一的，</w:t>
      </w:r>
      <w:r>
        <w:rPr>
          <w:rFonts w:hint="eastAsia" w:ascii="宋体" w:hAnsi="宋体"/>
          <w:color w:val="auto"/>
          <w:szCs w:val="21"/>
          <w:highlight w:val="none"/>
          <w:u w:val="single"/>
        </w:rPr>
        <w:t>招标人将不予退还投标保证金：</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w:t>
      </w:r>
      <w:r>
        <w:rPr>
          <w:rFonts w:ascii="宋体" w:hAnsi="宋体" w:cs="宋体"/>
          <w:b/>
          <w:color w:val="auto"/>
          <w:szCs w:val="21"/>
          <w:highlight w:val="none"/>
        </w:rPr>
        <w:t>5</w:t>
      </w:r>
      <w:r>
        <w:rPr>
          <w:rFonts w:hint="eastAsia" w:ascii="宋体" w:hAnsi="宋体" w:cs="宋体"/>
          <w:b/>
          <w:color w:val="auto"/>
          <w:szCs w:val="21"/>
          <w:highlight w:val="none"/>
        </w:rPr>
        <w:t xml:space="preserve">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360" w:lineRule="auto"/>
        <w:ind w:firstLine="470" w:firstLineChars="224"/>
        <w:rPr>
          <w:rFonts w:ascii="宋体" w:hAnsi="宋体" w:cs="宋体"/>
          <w:bCs/>
          <w:color w:val="auto"/>
          <w:szCs w:val="21"/>
          <w:highlight w:val="none"/>
        </w:rPr>
      </w:pPr>
      <w:r>
        <w:rPr>
          <w:rFonts w:hint="eastAsia" w:ascii="宋体" w:hAnsi="宋体" w:cs="宋体"/>
          <w:color w:val="auto"/>
          <w:szCs w:val="21"/>
          <w:highlight w:val="none"/>
        </w:rPr>
        <w:t>注：16.5.3款由招标人二选一，需在招标文件中明确。</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现文：16.5</w:t>
      </w:r>
      <w:r>
        <w:rPr>
          <w:rFonts w:hint="eastAsia" w:ascii="宋体" w:hAnsi="宋体" w:cs="宋体"/>
          <w:color w:val="auto"/>
          <w:szCs w:val="21"/>
          <w:highlight w:val="none"/>
        </w:rPr>
        <w:t>投标人如存在下列情况之一的，将被拒绝</w:t>
      </w:r>
      <w:r>
        <w:rPr>
          <w:rFonts w:hint="eastAsia" w:ascii="宋体" w:hAnsi="宋体" w:cs="宋体"/>
          <w:color w:val="auto"/>
          <w:szCs w:val="21"/>
          <w:highlight w:val="none"/>
          <w:u w:val="single"/>
        </w:rPr>
        <w:t>一年内</w:t>
      </w:r>
      <w:r>
        <w:rPr>
          <w:rFonts w:hint="eastAsia" w:ascii="宋体" w:hAnsi="宋体" w:cs="宋体"/>
          <w:color w:val="auto"/>
          <w:szCs w:val="21"/>
          <w:highlight w:val="none"/>
        </w:rPr>
        <w:t>参与招标人后续工程投标：</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 。</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Cs w:val="21"/>
          <w:highlight w:val="none"/>
          <w:u w:val="single"/>
        </w:rPr>
        <w:t>广州公共资源交易中心，首页→服务指南→办事指引→建设工程《房屋建筑和市政基础设施工程全流程电子化项目专章》</w:t>
      </w:r>
      <w:r>
        <w:rPr>
          <w:rFonts w:hint="eastAsia" w:ascii="宋体" w:hAnsi="宋体" w:cs="宋体"/>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 。</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广州公共资源交易中心，首页→服务指南→办事指引→建设工程《房屋建筑和市政基础设施工程全流程电子化项目专章》</w:t>
      </w:r>
      <w:r>
        <w:rPr>
          <w:rFonts w:hint="eastAsia" w:ascii="宋体" w:hAnsi="宋体" w:cs="宋体"/>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18.2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条款号：19.1  19.2  19.3              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19.1投标人通过</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rPr>
        <w:t>交易平台将予以拒收。</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条款号：19.5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条款号：19.6             修改类型：删除</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Bdr>
          <w:bottom w:val="single" w:color="auto" w:sz="6" w:space="1"/>
        </w:pBdr>
        <w:spacing w:line="360" w:lineRule="auto"/>
        <w:ind w:firstLine="525" w:firstLineChars="250"/>
        <w:rPr>
          <w:rFonts w:ascii="宋体" w:hAnsi="宋体" w:cs="宋体"/>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 到投标截止时间止，招标人收到的投标文件少于3家的，招标人将重新组织招标。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72" w:firstLineChars="224"/>
        <w:contextualSpacing/>
        <w:rPr>
          <w:rFonts w:ascii="宋体" w:hAnsi="宋体" w:cs="宋体"/>
          <w:b/>
          <w:color w:val="auto"/>
          <w:szCs w:val="21"/>
          <w:highlight w:val="none"/>
        </w:rPr>
      </w:pPr>
      <w:r>
        <w:rPr>
          <w:rFonts w:hint="eastAsia" w:ascii="宋体" w:hAnsi="宋体" w:cs="宋体"/>
          <w:b/>
          <w:color w:val="auto"/>
          <w:szCs w:val="21"/>
          <w:highlight w:val="none"/>
        </w:rPr>
        <w:t>原文：27.1</w:t>
      </w:r>
      <w:r>
        <w:rPr>
          <w:rFonts w:hint="eastAsia" w:ascii="宋体" w:hAnsi="宋体" w:cs="宋体"/>
          <w:bCs/>
          <w:color w:val="auto"/>
          <w:szCs w:val="21"/>
          <w:highlight w:val="none"/>
        </w:rPr>
        <w:t>招标人将在交易平台、广东省招标投标监管网和中国招标投标公共服务平台公示中标候选人，公示期为三天。</w:t>
      </w:r>
      <w:r>
        <w:rPr>
          <w:rFonts w:hint="eastAsia" w:ascii="宋体" w:hAnsi="宋体" w:cs="宋体"/>
          <w:bCs/>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现文：27.1</w:t>
      </w:r>
      <w:r>
        <w:rPr>
          <w:rFonts w:hint="eastAsia" w:ascii="宋体" w:hAnsi="宋体" w:cs="宋体"/>
          <w:bCs/>
          <w:color w:val="auto"/>
          <w:szCs w:val="21"/>
          <w:highlight w:val="none"/>
        </w:rPr>
        <w:t>招标人将在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交易平台、广东省招标投标监管网和中国招标投标公共服务平台公示中标候选人，公示期为三天。</w:t>
      </w:r>
      <w:r>
        <w:rPr>
          <w:rFonts w:hint="eastAsia" w:ascii="宋体" w:hAnsi="宋体" w:cs="宋体"/>
          <w:bCs/>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在产生中标候选人后，招标人将中标候选人的投标文件商务部分文件的所有内容（包括人员、业绩、奖项等资料）在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交易平台和广东省招标投标监管网公开。</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2"/>
        <w:rPr>
          <w:color w:val="auto"/>
          <w:highlight w:val="none"/>
        </w:rPr>
      </w:pPr>
      <w:r>
        <w:rPr>
          <w:color w:val="auto"/>
          <w:highlight w:val="none"/>
        </w:rPr>
        <w:br w:type="page"/>
      </w:r>
      <w:bookmarkStart w:id="6" w:name="_Toc2272548"/>
      <w:bookmarkStart w:id="7" w:name="_Toc21525492"/>
      <w:r>
        <w:rPr>
          <w:rFonts w:hint="eastAsia"/>
          <w:color w:val="auto"/>
          <w:highlight w:val="none"/>
        </w:rPr>
        <w:t>三、投标须知通用条款</w:t>
      </w:r>
      <w:bookmarkEnd w:id="6"/>
      <w:bookmarkEnd w:id="7"/>
    </w:p>
    <w:p>
      <w:pPr>
        <w:pStyle w:val="4"/>
        <w:spacing w:before="156" w:after="156"/>
        <w:rPr>
          <w:color w:val="auto"/>
          <w:highlight w:val="none"/>
        </w:rPr>
      </w:pPr>
      <w:bookmarkStart w:id="8" w:name="_Toc2272549"/>
      <w:bookmarkStart w:id="9" w:name="_Toc21525493"/>
      <w:r>
        <w:rPr>
          <w:rFonts w:hint="eastAsia"/>
          <w:color w:val="auto"/>
          <w:highlight w:val="none"/>
        </w:rPr>
        <w:t>（一）总则</w:t>
      </w:r>
      <w:bookmarkEnd w:id="8"/>
      <w:bookmarkEnd w:id="9"/>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3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3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3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3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w:t>
      </w:r>
      <w:r>
        <w:rPr>
          <w:rFonts w:hint="eastAsia" w:ascii="宋体" w:hAnsi="宋体"/>
          <w:strike w:val="0"/>
          <w:color w:val="auto"/>
          <w:sz w:val="24"/>
          <w:highlight w:val="none"/>
        </w:rPr>
        <w:t>会会议</w:t>
      </w:r>
      <w:r>
        <w:rPr>
          <w:rFonts w:hint="eastAsia" w:ascii="宋体" w:hAnsi="宋体"/>
          <w:color w:val="auto"/>
          <w:sz w:val="24"/>
          <w:highlight w:val="none"/>
        </w:rPr>
        <w:t>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5.1</w:t>
      </w:r>
      <w:r>
        <w:rPr>
          <w:rFonts w:hint="eastAsia" w:ascii="宋体" w:hAnsi="宋体" w:cs="宋体"/>
          <w:bCs/>
          <w:color w:val="auto"/>
          <w:sz w:val="24"/>
          <w:szCs w:val="24"/>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Cs/>
          <w:color w:val="auto"/>
          <w:sz w:val="24"/>
          <w:szCs w:val="24"/>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4"/>
        <w:spacing w:before="156" w:after="156"/>
        <w:rPr>
          <w:color w:val="auto"/>
          <w:highlight w:val="none"/>
        </w:rPr>
      </w:pPr>
      <w:bookmarkStart w:id="10" w:name="_Toc2272550"/>
      <w:bookmarkStart w:id="11" w:name="_Toc21525494"/>
      <w:r>
        <w:rPr>
          <w:rFonts w:hint="eastAsia"/>
          <w:color w:val="auto"/>
          <w:highlight w:val="none"/>
        </w:rPr>
        <w:t>（二）招标文件</w:t>
      </w:r>
      <w:bookmarkEnd w:id="10"/>
      <w:bookmarkEnd w:id="11"/>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w:t>
      </w:r>
      <w:r>
        <w:rPr>
          <w:rFonts w:hint="eastAsia" w:ascii="宋体" w:hAnsi="宋体"/>
          <w:color w:val="auto"/>
          <w:sz w:val="24"/>
          <w:highlight w:val="none"/>
          <w:u w:val="single"/>
        </w:rPr>
        <w:t>答疑纪要</w:t>
      </w:r>
      <w:r>
        <w:rPr>
          <w:rFonts w:hint="eastAsia" w:ascii="宋体" w:hAnsi="宋体"/>
          <w:color w:val="auto"/>
          <w:sz w:val="24"/>
          <w:highlight w:val="none"/>
        </w:rPr>
        <w:t>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hint="eastAsia" w:ascii="宋体" w:hAnsi="宋体"/>
          <w:color w:val="auto"/>
          <w:sz w:val="24"/>
          <w:highlight w:val="none"/>
        </w:rPr>
        <w:t>投标须知</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hint="eastAsia" w:ascii="宋体" w:hAnsi="宋体"/>
          <w:color w:val="auto"/>
          <w:sz w:val="24"/>
          <w:highlight w:val="none"/>
        </w:rPr>
        <w:t>开标、评标及定标办法</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第三章合同条款</w:t>
      </w:r>
    </w:p>
    <w:p>
      <w:pPr>
        <w:pStyle w:val="3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hint="eastAsia" w:ascii="宋体" w:hAnsi="宋体"/>
          <w:color w:val="auto"/>
          <w:sz w:val="24"/>
          <w:highlight w:val="none"/>
        </w:rPr>
        <w:t>投标文件格式</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hint="eastAsia" w:ascii="宋体" w:hAnsi="宋体"/>
          <w:color w:val="auto"/>
          <w:sz w:val="24"/>
          <w:highlight w:val="none"/>
        </w:rPr>
        <w:t>技术条件（工程建设标准）（另册）</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hint="eastAsia" w:ascii="宋体" w:hAnsi="宋体"/>
          <w:color w:val="auto"/>
          <w:sz w:val="24"/>
          <w:highlight w:val="none"/>
        </w:rPr>
        <w:t>图纸及勘察资料（另册）</w:t>
      </w:r>
    </w:p>
    <w:p>
      <w:pPr>
        <w:pStyle w:val="3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第七章招标</w:t>
      </w:r>
      <w:r>
        <w:rPr>
          <w:rFonts w:hint="eastAsia" w:ascii="宋体" w:hAnsi="宋体"/>
          <w:color w:val="auto"/>
          <w:sz w:val="24"/>
          <w:highlight w:val="none"/>
        </w:rPr>
        <w:t>工程量清单（另册）</w:t>
      </w:r>
    </w:p>
    <w:p>
      <w:pPr>
        <w:pStyle w:val="35"/>
        <w:spacing w:after="0" w:line="360" w:lineRule="auto"/>
        <w:ind w:left="-2" w:firstLine="480" w:firstLineChars="200"/>
        <w:rPr>
          <w:rFonts w:hint="eastAsia" w:ascii="宋体" w:hAnsi="宋体"/>
          <w:color w:val="auto"/>
          <w:sz w:val="24"/>
          <w:highlight w:val="none"/>
        </w:rPr>
      </w:pPr>
      <w:r>
        <w:rPr>
          <w:rFonts w:hint="eastAsia" w:ascii="宋体" w:hAnsi="宋体"/>
          <w:color w:val="auto"/>
          <w:sz w:val="24"/>
          <w:highlight w:val="none"/>
        </w:rPr>
        <w:t>第八章最高投标限价</w:t>
      </w:r>
    </w:p>
    <w:p>
      <w:pPr>
        <w:pStyle w:val="35"/>
        <w:spacing w:after="0" w:line="360" w:lineRule="auto"/>
        <w:ind w:left="-2" w:firstLine="442" w:firstLineChars="200"/>
        <w:rPr>
          <w:rFonts w:ascii="宋体"/>
          <w:color w:val="auto"/>
          <w:sz w:val="24"/>
          <w:highlight w:val="none"/>
        </w:rPr>
      </w:pPr>
      <w:r>
        <w:rPr>
          <w:rFonts w:hint="eastAsia" w:ascii="仿宋" w:hAnsi="仿宋" w:eastAsia="仿宋" w:cs="宋体"/>
          <w:b/>
          <w:bCs/>
          <w:color w:val="auto"/>
          <w:kern w:val="0"/>
          <w:sz w:val="22"/>
          <w:highlight w:val="none"/>
        </w:rPr>
        <w:t>注</w:t>
      </w:r>
      <w:r>
        <w:rPr>
          <w:rFonts w:ascii="仿宋" w:hAnsi="仿宋" w:eastAsia="仿宋" w:cs="宋体"/>
          <w:b/>
          <w:bCs/>
          <w:color w:val="auto"/>
          <w:kern w:val="0"/>
          <w:sz w:val="22"/>
          <w:highlight w:val="none"/>
        </w:rPr>
        <w:t>：招标人应在</w:t>
      </w:r>
      <w:r>
        <w:rPr>
          <w:rFonts w:hint="eastAsia" w:ascii="仿宋" w:hAnsi="仿宋" w:eastAsia="仿宋" w:cs="宋体"/>
          <w:b/>
          <w:bCs/>
          <w:color w:val="auto"/>
          <w:kern w:val="0"/>
          <w:sz w:val="22"/>
          <w:highlight w:val="none"/>
        </w:rPr>
        <w:t>技术条件（工程建设标准）中</w:t>
      </w:r>
      <w:r>
        <w:rPr>
          <w:rFonts w:ascii="仿宋" w:hAnsi="仿宋" w:eastAsia="仿宋" w:cs="宋体"/>
          <w:b/>
          <w:bCs/>
          <w:color w:val="auto"/>
          <w:kern w:val="0"/>
          <w:sz w:val="22"/>
          <w:highlight w:val="none"/>
        </w:rPr>
        <w:t>明确</w:t>
      </w:r>
      <w:r>
        <w:rPr>
          <w:rFonts w:hint="eastAsia" w:ascii="仿宋" w:hAnsi="仿宋" w:eastAsia="仿宋" w:cs="宋体"/>
          <w:b/>
          <w:bCs/>
          <w:color w:val="auto"/>
          <w:kern w:val="0"/>
          <w:sz w:val="22"/>
          <w:highlight w:val="none"/>
        </w:rPr>
        <w:t>施工现场建筑垃圾源头减量的具体要求和建筑垃圾综合利用产品的使用要求。</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s="宋体"/>
          <w:bCs/>
          <w:color w:val="auto"/>
          <w:sz w:val="24"/>
          <w:szCs w:val="24"/>
          <w:highlight w:val="none"/>
          <w:u w:val="single"/>
        </w:rPr>
        <w:t>招标答疑采用网上答疑方式进行。投标人若对招标文件（包括招标图纸、工程量清单、招标控制价、合同条款）有疑问的，可在规定的时间内通过广州公共资源交易中心网站进入提问区域将问题提交给招标人或招标代理人，提交问题时一律不得署名。</w:t>
      </w:r>
      <w:r>
        <w:rPr>
          <w:rFonts w:hint="eastAsia" w:ascii="宋体" w:hAnsi="宋体"/>
          <w:color w:val="auto"/>
          <w:sz w:val="24"/>
          <w:szCs w:val="24"/>
          <w:highlight w:val="none"/>
          <w:u w:val="single"/>
        </w:rPr>
        <w:t>网上答疑的操作指南为：登陆广州公共资源交易中心网站→进入“项目招标答疑”专区→通过项目编号或名称找到所需的项目→在上述的答疑时间内点击“提问”→提出问题以及查看所有的问题</w:t>
      </w:r>
      <w:r>
        <w:rPr>
          <w:rFonts w:hint="eastAsia" w:ascii="宋体" w:hAnsi="宋体" w:cs="宋体"/>
          <w:bCs/>
          <w:color w:val="auto"/>
          <w:sz w:val="24"/>
          <w:szCs w:val="24"/>
          <w:highlight w:val="none"/>
          <w:u w:val="singl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hAnsi="宋体" w:cs="宋体"/>
          <w:bCs/>
          <w:color w:val="auto"/>
          <w:sz w:val="24"/>
          <w:szCs w:val="24"/>
          <w:highlight w:val="none"/>
        </w:rPr>
        <w:t>招标</w:t>
      </w:r>
      <w:r>
        <w:rPr>
          <w:rFonts w:hint="eastAsia" w:ascii="宋体" w:hAnsi="宋体" w:cs="宋体"/>
          <w:bCs/>
          <w:color w:val="auto"/>
          <w:sz w:val="24"/>
          <w:szCs w:val="24"/>
          <w:highlight w:val="none"/>
          <w:u w:val="single"/>
        </w:rPr>
        <w:t>答疑纪要</w:t>
      </w:r>
      <w:r>
        <w:rPr>
          <w:rFonts w:hint="eastAsia" w:ascii="宋体" w:hAnsi="宋体" w:cs="宋体"/>
          <w:bCs/>
          <w:color w:val="auto"/>
          <w:sz w:val="24"/>
          <w:szCs w:val="24"/>
          <w:highlight w:val="none"/>
        </w:rPr>
        <w:t>将在提交投标文件截止时间15日前在</w:t>
      </w:r>
      <w:r>
        <w:rPr>
          <w:rFonts w:hint="eastAsia" w:ascii="宋体" w:hAnsi="宋体" w:cs="宋体"/>
          <w:bCs/>
          <w:color w:val="auto"/>
          <w:sz w:val="24"/>
          <w:szCs w:val="24"/>
          <w:highlight w:val="none"/>
          <w:u w:val="single"/>
        </w:rPr>
        <w:t>广州公共资源交易中心</w:t>
      </w:r>
      <w:r>
        <w:rPr>
          <w:rFonts w:hint="eastAsia" w:ascii="宋体" w:hAnsi="宋体" w:cs="宋体"/>
          <w:bCs/>
          <w:color w:val="auto"/>
          <w:sz w:val="24"/>
          <w:szCs w:val="24"/>
          <w:highlight w:val="none"/>
        </w:rPr>
        <w:t>交易平台</w:t>
      </w:r>
      <w:r>
        <w:rPr>
          <w:rFonts w:hint="eastAsia" w:ascii="宋体" w:hAnsi="宋体" w:cs="宋体"/>
          <w:bCs/>
          <w:color w:val="auto"/>
          <w:sz w:val="24"/>
          <w:szCs w:val="24"/>
          <w:highlight w:val="none"/>
          <w:u w:val="single"/>
        </w:rPr>
        <w:t>“建设工程-项目查询（日程安排、答疑纪要）”</w:t>
      </w:r>
      <w:r>
        <w:rPr>
          <w:rFonts w:hint="eastAsia" w:ascii="宋体" w:hAnsi="宋体" w:cs="宋体"/>
          <w:bCs/>
          <w:color w:val="auto"/>
          <w:sz w:val="24"/>
          <w:szCs w:val="24"/>
          <w:highlight w:val="none"/>
        </w:rPr>
        <w:t>公开发布。答疑纪要一经在</w:t>
      </w:r>
      <w:r>
        <w:rPr>
          <w:rFonts w:hint="eastAsia" w:ascii="宋体" w:hAnsi="宋体" w:cs="宋体"/>
          <w:bCs/>
          <w:color w:val="auto"/>
          <w:sz w:val="24"/>
          <w:szCs w:val="24"/>
          <w:highlight w:val="none"/>
          <w:u w:val="single"/>
        </w:rPr>
        <w:t>广州公共资源交易中心</w:t>
      </w:r>
      <w:r>
        <w:rPr>
          <w:rFonts w:hint="eastAsia" w:ascii="宋体" w:hAnsi="宋体" w:cs="宋体"/>
          <w:bCs/>
          <w:color w:val="auto"/>
          <w:sz w:val="24"/>
          <w:szCs w:val="24"/>
          <w:highlight w:val="none"/>
        </w:rPr>
        <w:t>交易平台发布，视作已发放给所有投标人。</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lang w:val="en-US" w:eastAsia="zh-CN"/>
        </w:rPr>
        <w:t>招标</w:t>
      </w:r>
      <w:r>
        <w:rPr>
          <w:rFonts w:hint="eastAsia" w:ascii="宋体" w:hAnsi="宋体" w:cs="Times New Roman"/>
          <w:color w:val="auto"/>
          <w:sz w:val="24"/>
          <w:szCs w:val="20"/>
          <w:highlight w:val="none"/>
          <w:u w:val="single"/>
        </w:rPr>
        <w:t>答疑</w:t>
      </w:r>
      <w:r>
        <w:rPr>
          <w:rFonts w:hint="eastAsia" w:ascii="宋体" w:hAnsi="宋体"/>
          <w:color w:val="auto"/>
          <w:sz w:val="24"/>
          <w:highlight w:val="none"/>
        </w:rPr>
        <w:t>纪要为招标文件的一部分。</w:t>
      </w:r>
    </w:p>
    <w:p>
      <w:pPr>
        <w:pStyle w:val="35"/>
        <w:spacing w:after="0" w:line="360" w:lineRule="auto"/>
        <w:ind w:firstLine="480" w:firstLineChars="200"/>
        <w:rPr>
          <w:rFonts w:ascii="宋体"/>
          <w:color w:val="auto"/>
          <w:sz w:val="24"/>
          <w:szCs w:val="24"/>
          <w:highlight w:val="none"/>
        </w:rPr>
      </w:pPr>
      <w:r>
        <w:rPr>
          <w:rFonts w:ascii="宋体" w:hAnsi="宋体"/>
          <w:color w:val="auto"/>
          <w:sz w:val="24"/>
          <w:highlight w:val="none"/>
        </w:rPr>
        <w:t>8.4</w:t>
      </w:r>
      <w:r>
        <w:rPr>
          <w:rFonts w:hint="eastAsia" w:ascii="宋体" w:hAnsi="宋体"/>
          <w:color w:val="auto"/>
          <w:sz w:val="24"/>
          <w:highlight w:val="none"/>
        </w:rPr>
        <w:t>若招</w:t>
      </w:r>
      <w:r>
        <w:rPr>
          <w:rFonts w:hint="eastAsia" w:ascii="宋体" w:hAnsi="宋体"/>
          <w:color w:val="auto"/>
          <w:sz w:val="24"/>
          <w:highlight w:val="none"/>
          <w:u w:val="none"/>
        </w:rPr>
        <w:t>标</w:t>
      </w:r>
      <w:r>
        <w:rPr>
          <w:rFonts w:hint="eastAsia" w:ascii="宋体" w:hAnsi="宋体" w:cs="Times New Roman"/>
          <w:color w:val="auto"/>
          <w:sz w:val="24"/>
          <w:szCs w:val="20"/>
          <w:highlight w:val="none"/>
          <w:u w:val="none"/>
        </w:rPr>
        <w:t>答疑</w:t>
      </w:r>
      <w:r>
        <w:rPr>
          <w:rFonts w:hint="eastAsia" w:ascii="宋体" w:hAnsi="宋体"/>
          <w:color w:val="auto"/>
          <w:sz w:val="24"/>
          <w:highlight w:val="none"/>
          <w:u w:val="none"/>
        </w:rPr>
        <w:t>纪</w:t>
      </w:r>
      <w:r>
        <w:rPr>
          <w:rFonts w:hint="eastAsia" w:ascii="宋体" w:hAnsi="宋体"/>
          <w:color w:val="auto"/>
          <w:sz w:val="24"/>
          <w:highlight w:val="none"/>
        </w:rPr>
        <w:t>要与招标文件有矛盾，以</w:t>
      </w:r>
      <w:r>
        <w:rPr>
          <w:rFonts w:hint="eastAsia" w:ascii="宋体" w:hAnsi="宋体" w:cs="宋体"/>
          <w:color w:val="auto"/>
          <w:sz w:val="24"/>
          <w:szCs w:val="24"/>
          <w:highlight w:val="none"/>
          <w:u w:val="single"/>
        </w:rPr>
        <w:t>广州公共资源交易中心交易平台最后发布的答疑纪要为准</w:t>
      </w:r>
      <w:r>
        <w:rPr>
          <w:rFonts w:hint="eastAsia" w:ascii="宋体" w:hAnsi="宋体"/>
          <w:color w:val="auto"/>
          <w:sz w:val="24"/>
          <w:szCs w:val="24"/>
          <w:highlight w:val="none"/>
        </w:rPr>
        <w:t>。</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35"/>
        <w:spacing w:after="0" w:line="360" w:lineRule="auto"/>
        <w:ind w:firstLine="480" w:firstLineChars="200"/>
        <w:rPr>
          <w:rFonts w:hint="eastAsia" w:ascii="宋体" w:hAnsi="宋体" w:cs="宋体"/>
          <w:color w:val="auto"/>
          <w:sz w:val="24"/>
          <w:szCs w:val="24"/>
          <w:highlight w:val="none"/>
        </w:rPr>
      </w:pPr>
      <w:r>
        <w:rPr>
          <w:rFonts w:ascii="宋体" w:hAnsi="宋体"/>
          <w:color w:val="auto"/>
          <w:sz w:val="24"/>
          <w:highlight w:val="none"/>
        </w:rPr>
        <w:t>9.2</w:t>
      </w:r>
      <w:r>
        <w:rPr>
          <w:rFonts w:hint="eastAsia" w:ascii="宋体" w:hAnsi="宋体" w:cs="宋体"/>
          <w:color w:val="auto"/>
          <w:sz w:val="24"/>
          <w:szCs w:val="24"/>
          <w:highlight w:val="none"/>
        </w:rPr>
        <w:t>招标文件的澄清或修改将在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u w:val="single"/>
        </w:rPr>
        <w:t>“建设工程-项目查询（日程安排、答疑纪要）”</w:t>
      </w:r>
      <w:r>
        <w:rPr>
          <w:rFonts w:hint="eastAsia" w:ascii="宋体" w:hAnsi="宋体" w:cs="宋体"/>
          <w:color w:val="auto"/>
          <w:sz w:val="24"/>
          <w:szCs w:val="24"/>
          <w:highlight w:val="none"/>
        </w:rPr>
        <w:t>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交易平台上网发布时间作为送达时间。</w:t>
      </w:r>
    </w:p>
    <w:p>
      <w:pPr>
        <w:pStyle w:val="35"/>
        <w:spacing w:after="0"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招标文件的</w:t>
      </w:r>
      <w:r>
        <w:rPr>
          <w:rFonts w:hint="eastAsia" w:ascii="宋体" w:hAnsi="宋体" w:cs="Times New Roman"/>
          <w:color w:val="auto"/>
          <w:sz w:val="24"/>
          <w:szCs w:val="24"/>
          <w:highlight w:val="none"/>
          <w:u w:val="none"/>
          <w:shd w:val="clear"/>
        </w:rPr>
        <w:t>澄清及修改，补充内容</w:t>
      </w:r>
      <w:r>
        <w:rPr>
          <w:rFonts w:hint="eastAsia" w:ascii="宋体" w:hAnsi="宋体"/>
          <w:color w:val="auto"/>
          <w:sz w:val="24"/>
          <w:szCs w:val="24"/>
          <w:highlight w:val="none"/>
        </w:rPr>
        <w:t>为招标文件的组成部分。</w:t>
      </w:r>
    </w:p>
    <w:p>
      <w:pPr>
        <w:pStyle w:val="35"/>
        <w:spacing w:after="0" w:line="360" w:lineRule="auto"/>
        <w:ind w:firstLine="480" w:firstLineChars="200"/>
        <w:rPr>
          <w:rFonts w:ascii="宋体"/>
          <w:color w:val="auto"/>
          <w:sz w:val="24"/>
          <w:highlight w:val="none"/>
        </w:rPr>
      </w:pPr>
      <w:r>
        <w:rPr>
          <w:rFonts w:hint="eastAsia" w:ascii="宋体" w:hAnsi="宋体"/>
          <w:color w:val="auto"/>
          <w:sz w:val="24"/>
          <w:szCs w:val="24"/>
          <w:highlight w:val="none"/>
        </w:rPr>
        <w:t>9.4</w:t>
      </w:r>
      <w:r>
        <w:rPr>
          <w:rFonts w:hint="eastAsia" w:ascii="宋体" w:hAnsi="宋体" w:cs="Times New Roman"/>
          <w:color w:val="auto"/>
          <w:sz w:val="24"/>
          <w:szCs w:val="24"/>
          <w:highlight w:val="none"/>
        </w:rPr>
        <w:t>招标文件的澄清或修改以</w:t>
      </w:r>
      <w:r>
        <w:rPr>
          <w:rFonts w:hint="eastAsia" w:ascii="宋体" w:hAnsi="宋体" w:cs="Times New Roman"/>
          <w:color w:val="auto"/>
          <w:sz w:val="24"/>
          <w:szCs w:val="24"/>
          <w:highlight w:val="none"/>
          <w:u w:val="none"/>
        </w:rPr>
        <w:t>广州公共资</w:t>
      </w:r>
      <w:r>
        <w:rPr>
          <w:rFonts w:hint="eastAsia" w:ascii="宋体" w:hAnsi="宋体" w:cs="宋体"/>
          <w:color w:val="auto"/>
          <w:sz w:val="24"/>
          <w:szCs w:val="24"/>
          <w:highlight w:val="none"/>
          <w:u w:val="single"/>
        </w:rPr>
        <w:t>源交易中心交易平台最后发布的答疑纪要为准。</w:t>
      </w:r>
      <w:r>
        <w:rPr>
          <w:rFonts w:hint="eastAsia" w:ascii="宋体" w:hAnsi="宋体" w:cs="宋体"/>
          <w:color w:val="auto"/>
          <w:sz w:val="24"/>
          <w:szCs w:val="24"/>
          <w:highlight w:val="none"/>
        </w:rPr>
        <w:t>当招标文件的澄清、修改、补充等在同一内容的表述不一致时，以最后发出的文件为准。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4"/>
        <w:spacing w:before="156" w:after="156"/>
        <w:rPr>
          <w:color w:val="auto"/>
          <w:highlight w:val="none"/>
        </w:rPr>
      </w:pPr>
      <w:bookmarkStart w:id="12" w:name="_Toc2272551"/>
      <w:bookmarkStart w:id="13" w:name="_Toc21525495"/>
      <w:r>
        <w:rPr>
          <w:rFonts w:hint="eastAsia"/>
          <w:color w:val="auto"/>
          <w:highlight w:val="none"/>
        </w:rPr>
        <w:t>（三）投标文件的编制</w:t>
      </w:r>
      <w:bookmarkEnd w:id="12"/>
      <w:bookmarkEnd w:id="13"/>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35"/>
        <w:spacing w:after="0" w:line="360" w:lineRule="auto"/>
        <w:ind w:firstLine="480" w:firstLineChars="200"/>
        <w:rPr>
          <w:rFonts w:ascii="宋体"/>
          <w:b/>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投标文件由技术部分（含资格审查文件）和经济部分二部分投标文件组成</w:t>
      </w:r>
      <w:r>
        <w:rPr>
          <w:rFonts w:hint="eastAsia" w:ascii="宋体" w:hAnsi="宋体"/>
          <w:b/>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11.2.2 资格审查文件：</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（1）投标人声明</w:t>
      </w:r>
      <w:r>
        <w:rPr>
          <w:rFonts w:hint="eastAsia" w:ascii="宋体"/>
          <w:bCs/>
          <w:color w:val="auto"/>
          <w:sz w:val="24"/>
          <w:szCs w:val="24"/>
          <w:highlight w:val="none"/>
          <w:u w:val="single"/>
        </w:rPr>
        <w:t>（按招标公告附件一格式填写）</w:t>
      </w:r>
      <w:r>
        <w:rPr>
          <w:rFonts w:hint="eastAsia"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（2）法定代表人证明书、法定代表人签字或盖章的本投标文件授权委托证明书；</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（3）企业营业执照（</w:t>
      </w:r>
      <w:r>
        <w:rPr>
          <w:rFonts w:hint="eastAsia" w:ascii="宋体"/>
          <w:bCs/>
          <w:color w:val="auto"/>
          <w:sz w:val="24"/>
          <w:szCs w:val="24"/>
          <w:highlight w:val="none"/>
        </w:rPr>
        <w:t>取自</w:t>
      </w:r>
      <w:r>
        <w:rPr>
          <w:rFonts w:hint="eastAsia" w:ascii="宋体" w:hAnsi="宋体" w:cs="宋体"/>
          <w:color w:val="auto"/>
          <w:sz w:val="24"/>
          <w:szCs w:val="24"/>
          <w:highlight w:val="none"/>
          <w:lang w:eastAsia="zh-CN"/>
        </w:rPr>
        <w:t>平台</w:t>
      </w:r>
      <w:r>
        <w:rPr>
          <w:rFonts w:hint="eastAsia" w:ascii="宋体"/>
          <w:bCs/>
          <w:color w:val="auto"/>
          <w:sz w:val="24"/>
          <w:szCs w:val="24"/>
          <w:highlight w:val="none"/>
        </w:rPr>
        <w:t>内上传件</w:t>
      </w:r>
      <w:r>
        <w:rPr>
          <w:rFonts w:hint="eastAsia" w:ascii="宋体" w:hAnsi="宋体" w:cs="宋体"/>
          <w:bCs/>
          <w:color w:val="auto"/>
          <w:sz w:val="24"/>
          <w:szCs w:val="24"/>
          <w:highlight w:val="none"/>
        </w:rPr>
        <w:t>）；</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（4）企业资质证书（</w:t>
      </w:r>
      <w:r>
        <w:rPr>
          <w:rFonts w:hint="eastAsia" w:ascii="宋体"/>
          <w:bCs/>
          <w:color w:val="auto"/>
          <w:sz w:val="24"/>
          <w:szCs w:val="24"/>
          <w:highlight w:val="none"/>
        </w:rPr>
        <w:t>取自</w:t>
      </w:r>
      <w:r>
        <w:rPr>
          <w:rFonts w:hint="eastAsia" w:ascii="宋体" w:hAnsi="宋体" w:cs="宋体"/>
          <w:color w:val="auto"/>
          <w:sz w:val="24"/>
          <w:szCs w:val="24"/>
          <w:highlight w:val="none"/>
          <w:lang w:eastAsia="zh-CN"/>
        </w:rPr>
        <w:t>平台</w:t>
      </w:r>
      <w:r>
        <w:rPr>
          <w:rFonts w:hint="eastAsia" w:ascii="宋体"/>
          <w:bCs/>
          <w:color w:val="auto"/>
          <w:sz w:val="24"/>
          <w:szCs w:val="24"/>
          <w:highlight w:val="none"/>
        </w:rPr>
        <w:t>内上传件</w:t>
      </w:r>
      <w:r>
        <w:rPr>
          <w:rFonts w:hint="eastAsia" w:ascii="宋体" w:hAnsi="宋体" w:cs="宋体"/>
          <w:bCs/>
          <w:color w:val="auto"/>
          <w:sz w:val="24"/>
          <w:szCs w:val="24"/>
          <w:highlight w:val="none"/>
        </w:rPr>
        <w:t>）；</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（5）建筑施工企业安全生产许可证（</w:t>
      </w:r>
      <w:r>
        <w:rPr>
          <w:rFonts w:hint="eastAsia" w:ascii="宋体"/>
          <w:bCs/>
          <w:color w:val="auto"/>
          <w:sz w:val="24"/>
          <w:szCs w:val="24"/>
          <w:highlight w:val="none"/>
        </w:rPr>
        <w:t>取自</w:t>
      </w:r>
      <w:r>
        <w:rPr>
          <w:rFonts w:hint="eastAsia" w:ascii="宋体" w:hAnsi="宋体" w:cs="宋体"/>
          <w:color w:val="auto"/>
          <w:sz w:val="24"/>
          <w:szCs w:val="24"/>
          <w:highlight w:val="none"/>
          <w:lang w:eastAsia="zh-CN"/>
        </w:rPr>
        <w:t>平台</w:t>
      </w:r>
      <w:r>
        <w:rPr>
          <w:rFonts w:hint="eastAsia" w:ascii="宋体"/>
          <w:bCs/>
          <w:color w:val="auto"/>
          <w:sz w:val="24"/>
          <w:szCs w:val="24"/>
          <w:highlight w:val="none"/>
        </w:rPr>
        <w:t>内上传件</w:t>
      </w:r>
      <w:r>
        <w:rPr>
          <w:rFonts w:hint="eastAsia" w:ascii="宋体" w:hAnsi="宋体" w:cs="宋体"/>
          <w:bCs/>
          <w:color w:val="auto"/>
          <w:sz w:val="24"/>
          <w:szCs w:val="24"/>
          <w:highlight w:val="none"/>
        </w:rPr>
        <w:t>）；</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（6）项目负责人（按网上投标登记时选择拟投标的项目负责人）</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（7）专职安全员（按网上投标登记时选择拟投标的专职安全员）</w:t>
      </w:r>
    </w:p>
    <w:p>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（8）</w:t>
      </w:r>
      <w:r>
        <w:rPr>
          <w:rFonts w:hint="eastAsia" w:ascii="宋体" w:hAnsi="宋体" w:cs="宋体"/>
          <w:color w:val="auto"/>
          <w:sz w:val="24"/>
          <w:szCs w:val="24"/>
          <w:highlight w:val="none"/>
        </w:rPr>
        <w:t>拟委托技术负责人的相关证书、资料</w:t>
      </w:r>
      <w:r>
        <w:rPr>
          <w:rFonts w:hint="eastAsia" w:ascii="宋体" w:hAnsi="宋体" w:cs="宋体"/>
          <w:bCs/>
          <w:color w:val="auto"/>
          <w:sz w:val="24"/>
          <w:szCs w:val="24"/>
          <w:highlight w:val="none"/>
        </w:rPr>
        <w:t>；</w:t>
      </w:r>
    </w:p>
    <w:p>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（9）</w:t>
      </w:r>
      <w:r>
        <w:rPr>
          <w:rFonts w:hint="eastAsia" w:ascii="宋体"/>
          <w:bCs/>
          <w:color w:val="auto"/>
          <w:sz w:val="24"/>
          <w:szCs w:val="24"/>
          <w:highlight w:val="none"/>
        </w:rPr>
        <w:t>拟委派项目负责人的建造师注册证书</w:t>
      </w:r>
      <w:r>
        <w:rPr>
          <w:rFonts w:hint="eastAsia" w:ascii="宋体"/>
          <w:bCs/>
          <w:color w:val="auto"/>
          <w:sz w:val="24"/>
          <w:szCs w:val="24"/>
          <w:highlight w:val="none"/>
          <w:u w:val="single"/>
        </w:rPr>
        <w:t>相关证明</w:t>
      </w:r>
      <w:r>
        <w:rPr>
          <w:rFonts w:hint="eastAsia" w:ascii="宋体" w:hAnsi="宋体" w:cs="宋体"/>
          <w:color w:val="auto"/>
          <w:sz w:val="24"/>
          <w:szCs w:val="24"/>
          <w:highlight w:val="none"/>
          <w:u w:val="none"/>
        </w:rPr>
        <w:t>（取自</w:t>
      </w:r>
      <w:r>
        <w:rPr>
          <w:rFonts w:hint="eastAsia" w:ascii="宋体" w:hAnsi="宋体" w:cs="宋体"/>
          <w:color w:val="auto"/>
          <w:sz w:val="24"/>
          <w:szCs w:val="24"/>
          <w:highlight w:val="none"/>
          <w:u w:val="none"/>
          <w:lang w:eastAsia="zh-CN"/>
        </w:rPr>
        <w:t>平台</w:t>
      </w:r>
      <w:r>
        <w:rPr>
          <w:rFonts w:hint="eastAsia" w:ascii="宋体" w:hAnsi="宋体" w:cs="宋体"/>
          <w:color w:val="auto"/>
          <w:sz w:val="24"/>
          <w:szCs w:val="24"/>
          <w:highlight w:val="none"/>
          <w:u w:val="none"/>
        </w:rPr>
        <w:t>内上传件）</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（10）项目负责人安全</w:t>
      </w:r>
      <w:r>
        <w:rPr>
          <w:rFonts w:hint="eastAsia" w:ascii="宋体" w:hAnsi="宋体" w:cs="宋体"/>
          <w:bCs/>
          <w:color w:val="auto"/>
          <w:sz w:val="24"/>
          <w:szCs w:val="24"/>
          <w:highlight w:val="none"/>
          <w:lang w:val="en-US" w:eastAsia="zh-CN"/>
        </w:rPr>
        <w:t>生产</w:t>
      </w:r>
      <w:r>
        <w:rPr>
          <w:rFonts w:hint="eastAsia" w:ascii="宋体" w:hAnsi="宋体" w:cs="宋体"/>
          <w:bCs/>
          <w:color w:val="auto"/>
          <w:sz w:val="24"/>
          <w:szCs w:val="24"/>
          <w:highlight w:val="none"/>
        </w:rPr>
        <w:t>考核合格证明或在有效期内的安全</w:t>
      </w:r>
      <w:r>
        <w:rPr>
          <w:rFonts w:hint="eastAsia" w:ascii="宋体" w:hAnsi="宋体" w:cs="宋体"/>
          <w:bCs/>
          <w:color w:val="auto"/>
          <w:kern w:val="0"/>
          <w:szCs w:val="21"/>
          <w:highlight w:val="none"/>
          <w:lang w:val="en-US" w:eastAsia="zh-CN"/>
        </w:rPr>
        <w:t>生产</w:t>
      </w:r>
      <w:r>
        <w:rPr>
          <w:rFonts w:hint="eastAsia" w:ascii="宋体" w:hAnsi="宋体" w:cs="宋体"/>
          <w:bCs/>
          <w:color w:val="auto"/>
          <w:sz w:val="24"/>
          <w:szCs w:val="24"/>
          <w:highlight w:val="none"/>
        </w:rPr>
        <w:t>考核合格证书（</w:t>
      </w:r>
      <w:r>
        <w:rPr>
          <w:rFonts w:ascii="宋体" w:hAnsi="宋体" w:cs="宋体"/>
          <w:bCs/>
          <w:color w:val="auto"/>
          <w:sz w:val="24"/>
          <w:szCs w:val="24"/>
          <w:highlight w:val="none"/>
        </w:rPr>
        <w:t>B类）或建筑施工企业项目负责人安全生产考核合格证书</w:t>
      </w:r>
      <w:r>
        <w:rPr>
          <w:rFonts w:hint="eastAsia" w:ascii="宋体" w:hAnsi="宋体" w:cs="宋体"/>
          <w:bCs/>
          <w:color w:val="auto"/>
          <w:sz w:val="24"/>
          <w:szCs w:val="24"/>
          <w:highlight w:val="none"/>
        </w:rPr>
        <w:t>（取自库内上传件）；</w:t>
      </w:r>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w:t>
      </w:r>
      <w:r>
        <w:rPr>
          <w:rFonts w:hint="default" w:ascii="宋体" w:hAnsi="宋体" w:cs="宋体"/>
          <w:bCs/>
          <w:color w:val="auto"/>
          <w:sz w:val="24"/>
          <w:szCs w:val="24"/>
          <w:highlight w:val="none"/>
        </w:rPr>
        <w:t>11</w:t>
      </w:r>
      <w:r>
        <w:rPr>
          <w:rFonts w:hint="eastAsia" w:ascii="宋体" w:hAnsi="宋体" w:cs="宋体"/>
          <w:bCs/>
          <w:color w:val="auto"/>
          <w:sz w:val="24"/>
          <w:szCs w:val="24"/>
          <w:highlight w:val="none"/>
        </w:rPr>
        <w:t>）</w:t>
      </w:r>
      <w:r>
        <w:rPr>
          <w:rFonts w:hint="default" w:ascii="宋体" w:hAnsi="宋体" w:cs="宋体"/>
          <w:bCs/>
          <w:color w:val="auto"/>
          <w:sz w:val="24"/>
          <w:szCs w:val="24"/>
          <w:highlight w:val="none"/>
          <w:u w:val="none"/>
        </w:rPr>
        <w:t>专职安全员须具有在有效期内的安全考核合格证书（C类）或建筑施工企业专职安全生产管理人员安全生产考核合格证书（C3类）</w:t>
      </w:r>
      <w:r>
        <w:rPr>
          <w:rFonts w:hint="eastAsia" w:ascii="宋体" w:hAnsi="宋体" w:cs="宋体"/>
          <w:bCs/>
          <w:color w:val="auto"/>
          <w:sz w:val="24"/>
          <w:szCs w:val="24"/>
          <w:highlight w:val="none"/>
          <w:u w:val="none"/>
          <w:lang w:eastAsia="zh-CN"/>
        </w:rPr>
        <w:t>；</w:t>
      </w:r>
    </w:p>
    <w:p>
      <w:pPr>
        <w:spacing w:line="460" w:lineRule="exact"/>
        <w:ind w:firstLine="537" w:firstLineChars="224"/>
        <w:rPr>
          <w:rFonts w:hint="eastAsia" w:ascii="宋体" w:hAnsi="宋体" w:cs="宋体"/>
          <w:color w:val="auto"/>
          <w:sz w:val="24"/>
          <w:szCs w:val="24"/>
          <w:highlight w:val="none"/>
        </w:rPr>
      </w:pPr>
      <w:r>
        <w:rPr>
          <w:rFonts w:hint="eastAsia" w:ascii="宋体" w:hAnsi="宋体" w:cs="宋体"/>
          <w:bCs/>
          <w:color w:val="auto"/>
          <w:sz w:val="24"/>
          <w:szCs w:val="24"/>
          <w:highlight w:val="none"/>
          <w:u w:val="single"/>
        </w:rPr>
        <w:t>（12）</w:t>
      </w:r>
      <w:r>
        <w:rPr>
          <w:rFonts w:hint="eastAsia" w:ascii="宋体" w:hAnsi="宋体"/>
          <w:color w:val="auto"/>
          <w:sz w:val="24"/>
          <w:szCs w:val="24"/>
          <w:highlight w:val="none"/>
          <w:u w:val="single"/>
        </w:rPr>
        <w:t>资格审查前，投标人须在广州市住房和城乡建设局建立企业</w:t>
      </w:r>
      <w:r>
        <w:rPr>
          <w:rFonts w:hint="eastAsia" w:ascii="宋体" w:hAnsi="宋体"/>
          <w:color w:val="auto"/>
          <w:sz w:val="24"/>
          <w:szCs w:val="24"/>
          <w:highlight w:val="none"/>
          <w:u w:val="single"/>
          <w:lang w:eastAsia="zh-CN"/>
        </w:rPr>
        <w:t>信用</w:t>
      </w:r>
      <w:r>
        <w:rPr>
          <w:rFonts w:hint="eastAsia" w:ascii="宋体" w:hAnsi="宋体"/>
          <w:color w:val="auto"/>
          <w:sz w:val="24"/>
          <w:szCs w:val="24"/>
          <w:highlight w:val="none"/>
          <w:u w:val="single"/>
        </w:rPr>
        <w:t>档案及拟担任本工程项目负责人、专职安全员须是本企业</w:t>
      </w:r>
      <w:r>
        <w:rPr>
          <w:rFonts w:hint="eastAsia" w:ascii="宋体" w:hAnsi="宋体"/>
          <w:color w:val="auto"/>
          <w:sz w:val="24"/>
          <w:szCs w:val="24"/>
          <w:highlight w:val="none"/>
          <w:u w:val="single"/>
          <w:lang w:eastAsia="zh-CN"/>
        </w:rPr>
        <w:t>信用</w:t>
      </w:r>
      <w:r>
        <w:rPr>
          <w:rFonts w:hint="eastAsia" w:ascii="宋体" w:hAnsi="宋体"/>
          <w:color w:val="auto"/>
          <w:sz w:val="24"/>
          <w:szCs w:val="24"/>
          <w:highlight w:val="none"/>
          <w:u w:val="single"/>
        </w:rPr>
        <w:t>档案中的在册人员。企业</w:t>
      </w:r>
      <w:r>
        <w:rPr>
          <w:rFonts w:hint="eastAsia" w:ascii="宋体" w:hAnsi="宋体"/>
          <w:color w:val="auto"/>
          <w:sz w:val="24"/>
          <w:szCs w:val="24"/>
          <w:highlight w:val="none"/>
          <w:u w:val="single"/>
          <w:lang w:eastAsia="zh-CN"/>
        </w:rPr>
        <w:t>信用</w:t>
      </w:r>
      <w:r>
        <w:rPr>
          <w:rFonts w:hint="eastAsia" w:ascii="宋体" w:hAnsi="宋体"/>
          <w:color w:val="auto"/>
          <w:sz w:val="24"/>
          <w:szCs w:val="24"/>
          <w:highlight w:val="none"/>
          <w:u w:val="single"/>
        </w:rPr>
        <w:t>档案取自投标截止时间投标人</w:t>
      </w:r>
      <w:r>
        <w:rPr>
          <w:rFonts w:hint="eastAsia" w:ascii="宋体" w:hAnsi="宋体"/>
          <w:color w:val="auto"/>
          <w:sz w:val="24"/>
          <w:szCs w:val="24"/>
          <w:highlight w:val="none"/>
          <w:u w:val="none"/>
        </w:rPr>
        <w:t>在</w:t>
      </w:r>
      <w:r>
        <w:rPr>
          <w:rFonts w:hint="eastAsia" w:ascii="宋体" w:hAnsi="宋体"/>
          <w:color w:val="auto"/>
          <w:sz w:val="24"/>
          <w:szCs w:val="24"/>
          <w:highlight w:val="none"/>
        </w:rPr>
        <w:t>信用管理平台</w:t>
      </w:r>
      <w:r>
        <w:rPr>
          <w:rFonts w:hint="eastAsia" w:ascii="宋体" w:hAnsi="宋体"/>
          <w:color w:val="auto"/>
          <w:sz w:val="24"/>
          <w:szCs w:val="24"/>
          <w:highlight w:val="none"/>
          <w:u w:val="single"/>
        </w:rPr>
        <w:t>内的信息，投标人无需提交相关资料，若招标人延长递交投标文件截止时间的，</w:t>
      </w:r>
      <w:r>
        <w:rPr>
          <w:rFonts w:hint="eastAsia" w:ascii="宋体" w:hAnsi="宋体"/>
          <w:color w:val="auto"/>
          <w:sz w:val="24"/>
          <w:szCs w:val="24"/>
          <w:highlight w:val="none"/>
          <w:u w:val="single"/>
          <w:lang w:eastAsia="zh-CN"/>
        </w:rPr>
        <w:t>信用</w:t>
      </w:r>
      <w:r>
        <w:rPr>
          <w:rFonts w:hint="eastAsia" w:ascii="宋体" w:hAnsi="宋体"/>
          <w:color w:val="auto"/>
          <w:sz w:val="24"/>
          <w:szCs w:val="24"/>
          <w:highlight w:val="none"/>
          <w:u w:val="single"/>
        </w:rPr>
        <w:t>档案信息的评审时点也相应延长。（</w:t>
      </w:r>
      <w:r>
        <w:rPr>
          <w:rFonts w:hint="eastAsia" w:ascii="宋体" w:hAnsi="宋体"/>
          <w:color w:val="auto"/>
          <w:sz w:val="24"/>
          <w:szCs w:val="24"/>
          <w:highlight w:val="none"/>
          <w:u w:val="single"/>
          <w:lang w:eastAsia="zh-CN"/>
        </w:rPr>
        <w:t>信用</w:t>
      </w:r>
      <w:r>
        <w:rPr>
          <w:rFonts w:hint="eastAsia" w:ascii="宋体" w:hAnsi="宋体"/>
          <w:color w:val="auto"/>
          <w:sz w:val="24"/>
          <w:szCs w:val="24"/>
          <w:highlight w:val="none"/>
          <w:u w:val="single"/>
        </w:rPr>
        <w:t>档案办理详见《施工企业办事指引》</w:t>
      </w:r>
    </w:p>
    <w:p>
      <w:pPr>
        <w:spacing w:line="360" w:lineRule="auto"/>
        <w:ind w:firstLine="480" w:firstLineChars="200"/>
        <w:rPr>
          <w:rFonts w:ascii="宋体" w:hAnsi="宋体" w:cs="宋体"/>
          <w:color w:val="auto"/>
          <w:sz w:val="24"/>
          <w:szCs w:val="24"/>
          <w:highlight w:val="none"/>
        </w:rPr>
      </w:pPr>
      <w:r>
        <w:rPr>
          <w:rFonts w:hint="eastAsia" w:ascii="宋体" w:hAnsi="宋体"/>
          <w:color w:val="auto"/>
          <w:sz w:val="24"/>
          <w:highlight w:val="none"/>
        </w:rPr>
        <w:t>http://zfcj.gz.gov.cn/zwgk/zsdwxxgkzl/gzsjzyglfwzx/bszy/content/post_8484886.html</w:t>
      </w:r>
      <w:r>
        <w:rPr>
          <w:rFonts w:hint="eastAsia" w:ascii="宋体" w:hAnsi="宋体"/>
          <w:color w:val="auto"/>
          <w:sz w:val="24"/>
          <w:szCs w:val="24"/>
          <w:highlight w:val="none"/>
          <w:u w:val="single"/>
        </w:rPr>
        <w:t>）</w:t>
      </w:r>
    </w:p>
    <w:p>
      <w:pPr>
        <w:numPr>
          <w:ilvl w:val="-1"/>
          <w:numId w:val="0"/>
        </w:numPr>
        <w:pBdr>
          <w:bottom w:val="none" w:color="auto" w:sz="0" w:space="0"/>
        </w:pBd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关于联合体投标：本项目不接受联合体投标</w:t>
      </w:r>
      <w:r>
        <w:rPr>
          <w:rFonts w:hint="eastAsia" w:ascii="宋体" w:hAnsi="宋体" w:cs="宋体"/>
          <w:color w:val="auto"/>
          <w:sz w:val="24"/>
          <w:szCs w:val="24"/>
          <w:highlight w:val="none"/>
        </w:rPr>
        <w:t>。</w:t>
      </w:r>
    </w:p>
    <w:p>
      <w:pPr>
        <w:numPr>
          <w:ilvl w:val="-1"/>
          <w:numId w:val="0"/>
        </w:numPr>
        <w:pBdr>
          <w:bottom w:val="none" w:color="auto" w:sz="0" w:space="0"/>
        </w:pBdr>
        <w:spacing w:line="360" w:lineRule="auto"/>
        <w:ind w:firstLine="480" w:firstLineChars="200"/>
        <w:rPr>
          <w:rFonts w:hint="default" w:ascii="宋体" w:eastAsia="宋体"/>
          <w:color w:val="auto"/>
          <w:sz w:val="24"/>
          <w:highlight w:val="none"/>
          <w:lang w:val="en-US" w:eastAsia="zh-CN"/>
        </w:rPr>
      </w:pPr>
      <w:r>
        <w:rPr>
          <w:rFonts w:ascii="宋体" w:hAnsi="宋体"/>
          <w:color w:val="auto"/>
          <w:sz w:val="24"/>
          <w:highlight w:val="none"/>
        </w:rPr>
        <w:t>11.2.3</w:t>
      </w:r>
      <w:r>
        <w:rPr>
          <w:rFonts w:hint="eastAsia" w:ascii="宋体" w:hAnsi="宋体" w:eastAsia="宋体"/>
          <w:color w:val="auto"/>
          <w:sz w:val="24"/>
          <w:highlight w:val="none"/>
        </w:rPr>
        <w:t>项目</w:t>
      </w:r>
      <w:r>
        <w:rPr>
          <w:rFonts w:hint="eastAsia" w:ascii="宋体" w:hAnsi="宋体"/>
          <w:color w:val="auto"/>
          <w:sz w:val="24"/>
          <w:highlight w:val="none"/>
        </w:rPr>
        <w:t>管理机构配备。</w:t>
      </w:r>
      <w:r>
        <w:rPr>
          <w:rFonts w:hint="eastAsia" w:ascii="宋体" w:hAnsi="宋体"/>
          <w:color w:val="auto"/>
          <w:sz w:val="24"/>
          <w:highlight w:val="none"/>
          <w:lang w:val="en-US" w:eastAsia="zh-CN"/>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w:t>
      </w:r>
      <w:r>
        <w:rPr>
          <w:rFonts w:hint="eastAsia" w:ascii="宋体" w:hAnsi="宋体" w:eastAsia="宋体"/>
          <w:color w:val="auto"/>
          <w:sz w:val="24"/>
          <w:highlight w:val="none"/>
        </w:rPr>
        <w:t>施工</w:t>
      </w:r>
      <w:r>
        <w:rPr>
          <w:rFonts w:hint="eastAsia" w:ascii="宋体" w:hAnsi="宋体"/>
          <w:color w:val="auto"/>
          <w:sz w:val="24"/>
          <w:highlight w:val="none"/>
        </w:rPr>
        <w:t>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s="宋体"/>
          <w:bCs/>
          <w:color w:val="auto"/>
          <w:sz w:val="24"/>
          <w:szCs w:val="24"/>
          <w:highlight w:val="none"/>
          <w:u w:val="single"/>
        </w:rPr>
        <w:t>《响应招标文件所附施工组织设计要点的承诺书》（格式见第四章）</w:t>
      </w:r>
      <w:r>
        <w:rPr>
          <w:rFonts w:hint="eastAsia" w:ascii="宋体" w:hAnsi="宋体"/>
          <w:color w:val="auto"/>
          <w:sz w:val="24"/>
          <w:szCs w:val="24"/>
          <w:highlight w:val="none"/>
        </w:rPr>
        <w:t>。</w:t>
      </w:r>
    </w:p>
    <w:p>
      <w:pPr>
        <w:tabs>
          <w:tab w:val="left" w:pos="1125"/>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pStyle w:val="19"/>
        <w:ind w:firstLine="480" w:firstLineChars="200"/>
        <w:rPr>
          <w:color w:val="auto"/>
          <w:sz w:val="24"/>
          <w:szCs w:val="24"/>
          <w:highlight w:val="none"/>
        </w:rPr>
      </w:pPr>
      <w:r>
        <w:rPr>
          <w:rFonts w:hint="eastAsia" w:ascii="宋体" w:hAnsi="宋体" w:cs="宋体"/>
          <w:bCs/>
          <w:color w:val="auto"/>
          <w:sz w:val="24"/>
          <w:szCs w:val="24"/>
          <w:highlight w:val="none"/>
          <w:u w:val="single"/>
        </w:rPr>
        <w:t>11.2.7 投</w:t>
      </w:r>
      <w:r>
        <w:rPr>
          <w:rFonts w:hint="eastAsia" w:ascii="宋体" w:hAnsi="宋体" w:cs="宋体"/>
          <w:color w:val="auto"/>
          <w:sz w:val="24"/>
          <w:szCs w:val="24"/>
          <w:highlight w:val="none"/>
          <w:u w:val="single"/>
        </w:rPr>
        <w:t>标人认为应该提供的其他资料。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3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3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广州公共资源交易中心交易平台</w:t>
      </w:r>
      <w:r>
        <w:rPr>
          <w:rFonts w:hint="eastAsia"/>
          <w:color w:val="auto"/>
          <w:sz w:val="24"/>
          <w:szCs w:val="24"/>
          <w:highlight w:val="none"/>
        </w:rPr>
        <w:t xml:space="preserve"> 。</w:t>
      </w:r>
    </w:p>
    <w:p>
      <w:pPr>
        <w:pStyle w:val="35"/>
        <w:spacing w:after="0" w:line="360" w:lineRule="auto"/>
        <w:ind w:firstLine="0"/>
        <w:rPr>
          <w:rFonts w:hint="eastAsia" w:ascii="宋体" w:hAnsi="宋体" w:cs="宋体"/>
          <w:color w:val="auto"/>
          <w:sz w:val="24"/>
          <w:szCs w:val="24"/>
          <w:highlight w:val="none"/>
          <w:u w:val="singl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s="宋体"/>
          <w:color w:val="auto"/>
          <w:sz w:val="24"/>
          <w:szCs w:val="24"/>
          <w:highlight w:val="none"/>
          <w:u w:val="single"/>
        </w:rPr>
        <w:t>广州公共资源交易中心，首页→服务指南→办事指引→建设工程《房屋建筑和市政基础设施工程全流程电子化项目专章》。</w:t>
      </w:r>
    </w:p>
    <w:p>
      <w:pPr>
        <w:pStyle w:val="3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w:t>
      </w:r>
      <w:r>
        <w:rPr>
          <w:rFonts w:hint="eastAsia" w:ascii="宋体" w:hAnsi="宋体" w:cs="宋体"/>
          <w:color w:val="auto"/>
          <w:sz w:val="24"/>
          <w:szCs w:val="24"/>
          <w:highlight w:val="none"/>
          <w:u w:val="single"/>
        </w:rPr>
        <w:t>投标文件中的大写金额和小写金额不一致的，以大写金额为准，</w:t>
      </w:r>
      <w:r>
        <w:rPr>
          <w:rFonts w:hint="eastAsia" w:ascii="宋体" w:hAnsi="宋体"/>
          <w:color w:val="auto"/>
          <w:sz w:val="24"/>
          <w:highlight w:val="none"/>
        </w:rPr>
        <w:t>投标报价（含单价及总价）精确到“分”。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s="宋体"/>
          <w:bCs/>
          <w:color w:val="auto"/>
          <w:sz w:val="24"/>
          <w:szCs w:val="24"/>
          <w:highlight w:val="none"/>
          <w:u w:val="single"/>
        </w:rPr>
        <w:t>工程项目实施期间和结算时，原设计没有而由招标人批准设计变更产生的工程项目，视为新增项目，增加或减少工程量确定价格办法详见施工合同。</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5"/>
        <w:spacing w:after="0" w:line="360" w:lineRule="auto"/>
        <w:ind w:firstLine="480" w:firstLineChars="200"/>
        <w:rPr>
          <w:rFonts w:hint="eastAsia" w:ascii="宋体" w:hAnsi="宋体" w:cs="宋体"/>
          <w:bCs/>
          <w:color w:val="auto"/>
          <w:sz w:val="24"/>
          <w:szCs w:val="24"/>
          <w:highlight w:val="none"/>
          <w:u w:val="single"/>
        </w:rPr>
      </w:pPr>
      <w:r>
        <w:rPr>
          <w:rFonts w:ascii="宋体" w:hAnsi="宋体"/>
          <w:color w:val="auto"/>
          <w:sz w:val="24"/>
          <w:highlight w:val="none"/>
        </w:rPr>
        <w:t xml:space="preserve">13.5.3 </w:t>
      </w:r>
      <w:r>
        <w:rPr>
          <w:rFonts w:hint="eastAsia" w:ascii="宋体" w:hAnsi="宋体" w:cs="宋体"/>
          <w:bCs/>
          <w:color w:val="auto"/>
          <w:sz w:val="24"/>
          <w:szCs w:val="24"/>
          <w:highlight w:val="none"/>
          <w:u w:val="single"/>
        </w:rPr>
        <w:t>中标的投标文件工程量清单中没有适用或类似的，则作为新增项目（是否为新增项目由评审单位确定），套用招标时期相应的定额，按清单方式计价，其综合单价依据广东省相关定额、广东省补充定额【定额使用的依次顺序为：① 本合同项目主体工程所属专业的定额、附属工程所属专业的定额；② 第①点所述定额中若个别分项项目没有定额可套用，则采用与该分项项目性质、功能、工艺相似或相近的其它定额换算】；定额采用招标时期行政主管部门颁发的定额及对应的工程计价办法计算确定。项目的人工、材料、机械台班价格按实际施工期间建设行政主管部门的有关规定及按广州市造价管理站同期《广州地区建设工程常用材料综合价格》执行，《广州地区建设工程常用材料综合价格》没有的材料单价，则参照广州市造价管理站同期《广州地区建设工程材料（设备）厂商价格信息》并进行市场询价；对《广州地区建设工程材料（设备）厂商价格信息》仍然没有的材料单价，由承包人提出适当的材料单价，经发包人和监理工程师确认后执行。管理费地区类别按一类地区计算，利润按人工费的18%计算，预算包干费按1%计算，税金按9%计算。对于新增项目的</w:t>
      </w:r>
      <w:r>
        <w:rPr>
          <w:rFonts w:hint="eastAsia" w:ascii="宋体" w:hAnsi="宋体" w:cs="宋体"/>
          <w:bCs/>
          <w:color w:val="auto"/>
          <w:sz w:val="24"/>
          <w:szCs w:val="24"/>
          <w:highlight w:val="none"/>
          <w:u w:val="single"/>
          <w:lang w:val="en-US" w:eastAsia="zh-CN"/>
        </w:rPr>
        <w:t>按合同约定为准</w:t>
      </w:r>
      <w:r>
        <w:rPr>
          <w:rFonts w:hint="eastAsia" w:ascii="宋体" w:hAnsi="宋体" w:cs="宋体"/>
          <w:bCs/>
          <w:color w:val="auto"/>
          <w:sz w:val="24"/>
          <w:szCs w:val="24"/>
          <w:highlight w:val="none"/>
          <w:u w:val="single"/>
        </w:rPr>
        <w:t>。</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3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3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w:t>
      </w:r>
      <w:r>
        <w:rPr>
          <w:rFonts w:hint="eastAsia" w:ascii="宋体" w:hAnsi="宋体"/>
          <w:color w:val="auto"/>
          <w:sz w:val="24"/>
          <w:highlight w:val="none"/>
          <w:lang w:val="en-US" w:eastAsia="zh-CN"/>
        </w:rPr>
        <w:t>将</w:t>
      </w:r>
      <w:r>
        <w:rPr>
          <w:rFonts w:hint="eastAsia" w:ascii="宋体" w:hAnsi="宋体"/>
          <w:color w:val="auto"/>
          <w:sz w:val="24"/>
          <w:highlight w:val="none"/>
        </w:rPr>
        <w:t>不予退还投标保证金：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w:t>
      </w:r>
      <w:r>
        <w:rPr>
          <w:rFonts w:hint="eastAsia" w:ascii="宋体" w:hAnsi="宋体"/>
          <w:color w:val="auto"/>
          <w:sz w:val="24"/>
          <w:highlight w:val="none"/>
          <w:u w:val="single"/>
          <w:lang w:val="en-US" w:eastAsia="zh-CN"/>
        </w:rPr>
        <w:t>一年内</w:t>
      </w:r>
      <w:r>
        <w:rPr>
          <w:rFonts w:hint="eastAsia" w:ascii="宋体" w:hAnsi="宋体"/>
          <w:color w:val="auto"/>
          <w:sz w:val="24"/>
          <w:highlight w:val="none"/>
        </w:rPr>
        <w:t>参与招标人后续工程投标：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s="Times New Roman"/>
          <w:color w:val="auto"/>
          <w:sz w:val="24"/>
          <w:szCs w:val="22"/>
          <w:highlight w:val="none"/>
        </w:rPr>
        <w:t>16.5.3按招标文件要求免于提供投标保证金的投标人存在16.4条款所列情形，且未按招标人要求补交投标保证金的</w:t>
      </w:r>
      <w:r>
        <w:rPr>
          <w:rFonts w:hint="eastAsia" w:ascii="宋体" w:hAnsi="宋体"/>
          <w:color w:val="auto"/>
          <w:sz w:val="24"/>
          <w:highlight w:val="none"/>
        </w:rPr>
        <w:t>；</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4"/>
          <w:szCs w:val="24"/>
          <w:highlight w:val="none"/>
          <w:u w:val="single"/>
        </w:rPr>
        <w:t>广州公共资源交易中心，首页→服务指南→办事指引→建设工程《房屋建筑和市政基础设施工程全流程电子化项目专章》</w:t>
      </w:r>
      <w:r>
        <w:rPr>
          <w:rFonts w:hint="eastAsia" w:ascii="宋体" w:hAnsi="宋体"/>
          <w:color w:val="auto"/>
          <w:sz w:val="24"/>
          <w:highlight w:val="none"/>
        </w:rPr>
        <w:t xml:space="preserve"> 。</w:t>
      </w:r>
    </w:p>
    <w:p>
      <w:pPr>
        <w:pStyle w:val="4"/>
        <w:spacing w:before="156" w:after="156"/>
        <w:rPr>
          <w:color w:val="auto"/>
          <w:highlight w:val="none"/>
        </w:rPr>
      </w:pPr>
      <w:bookmarkStart w:id="14" w:name="_Toc2272552"/>
      <w:bookmarkStart w:id="15" w:name="_Toc21525496"/>
      <w:r>
        <w:rPr>
          <w:rFonts w:hint="eastAsia"/>
          <w:color w:val="auto"/>
          <w:highlight w:val="none"/>
        </w:rPr>
        <w:t>（四）投标文件的提交</w:t>
      </w:r>
      <w:bookmarkEnd w:id="14"/>
      <w:bookmarkEnd w:id="15"/>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ascii="宋体" w:hAnsi="宋体" w:cs="宋体"/>
          <w:color w:val="auto"/>
          <w:sz w:val="24"/>
          <w:szCs w:val="24"/>
          <w:highlight w:val="none"/>
          <w:u w:val="single"/>
        </w:rPr>
        <w:t>广州公共资源交易中心，首页→服务指南→办事指引→建设工程《房屋建筑和市政基础设施工程全流程电子化项目专章》</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hint="eastAsia" w:ascii="宋体"/>
          <w:bCs/>
          <w:color w:val="auto"/>
          <w:sz w:val="24"/>
          <w:highlight w:val="none"/>
        </w:rPr>
        <w:t>未按要求加密的投标文件，</w:t>
      </w:r>
      <w:r>
        <w:rPr>
          <w:rFonts w:hint="eastAsia" w:ascii="宋体" w:hAnsi="宋体" w:cs="宋体"/>
          <w:bCs/>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s="宋体"/>
          <w:bCs/>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s="宋体"/>
          <w:bCs/>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s="宋体"/>
          <w:bCs/>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eastAsia="宋体"/>
          <w:color w:val="auto"/>
          <w:sz w:val="24"/>
          <w:highlight w:val="none"/>
          <w:lang w:eastAsia="zh-CN"/>
        </w:rPr>
      </w:pPr>
      <w:r>
        <w:rPr>
          <w:rFonts w:ascii="宋体" w:hAnsi="宋体"/>
          <w:color w:val="auto"/>
          <w:sz w:val="24"/>
          <w:highlight w:val="none"/>
        </w:rPr>
        <w:t xml:space="preserve">20.3 </w:t>
      </w:r>
      <w:r>
        <w:rPr>
          <w:rFonts w:hint="eastAsia" w:ascii="宋体" w:hAnsi="宋体"/>
          <w:color w:val="auto"/>
          <w:sz w:val="24"/>
          <w:highlight w:val="none"/>
          <w:lang w:eastAsia="zh-CN"/>
        </w:rPr>
        <w:t>到投标截止时间止，招标人收到的投标文件少于3家的，招标人将重新组织招标。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s="宋体"/>
          <w:bCs/>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pPr>
        <w:pStyle w:val="4"/>
        <w:spacing w:before="156" w:after="156"/>
        <w:rPr>
          <w:color w:val="auto"/>
          <w:highlight w:val="none"/>
        </w:rPr>
      </w:pPr>
      <w:bookmarkStart w:id="16" w:name="_Toc21525497"/>
      <w:bookmarkStart w:id="17" w:name="_Toc2272553"/>
      <w:r>
        <w:rPr>
          <w:rFonts w:hint="eastAsia"/>
          <w:color w:val="auto"/>
          <w:highlight w:val="none"/>
        </w:rPr>
        <w:t>（五）开标、评标、定标及合同签定</w:t>
      </w:r>
      <w:bookmarkEnd w:id="16"/>
      <w:bookmarkEnd w:id="17"/>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s="宋体"/>
          <w:bCs/>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r>
        <w:rPr>
          <w:rFonts w:hint="eastAsia" w:ascii="宋体" w:hAnsi="宋体" w:cs="Times New Roman"/>
          <w:bCs w:val="0"/>
          <w:color w:val="auto"/>
          <w:kern w:val="2"/>
          <w:sz w:val="24"/>
          <w:szCs w:val="22"/>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s="宋体"/>
          <w:bCs/>
          <w:color w:val="auto"/>
          <w:sz w:val="24"/>
          <w:szCs w:val="24"/>
          <w:highlight w:val="none"/>
          <w:u w:val="single"/>
        </w:rPr>
        <w:t>广州公共资源交易中心</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3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3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3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3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strike w:val="0"/>
          <w:color w:val="auto"/>
          <w:sz w:val="24"/>
          <w:highlight w:val="none"/>
        </w:rPr>
      </w:pPr>
      <w:r>
        <w:rPr>
          <w:rFonts w:hint="eastAsia" w:ascii="宋体"/>
          <w:b/>
          <w:strike w:val="0"/>
          <w:color w:val="auto"/>
          <w:sz w:val="24"/>
          <w:highlight w:val="none"/>
        </w:rPr>
        <w:t>33.</w:t>
      </w:r>
      <w:r>
        <w:rPr>
          <w:rFonts w:hint="eastAsia" w:ascii="宋体" w:hAnsi="宋体"/>
          <w:b/>
          <w:strike w:val="0"/>
          <w:color w:val="auto"/>
          <w:sz w:val="24"/>
          <w:highlight w:val="none"/>
        </w:rPr>
        <w:t xml:space="preserve"> 投标人信誉的要求</w:t>
      </w:r>
    </w:p>
    <w:p>
      <w:pPr>
        <w:spacing w:line="480" w:lineRule="auto"/>
        <w:ind w:firstLine="537" w:firstLineChars="224"/>
        <w:rPr>
          <w:rFonts w:ascii="宋体" w:hAnsi="宋体"/>
          <w:strike w:val="0"/>
          <w:color w:val="auto"/>
          <w:sz w:val="24"/>
          <w:highlight w:val="none"/>
        </w:rPr>
      </w:pPr>
      <w:r>
        <w:rPr>
          <w:rFonts w:hint="eastAsia" w:ascii="宋体" w:hAnsi="宋体"/>
          <w:strike w:val="0"/>
          <w:color w:val="auto"/>
          <w:sz w:val="24"/>
          <w:highlight w:val="none"/>
        </w:rPr>
        <w:t>存在下列情形之一的，招标人可以限制其投标（需在招标文件中明确评定方法）</w:t>
      </w:r>
    </w:p>
    <w:p>
      <w:pPr>
        <w:spacing w:line="480" w:lineRule="auto"/>
        <w:ind w:firstLine="537" w:firstLineChars="224"/>
        <w:rPr>
          <w:rFonts w:ascii="宋体" w:hAnsi="宋体"/>
          <w:strike w:val="0"/>
          <w:color w:val="auto"/>
          <w:sz w:val="24"/>
          <w:highlight w:val="none"/>
        </w:rPr>
      </w:pPr>
      <w:r>
        <w:rPr>
          <w:rFonts w:hint="eastAsia" w:ascii="宋体" w:hAnsi="宋体"/>
          <w:strike w:val="0"/>
          <w:color w:val="auto"/>
          <w:sz w:val="24"/>
          <w:highlight w:val="none"/>
        </w:rPr>
        <w:t>（1）被住房城乡建设行政主管部门在全国建筑市场监管一体化工作平台列入建筑市场主体“黑名单”；</w:t>
      </w:r>
    </w:p>
    <w:p>
      <w:pPr>
        <w:pStyle w:val="35"/>
        <w:spacing w:after="0" w:line="360" w:lineRule="auto"/>
        <w:ind w:firstLine="480" w:firstLineChars="200"/>
        <w:rPr>
          <w:rFonts w:ascii="宋体"/>
          <w:strike/>
          <w:color w:val="auto"/>
          <w:sz w:val="24"/>
          <w:highlight w:val="none"/>
        </w:rPr>
      </w:pPr>
      <w:r>
        <w:rPr>
          <w:rFonts w:hint="eastAsia" w:ascii="宋体" w:hAnsi="宋体"/>
          <w:strike w:val="0"/>
          <w:color w:val="auto"/>
          <w:sz w:val="24"/>
          <w:highlight w:val="none"/>
        </w:rPr>
        <w:t>（2）被发改委、人力资源社会保障、质检总局等有关部门、单位在“信用中国”网站中列入联合惩戒失信黑名单。</w:t>
      </w:r>
    </w:p>
    <w:p>
      <w:pPr>
        <w:pStyle w:val="3"/>
        <w:rPr>
          <w:color w:val="auto"/>
          <w:highlight w:val="none"/>
        </w:rPr>
      </w:pPr>
      <w:r>
        <w:rPr>
          <w:rFonts w:ascii="宋体"/>
          <w:color w:val="auto"/>
          <w:sz w:val="24"/>
          <w:highlight w:val="none"/>
        </w:rPr>
        <w:br w:type="page"/>
      </w:r>
      <w:bookmarkStart w:id="18" w:name="_Toc2272554"/>
      <w:bookmarkStart w:id="19" w:name="_Toc21525498"/>
      <w:r>
        <w:rPr>
          <w:rFonts w:hint="eastAsia"/>
          <w:color w:val="auto"/>
          <w:highlight w:val="none"/>
        </w:rPr>
        <w:t>第二章开标、评标及定标办法</w:t>
      </w:r>
      <w:bookmarkEnd w:id="18"/>
      <w:bookmarkEnd w:id="19"/>
    </w:p>
    <w:p>
      <w:pPr>
        <w:pStyle w:val="2"/>
        <w:rPr>
          <w:color w:val="auto"/>
          <w:highlight w:val="none"/>
        </w:rPr>
      </w:pPr>
      <w:bookmarkStart w:id="20" w:name="_Toc21525499"/>
      <w:bookmarkStart w:id="21" w:name="_Toc2272555"/>
      <w:r>
        <w:rPr>
          <w:rFonts w:hint="eastAsia"/>
          <w:color w:val="auto"/>
          <w:sz w:val="28"/>
          <w:szCs w:val="28"/>
          <w:highlight w:val="none"/>
        </w:rPr>
        <w:t>一、</w:t>
      </w:r>
      <w:r>
        <w:rPr>
          <w:rFonts w:hint="eastAsia"/>
          <w:color w:val="auto"/>
          <w:highlight w:val="none"/>
        </w:rPr>
        <w:t>开标、评标及定标办法修改表</w:t>
      </w:r>
      <w:bookmarkEnd w:id="20"/>
      <w:bookmarkEnd w:id="21"/>
    </w:p>
    <w:p>
      <w:pPr>
        <w:pStyle w:val="3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b/>
          <w:color w:val="auto"/>
          <w:szCs w:val="21"/>
          <w:highlight w:val="none"/>
        </w:rPr>
        <w:t>http://zfcj.gz.gov.cn/</w:t>
      </w:r>
      <w:r>
        <w:rPr>
          <w:rStyle w:val="45"/>
          <w:rFonts w:hint="eastAsia"/>
          <w:b/>
          <w:color w:val="auto"/>
          <w:szCs w:val="21"/>
          <w:highlight w:val="none"/>
        </w:rPr>
        <w:t>）下载GZZB2018-3</w:t>
      </w:r>
      <w:r>
        <w:rPr>
          <w:rStyle w:val="45"/>
          <w:rFonts w:hint="eastAsia"/>
          <w:b/>
          <w:color w:val="auto"/>
          <w:szCs w:val="21"/>
          <w:highlight w:val="none"/>
        </w:rPr>
        <w:fldChar w:fldCharType="end"/>
      </w:r>
      <w:r>
        <w:rPr>
          <w:rFonts w:hint="eastAsia"/>
          <w:b/>
          <w:color w:val="auto"/>
          <w:szCs w:val="21"/>
          <w:highlight w:val="none"/>
        </w:rPr>
        <w:t>范本查阅。</w:t>
      </w:r>
    </w:p>
    <w:p>
      <w:pPr>
        <w:pStyle w:val="35"/>
        <w:spacing w:after="0" w:line="360" w:lineRule="auto"/>
        <w:rPr>
          <w:b/>
          <w:color w:val="auto"/>
          <w:szCs w:val="21"/>
          <w:highlight w:val="none"/>
        </w:rPr>
      </w:pP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36.1</w:t>
      </w:r>
      <w:r>
        <w:rPr>
          <w:rFonts w:hint="eastAsia" w:ascii="宋体" w:hAnsi="宋体" w:cs="宋体"/>
          <w:color w:val="auto"/>
          <w:szCs w:val="21"/>
          <w:highlight w:val="none"/>
        </w:rPr>
        <w:t xml:space="preserve">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 xml:space="preserve">36.1 </w:t>
      </w:r>
      <w:r>
        <w:rPr>
          <w:rFonts w:hint="eastAsia" w:ascii="宋体" w:hAnsi="宋体" w:cs="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36.3</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36.4</w:t>
      </w:r>
      <w:r>
        <w:rPr>
          <w:rFonts w:hint="eastAsia" w:ascii="宋体" w:hAnsi="宋体" w:cs="宋体"/>
          <w:color w:val="auto"/>
          <w:szCs w:val="21"/>
          <w:highlight w:val="none"/>
        </w:rPr>
        <w:t>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36.4</w:t>
      </w:r>
      <w:r>
        <w:rPr>
          <w:rFonts w:hint="eastAsia" w:ascii="宋体" w:hAnsi="宋体" w:cs="宋体"/>
          <w:color w:val="auto"/>
          <w:szCs w:val="21"/>
          <w:highlight w:val="none"/>
        </w:rPr>
        <w:t>若递交投标文件的投标人不足3家，则重新组织招标。</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36.5.1</w:t>
      </w:r>
      <w:r>
        <w:rPr>
          <w:rFonts w:hint="eastAsia" w:ascii="宋体" w:hAnsi="宋体" w:cs="宋体"/>
          <w:color w:val="auto"/>
          <w:szCs w:val="21"/>
          <w:highlight w:val="non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36.5.1</w:t>
      </w:r>
      <w:r>
        <w:rPr>
          <w:rFonts w:hint="eastAsia" w:ascii="宋体" w:hAnsi="宋体" w:cs="宋体"/>
          <w:color w:val="auto"/>
          <w:szCs w:val="21"/>
          <w:highlight w:val="none"/>
        </w:rPr>
        <w:t>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72" w:firstLineChars="224"/>
        <w:rPr>
          <w:b/>
          <w:color w:val="auto"/>
          <w:szCs w:val="21"/>
          <w:highlight w:val="none"/>
        </w:rPr>
      </w:pPr>
      <w:r>
        <w:rPr>
          <w:rFonts w:hint="eastAsia"/>
          <w:b/>
          <w:color w:val="auto"/>
          <w:szCs w:val="21"/>
          <w:highlight w:val="none"/>
        </w:rPr>
        <w:t>条款号：可选办法一修改类型：删除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可选办法一（适合综合评分法一，技术标与经济标先后分别开启）</w:t>
      </w:r>
    </w:p>
    <w:p>
      <w:pPr>
        <w:spacing w:line="360" w:lineRule="auto"/>
        <w:ind w:firstLine="472" w:firstLineChars="224"/>
        <w:rPr>
          <w:b/>
          <w:color w:val="auto"/>
          <w:szCs w:val="21"/>
          <w:highlight w:val="none"/>
        </w:rPr>
      </w:pPr>
      <w:r>
        <w:rPr>
          <w:rFonts w:hint="eastAsia"/>
          <w:b/>
          <w:color w:val="auto"/>
          <w:szCs w:val="21"/>
          <w:highlight w:val="none"/>
        </w:rPr>
        <w:t>条款号：可选办法二修改类型：删除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可选办法二（适合综合评分法一，技术标与经济标同时开启）</w:t>
      </w:r>
    </w:p>
    <w:p>
      <w:pPr>
        <w:spacing w:line="360" w:lineRule="auto"/>
        <w:ind w:firstLine="472" w:firstLineChars="224"/>
        <w:rPr>
          <w:b/>
          <w:color w:val="auto"/>
          <w:szCs w:val="21"/>
          <w:highlight w:val="none"/>
        </w:rPr>
      </w:pPr>
      <w:r>
        <w:rPr>
          <w:rFonts w:hint="eastAsia"/>
          <w:b/>
          <w:color w:val="auto"/>
          <w:szCs w:val="21"/>
          <w:highlight w:val="none"/>
        </w:rPr>
        <w:t>条款号：可选办法三修改类型：删除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可选办法三</w:t>
      </w:r>
    </w:p>
    <w:p>
      <w:pPr>
        <w:spacing w:line="360" w:lineRule="auto"/>
        <w:ind w:firstLine="472" w:firstLineChars="224"/>
        <w:rPr>
          <w:b/>
          <w:color w:val="auto"/>
          <w:szCs w:val="21"/>
          <w:highlight w:val="none"/>
        </w:rPr>
      </w:pPr>
      <w:r>
        <w:rPr>
          <w:rFonts w:hint="eastAsia"/>
          <w:b/>
          <w:color w:val="auto"/>
          <w:szCs w:val="21"/>
          <w:highlight w:val="none"/>
        </w:rPr>
        <w:t>条款号：可选办法四修改类型：删除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可选办法四（适合综合评分法二，技术标与经济标同时开启）</w:t>
      </w:r>
    </w:p>
    <w:p>
      <w:pPr>
        <w:spacing w:line="360" w:lineRule="auto"/>
        <w:ind w:firstLine="472" w:firstLineChars="224"/>
        <w:rPr>
          <w:b/>
          <w:color w:val="auto"/>
          <w:szCs w:val="21"/>
          <w:highlight w:val="none"/>
        </w:rPr>
      </w:pPr>
      <w:r>
        <w:rPr>
          <w:rFonts w:hint="eastAsia"/>
          <w:b/>
          <w:color w:val="auto"/>
          <w:szCs w:val="21"/>
          <w:highlight w:val="none"/>
        </w:rPr>
        <w:t>条款号：可选办法五修改类型：删除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可选办法五（适合综合评分法三，技术标与经济标先后分别开启）</w:t>
      </w:r>
    </w:p>
    <w:p>
      <w:pPr>
        <w:spacing w:line="360" w:lineRule="auto"/>
        <w:ind w:firstLine="472" w:firstLineChars="224"/>
        <w:rPr>
          <w:b/>
          <w:color w:val="auto"/>
          <w:szCs w:val="21"/>
          <w:highlight w:val="none"/>
        </w:rPr>
      </w:pPr>
      <w:r>
        <w:rPr>
          <w:rFonts w:hint="eastAsia"/>
          <w:b/>
          <w:color w:val="auto"/>
          <w:szCs w:val="21"/>
          <w:highlight w:val="none"/>
        </w:rPr>
        <w:t>条款号：可选办法六修改类型：删除</w:t>
      </w:r>
    </w:p>
    <w:p>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可选办法六（适合综合评分法三，技术标与经济标同时开启）</w:t>
      </w:r>
    </w:p>
    <w:p>
      <w:pPr>
        <w:spacing w:line="360" w:lineRule="auto"/>
        <w:ind w:firstLine="472" w:firstLineChars="224"/>
        <w:rPr>
          <w:b/>
          <w:color w:val="auto"/>
          <w:szCs w:val="21"/>
          <w:highlight w:val="none"/>
        </w:rPr>
      </w:pPr>
      <w:r>
        <w:rPr>
          <w:rFonts w:hint="eastAsia"/>
          <w:b/>
          <w:color w:val="auto"/>
          <w:szCs w:val="21"/>
          <w:highlight w:val="none"/>
        </w:rPr>
        <w:t>条款号：可选办法八修改类型：删除</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可选办法八（适合经评审的最低投标价法，技术标与经济标同时开启）</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原文：41.1</w:t>
      </w:r>
      <w:r>
        <w:rPr>
          <w:rFonts w:hint="eastAsia" w:ascii="宋体" w:hAnsi="宋体"/>
          <w:color w:val="auto"/>
          <w:sz w:val="24"/>
          <w:szCs w:val="24"/>
          <w:highlight w:val="none"/>
        </w:rPr>
        <w:t>开标由招标人主持</w:t>
      </w:r>
      <w:r>
        <w:rPr>
          <w:rFonts w:hint="eastAsia" w:ascii="宋体" w:hAnsi="宋体" w:cs="宋体"/>
          <w:bCs/>
          <w:color w:val="auto"/>
          <w:szCs w:val="21"/>
          <w:highlight w:val="none"/>
        </w:rPr>
        <w:t>。</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现文：41.1</w:t>
      </w:r>
      <w:r>
        <w:rPr>
          <w:rFonts w:hint="eastAsia" w:ascii="宋体" w:hAnsi="宋体"/>
          <w:color w:val="auto"/>
          <w:sz w:val="24"/>
          <w:szCs w:val="24"/>
          <w:highlight w:val="none"/>
        </w:rPr>
        <w:t>开标由招标人</w:t>
      </w:r>
      <w:r>
        <w:rPr>
          <w:rFonts w:hint="eastAsia" w:ascii="宋体" w:hAnsi="宋体"/>
          <w:color w:val="auto"/>
          <w:sz w:val="24"/>
          <w:szCs w:val="24"/>
          <w:highlight w:val="none"/>
          <w:u w:val="single"/>
        </w:rPr>
        <w:t>或招标代理</w:t>
      </w:r>
      <w:r>
        <w:rPr>
          <w:rFonts w:hint="eastAsia" w:ascii="宋体" w:hAnsi="宋体"/>
          <w:color w:val="auto"/>
          <w:sz w:val="24"/>
          <w:szCs w:val="24"/>
          <w:highlight w:val="none"/>
        </w:rPr>
        <w:t>主持</w:t>
      </w:r>
      <w:r>
        <w:rPr>
          <w:rFonts w:hint="eastAsia" w:ascii="宋体" w:hAnsi="宋体" w:cs="宋体"/>
          <w:bCs/>
          <w:color w:val="auto"/>
          <w:szCs w:val="21"/>
          <w:highlight w:val="non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原文：41.2.1</w:t>
      </w:r>
      <w:r>
        <w:rPr>
          <w:rFonts w:hint="eastAsia" w:ascii="宋体" w:hAnsi="宋体" w:cs="宋体"/>
          <w:bCs/>
          <w:color w:val="auto"/>
          <w:szCs w:val="21"/>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现文：41.2.1</w:t>
      </w:r>
      <w:r>
        <w:rPr>
          <w:rFonts w:hint="eastAsia" w:ascii="宋体" w:hAnsi="宋体" w:cs="宋体"/>
          <w:bCs/>
          <w:color w:val="auto"/>
          <w:szCs w:val="21"/>
          <w:highlight w:val="none"/>
        </w:rPr>
        <w:t>投标截止期前，各投标人递交投标文件（包括技术标投标文件、经济标投标文件）至</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交易平台。有关投标文件提交的事项详见第一章投标须知。</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原文：41.2.2</w:t>
      </w:r>
      <w:r>
        <w:rPr>
          <w:rFonts w:hint="eastAsia" w:ascii="宋体" w:hAnsi="宋体" w:cs="宋体"/>
          <w:bCs/>
          <w:color w:val="auto"/>
          <w:szCs w:val="21"/>
          <w:highlight w:val="none"/>
        </w:rPr>
        <w:t>开标前，首先由招标人随机抽取确定该工程计算评标参考价的等分点值X。</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42.1评标委员会的组成：评标委员会由招标人依法组建。</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条款号：43.6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43.6</w:t>
      </w:r>
      <w:r>
        <w:rPr>
          <w:rFonts w:hint="eastAsia" w:ascii="宋体" w:hAnsi="宋体" w:cs="宋体"/>
          <w:color w:val="auto"/>
          <w:szCs w:val="21"/>
          <w:highlight w:val="none"/>
        </w:rPr>
        <w:t>资格审查合格的投标人少于3名的（当N个标段同时招标且不允许兼中时，资格审查合格的投标人少于N+2名），则本项目招标失败。</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42.6</w:t>
      </w:r>
      <w:r>
        <w:rPr>
          <w:rFonts w:hint="eastAsia" w:ascii="宋体" w:hAnsi="宋体" w:cs="宋体"/>
          <w:color w:val="auto"/>
          <w:szCs w:val="21"/>
          <w:highlight w:val="none"/>
        </w:rPr>
        <w:t>资格审查合格的投标人少于3名的，则本项目招标失败。</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hint="eastAsia" w:eastAsia="宋体"/>
          <w:b/>
          <w:color w:val="auto"/>
          <w:szCs w:val="21"/>
          <w:highlight w:val="none"/>
          <w:lang w:val="en-US" w:eastAsia="zh-CN"/>
        </w:rPr>
      </w:pPr>
      <w:r>
        <w:rPr>
          <w:rFonts w:hint="eastAsia"/>
          <w:b/>
          <w:color w:val="auto"/>
          <w:szCs w:val="21"/>
          <w:highlight w:val="none"/>
        </w:rPr>
        <w:t>条款号：4</w:t>
      </w:r>
      <w:r>
        <w:rPr>
          <w:b/>
          <w:color w:val="auto"/>
          <w:szCs w:val="21"/>
          <w:highlight w:val="none"/>
        </w:rPr>
        <w:t xml:space="preserve">5.1             </w:t>
      </w:r>
      <w:r>
        <w:rPr>
          <w:rFonts w:hint="eastAsia"/>
          <w:b/>
          <w:color w:val="auto"/>
          <w:szCs w:val="21"/>
          <w:highlight w:val="none"/>
        </w:rPr>
        <w:t>修改类型：</w:t>
      </w:r>
      <w:r>
        <w:rPr>
          <w:rFonts w:hint="eastAsia"/>
          <w:b/>
          <w:color w:val="auto"/>
          <w:szCs w:val="21"/>
          <w:highlight w:val="none"/>
          <w:lang w:val="en-US" w:eastAsia="zh-CN"/>
        </w:rPr>
        <w:t>修改</w:t>
      </w:r>
    </w:p>
    <w:p>
      <w:pPr>
        <w:pBdr>
          <w:bottom w:val="single" w:color="auto" w:sz="6" w:space="1"/>
        </w:pBdr>
        <w:spacing w:line="360" w:lineRule="auto"/>
        <w:ind w:firstLine="472" w:firstLineChars="224"/>
        <w:rPr>
          <w:rFonts w:hint="eastAsia"/>
          <w:color w:val="auto"/>
          <w:szCs w:val="21"/>
          <w:highlight w:val="none"/>
        </w:rPr>
      </w:pPr>
      <w:r>
        <w:rPr>
          <w:rFonts w:hint="eastAsia"/>
          <w:b/>
          <w:color w:val="auto"/>
          <w:szCs w:val="21"/>
          <w:highlight w:val="none"/>
        </w:rPr>
        <w:t>原文：</w:t>
      </w:r>
      <w:r>
        <w:rPr>
          <w:rFonts w:hint="eastAsia"/>
          <w:color w:val="auto"/>
          <w:szCs w:val="21"/>
          <w:highlight w:val="none"/>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2" w:firstLineChars="200"/>
        <w:rPr>
          <w:rFonts w:hint="eastAsia" w:ascii="宋体" w:hAnsi="宋体"/>
          <w:color w:val="auto"/>
          <w:sz w:val="21"/>
          <w:szCs w:val="21"/>
          <w:highlight w:val="none"/>
        </w:rPr>
      </w:pPr>
      <w:r>
        <w:rPr>
          <w:rFonts w:hint="eastAsia" w:ascii="宋体" w:hAnsi="宋体" w:cs="宋体"/>
          <w:b/>
          <w:color w:val="auto"/>
          <w:szCs w:val="21"/>
          <w:highlight w:val="none"/>
        </w:rPr>
        <w:t>现文：</w:t>
      </w:r>
      <w:r>
        <w:rPr>
          <w:rFonts w:hint="eastAsia" w:ascii="宋体" w:hAnsi="宋体"/>
          <w:color w:val="auto"/>
          <w:sz w:val="21"/>
          <w:szCs w:val="21"/>
          <w:highlight w:val="none"/>
        </w:rPr>
        <w:t>若所有通过技术标有效性审查的投标人的投标报价均大于等于最高投标限价*</w:t>
      </w:r>
      <w:r>
        <w:rPr>
          <w:rFonts w:hint="eastAsia" w:ascii="宋体" w:hAnsi="宋体"/>
          <w:color w:val="auto"/>
          <w:sz w:val="21"/>
          <w:szCs w:val="21"/>
          <w:highlight w:val="none"/>
          <w:lang w:val="en-US" w:eastAsia="zh-CN"/>
        </w:rPr>
        <w:t>100</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ascii="宋体" w:hAnsi="宋体" w:eastAsia="宋体" w:cs="宋体"/>
          <w:color w:val="auto"/>
          <w:szCs w:val="21"/>
          <w:highlight w:val="none"/>
        </w:rPr>
        <w:t>D</w:t>
      </w:r>
      <w:r>
        <w:rPr>
          <w:rFonts w:hint="eastAsia" w:ascii="宋体" w:hAnsi="宋体" w:eastAsia="宋体" w:cs="宋体"/>
          <w:color w:val="auto"/>
          <w:szCs w:val="21"/>
          <w:highlight w:val="none"/>
        </w:rPr>
        <w:t>值为</w:t>
      </w:r>
      <w:r>
        <w:rPr>
          <w:rFonts w:hint="eastAsia" w:ascii="宋体" w:hAnsi="宋体" w:cs="宋体"/>
          <w:color w:val="auto"/>
          <w:szCs w:val="21"/>
          <w:highlight w:val="none"/>
          <w:u w:val="single"/>
          <w:lang w:val="en-US" w:eastAsia="zh-CN"/>
        </w:rPr>
        <w:t>97</w:t>
      </w:r>
      <w:r>
        <w:rPr>
          <w:rFonts w:hint="eastAsia" w:ascii="宋体" w:hAnsi="宋体" w:eastAsia="宋体" w:cs="宋体"/>
          <w:color w:val="auto"/>
          <w:szCs w:val="21"/>
          <w:highlight w:val="none"/>
        </w:rPr>
        <w:t>，</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的</w:t>
      </w:r>
      <w:r>
        <w:rPr>
          <w:rFonts w:hint="eastAsia" w:ascii="宋体" w:hAnsi="宋体"/>
          <w:color w:val="auto"/>
          <w:sz w:val="21"/>
          <w:szCs w:val="21"/>
          <w:highlight w:val="none"/>
        </w:rPr>
        <w:t>（具体金额为：</w:t>
      </w:r>
      <w:r>
        <w:rPr>
          <w:rFonts w:hint="eastAsia" w:ascii="宋体" w:hAnsi="宋体" w:cs="宋体"/>
          <w:color w:val="auto"/>
          <w:sz w:val="21"/>
          <w:szCs w:val="21"/>
          <w:highlight w:val="none"/>
          <w:u w:val="single"/>
          <w:lang w:val="en-US" w:eastAsia="zh-CN"/>
        </w:rPr>
        <w:t>7265008.79</w:t>
      </w:r>
      <w:r>
        <w:rPr>
          <w:rFonts w:hint="eastAsia" w:ascii="宋体" w:hAnsi="宋体"/>
          <w:color w:val="auto"/>
          <w:sz w:val="21"/>
          <w:szCs w:val="21"/>
          <w:highlight w:val="none"/>
        </w:rPr>
        <w:t>元），则本项目招标失败，由招标人依法重新招标。</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条款号：4</w:t>
      </w:r>
      <w:r>
        <w:rPr>
          <w:rFonts w:ascii="宋体" w:hAnsi="宋体"/>
          <w:b/>
          <w:color w:val="auto"/>
          <w:szCs w:val="21"/>
          <w:highlight w:val="none"/>
        </w:rPr>
        <w:t xml:space="preserve">5.2          </w:t>
      </w:r>
      <w:r>
        <w:rPr>
          <w:rFonts w:hint="eastAsia" w:ascii="宋体" w:hAnsi="宋体"/>
          <w:b/>
          <w:color w:val="auto"/>
          <w:szCs w:val="21"/>
          <w:highlight w:val="none"/>
        </w:rPr>
        <w:t>修改类型：修改</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原文</w:t>
      </w:r>
      <w:r>
        <w:rPr>
          <w:rFonts w:hint="eastAsia" w:ascii="宋体" w:hAnsi="宋体"/>
          <w:b/>
          <w:color w:val="auto"/>
          <w:highlight w:val="none"/>
        </w:rPr>
        <w:t>：</w:t>
      </w:r>
      <w:r>
        <w:rPr>
          <w:rFonts w:hint="eastAsia" w:ascii="宋体" w:hAnsi="宋体"/>
          <w:color w:val="auto"/>
          <w:highlight w:val="none"/>
        </w:rPr>
        <w:t>4</w:t>
      </w:r>
      <w:r>
        <w:rPr>
          <w:rFonts w:ascii="宋体" w:hAnsi="宋体"/>
          <w:color w:val="auto"/>
          <w:highlight w:val="none"/>
        </w:rPr>
        <w:t>5.2</w:t>
      </w:r>
      <w:r>
        <w:rPr>
          <w:rFonts w:hint="eastAsia" w:ascii="宋体" w:hAnsi="宋体"/>
          <w:color w:val="auto"/>
          <w:highlight w:val="none"/>
        </w:rPr>
        <w:t>按方法计算评标参考价：</w:t>
      </w:r>
    </w:p>
    <w:p>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方法一：加权平均法</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技术标或技术标加诚信得分或技术入围得分（具体由招标人自定）前</w:t>
      </w:r>
      <w:r>
        <w:rPr>
          <w:rFonts w:ascii="宋体" w:hAnsi="宋体"/>
          <w:color w:val="auto"/>
          <w:highlight w:val="none"/>
        </w:rPr>
        <w:t>N</w:t>
      </w:r>
      <w:r>
        <w:rPr>
          <w:rFonts w:hint="eastAsia" w:ascii="宋体" w:hAnsi="宋体"/>
          <w:color w:val="auto"/>
          <w:highlight w:val="none"/>
        </w:rPr>
        <w:t>名（N≥5，具体由招标人自定）的经济报价加权平均，计算评标参考价。公式如下：</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Σ（投标人的投标报价</w:t>
      </w:r>
      <w:r>
        <w:rPr>
          <w:rFonts w:ascii="宋体" w:hAnsi="宋体"/>
          <w:color w:val="auto"/>
          <w:highlight w:val="none"/>
        </w:rPr>
        <w:t>*</w:t>
      </w:r>
      <w:r>
        <w:rPr>
          <w:rFonts w:hint="eastAsia" w:ascii="宋体" w:hAnsi="宋体"/>
          <w:color w:val="auto"/>
          <w:highlight w:val="none"/>
        </w:rPr>
        <w:t>报价权重）。</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其中：报价权重的计算方法为：将</w:t>
      </w:r>
      <w:r>
        <w:rPr>
          <w:rFonts w:ascii="宋体" w:hAnsi="宋体"/>
          <w:color w:val="auto"/>
          <w:highlight w:val="none"/>
        </w:rPr>
        <w:t>N</w:t>
      </w:r>
      <w:r>
        <w:rPr>
          <w:rFonts w:hint="eastAsia" w:ascii="宋体" w:hAnsi="宋体"/>
          <w:color w:val="auto"/>
          <w:highlight w:val="none"/>
        </w:rPr>
        <w:t>名投标人按技术分由高至低进行排序，第一名投标人的权重为（</w:t>
      </w:r>
      <w:r>
        <w:rPr>
          <w:rFonts w:ascii="宋体" w:hAnsi="宋体"/>
          <w:color w:val="auto"/>
          <w:highlight w:val="none"/>
        </w:rPr>
        <w:fldChar w:fldCharType="begin"/>
      </w:r>
      <w:r>
        <w:rPr>
          <w:rFonts w:ascii="宋体" w:hAnsi="宋体"/>
          <w:color w:val="auto"/>
          <w:highlight w:val="none"/>
        </w:rPr>
        <w:instrText xml:space="preserve"> QUOTE </w:instrText>
      </w:r>
      <w:r>
        <w:rPr>
          <w:rFonts w:ascii="宋体" w:hAnsi="宋体"/>
          <w:color w:val="auto"/>
          <w:highlight w:val="none"/>
        </w:rPr>
        <w:drawing>
          <wp:inline distT="0" distB="0" distL="114300" distR="114300">
            <wp:extent cx="381000" cy="450850"/>
            <wp:effectExtent l="0" t="0" r="0" b="635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50850"/>
                    </a:xfrm>
                    <a:prstGeom prst="rect">
                      <a:avLst/>
                    </a:prstGeom>
                    <a:noFill/>
                    <a:ln>
                      <a:noFill/>
                    </a:ln>
                  </pic:spPr>
                </pic:pic>
              </a:graphicData>
            </a:graphic>
          </wp:inline>
        </w:drawing>
      </w:r>
      <w:r>
        <w:rPr>
          <w:rFonts w:ascii="宋体" w:hAnsi="宋体"/>
          <w:color w:val="auto"/>
          <w:highlight w:val="none"/>
        </w:rPr>
        <w:instrText xml:space="preserve"> \* MERGEFORMAT </w:instrText>
      </w:r>
      <w:r>
        <w:rPr>
          <w:rFonts w:ascii="宋体" w:hAnsi="宋体"/>
          <w:color w:val="auto"/>
          <w:highlight w:val="none"/>
        </w:rPr>
        <w:fldChar w:fldCharType="separate"/>
      </w:r>
      <w:r>
        <w:rPr>
          <w:rFonts w:ascii="宋体" w:hAnsi="宋体"/>
          <w:color w:val="auto"/>
          <w:highlight w:val="none"/>
        </w:rPr>
        <w:drawing>
          <wp:inline distT="0" distB="0" distL="114300" distR="114300">
            <wp:extent cx="215900" cy="255270"/>
            <wp:effectExtent l="0" t="0" r="12700" b="1143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215900" cy="255270"/>
                    </a:xfrm>
                    <a:prstGeom prst="rect">
                      <a:avLst/>
                    </a:prstGeom>
                    <a:noFill/>
                    <a:ln>
                      <a:noFill/>
                    </a:ln>
                  </pic:spPr>
                </pic:pic>
              </a:graphicData>
            </a:graphic>
          </wp:inline>
        </w:drawing>
      </w:r>
      <w:r>
        <w:rPr>
          <w:rFonts w:ascii="宋体" w:hAnsi="宋体"/>
          <w:color w:val="auto"/>
          <w:highlight w:val="none"/>
        </w:rPr>
        <w:fldChar w:fldCharType="end"/>
      </w:r>
      <w:r>
        <w:rPr>
          <w:rFonts w:hint="eastAsia" w:ascii="宋体" w:hAnsi="宋体"/>
          <w:color w:val="auto"/>
          <w:highlight w:val="none"/>
        </w:rPr>
        <w:t>），第二名投标人的权重为（</w:t>
      </w:r>
      <w:r>
        <w:rPr>
          <w:rFonts w:ascii="宋体" w:hAnsi="宋体"/>
          <w:color w:val="auto"/>
          <w:highlight w:val="none"/>
        </w:rPr>
        <w:fldChar w:fldCharType="begin"/>
      </w:r>
      <w:r>
        <w:rPr>
          <w:rFonts w:ascii="宋体" w:hAnsi="宋体"/>
          <w:color w:val="auto"/>
          <w:highlight w:val="none"/>
        </w:rPr>
        <w:instrText xml:space="preserve"> QUOTE </w:instrText>
      </w:r>
      <w:r>
        <w:rPr>
          <w:rFonts w:ascii="宋体" w:hAnsi="宋体"/>
          <w:color w:val="auto"/>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highlight w:val="none"/>
        </w:rPr>
        <w:instrText xml:space="preserve"> \* MERGEFORMAT </w:instrText>
      </w:r>
      <w:r>
        <w:rPr>
          <w:rFonts w:ascii="宋体" w:hAnsi="宋体"/>
          <w:color w:val="auto"/>
          <w:highlight w:val="none"/>
        </w:rPr>
        <w:fldChar w:fldCharType="separate"/>
      </w:r>
      <w:r>
        <w:rPr>
          <w:rFonts w:ascii="宋体" w:hAnsi="宋体"/>
          <w:color w:val="auto"/>
          <w:highlight w:val="none"/>
        </w:rPr>
        <w:drawing>
          <wp:inline distT="0" distB="0" distL="114300" distR="114300">
            <wp:extent cx="209550" cy="259080"/>
            <wp:effectExtent l="0" t="0" r="0" b="6985"/>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09550" cy="259080"/>
                    </a:xfrm>
                    <a:prstGeom prst="rect">
                      <a:avLst/>
                    </a:prstGeom>
                    <a:noFill/>
                    <a:ln>
                      <a:noFill/>
                    </a:ln>
                  </pic:spPr>
                </pic:pic>
              </a:graphicData>
            </a:graphic>
          </wp:inline>
        </w:drawing>
      </w:r>
      <w:r>
        <w:rPr>
          <w:rFonts w:ascii="宋体" w:hAnsi="宋体"/>
          <w:color w:val="auto"/>
          <w:highlight w:val="none"/>
        </w:rPr>
        <w:fldChar w:fldCharType="end"/>
      </w:r>
      <w:r>
        <w:rPr>
          <w:rFonts w:hint="eastAsia" w:ascii="宋体" w:hAnsi="宋体"/>
          <w:color w:val="auto"/>
          <w:highlight w:val="none"/>
        </w:rPr>
        <w:t>），以此类推，最后一名投标人的权重为（</w:t>
      </w:r>
      <w:r>
        <w:rPr>
          <w:rFonts w:ascii="宋体" w:hAnsi="宋体"/>
          <w:color w:val="auto"/>
          <w:highlight w:val="none"/>
        </w:rPr>
        <w:fldChar w:fldCharType="begin"/>
      </w:r>
      <w:r>
        <w:rPr>
          <w:rFonts w:ascii="宋体" w:hAnsi="宋体"/>
          <w:color w:val="auto"/>
          <w:highlight w:val="none"/>
        </w:rPr>
        <w:instrText xml:space="preserve"> QUOTE </w:instrText>
      </w:r>
      <w:r>
        <w:rPr>
          <w:rFonts w:ascii="宋体" w:hAnsi="宋体"/>
          <w:color w:val="auto"/>
          <w:highlight w:val="none"/>
        </w:rPr>
        <w:drawing>
          <wp:inline distT="0" distB="0" distL="114300" distR="114300">
            <wp:extent cx="323850" cy="400050"/>
            <wp:effectExtent l="0" t="0" r="0" b="0"/>
            <wp:docPr id="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olor w:val="auto"/>
          <w:highlight w:val="none"/>
        </w:rPr>
        <w:instrText xml:space="preserve"> \* MERGEFORMAT </w:instrText>
      </w:r>
      <w:r>
        <w:rPr>
          <w:rFonts w:ascii="宋体" w:hAnsi="宋体"/>
          <w:color w:val="auto"/>
          <w:highlight w:val="none"/>
        </w:rPr>
        <w:fldChar w:fldCharType="separate"/>
      </w:r>
      <w:r>
        <w:rPr>
          <w:rFonts w:ascii="宋体" w:hAnsi="宋体"/>
          <w:color w:val="auto"/>
          <w:highlight w:val="none"/>
        </w:rPr>
        <w:drawing>
          <wp:inline distT="0" distB="0" distL="114300" distR="114300">
            <wp:extent cx="226060" cy="279400"/>
            <wp:effectExtent l="0" t="0" r="2540" b="5715"/>
            <wp:docPr id="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26060" cy="279400"/>
                    </a:xfrm>
                    <a:prstGeom prst="rect">
                      <a:avLst/>
                    </a:prstGeom>
                    <a:noFill/>
                    <a:ln>
                      <a:noFill/>
                    </a:ln>
                  </pic:spPr>
                </pic:pic>
              </a:graphicData>
            </a:graphic>
          </wp:inline>
        </w:drawing>
      </w:r>
      <w:r>
        <w:rPr>
          <w:rFonts w:ascii="宋体" w:hAnsi="宋体"/>
          <w:color w:val="auto"/>
          <w:highlight w:val="none"/>
        </w:rPr>
        <w:fldChar w:fldCharType="end"/>
      </w:r>
      <w:r>
        <w:rPr>
          <w:rFonts w:hint="eastAsia" w:ascii="宋体" w:hAnsi="宋体"/>
          <w:color w:val="auto"/>
          <w:highlight w:val="none"/>
        </w:rPr>
        <w:t>）。</w:t>
      </w:r>
    </w:p>
    <w:p>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方法二：区间抽取法</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设立入围合格分数线（技术标或技术标加诚信得分或技术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Q</w:t>
      </w:r>
      <w:r>
        <w:rPr>
          <w:rFonts w:hint="eastAsia" w:ascii="宋体" w:hAnsi="宋体"/>
          <w:color w:val="auto"/>
          <w:highlight w:val="none"/>
        </w:rPr>
        <w:t>高</w:t>
      </w:r>
      <w:r>
        <w:rPr>
          <w:rFonts w:ascii="宋体" w:hAnsi="宋体"/>
          <w:color w:val="auto"/>
          <w:highlight w:val="none"/>
        </w:rPr>
        <w:t>-Q</w:t>
      </w:r>
      <w:r>
        <w:rPr>
          <w:rFonts w:hint="eastAsia" w:ascii="宋体" w:hAnsi="宋体"/>
          <w:color w:val="auto"/>
          <w:highlight w:val="none"/>
        </w:rPr>
        <w:t>低）</w:t>
      </w:r>
      <w:r>
        <w:rPr>
          <w:rFonts w:ascii="宋体" w:hAnsi="宋体"/>
          <w:color w:val="auto"/>
          <w:highlight w:val="none"/>
        </w:rPr>
        <w:t>/100*</w:t>
      </w:r>
      <w:r>
        <w:rPr>
          <w:rFonts w:hint="eastAsia" w:ascii="宋体" w:hAnsi="宋体"/>
          <w:color w:val="auto"/>
          <w:highlight w:val="none"/>
        </w:rPr>
        <w:t>Ｘ</w:t>
      </w:r>
      <w:r>
        <w:rPr>
          <w:rFonts w:ascii="宋体" w:hAnsi="宋体"/>
          <w:color w:val="auto"/>
          <w:highlight w:val="none"/>
        </w:rPr>
        <w:t>+Q</w:t>
      </w:r>
      <w:r>
        <w:rPr>
          <w:rFonts w:hint="eastAsia" w:ascii="宋体" w:hAnsi="宋体"/>
          <w:color w:val="auto"/>
          <w:highlight w:val="none"/>
        </w:rPr>
        <w:t>低</w:t>
      </w:r>
    </w:p>
    <w:p>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低：为达到或超过技术标及格分数线的投标人最低报价与工程成本警示价两者中的较高值；</w:t>
      </w:r>
    </w:p>
    <w:p>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高：为（最高投标限价</w:t>
      </w:r>
      <w:r>
        <w:rPr>
          <w:rFonts w:ascii="宋体" w:hAnsi="宋体"/>
          <w:color w:val="auto"/>
          <w:highlight w:val="none"/>
        </w:rPr>
        <w:t>*D%</w:t>
      </w:r>
      <w:r>
        <w:rPr>
          <w:rFonts w:hint="eastAsia" w:ascii="宋体" w:hAnsi="宋体"/>
          <w:color w:val="auto"/>
          <w:highlight w:val="none"/>
        </w:rPr>
        <w:t>）（</w:t>
      </w:r>
      <w:r>
        <w:rPr>
          <w:rFonts w:ascii="宋体" w:hAnsi="宋体"/>
          <w:color w:val="auto"/>
          <w:highlight w:val="none"/>
        </w:rPr>
        <w:t>D</w:t>
      </w:r>
      <w:r>
        <w:rPr>
          <w:rFonts w:hint="eastAsia" w:ascii="宋体" w:hAnsi="宋体"/>
          <w:color w:val="auto"/>
          <w:highlight w:val="none"/>
        </w:rPr>
        <w:t>的取值范围为</w:t>
      </w:r>
      <w:r>
        <w:rPr>
          <w:rFonts w:ascii="宋体" w:hAnsi="宋体"/>
          <w:color w:val="auto"/>
          <w:highlight w:val="none"/>
        </w:rPr>
        <w:t>[94,100],</w:t>
      </w:r>
      <w:r>
        <w:rPr>
          <w:rFonts w:hint="eastAsia" w:ascii="宋体" w:hAnsi="宋体"/>
          <w:color w:val="auto"/>
          <w:highlight w:val="none"/>
        </w:rPr>
        <w:t>由招标人自定）</w:t>
      </w:r>
    </w:p>
    <w:p>
      <w:pPr>
        <w:pBdr>
          <w:bottom w:val="single" w:color="auto" w:sz="6" w:space="1"/>
        </w:pBdr>
        <w:spacing w:line="360" w:lineRule="auto"/>
        <w:ind w:firstLine="525" w:firstLineChars="250"/>
        <w:rPr>
          <w:rFonts w:ascii="宋体" w:hAnsi="宋体" w:cs="仿宋"/>
          <w:color w:val="auto"/>
          <w:sz w:val="24"/>
          <w:szCs w:val="24"/>
          <w:highlight w:val="none"/>
        </w:rPr>
      </w:pPr>
      <w:r>
        <w:rPr>
          <w:rFonts w:ascii="宋体" w:hAnsi="宋体"/>
          <w:color w:val="auto"/>
          <w:highlight w:val="none"/>
        </w:rPr>
        <w:t>X:</w:t>
      </w:r>
      <w:r>
        <w:rPr>
          <w:rFonts w:hint="eastAsia" w:ascii="宋体" w:hAnsi="宋体"/>
          <w:color w:val="auto"/>
          <w:highlight w:val="none"/>
        </w:rPr>
        <w:t>为等分点值，从</w:t>
      </w:r>
      <w:r>
        <w:rPr>
          <w:rFonts w:ascii="宋体" w:hAnsi="宋体"/>
          <w:color w:val="auto"/>
          <w:highlight w:val="none"/>
        </w:rPr>
        <w:t>[0,100]</w:t>
      </w:r>
      <w:r>
        <w:rPr>
          <w:rFonts w:hint="eastAsia" w:ascii="宋体" w:hAnsi="宋体"/>
          <w:color w:val="auto"/>
          <w:highlight w:val="none"/>
        </w:rPr>
        <w:t>整数中随机抽取</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highlight w:val="none"/>
        </w:rPr>
        <w:t>4</w:t>
      </w:r>
      <w:r>
        <w:rPr>
          <w:rFonts w:ascii="宋体" w:hAnsi="宋体"/>
          <w:color w:val="auto"/>
          <w:highlight w:val="none"/>
        </w:rPr>
        <w:t>5.2</w:t>
      </w:r>
      <w:r>
        <w:rPr>
          <w:rFonts w:hint="eastAsia" w:ascii="宋体" w:hAnsi="宋体"/>
          <w:color w:val="auto"/>
          <w:highlight w:val="none"/>
        </w:rPr>
        <w:t>按方法</w:t>
      </w:r>
      <w:r>
        <w:rPr>
          <w:rFonts w:hint="eastAsia" w:ascii="宋体" w:hAnsi="宋体"/>
          <w:color w:val="auto"/>
          <w:highlight w:val="none"/>
          <w:u w:val="single"/>
        </w:rPr>
        <w:t xml:space="preserve">  一  </w:t>
      </w:r>
      <w:r>
        <w:rPr>
          <w:rFonts w:hint="eastAsia" w:ascii="宋体" w:hAnsi="宋体"/>
          <w:color w:val="auto"/>
          <w:highlight w:val="none"/>
        </w:rPr>
        <w:t>计算评标参考价：</w:t>
      </w:r>
    </w:p>
    <w:p>
      <w:pPr>
        <w:pBdr>
          <w:bottom w:val="single" w:color="auto" w:sz="6" w:space="1"/>
        </w:pBdr>
        <w:spacing w:line="360" w:lineRule="auto"/>
        <w:ind w:firstLine="527" w:firstLineChars="250"/>
        <w:rPr>
          <w:rFonts w:hint="eastAsia" w:ascii="宋体" w:hAnsi="宋体"/>
          <w:b/>
          <w:color w:val="auto"/>
          <w:highlight w:val="none"/>
        </w:rPr>
      </w:pPr>
      <w:r>
        <w:rPr>
          <w:rFonts w:hint="eastAsia" w:ascii="宋体" w:hAnsi="宋体"/>
          <w:b/>
          <w:color w:val="auto"/>
          <w:highlight w:val="none"/>
        </w:rPr>
        <w:t>方法一：加权平均法</w:t>
      </w:r>
    </w:p>
    <w:p>
      <w:pPr>
        <w:spacing w:line="46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u w:val="single"/>
        </w:rPr>
        <w:t>通过技术标有效性审查且经济报价在[工程成本警戒价，招标控制价]区间中的投标人技术标</w:t>
      </w:r>
      <w:r>
        <w:rPr>
          <w:rFonts w:hint="eastAsia" w:ascii="宋体" w:hAnsi="宋体" w:cs="宋体"/>
          <w:bCs/>
          <w:color w:val="auto"/>
          <w:szCs w:val="21"/>
          <w:highlight w:val="none"/>
        </w:rPr>
        <w:t>得分前N名</w:t>
      </w:r>
      <w:r>
        <w:rPr>
          <w:rFonts w:hint="eastAsia" w:ascii="宋体" w:hAnsi="宋体" w:cs="宋体"/>
          <w:bCs/>
          <w:color w:val="auto"/>
          <w:szCs w:val="21"/>
          <w:highlight w:val="none"/>
          <w:u w:val="single"/>
        </w:rPr>
        <w:t>（N=5，不足5名时，取所有满足前述条件的投标人数量）</w:t>
      </w:r>
      <w:r>
        <w:rPr>
          <w:rFonts w:hint="eastAsia" w:ascii="宋体" w:hAnsi="宋体" w:cs="宋体"/>
          <w:bCs/>
          <w:color w:val="auto"/>
          <w:szCs w:val="21"/>
          <w:highlight w:val="none"/>
        </w:rPr>
        <w:t>的经济报价加权平均，计算评标参考价。公式如下：</w:t>
      </w:r>
    </w:p>
    <w:p>
      <w:pPr>
        <w:spacing w:line="460" w:lineRule="exact"/>
        <w:ind w:firstLine="411" w:firstLineChars="196"/>
        <w:rPr>
          <w:rFonts w:ascii="宋体" w:hAnsi="宋体" w:cs="宋体"/>
          <w:bCs/>
          <w:color w:val="auto"/>
          <w:szCs w:val="21"/>
          <w:highlight w:val="none"/>
        </w:rPr>
      </w:pPr>
      <w:r>
        <w:rPr>
          <w:rFonts w:hint="eastAsia" w:ascii="宋体" w:hAnsi="宋体" w:cs="宋体"/>
          <w:bCs/>
          <w:color w:val="auto"/>
          <w:szCs w:val="21"/>
          <w:highlight w:val="none"/>
        </w:rPr>
        <w:t>评标参考价=Σ（投标人的投标报价*报价权重）。</w:t>
      </w:r>
    </w:p>
    <w:p>
      <w:pPr>
        <w:pBdr>
          <w:bottom w:val="single" w:color="auto" w:sz="4" w:space="7"/>
        </w:pBd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rPr>
        <w:t>其中：报价权重的计算方法为：将N名投标人按技术分由高至低进行排序（</w:t>
      </w:r>
      <w:r>
        <w:rPr>
          <w:rFonts w:hint="eastAsia" w:ascii="宋体" w:hAnsi="宋体" w:cs="宋体"/>
          <w:bCs/>
          <w:color w:val="auto"/>
          <w:szCs w:val="21"/>
          <w:highlight w:val="none"/>
          <w:u w:val="single"/>
        </w:rPr>
        <w:t>技术标得分相同的，以投标总报价较低</w:t>
      </w:r>
      <w:r>
        <w:rPr>
          <w:rFonts w:hint="eastAsia" w:ascii="宋体" w:hAnsi="宋体" w:cs="宋体"/>
          <w:color w:val="auto"/>
          <w:szCs w:val="21"/>
          <w:highlight w:val="none"/>
          <w:u w:val="single"/>
        </w:rPr>
        <w:t>的排前；如仍存在得分相同的，</w:t>
      </w:r>
      <w:r>
        <w:rPr>
          <w:rFonts w:hint="eastAsia" w:ascii="宋体" w:hAnsi="宋体" w:cs="宋体"/>
          <w:bCs/>
          <w:color w:val="auto"/>
          <w:szCs w:val="21"/>
          <w:highlight w:val="none"/>
          <w:u w:val="single"/>
        </w:rPr>
        <w:t>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宋体"/>
          <w:bCs/>
          <w:color w:val="auto"/>
          <w:szCs w:val="21"/>
          <w:highlight w:val="none"/>
        </w:rPr>
        <w:t>），</w:t>
      </w:r>
      <w:r>
        <w:rPr>
          <w:rFonts w:hint="eastAsia" w:ascii="宋体" w:hAnsi="宋体" w:cs="宋体"/>
          <w:color w:val="auto"/>
          <w:szCs w:val="21"/>
          <w:highlight w:val="none"/>
        </w:rPr>
        <w:t>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6"/>
          <w:szCs w:val="21"/>
          <w:highlight w:val="none"/>
        </w:rPr>
        <w:pict>
          <v:shape id="_x0000_i1025" o:spt="75" type="#_x0000_t75" style="height:31.9pt;width:17pt;" filled="f" o:preferrelative="t" stroked="f" coordsize="21600,21600" equationxml="&lt;">
            <v:path/>
            <v:fill on="f" focussize="0,0"/>
            <v:stroke on="f" joinstyle="miter"/>
            <v:imagedata r:id="rId18" chromakey="#FFFFFF" o:title=""/>
            <o:lock v:ext="edit" aspectratio="t"/>
            <w10:wrap type="none"/>
            <w10:anchorlock/>
          </v:shape>
        </w:pict>
      </w:r>
      <w:r>
        <w:rPr>
          <w:rFonts w:hint="eastAsia" w:ascii="宋体" w:hAnsi="宋体" w:cs="宋体"/>
          <w:color w:val="auto"/>
          <w:szCs w:val="21"/>
          <w:highlight w:val="none"/>
        </w:rPr>
        <w:fldChar w:fldCharType="separate"/>
      </w:r>
      <w:r>
        <w:rPr>
          <w:rFonts w:ascii="宋体" w:hAnsi="宋体" w:cs="宋体"/>
          <w:color w:val="auto"/>
          <w:position w:val="-26"/>
          <w:szCs w:val="21"/>
          <w:highlight w:val="none"/>
        </w:rPr>
        <w:pict>
          <v:shape id="_x0000_i1026" o:spt="75" type="#_x0000_t75" style="height:31.9pt;width:17pt;" filled="f" o:preferrelative="t" stroked="f" coordsize="21600,21600" equationxml="&lt;">
            <v:path/>
            <v:fill on="f" focussize="0,0"/>
            <v:stroke on="f" joinstyle="miter"/>
            <v:imagedata r:id="rId18" chromakey="#FFFFFF" o:title=""/>
            <o:lock v:ext="edit" aspectratio="t"/>
            <w10:wrap type="none"/>
            <w10:anchorlock/>
          </v:shape>
        </w:pict>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6"/>
          <w:szCs w:val="21"/>
          <w:highlight w:val="none"/>
        </w:rPr>
        <w:pict>
          <v:shape id="_x0000_i1027" o:spt="75" type="#_x0000_t75" style="height:31.9pt;width:17pt;" filled="f" o:preferrelative="t" stroked="f" coordsize="21600,21600" equationxml="&lt;">
            <v:path/>
            <v:fill on="f" focussize="0,0"/>
            <v:stroke on="f" joinstyle="miter"/>
            <v:imagedata r:id="rId19" chromakey="#FFFFFF" o:title=""/>
            <o:lock v:ext="edit" aspectratio="t"/>
            <w10:wrap type="none"/>
            <w10:anchorlock/>
          </v:shape>
        </w:pict>
      </w:r>
      <w:r>
        <w:rPr>
          <w:rFonts w:hint="eastAsia" w:ascii="宋体" w:hAnsi="宋体" w:cs="宋体"/>
          <w:color w:val="auto"/>
          <w:szCs w:val="21"/>
          <w:highlight w:val="none"/>
        </w:rPr>
        <w:fldChar w:fldCharType="separate"/>
      </w:r>
      <w:r>
        <w:rPr>
          <w:rFonts w:ascii="宋体" w:hAnsi="宋体" w:cs="宋体"/>
          <w:color w:val="auto"/>
          <w:position w:val="-26"/>
          <w:szCs w:val="21"/>
          <w:highlight w:val="none"/>
        </w:rPr>
        <w:pict>
          <v:shape id="_x0000_i1028" o:spt="75" type="#_x0000_t75" style="height:31.9pt;width:17pt;" filled="f" o:preferrelative="t" stroked="f" coordsize="21600,21600" equationxml="&lt;">
            <v:path/>
            <v:fill on="f" focussize="0,0"/>
            <v:stroke on="f" joinstyle="miter"/>
            <v:imagedata r:id="rId19" chromakey="#FFFFFF" o:title=""/>
            <o:lock v:ext="edit" aspectratio="t"/>
            <w10:wrap type="none"/>
            <w10:anchorlock/>
          </v:shape>
        </w:pict>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6"/>
          <w:szCs w:val="21"/>
          <w:highlight w:val="none"/>
        </w:rPr>
        <w:pict>
          <v:shape id="_x0000_i1029" o:spt="75" type="#_x0000_t75" style="height:31.9pt;width:17pt;" filled="f" o:preferrelative="t" stroked="f" coordsize="21600,21600" equationxml="&lt;">
            <v:path/>
            <v:fill on="f" focussize="0,0"/>
            <v:stroke on="f" joinstyle="miter"/>
            <v:imagedata r:id="rId20" chromakey="#FFFFFF" o:title=""/>
            <o:lock v:ext="edit" aspectratio="t"/>
            <w10:wrap type="none"/>
            <w10:anchorlock/>
          </v:shape>
        </w:pict>
      </w:r>
      <w:r>
        <w:rPr>
          <w:rFonts w:hint="eastAsia" w:ascii="宋体" w:hAnsi="宋体" w:cs="宋体"/>
          <w:color w:val="auto"/>
          <w:szCs w:val="21"/>
          <w:highlight w:val="none"/>
        </w:rPr>
        <w:fldChar w:fldCharType="separate"/>
      </w:r>
      <w:r>
        <w:rPr>
          <w:rFonts w:ascii="宋体" w:hAnsi="宋体" w:cs="宋体"/>
          <w:color w:val="auto"/>
          <w:position w:val="-26"/>
          <w:szCs w:val="21"/>
          <w:highlight w:val="none"/>
        </w:rPr>
        <w:pict>
          <v:shape id="_x0000_i1030" o:spt="75" type="#_x0000_t75" style="height:31.9pt;width:17pt;" filled="f" o:preferrelative="t" stroked="f" coordsize="21600,21600" equationxml="&lt;">
            <v:path/>
            <v:fill on="f" focussize="0,0"/>
            <v:stroke on="f" joinstyle="miter"/>
            <v:imagedata r:id="rId20" chromakey="#FFFFFF" o:title=""/>
            <o:lock v:ext="edit" aspectratio="t"/>
            <w10:wrap type="none"/>
            <w10:anchorlock/>
          </v:shape>
        </w:pic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r>
        <w:rPr>
          <w:rFonts w:hint="eastAsia" w:ascii="宋体" w:hAnsi="宋体" w:cs="宋体"/>
          <w:bCs/>
          <w:color w:val="auto"/>
          <w:szCs w:val="21"/>
          <w:highlight w:val="none"/>
          <w:u w:val="singl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条款号：45.3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现文：45.3</w:t>
      </w:r>
      <w:r>
        <w:rPr>
          <w:rFonts w:hint="eastAsia" w:ascii="宋体" w:hAnsi="宋体" w:cs="宋体"/>
          <w:bCs/>
          <w:color w:val="auto"/>
          <w:kern w:val="0"/>
          <w:szCs w:val="21"/>
          <w:highlight w:val="none"/>
        </w:rPr>
        <w:t>当</w:t>
      </w:r>
      <w:r>
        <w:rPr>
          <w:rFonts w:hint="eastAsia" w:ascii="宋体" w:hAnsi="宋体" w:cs="宋体"/>
          <w:color w:val="auto"/>
          <w:kern w:val="0"/>
          <w:szCs w:val="21"/>
          <w:highlight w:val="none"/>
        </w:rPr>
        <w:t>标价等于评标参考价时得100分，标价每高于评标参考价1%，扣</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rPr>
        <w:t>分，每低于评标参考价1%，扣</w:t>
      </w:r>
      <w:r>
        <w:rPr>
          <w:rFonts w:hint="eastAsia" w:ascii="宋体" w:hAnsi="宋体" w:cs="宋体"/>
          <w:color w:val="auto"/>
          <w:kern w:val="0"/>
          <w:szCs w:val="21"/>
          <w:highlight w:val="none"/>
          <w:u w:val="single"/>
          <w:lang w:val="en-US" w:eastAsia="zh-CN"/>
        </w:rPr>
        <w:t>0.3</w:t>
      </w:r>
      <w:r>
        <w:rPr>
          <w:rFonts w:hint="eastAsia" w:ascii="宋体" w:hAnsi="宋体" w:cs="宋体"/>
          <w:color w:val="auto"/>
          <w:kern w:val="0"/>
          <w:szCs w:val="21"/>
          <w:highlight w:val="none"/>
        </w:rPr>
        <w:t>分，扣至0分为止，得出经济分，精确到小数点后两位。</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条款号：45.4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45.4</w:t>
      </w:r>
      <w:r>
        <w:rPr>
          <w:rFonts w:hint="eastAsia" w:ascii="宋体" w:hAnsi="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45.4</w:t>
      </w:r>
      <w:r>
        <w:rPr>
          <w:rFonts w:hint="eastAsia" w:ascii="宋体" w:hAnsi="宋体" w:cs="宋体"/>
          <w:color w:val="auto"/>
          <w:szCs w:val="21"/>
          <w:highlight w:val="none"/>
          <w:u w:val="single"/>
        </w:rPr>
        <w:t>计算通过技术标有效性审查的投标人总得分。投标人总得分=[技术得分（满分</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分）×技术得分权重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＋经济得分（满分100分）×经济得分权重（80%）]。总得分四舍五入保留两位小数。总得分相同情况下的排序方式：总得分相同的投标文件，以技术分高的排前；技术分均相同的投标文件，</w:t>
      </w:r>
      <w:r>
        <w:rPr>
          <w:rFonts w:hint="eastAsia"/>
          <w:color w:val="auto"/>
          <w:szCs w:val="21"/>
          <w:highlight w:val="none"/>
          <w:u w:val="single"/>
        </w:rPr>
        <w:t>按报价低者排前的原则，若报价亦一致的，由评标委员会采用记名投票方式，确定其排序</w:t>
      </w:r>
      <w:r>
        <w:rPr>
          <w:rFonts w:hint="eastAsia" w:ascii="宋体" w:hAnsi="宋体" w:cs="宋体"/>
          <w:color w:val="auto"/>
          <w:szCs w:val="21"/>
          <w:highlight w:val="none"/>
          <w:u w:val="single"/>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条款号：49.             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49.</w:t>
      </w:r>
      <w:r>
        <w:rPr>
          <w:rFonts w:hint="eastAsia" w:ascii="宋体" w:hAnsi="宋体" w:cs="宋体"/>
          <w:color w:val="auto"/>
          <w:szCs w:val="21"/>
          <w:highlight w:val="none"/>
        </w:rPr>
        <w:t>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49.</w:t>
      </w:r>
      <w:r>
        <w:rPr>
          <w:rFonts w:hint="eastAsia" w:ascii="宋体" w:hAnsi="宋体" w:cs="宋体"/>
          <w:color w:val="auto"/>
          <w:szCs w:val="21"/>
          <w:highlight w:val="none"/>
        </w:rPr>
        <w:t>若通过经济标有效性审查的投标人不足三家，应当依法重新招标。</w:t>
      </w:r>
    </w:p>
    <w:p>
      <w:pPr>
        <w:spacing w:line="360" w:lineRule="auto"/>
        <w:ind w:firstLine="472" w:firstLineChars="224"/>
        <w:rPr>
          <w:b/>
          <w:color w:val="auto"/>
          <w:szCs w:val="21"/>
          <w:highlight w:val="none"/>
        </w:rPr>
      </w:pPr>
      <w:r>
        <w:rPr>
          <w:rFonts w:hint="eastAsia"/>
          <w:b/>
          <w:color w:val="auto"/>
          <w:szCs w:val="21"/>
          <w:highlight w:val="none"/>
        </w:rPr>
        <w:t>条款号：附表一修改类型：修改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详见修改《资格审查表》</w:t>
      </w:r>
    </w:p>
    <w:p>
      <w:pPr>
        <w:spacing w:line="360" w:lineRule="auto"/>
        <w:ind w:firstLine="472" w:firstLineChars="224"/>
        <w:rPr>
          <w:b/>
          <w:color w:val="auto"/>
          <w:szCs w:val="21"/>
          <w:highlight w:val="none"/>
        </w:rPr>
      </w:pPr>
      <w:r>
        <w:rPr>
          <w:rFonts w:hint="eastAsia"/>
          <w:b/>
          <w:color w:val="auto"/>
          <w:szCs w:val="21"/>
          <w:highlight w:val="none"/>
        </w:rPr>
        <w:t>条款号：附表二修改类型：修改</w:t>
      </w:r>
    </w:p>
    <w:p>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详见修改《技术标有效性审查表》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             修改类型：修改</w:t>
      </w:r>
    </w:p>
    <w:p>
      <w:pPr>
        <w:spacing w:line="360" w:lineRule="auto"/>
        <w:ind w:firstLine="472" w:firstLineChars="224"/>
        <w:rPr>
          <w:color w:val="auto"/>
          <w:szCs w:val="21"/>
          <w:highlight w:val="none"/>
        </w:rPr>
      </w:pPr>
      <w:r>
        <w:rPr>
          <w:rFonts w:hint="eastAsia" w:ascii="宋体" w:hAnsi="宋体" w:cs="宋体"/>
          <w:b/>
          <w:color w:val="auto"/>
          <w:szCs w:val="21"/>
          <w:highlight w:val="none"/>
        </w:rPr>
        <w:t>原文：</w:t>
      </w:r>
      <w:r>
        <w:rPr>
          <w:rFonts w:hint="eastAsia"/>
          <w:color w:val="auto"/>
          <w:szCs w:val="21"/>
          <w:highlight w:val="none"/>
        </w:rPr>
        <w:t>《经济标有效性审查表》</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详见修改《经济标有效性审查表》</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条款号：附表四             修改类型：修改</w:t>
      </w:r>
    </w:p>
    <w:p>
      <w:pPr>
        <w:spacing w:line="360" w:lineRule="auto"/>
        <w:ind w:firstLine="472" w:firstLineChars="224"/>
        <w:rPr>
          <w:color w:val="auto"/>
          <w:szCs w:val="21"/>
          <w:highlight w:val="none"/>
        </w:rPr>
      </w:pPr>
      <w:r>
        <w:rPr>
          <w:rFonts w:hint="eastAsia" w:ascii="宋体" w:hAnsi="宋体" w:cs="宋体"/>
          <w:b/>
          <w:color w:val="auto"/>
          <w:szCs w:val="21"/>
          <w:highlight w:val="none"/>
        </w:rPr>
        <w:t>原文：</w:t>
      </w:r>
      <w:r>
        <w:rPr>
          <w:rFonts w:hint="eastAsia"/>
          <w:color w:val="auto"/>
          <w:szCs w:val="21"/>
          <w:highlight w:val="none"/>
        </w:rPr>
        <w:t>《技术标详细审查评分表》</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详见修改《技术标详细审查评分表》</w:t>
      </w:r>
    </w:p>
    <w:p>
      <w:pPr>
        <w:spacing w:line="360" w:lineRule="auto"/>
        <w:ind w:firstLine="211" w:firstLineChars="100"/>
        <w:rPr>
          <w:b/>
          <w:color w:val="auto"/>
          <w:szCs w:val="21"/>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6"/>
        <w:spacing w:line="360" w:lineRule="auto"/>
        <w:rPr>
          <w:color w:val="auto"/>
          <w:highlight w:val="none"/>
        </w:rPr>
      </w:pPr>
      <w:r>
        <w:rPr>
          <w:color w:val="auto"/>
          <w:highlight w:val="none"/>
        </w:rPr>
        <w:br w:type="page"/>
      </w:r>
    </w:p>
    <w:p>
      <w:pPr>
        <w:pStyle w:val="2"/>
        <w:ind w:firstLine="525"/>
        <w:rPr>
          <w:color w:val="auto"/>
          <w:highlight w:val="none"/>
        </w:rPr>
      </w:pPr>
      <w:bookmarkStart w:id="22" w:name="_Toc2272556"/>
      <w:bookmarkStart w:id="23" w:name="_Toc21525500"/>
      <w:r>
        <w:rPr>
          <w:rFonts w:hint="eastAsia"/>
          <w:color w:val="auto"/>
          <w:highlight w:val="none"/>
        </w:rPr>
        <w:t>二、开标、评标及定标办法</w:t>
      </w:r>
      <w:r>
        <w:rPr>
          <w:rFonts w:hint="eastAsia"/>
          <w:color w:val="auto"/>
          <w:szCs w:val="30"/>
          <w:highlight w:val="none"/>
        </w:rPr>
        <w:t>通用条款</w:t>
      </w:r>
      <w:bookmarkEnd w:id="22"/>
      <w:bookmarkEnd w:id="23"/>
    </w:p>
    <w:p>
      <w:pPr>
        <w:pStyle w:val="4"/>
        <w:spacing w:before="156" w:after="156"/>
        <w:ind w:firstLine="540" w:firstLineChars="200"/>
        <w:rPr>
          <w:color w:val="auto"/>
          <w:highlight w:val="none"/>
        </w:rPr>
      </w:pPr>
      <w:bookmarkStart w:id="24" w:name="_Toc2272557"/>
      <w:bookmarkStart w:id="25" w:name="_Toc21525501"/>
      <w:r>
        <w:rPr>
          <w:rFonts w:hint="eastAsia"/>
          <w:color w:val="auto"/>
          <w:highlight w:val="none"/>
        </w:rPr>
        <w:t>（一）总则</w:t>
      </w:r>
      <w:bookmarkEnd w:id="24"/>
      <w:bookmarkEnd w:id="25"/>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36.1</w:t>
      </w:r>
      <w:r>
        <w:rPr>
          <w:rFonts w:hint="eastAsia" w:ascii="宋体" w:hAnsi="宋体" w:cs="Times New Roman"/>
          <w:color w:val="auto"/>
          <w:sz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Times New Roman"/>
          <w:color w:val="auto"/>
          <w:sz w:val="24"/>
          <w:highlight w:val="none"/>
        </w:rPr>
        <w:t>。</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36.2 招标人在招标文件要求提交投标文件的截止时间前收到的投标文件，开标时都当众予以解密、公布。</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36.4若递交投标文件的投标人不足3家，则重新组织招标。</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w:t>
      </w:r>
      <w:r>
        <w:rPr>
          <w:rFonts w:hint="eastAsia" w:ascii="宋体" w:hAnsi="宋体" w:cs="宋体"/>
          <w:color w:val="auto"/>
          <w:sz w:val="24"/>
          <w:szCs w:val="24"/>
          <w:highlight w:val="none"/>
        </w:rPr>
        <w:t>在投标截止时间后半小时内，投标人通过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交易平台对已递交的电子投标文件进行解密。投标人完成解密后，再由</w:t>
      </w:r>
      <w:r>
        <w:rPr>
          <w:rFonts w:hint="eastAsia" w:ascii="宋体" w:hAnsi="宋体" w:cs="宋体"/>
          <w:color w:val="auto"/>
          <w:sz w:val="24"/>
          <w:szCs w:val="24"/>
          <w:highlight w:val="none"/>
          <w:u w:val="single"/>
        </w:rPr>
        <w:t>招标人或招标代理机构</w:t>
      </w:r>
      <w:r>
        <w:rPr>
          <w:rFonts w:hint="eastAsia" w:ascii="宋体" w:hAnsi="宋体" w:cs="宋体"/>
          <w:color w:val="auto"/>
          <w:sz w:val="24"/>
          <w:szCs w:val="24"/>
          <w:highlight w:val="none"/>
        </w:rPr>
        <w:t>进行解密。解密完成后，公布招标项目名称、投标人名称、投标保证金的递交情况、投标报价、工期及其他内容</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36.5.2备用光盘的读取按投标须知前附表第32项的规定执行；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4"/>
        <w:spacing w:before="156" w:after="156"/>
        <w:ind w:firstLine="540" w:firstLineChars="200"/>
        <w:rPr>
          <w:color w:val="auto"/>
          <w:highlight w:val="none"/>
        </w:rPr>
      </w:pPr>
      <w:bookmarkStart w:id="26" w:name="_Toc2272558"/>
      <w:bookmarkStart w:id="27" w:name="_Toc21525502"/>
      <w:r>
        <w:rPr>
          <w:rFonts w:hint="eastAsia"/>
          <w:color w:val="auto"/>
          <w:highlight w:val="none"/>
        </w:rPr>
        <w:t>（二）开标评标办法程序和细则</w:t>
      </w:r>
      <w:bookmarkEnd w:id="26"/>
      <w:bookmarkEnd w:id="27"/>
    </w:p>
    <w:p>
      <w:pPr>
        <w:pStyle w:val="4"/>
        <w:spacing w:before="156" w:after="156"/>
        <w:ind w:firstLine="540" w:firstLineChars="200"/>
        <w:rPr>
          <w:color w:val="auto"/>
          <w:highlight w:val="none"/>
        </w:rPr>
      </w:pPr>
      <w:bookmarkStart w:id="28" w:name="_Toc2272564"/>
      <w:bookmarkStart w:id="29" w:name="_Toc21525509"/>
      <w:r>
        <w:rPr>
          <w:rFonts w:hint="eastAsia"/>
          <w:color w:val="auto"/>
          <w:highlight w:val="none"/>
        </w:rPr>
        <w:t>可选办法七（适合综合评分法四，技术标与经济标同时开启）</w:t>
      </w:r>
      <w:bookmarkEnd w:id="28"/>
      <w:bookmarkEnd w:id="29"/>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40.1技术标（含资格审查文件）与经济标投标文件同时公开开标；</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40.2由评标委员会对所有已公开开标的投标人进行资格审查；</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40.3技术标投标文件有效性审查；</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40.4技术标详细审查评分；</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40.5经济标详细审查评分；</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40.6评标委员会按照投标人总得分由高至低排序；</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40.7经济标投标文件有效性审查；</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40.8评标委员会按排序向招标人推荐中标候选人名单，并递交资格审查报告及评标报告。</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41．开标细则</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41.1开标由招标人</w:t>
      </w:r>
      <w:r>
        <w:rPr>
          <w:rFonts w:hint="eastAsia" w:ascii="宋体" w:hAnsi="宋体"/>
          <w:color w:val="auto"/>
          <w:sz w:val="24"/>
          <w:szCs w:val="24"/>
          <w:highlight w:val="none"/>
          <w:u w:val="single"/>
          <w:lang w:eastAsia="zh-CN"/>
        </w:rPr>
        <w:t>或招标代理</w:t>
      </w:r>
      <w:r>
        <w:rPr>
          <w:rFonts w:hint="eastAsia" w:ascii="宋体" w:hAnsi="宋体"/>
          <w:color w:val="auto"/>
          <w:sz w:val="24"/>
          <w:szCs w:val="24"/>
          <w:highlight w:val="none"/>
        </w:rPr>
        <w:t>主持；</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41.2 细则</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w:t>
      </w:r>
      <w:r>
        <w:rPr>
          <w:rFonts w:hint="eastAsia" w:ascii="宋体"/>
          <w:color w:val="auto"/>
          <w:sz w:val="24"/>
          <w:szCs w:val="24"/>
          <w:highlight w:val="none"/>
        </w:rPr>
        <w:t>文件）至</w:t>
      </w:r>
      <w:r>
        <w:rPr>
          <w:rFonts w:hint="eastAsia" w:ascii="宋体" w:hAnsi="宋体" w:cs="宋体"/>
          <w:bCs/>
          <w:color w:val="auto"/>
          <w:sz w:val="24"/>
          <w:szCs w:val="24"/>
          <w:highlight w:val="none"/>
          <w:u w:val="single"/>
        </w:rPr>
        <w:t>广州公共资源交易中心</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35"/>
        <w:tabs>
          <w:tab w:val="left" w:pos="7380"/>
        </w:tabs>
        <w:snapToGrid w:val="0"/>
        <w:spacing w:after="0"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一：</w:t>
      </w:r>
      <w:r>
        <w:rPr>
          <w:rFonts w:hint="eastAsia" w:ascii="宋体" w:hAnsi="宋体" w:cs="宋体"/>
          <w:color w:val="auto"/>
          <w:sz w:val="24"/>
          <w:szCs w:val="24"/>
          <w:highlight w:val="none"/>
          <w:u w:val="single"/>
        </w:rPr>
        <w:t>评标委员会由招标人依法组建。</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auto"/>
          <w:sz w:val="24"/>
          <w:szCs w:val="24"/>
          <w:highlight w:val="none"/>
        </w:rPr>
      </w:pP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w:t>
      </w:r>
      <w:r>
        <w:rPr>
          <w:rFonts w:hint="eastAsia" w:ascii="宋体" w:hAnsi="宋体" w:cs="宋体"/>
          <w:color w:val="auto"/>
          <w:sz w:val="24"/>
          <w:szCs w:val="24"/>
          <w:highlight w:val="none"/>
        </w:rPr>
        <w:t>资格审查合格的投标人少于3名的，则本项目招标失败</w:t>
      </w:r>
      <w:r>
        <w:rPr>
          <w:rFonts w:hint="eastAsia" w:ascii="宋体"/>
          <w:color w:val="auto"/>
          <w:sz w:val="24"/>
          <w:szCs w:val="24"/>
          <w:highlight w:val="none"/>
        </w:rPr>
        <w:t>。</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35"/>
        <w:tabs>
          <w:tab w:val="left" w:pos="7380"/>
        </w:tabs>
        <w:snapToGrid w:val="0"/>
        <w:spacing w:after="0"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45.1若所有通过技术标有效性审查的投标人的投标报价均大于等于最高投标限价*</w:t>
      </w:r>
      <w:r>
        <w:rPr>
          <w:rFonts w:hint="eastAsia" w:ascii="宋体" w:hAnsi="宋体"/>
          <w:color w:val="auto"/>
          <w:sz w:val="24"/>
          <w:szCs w:val="24"/>
          <w:highlight w:val="none"/>
          <w:lang w:val="en-US" w:eastAsia="zh-CN"/>
        </w:rPr>
        <w:t>97</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rPr>
        <w:t>D值为</w:t>
      </w:r>
      <w:r>
        <w:rPr>
          <w:rFonts w:hint="eastAsia" w:ascii="宋体" w:hAnsi="宋体" w:cs="Times New Roman"/>
          <w:color w:val="auto"/>
          <w:sz w:val="24"/>
          <w:szCs w:val="24"/>
          <w:highlight w:val="none"/>
          <w:u w:val="none"/>
          <w:lang w:val="en-US" w:eastAsia="zh-CN"/>
        </w:rPr>
        <w:t>97</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（具体金额为：</w:t>
      </w:r>
      <w:r>
        <w:rPr>
          <w:rFonts w:hint="eastAsia" w:ascii="宋体" w:hAnsi="宋体" w:cs="宋体"/>
          <w:color w:val="auto"/>
          <w:sz w:val="24"/>
          <w:szCs w:val="24"/>
          <w:highlight w:val="none"/>
          <w:u w:val="single"/>
          <w:lang w:val="en-US" w:eastAsia="zh-CN"/>
        </w:rPr>
        <w:t>7265008.79</w:t>
      </w:r>
      <w:r>
        <w:rPr>
          <w:rFonts w:hint="eastAsia" w:ascii="宋体" w:hAnsi="宋体"/>
          <w:color w:val="auto"/>
          <w:sz w:val="24"/>
          <w:szCs w:val="24"/>
          <w:highlight w:val="none"/>
        </w:rPr>
        <w:t>元），则本项目招标失败，由招标人依法重新招标。</w:t>
      </w:r>
      <w:r>
        <w:rPr>
          <w:rFonts w:hint="eastAsia" w:ascii="宋体" w:hAnsi="宋体"/>
          <w:color w:val="auto"/>
          <w:sz w:val="24"/>
          <w:szCs w:val="24"/>
          <w:highlight w:val="none"/>
          <w:lang w:val="en-US" w:eastAsia="zh-CN"/>
        </w:rPr>
        <w:t xml:space="preserve"> </w:t>
      </w:r>
    </w:p>
    <w:p>
      <w:pPr>
        <w:pStyle w:val="3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一</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hint="eastAsia" w:ascii="宋体" w:hAnsi="宋体" w:cs="Times New Roman"/>
          <w:bCs w:val="0"/>
          <w:color w:val="auto"/>
          <w:sz w:val="24"/>
          <w:szCs w:val="24"/>
          <w:highlight w:val="none"/>
        </w:rPr>
      </w:pPr>
      <w:r>
        <w:rPr>
          <w:rFonts w:hint="eastAsia" w:ascii="宋体" w:hAnsi="宋体" w:cs="Times New Roman"/>
          <w:bCs w:val="0"/>
          <w:color w:val="auto"/>
          <w:sz w:val="24"/>
          <w:szCs w:val="24"/>
          <w:highlight w:val="none"/>
          <w:u w:val="none"/>
        </w:rPr>
        <w:t>通过技术标有效性审查且经济报价在[工程成本警戒价，招标控制价]区间中的投标人技术标</w:t>
      </w:r>
      <w:r>
        <w:rPr>
          <w:rFonts w:hint="eastAsia" w:ascii="宋体" w:hAnsi="宋体" w:cs="Times New Roman"/>
          <w:bCs w:val="0"/>
          <w:color w:val="auto"/>
          <w:sz w:val="24"/>
          <w:szCs w:val="24"/>
          <w:highlight w:val="none"/>
        </w:rPr>
        <w:t>得分前N名</w:t>
      </w:r>
      <w:r>
        <w:rPr>
          <w:rFonts w:hint="eastAsia" w:ascii="宋体" w:hAnsi="宋体" w:cs="Times New Roman"/>
          <w:bCs w:val="0"/>
          <w:color w:val="auto"/>
          <w:sz w:val="24"/>
          <w:szCs w:val="24"/>
          <w:highlight w:val="none"/>
          <w:u w:val="none"/>
        </w:rPr>
        <w:t>（N=5，不足5名时，取所有满足前述条件的投标人数量）</w:t>
      </w:r>
      <w:r>
        <w:rPr>
          <w:rFonts w:hint="eastAsia" w:ascii="宋体" w:hAnsi="宋体" w:cs="Times New Roman"/>
          <w:bCs w:val="0"/>
          <w:color w:val="auto"/>
          <w:sz w:val="24"/>
          <w:szCs w:val="24"/>
          <w:highlight w:val="none"/>
        </w:rPr>
        <w:t>的经济报价加权平均，计算评标参考价。公式如下：</w:t>
      </w:r>
    </w:p>
    <w:p>
      <w:pPr>
        <w:spacing w:line="360" w:lineRule="auto"/>
        <w:ind w:firstLine="480" w:firstLineChars="200"/>
        <w:rPr>
          <w:rFonts w:hint="eastAsia" w:ascii="宋体" w:hAnsi="宋体" w:cs="Times New Roman"/>
          <w:bCs w:val="0"/>
          <w:color w:val="auto"/>
          <w:sz w:val="24"/>
          <w:szCs w:val="24"/>
          <w:highlight w:val="none"/>
        </w:rPr>
      </w:pPr>
      <w:r>
        <w:rPr>
          <w:rFonts w:hint="eastAsia" w:ascii="宋体" w:hAnsi="宋体" w:cs="Times New Roman"/>
          <w:bCs w:val="0"/>
          <w:color w:val="auto"/>
          <w:sz w:val="24"/>
          <w:szCs w:val="24"/>
          <w:highlight w:val="none"/>
        </w:rPr>
        <w:t>评标参考价=Σ（投标人的投标报价*报价权重）。</w:t>
      </w:r>
    </w:p>
    <w:p>
      <w:pPr>
        <w:spacing w:line="360" w:lineRule="auto"/>
        <w:ind w:firstLine="480" w:firstLineChars="200"/>
        <w:rPr>
          <w:rFonts w:ascii="宋体" w:hAnsi="宋体" w:cs="仿宋"/>
          <w:color w:val="auto"/>
          <w:sz w:val="24"/>
          <w:szCs w:val="24"/>
          <w:highlight w:val="none"/>
        </w:rPr>
      </w:pPr>
      <w:r>
        <w:rPr>
          <w:rFonts w:hint="eastAsia" w:ascii="宋体" w:hAnsi="宋体" w:cs="Times New Roman"/>
          <w:bCs w:val="0"/>
          <w:color w:val="auto"/>
          <w:sz w:val="24"/>
          <w:szCs w:val="24"/>
          <w:highlight w:val="none"/>
        </w:rPr>
        <w:t>其中：报价权重的计算方法为：将N名投标人按技术分由高至低进行排序（</w:t>
      </w:r>
      <w:r>
        <w:rPr>
          <w:rFonts w:hint="eastAsia" w:ascii="宋体" w:hAnsi="宋体" w:cs="Times New Roman"/>
          <w:bCs w:val="0"/>
          <w:color w:val="auto"/>
          <w:sz w:val="24"/>
          <w:szCs w:val="24"/>
          <w:highlight w:val="none"/>
          <w:u w:val="none"/>
        </w:rPr>
        <w:t>技术标得分相同的，以投标总报价较低</w:t>
      </w:r>
      <w:r>
        <w:rPr>
          <w:rFonts w:hint="eastAsia" w:ascii="宋体" w:hAnsi="宋体" w:cs="Times New Roman"/>
          <w:color w:val="auto"/>
          <w:sz w:val="24"/>
          <w:szCs w:val="24"/>
          <w:highlight w:val="none"/>
          <w:u w:val="none"/>
        </w:rPr>
        <w:t>的排前；如仍存在得分相同的，</w:t>
      </w:r>
      <w:r>
        <w:rPr>
          <w:rFonts w:hint="eastAsia" w:ascii="宋体" w:hAnsi="宋体" w:cs="Times New Roman"/>
          <w:bCs w:val="0"/>
          <w:color w:val="auto"/>
          <w:sz w:val="24"/>
          <w:szCs w:val="24"/>
          <w:highlight w:val="none"/>
          <w:u w:val="none"/>
        </w:rPr>
        <w:t>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Times New Roman"/>
          <w:bCs w:val="0"/>
          <w:color w:val="auto"/>
          <w:sz w:val="24"/>
          <w:szCs w:val="24"/>
          <w:highlight w:val="none"/>
        </w:rPr>
        <w:t>），</w:t>
      </w:r>
      <w:r>
        <w:rPr>
          <w:rFonts w:hint="eastAsia" w:ascii="宋体" w:hAnsi="宋体" w:cs="Times New Roman"/>
          <w:color w:val="auto"/>
          <w:sz w:val="24"/>
          <w:szCs w:val="24"/>
          <w:highlight w:val="none"/>
        </w:rPr>
        <w:t>第一名投标人的权重为（</w:t>
      </w:r>
      <w:r>
        <w:rPr>
          <w:rFonts w:hint="eastAsia" w:ascii="宋体" w:hAnsi="宋体" w:cs="Times New Roman"/>
          <w:color w:val="auto"/>
          <w:sz w:val="24"/>
          <w:szCs w:val="24"/>
          <w:highlight w:val="none"/>
        </w:rPr>
        <w:fldChar w:fldCharType="begin"/>
      </w:r>
      <w:r>
        <w:rPr>
          <w:rFonts w:hint="eastAsia" w:ascii="宋体" w:hAnsi="宋体" w:cs="Times New Roman"/>
          <w:color w:val="auto"/>
          <w:sz w:val="24"/>
          <w:szCs w:val="24"/>
          <w:highlight w:val="none"/>
        </w:rPr>
        <w:instrText xml:space="preserve"> QUOTE </w:instrText>
      </w:r>
      <w:r>
        <w:rPr>
          <w:rFonts w:hint="eastAsia" w:ascii="宋体" w:hAnsi="宋体" w:cs="Times New Roman"/>
          <w:color w:val="auto"/>
          <w:position w:val="0"/>
          <w:sz w:val="24"/>
          <w:szCs w:val="24"/>
          <w:highlight w:val="none"/>
        </w:rPr>
        <w:pict>
          <v:shape id="_x0000_i1031" o:spt="75" type="#_x0000_t75" style="height:31.9pt;width:17pt;" filled="f" o:preferrelative="t" stroked="f" coordsize="21600,21600" equationxml="&lt;">
            <v:path/>
            <v:fill on="f" focussize="0,0"/>
            <v:stroke on="f" joinstyle="miter"/>
            <v:imagedata r:id="rId18" chromakey="#FFFFFF" o:title=""/>
            <o:lock v:ext="edit" aspectratio="t"/>
            <w10:wrap type="none"/>
            <w10:anchorlock/>
          </v:shape>
        </w:pict>
      </w:r>
      <w:r>
        <w:rPr>
          <w:rFonts w:hint="eastAsia" w:ascii="宋体" w:hAnsi="宋体" w:cs="Times New Roman"/>
          <w:color w:val="auto"/>
          <w:sz w:val="24"/>
          <w:szCs w:val="24"/>
          <w:highlight w:val="none"/>
        </w:rPr>
        <w:fldChar w:fldCharType="separate"/>
      </w:r>
      <w:r>
        <w:rPr>
          <w:rFonts w:hint="eastAsia" w:ascii="宋体" w:hAnsi="宋体" w:cs="Times New Roman"/>
          <w:color w:val="auto"/>
          <w:position w:val="0"/>
          <w:sz w:val="24"/>
          <w:szCs w:val="24"/>
          <w:highlight w:val="none"/>
        </w:rPr>
        <w:pict>
          <v:shape id="_x0000_i1032" o:spt="75" type="#_x0000_t75" style="height:31.9pt;width:17pt;" filled="f" o:preferrelative="t" stroked="f" coordsize="21600,21600" equationxml="&lt;">
            <v:path/>
            <v:fill on="f" focussize="0,0"/>
            <v:stroke on="f" joinstyle="miter"/>
            <v:imagedata r:id="rId18" chromakey="#FFFFFF" o:title=""/>
            <o:lock v:ext="edit" aspectratio="t"/>
            <w10:wrap type="none"/>
            <w10:anchorlock/>
          </v:shape>
        </w:pict>
      </w:r>
      <w:r>
        <w:rPr>
          <w:rFonts w:hint="eastAsia" w:ascii="宋体" w:hAnsi="宋体" w:cs="Times New Roman"/>
          <w:color w:val="auto"/>
          <w:sz w:val="24"/>
          <w:szCs w:val="24"/>
          <w:highlight w:val="none"/>
        </w:rPr>
        <w:fldChar w:fldCharType="end"/>
      </w:r>
      <w:r>
        <w:rPr>
          <w:rFonts w:hint="eastAsia" w:ascii="宋体" w:hAnsi="宋体" w:cs="Times New Roman"/>
          <w:color w:val="auto"/>
          <w:sz w:val="24"/>
          <w:szCs w:val="24"/>
          <w:highlight w:val="none"/>
        </w:rPr>
        <w:t>），第二名投标人的权重为（</w:t>
      </w:r>
      <w:r>
        <w:rPr>
          <w:rFonts w:hint="eastAsia" w:ascii="宋体" w:hAnsi="宋体" w:cs="Times New Roman"/>
          <w:color w:val="auto"/>
          <w:sz w:val="24"/>
          <w:szCs w:val="24"/>
          <w:highlight w:val="none"/>
        </w:rPr>
        <w:fldChar w:fldCharType="begin"/>
      </w:r>
      <w:r>
        <w:rPr>
          <w:rFonts w:hint="eastAsia" w:ascii="宋体" w:hAnsi="宋体" w:cs="Times New Roman"/>
          <w:color w:val="auto"/>
          <w:sz w:val="24"/>
          <w:szCs w:val="24"/>
          <w:highlight w:val="none"/>
        </w:rPr>
        <w:instrText xml:space="preserve"> QUOTE </w:instrText>
      </w:r>
      <w:r>
        <w:rPr>
          <w:rFonts w:hint="eastAsia" w:ascii="宋体" w:hAnsi="宋体" w:cs="Times New Roman"/>
          <w:color w:val="auto"/>
          <w:position w:val="0"/>
          <w:sz w:val="24"/>
          <w:szCs w:val="24"/>
          <w:highlight w:val="none"/>
        </w:rPr>
        <w:pict>
          <v:shape id="_x0000_i1033" o:spt="75" type="#_x0000_t75" style="height:31.9pt;width:17pt;" filled="f" o:preferrelative="t" stroked="f" coordsize="21600,21600" equationxml="&lt;">
            <v:path/>
            <v:fill on="f" focussize="0,0"/>
            <v:stroke on="f" joinstyle="miter"/>
            <v:imagedata r:id="rId19" chromakey="#FFFFFF" o:title=""/>
            <o:lock v:ext="edit" aspectratio="t"/>
            <w10:wrap type="none"/>
            <w10:anchorlock/>
          </v:shape>
        </w:pict>
      </w:r>
      <w:r>
        <w:rPr>
          <w:rFonts w:hint="eastAsia" w:ascii="宋体" w:hAnsi="宋体" w:cs="Times New Roman"/>
          <w:color w:val="auto"/>
          <w:sz w:val="24"/>
          <w:szCs w:val="24"/>
          <w:highlight w:val="none"/>
        </w:rPr>
        <w:fldChar w:fldCharType="separate"/>
      </w:r>
      <w:r>
        <w:rPr>
          <w:rFonts w:hint="eastAsia" w:ascii="宋体" w:hAnsi="宋体" w:cs="Times New Roman"/>
          <w:color w:val="auto"/>
          <w:position w:val="0"/>
          <w:sz w:val="24"/>
          <w:szCs w:val="24"/>
          <w:highlight w:val="none"/>
        </w:rPr>
        <w:pict>
          <v:shape id="_x0000_i1034" o:spt="75" type="#_x0000_t75" style="height:31.9pt;width:17pt;" filled="f" o:preferrelative="t" stroked="f" coordsize="21600,21600" equationxml="&lt;">
            <v:path/>
            <v:fill on="f" focussize="0,0"/>
            <v:stroke on="f" joinstyle="miter"/>
            <v:imagedata r:id="rId19" chromakey="#FFFFFF" o:title=""/>
            <o:lock v:ext="edit" aspectratio="t"/>
            <w10:wrap type="none"/>
            <w10:anchorlock/>
          </v:shape>
        </w:pict>
      </w:r>
      <w:r>
        <w:rPr>
          <w:rFonts w:hint="eastAsia" w:ascii="宋体" w:hAnsi="宋体" w:cs="Times New Roman"/>
          <w:color w:val="auto"/>
          <w:sz w:val="24"/>
          <w:szCs w:val="24"/>
          <w:highlight w:val="none"/>
        </w:rPr>
        <w:fldChar w:fldCharType="end"/>
      </w:r>
      <w:r>
        <w:rPr>
          <w:rFonts w:hint="eastAsia" w:ascii="宋体" w:hAnsi="宋体" w:cs="Times New Roman"/>
          <w:color w:val="auto"/>
          <w:sz w:val="24"/>
          <w:szCs w:val="24"/>
          <w:highlight w:val="none"/>
        </w:rPr>
        <w:t>），以此类推，最后一名投标人的权重为（</w:t>
      </w:r>
      <w:r>
        <w:rPr>
          <w:rFonts w:hint="eastAsia" w:ascii="宋体" w:hAnsi="宋体" w:cs="Times New Roman"/>
          <w:color w:val="auto"/>
          <w:sz w:val="24"/>
          <w:szCs w:val="24"/>
          <w:highlight w:val="none"/>
        </w:rPr>
        <w:fldChar w:fldCharType="begin"/>
      </w:r>
      <w:r>
        <w:rPr>
          <w:rFonts w:hint="eastAsia" w:ascii="宋体" w:hAnsi="宋体" w:cs="Times New Roman"/>
          <w:color w:val="auto"/>
          <w:sz w:val="24"/>
          <w:szCs w:val="24"/>
          <w:highlight w:val="none"/>
        </w:rPr>
        <w:instrText xml:space="preserve"> QUOTE </w:instrText>
      </w:r>
      <w:r>
        <w:rPr>
          <w:rFonts w:hint="eastAsia" w:ascii="宋体" w:hAnsi="宋体" w:cs="Times New Roman"/>
          <w:color w:val="auto"/>
          <w:position w:val="0"/>
          <w:sz w:val="24"/>
          <w:szCs w:val="24"/>
          <w:highlight w:val="none"/>
        </w:rPr>
        <w:pict>
          <v:shape id="_x0000_i1035" o:spt="75" type="#_x0000_t75" style="height:31.9pt;width:17pt;" filled="f" o:preferrelative="t" stroked="f" coordsize="21600,21600" equationxml="&lt;">
            <v:path/>
            <v:fill on="f" focussize="0,0"/>
            <v:stroke on="f" joinstyle="miter"/>
            <v:imagedata r:id="rId20" chromakey="#FFFFFF" o:title=""/>
            <o:lock v:ext="edit" aspectratio="t"/>
            <w10:wrap type="none"/>
            <w10:anchorlock/>
          </v:shape>
        </w:pict>
      </w:r>
      <w:r>
        <w:rPr>
          <w:rFonts w:hint="eastAsia" w:ascii="宋体" w:hAnsi="宋体" w:cs="Times New Roman"/>
          <w:color w:val="auto"/>
          <w:sz w:val="24"/>
          <w:szCs w:val="24"/>
          <w:highlight w:val="none"/>
        </w:rPr>
        <w:fldChar w:fldCharType="separate"/>
      </w:r>
      <w:r>
        <w:rPr>
          <w:rFonts w:hint="eastAsia" w:ascii="宋体" w:hAnsi="宋体" w:cs="Times New Roman"/>
          <w:color w:val="auto"/>
          <w:position w:val="0"/>
          <w:sz w:val="24"/>
          <w:szCs w:val="24"/>
          <w:highlight w:val="none"/>
        </w:rPr>
        <w:pict>
          <v:shape id="_x0000_i1036" o:spt="75" type="#_x0000_t75" style="height:31.9pt;width:17pt;" filled="f" o:preferrelative="t" stroked="f" coordsize="21600,21600" equationxml="&lt;">
            <v:path/>
            <v:fill on="f" focussize="0,0"/>
            <v:stroke on="f" joinstyle="miter"/>
            <v:imagedata r:id="rId20" chromakey="#FFFFFF" o:title=""/>
            <o:lock v:ext="edit" aspectratio="t"/>
            <w10:wrap type="none"/>
            <w10:anchorlock/>
          </v:shape>
        </w:pict>
      </w:r>
      <w:r>
        <w:rPr>
          <w:rFonts w:hint="eastAsia" w:ascii="宋体" w:hAnsi="宋体" w:cs="Times New Roman"/>
          <w:color w:val="auto"/>
          <w:sz w:val="24"/>
          <w:szCs w:val="24"/>
          <w:highlight w:val="none"/>
        </w:rPr>
        <w:fldChar w:fldCharType="end"/>
      </w:r>
      <w:r>
        <w:rPr>
          <w:rFonts w:hint="eastAsia" w:ascii="宋体" w:hAnsi="宋体" w:cs="Times New Roman"/>
          <w:color w:val="auto"/>
          <w:sz w:val="24"/>
          <w:szCs w:val="24"/>
          <w:highlight w:val="none"/>
        </w:rPr>
        <w:t>）</w:t>
      </w:r>
      <w:r>
        <w:rPr>
          <w:rFonts w:hint="eastAsia" w:ascii="宋体" w:hAnsi="宋体" w:cs="仿宋"/>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u w:val="single"/>
          <w:lang w:val="en-US" w:eastAsia="zh-CN"/>
        </w:rPr>
        <w:t>0.3</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35"/>
        <w:tabs>
          <w:tab w:val="left" w:pos="7380"/>
        </w:tabs>
        <w:snapToGrid w:val="0"/>
        <w:spacing w:after="0" w:line="360" w:lineRule="auto"/>
        <w:ind w:firstLine="480" w:firstLineChars="200"/>
        <w:rPr>
          <w:rFonts w:ascii="宋体"/>
          <w:color w:val="auto"/>
          <w:sz w:val="28"/>
          <w:szCs w:val="28"/>
          <w:highlight w:val="none"/>
        </w:rPr>
      </w:pPr>
      <w:r>
        <w:rPr>
          <w:rFonts w:hint="eastAsia" w:ascii="宋体" w:hAnsi="宋体"/>
          <w:color w:val="auto"/>
          <w:sz w:val="24"/>
          <w:szCs w:val="24"/>
          <w:highlight w:val="none"/>
        </w:rPr>
        <w:t>45.4</w:t>
      </w:r>
      <w:r>
        <w:rPr>
          <w:rFonts w:hint="eastAsia" w:ascii="宋体" w:hAnsi="宋体" w:cs="宋体"/>
          <w:color w:val="auto"/>
          <w:sz w:val="24"/>
          <w:szCs w:val="24"/>
          <w:highlight w:val="none"/>
          <w:u w:val="single"/>
        </w:rPr>
        <w:t>计算通过技术标有效性审查的投标人总得分。投标人总得分=[技术得分（满分</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u w:val="single"/>
        </w:rPr>
        <w:t>分）×技术得分权重（</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rPr>
        <w:t>%）＋经济得分（满分100分）×经济得分权重（80%）]。总得分四舍五入保留两位小数。总得分相同情况下的排序方式：总得分相同的投标文件，以技术分高的排前；技术分均相同的投标文件，</w:t>
      </w:r>
      <w:r>
        <w:rPr>
          <w:rFonts w:hint="eastAsia"/>
          <w:color w:val="auto"/>
          <w:sz w:val="24"/>
          <w:szCs w:val="24"/>
          <w:highlight w:val="none"/>
          <w:u w:val="single"/>
        </w:rPr>
        <w:t>按报价低者排前的原则，若报价亦一致的，由评标委员会采用记名投票方式，确定其排序</w:t>
      </w:r>
      <w:r>
        <w:rPr>
          <w:rFonts w:hint="eastAsia" w:ascii="宋体" w:hAnsi="宋体" w:cs="宋体"/>
          <w:color w:val="auto"/>
          <w:sz w:val="24"/>
          <w:szCs w:val="24"/>
          <w:highlight w:val="none"/>
          <w:u w:val="single"/>
        </w:rPr>
        <w:t>。</w:t>
      </w:r>
    </w:p>
    <w:p>
      <w:pPr>
        <w:pStyle w:val="3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w:t>
      </w:r>
    </w:p>
    <w:p>
      <w:pPr>
        <w:pStyle w:val="36"/>
        <w:ind w:left="420" w:firstLine="480"/>
        <w:rPr>
          <w:rFonts w:ascii="宋体" w:hAnsi="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rFonts w:hint="eastAsia"/>
          <w:color w:val="auto"/>
          <w:sz w:val="24"/>
          <w:szCs w:val="24"/>
          <w:highlight w:val="none"/>
        </w:rPr>
      </w:pPr>
      <w:r>
        <w:rPr>
          <w:rFonts w:hint="eastAsia"/>
          <w:color w:val="auto"/>
          <w:sz w:val="24"/>
          <w:szCs w:val="24"/>
          <w:highlight w:val="none"/>
        </w:rPr>
        <w:t>投标人名称：</w:t>
      </w:r>
    </w:p>
    <w:tbl>
      <w:tblPr>
        <w:tblStyle w:val="38"/>
        <w:tblW w:w="904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54"/>
        <w:gridCol w:w="347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（按招标公告的要求填写）</w:t>
            </w:r>
            <w:r>
              <w:rPr>
                <w:rFonts w:hint="eastAsia" w:ascii="宋体" w:hAnsi="宋体" w:cs="宋体"/>
                <w:color w:val="auto"/>
                <w:szCs w:val="21"/>
                <w:highlight w:val="none"/>
              </w:rPr>
              <w:t>、法定代表人证明书；委托投标的还应提供法人授权委托证明书</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highlight w:val="none"/>
                <w:lang w:bidi="ar"/>
              </w:rPr>
              <w:t>营业执照在</w:t>
            </w:r>
            <w:r>
              <w:rPr>
                <w:rFonts w:hint="eastAsia" w:ascii="宋体" w:hAnsi="宋体"/>
                <w:color w:val="auto"/>
                <w:szCs w:val="21"/>
                <w:highlight w:val="none"/>
              </w:rPr>
              <w:t>广州市住建行业信用管理平台内</w:t>
            </w:r>
            <w:r>
              <w:rPr>
                <w:rFonts w:hint="eastAsia" w:ascii="宋体" w:hAnsi="宋体"/>
                <w:color w:val="auto"/>
                <w:highlight w:val="none"/>
                <w:lang w:bidi="ar"/>
              </w:rPr>
              <w:t>上传件</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strike/>
                <w:color w:val="auto"/>
                <w:szCs w:val="21"/>
                <w:highlight w:val="none"/>
              </w:rPr>
            </w:pPr>
            <w:r>
              <w:rPr>
                <w:rFonts w:hint="eastAsia" w:ascii="宋体" w:hAnsi="宋体"/>
                <w:color w:val="auto"/>
                <w:highlight w:val="none"/>
                <w:lang w:bidi="ar"/>
              </w:rPr>
              <w:t>资质证书及安全生产许可证在</w:t>
            </w:r>
            <w:r>
              <w:rPr>
                <w:rFonts w:hint="eastAsia" w:ascii="宋体" w:hAnsi="宋体"/>
                <w:color w:val="auto"/>
                <w:szCs w:val="21"/>
                <w:highlight w:val="none"/>
              </w:rPr>
              <w:t>广州市住建行业信用管理平台</w:t>
            </w:r>
            <w:r>
              <w:rPr>
                <w:rFonts w:hint="eastAsia" w:ascii="宋体" w:hAnsi="宋体"/>
                <w:color w:val="auto"/>
                <w:highlight w:val="none"/>
                <w:lang w:bidi="ar"/>
              </w:rPr>
              <w:t>内上传件</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olor w:val="auto"/>
                <w:szCs w:val="21"/>
                <w:highlight w:val="none"/>
              </w:rPr>
            </w:pPr>
            <w:r>
              <w:rPr>
                <w:rFonts w:hint="eastAsia" w:ascii="宋体" w:hAnsi="宋体"/>
                <w:color w:val="auto"/>
                <w:szCs w:val="21"/>
                <w:highlight w:val="none"/>
              </w:rPr>
              <w:t>使用有效期内的注册建造师注册证书相关证明在广州市住建行业信用管理平台内上传件。</w:t>
            </w:r>
          </w:p>
          <w:p>
            <w:pPr>
              <w:spacing w:before="120" w:after="60"/>
              <w:jc w:val="left"/>
              <w:rPr>
                <w:rFonts w:hint="eastAsia" w:ascii="宋体" w:hAnsi="宋体" w:cs="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（注：打印建造师电子证书后，应在个人签名处手写本人签名再上传广州市住建行业信用管理平台，上传件未手写签名或与签名图像笔迹不一致的，该电子证书无效。）</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持有项目负责人安全</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考核合格证（</w:t>
            </w:r>
            <w:r>
              <w:rPr>
                <w:rFonts w:ascii="宋体" w:hAnsi="宋体" w:cs="宋体"/>
                <w:color w:val="auto"/>
                <w:szCs w:val="21"/>
                <w:highlight w:val="none"/>
              </w:rPr>
              <w:t>B类）或</w:t>
            </w:r>
            <w:r>
              <w:rPr>
                <w:rFonts w:hint="eastAsia" w:ascii="宋体" w:hAnsi="宋体" w:cs="宋体"/>
                <w:color w:val="auto"/>
                <w:szCs w:val="21"/>
                <w:highlight w:val="none"/>
              </w:rPr>
              <w:t>建筑施工企业项目负责人安全生产考核合格证</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项目负责人安全</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考核合格证（</w:t>
            </w:r>
            <w:r>
              <w:rPr>
                <w:rFonts w:ascii="宋体" w:hAnsi="宋体" w:cs="宋体"/>
                <w:color w:val="auto"/>
                <w:szCs w:val="21"/>
                <w:highlight w:val="none"/>
              </w:rPr>
              <w:t>B证）</w:t>
            </w:r>
            <w:r>
              <w:rPr>
                <w:rFonts w:hint="eastAsia" w:ascii="宋体" w:hAnsi="宋体" w:cs="宋体"/>
                <w:color w:val="auto"/>
                <w:szCs w:val="21"/>
                <w:highlight w:val="none"/>
              </w:rPr>
              <w:t>或建筑施工企业项目负责人安全生产考核合格证在广州市住建行业信用管理平台内上传件</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拟委托技术负责人的相关证书、资料</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7</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ascii="Arial" w:hAnsi="Arial" w:cs="Arial"/>
                <w:bCs/>
                <w:color w:val="auto"/>
                <w:highlight w:val="none"/>
              </w:rPr>
              <w:t>专职安全员须具有在有效期内的安全考核合格证书（C类）或建筑施工企业专职安全生产管理人员安全生产考核合格证书</w:t>
            </w:r>
            <w:r>
              <w:rPr>
                <w:rFonts w:hint="eastAsia" w:ascii="Arial" w:hAnsi="Arial" w:cs="Arial"/>
                <w:bCs/>
                <w:color w:val="auto"/>
                <w:highlight w:val="none"/>
                <w:lang w:eastAsia="zh-CN"/>
              </w:rPr>
              <w:t>（</w:t>
            </w:r>
            <w:r>
              <w:rPr>
                <w:rFonts w:hint="eastAsia" w:ascii="Arial" w:hAnsi="Arial" w:cs="Arial"/>
                <w:bCs/>
                <w:color w:val="auto"/>
                <w:highlight w:val="none"/>
                <w:lang w:val="en-US" w:eastAsia="zh-CN"/>
              </w:rPr>
              <w:t>C3类）</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left"/>
              <w:rPr>
                <w:rFonts w:hint="eastAsia" w:ascii="宋体" w:hAnsi="宋体" w:cs="宋体"/>
                <w:color w:val="auto"/>
                <w:szCs w:val="21"/>
                <w:highlight w:val="none"/>
              </w:rPr>
            </w:pPr>
            <w:r>
              <w:rPr>
                <w:rFonts w:hint="eastAsia" w:ascii="Arial" w:hAnsi="Arial" w:cs="Arial"/>
                <w:color w:val="auto"/>
                <w:szCs w:val="21"/>
                <w:highlight w:val="none"/>
              </w:rPr>
              <w:t>须提交彩色扫描件加盖电子公章或建筑施工企业专职安全生产管理人员安全生产考核合格证</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8</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r>
              <w:rPr>
                <w:rFonts w:ascii="宋体" w:hAnsi="宋体"/>
                <w:color w:val="auto"/>
                <w:szCs w:val="21"/>
                <w:highlight w:val="none"/>
                <w:u w:val="single"/>
              </w:rPr>
              <w:t>（按招标</w:t>
            </w:r>
            <w:r>
              <w:rPr>
                <w:rFonts w:hint="eastAsia" w:ascii="宋体" w:hAnsi="宋体"/>
                <w:color w:val="auto"/>
                <w:szCs w:val="21"/>
                <w:highlight w:val="none"/>
                <w:u w:val="single"/>
              </w:rPr>
              <w:t>公告</w:t>
            </w:r>
            <w:r>
              <w:rPr>
                <w:rFonts w:ascii="宋体" w:hAnsi="宋体"/>
                <w:color w:val="auto"/>
                <w:szCs w:val="21"/>
                <w:highlight w:val="none"/>
                <w:u w:val="single"/>
              </w:rPr>
              <w:t>的要求填写）</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ind w:right="-107" w:rightChars="-51"/>
              <w:jc w:val="left"/>
              <w:rPr>
                <w:rFonts w:hint="eastAsia" w:ascii="宋体" w:hAnsi="宋体" w:cs="宋体"/>
                <w:color w:val="auto"/>
                <w:szCs w:val="21"/>
                <w:highlight w:val="none"/>
              </w:rPr>
            </w:pPr>
            <w:r>
              <w:rPr>
                <w:rFonts w:hint="eastAsia" w:ascii="宋体" w:hAnsi="宋体" w:cs="宋体"/>
                <w:color w:val="auto"/>
                <w:kern w:val="0"/>
                <w:sz w:val="22"/>
                <w:highlight w:val="none"/>
              </w:rPr>
              <w:t>网上投标时选择拟投标的项目负责人、资格审查文件中拟委派的技术负责人及投标人声明</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资格审查前，投标人须在广州市住房和城乡建设局建立企业</w:t>
            </w:r>
            <w:r>
              <w:rPr>
                <w:rFonts w:hint="eastAsia" w:ascii="宋体" w:hAnsi="宋体" w:cs="宋体"/>
                <w:color w:val="auto"/>
                <w:szCs w:val="21"/>
                <w:highlight w:val="none"/>
                <w:lang w:eastAsia="zh-CN"/>
              </w:rPr>
              <w:t>信用</w:t>
            </w:r>
            <w:r>
              <w:rPr>
                <w:rFonts w:hint="eastAsia" w:ascii="宋体" w:hAnsi="宋体" w:cs="宋体"/>
                <w:color w:val="auto"/>
                <w:szCs w:val="21"/>
                <w:highlight w:val="none"/>
              </w:rPr>
              <w:t>档案及拟担任本工程项目负责人、专职安全员须是本企业中的在册人员</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hint="eastAsia" w:ascii="宋体" w:hAnsi="宋体" w:cs="宋体"/>
                <w:color w:val="auto"/>
                <w:szCs w:val="21"/>
                <w:highlight w:val="none"/>
              </w:rPr>
            </w:pPr>
            <w:r>
              <w:rPr>
                <w:rFonts w:hint="eastAsia" w:ascii="宋体" w:hAnsi="宋体"/>
                <w:color w:val="auto"/>
                <w:highlight w:val="none"/>
                <w:lang w:bidi="ar"/>
              </w:rPr>
              <w:t>投标人未出现以下情形：与其它投标人的单位负责人为同一人或者存在控股、管理关系的（按投标人提供的《投标人声明》第</w:t>
            </w:r>
            <w:r>
              <w:rPr>
                <w:rFonts w:hint="eastAsia" w:ascii="宋体" w:hAnsi="宋体"/>
                <w:color w:val="auto"/>
                <w:highlight w:val="none"/>
                <w:lang w:eastAsia="zh-CN" w:bidi="ar"/>
              </w:rPr>
              <w:t>八</w:t>
            </w:r>
            <w:r>
              <w:rPr>
                <w:rFonts w:hint="eastAsia" w:ascii="宋体" w:hAnsi="宋体"/>
                <w:color w:val="auto"/>
                <w:highlight w:val="none"/>
                <w:lang w:bidi="ar"/>
              </w:rPr>
              <w:t>条内容进行评审）。</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highlight w:val="none"/>
                <w:lang w:eastAsia="zh-CN" w:bidi="ar"/>
              </w:rPr>
            </w:pPr>
            <w:r>
              <w:rPr>
                <w:rFonts w:hint="eastAsia" w:ascii="宋体" w:hAnsi="宋体"/>
                <w:color w:val="auto"/>
                <w:highlight w:val="none"/>
                <w:lang w:bidi="ar"/>
              </w:rPr>
              <w:t>1</w:t>
            </w:r>
            <w:r>
              <w:rPr>
                <w:rFonts w:hint="eastAsia" w:ascii="宋体" w:hAnsi="宋体"/>
                <w:color w:val="auto"/>
                <w:highlight w:val="none"/>
                <w:lang w:val="en-US" w:eastAsia="zh-CN" w:bidi="ar"/>
              </w:rPr>
              <w:t>2</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olor w:val="auto"/>
                <w:highlight w:val="none"/>
                <w:lang w:bidi="ar"/>
              </w:rPr>
            </w:pPr>
            <w:r>
              <w:rPr>
                <w:rFonts w:hint="eastAsia" w:ascii="宋体" w:hAnsi="宋体" w:eastAsia="宋体" w:cs="Times New Roman"/>
                <w:b w:val="0"/>
                <w:bCs w:val="0"/>
                <w:color w:val="auto"/>
                <w:kern w:val="2"/>
                <w:sz w:val="21"/>
                <w:szCs w:val="22"/>
                <w:highlight w:val="none"/>
                <w:lang w:bidi="ar"/>
              </w:rPr>
              <w:t>未被列入拖欠农民工工资失信联合惩戒对象名单</w:t>
            </w:r>
          </w:p>
        </w:tc>
        <w:tc>
          <w:tcPr>
            <w:tcW w:w="347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olor w:val="auto"/>
                <w:highlight w:val="none"/>
                <w:lang w:bidi="ar"/>
              </w:rPr>
            </w:pPr>
            <w:r>
              <w:rPr>
                <w:rFonts w:hint="eastAsia" w:ascii="宋体" w:hAnsi="宋体"/>
                <w:color w:val="auto"/>
                <w:szCs w:val="21"/>
                <w:highlight w:val="none"/>
              </w:rPr>
              <w:t>投标人无需提供资料，按交易系统比对的结果进行评审</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highlight w:val="none"/>
                <w:lang w:bidi="ar"/>
              </w:rPr>
            </w:pPr>
          </w:p>
        </w:tc>
      </w:tr>
    </w:tbl>
    <w:p>
      <w:pPr>
        <w:pStyle w:val="19"/>
        <w:rPr>
          <w:rFonts w:hint="eastAsia"/>
          <w:color w:val="auto"/>
          <w:highlight w:val="none"/>
          <w:lang w:eastAsia="zh-CN"/>
        </w:rPr>
      </w:pPr>
    </w:p>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p>
    <w:p>
      <w:pPr>
        <w:spacing w:line="48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rPr>
          <w:color w:val="auto"/>
          <w:highlight w:val="none"/>
        </w:rPr>
        <w:sectPr>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8"/>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7"/>
        <w:gridCol w:w="1609"/>
        <w:gridCol w:w="1609"/>
        <w:gridCol w:w="1609"/>
        <w:gridCol w:w="1609"/>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rPr>
              <w:t>不能满足完成投标项目工期的；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不符合招标文件及有关技术规格、质量要求、检验标准和方法的；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bl>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pStyle w:val="2"/>
        <w:rPr>
          <w:rFonts w:hint="eastAsia"/>
          <w:color w:val="auto"/>
          <w:highlight w:val="none"/>
        </w:rPr>
      </w:pPr>
      <w:r>
        <w:rPr>
          <w:rFonts w:hint="eastAsia"/>
          <w:color w:val="auto"/>
          <w:highlight w:val="none"/>
        </w:rPr>
        <w:t>经济标有效性审查表</w:t>
      </w:r>
    </w:p>
    <w:p>
      <w:pPr>
        <w:rPr>
          <w:color w:val="auto"/>
          <w:highlight w:val="none"/>
        </w:rPr>
      </w:pPr>
      <w:r>
        <w:rPr>
          <w:rFonts w:hint="eastAsia"/>
          <w:color w:val="auto"/>
          <w:szCs w:val="21"/>
          <w:highlight w:val="none"/>
        </w:rPr>
        <w:t>工程名称：</w:t>
      </w:r>
    </w:p>
    <w:tbl>
      <w:tblPr>
        <w:tblStyle w:val="38"/>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7"/>
        <w:gridCol w:w="1609"/>
        <w:gridCol w:w="1609"/>
        <w:gridCol w:w="1609"/>
        <w:gridCol w:w="1609"/>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投标人与本项目其他投标人的投标文件工程量清单编制机器硬件信息一致的（以交易平台评标系统的检索信息为准）</w:t>
            </w: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6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35"/>
        <w:ind w:firstLine="458"/>
        <w:rPr>
          <w:rFonts w:ascii="宋体" w:hAnsi="宋体"/>
          <w:color w:val="auto"/>
          <w:szCs w:val="21"/>
          <w:highlight w:val="none"/>
        </w:rPr>
        <w:sectPr>
          <w:endnotePr>
            <w:numFmt w:val="decimal"/>
          </w:endnotePr>
          <w:pgSz w:w="16838" w:h="11906" w:orient="landscape"/>
          <w:pgMar w:top="12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rFonts w:hint="eastAsia"/>
          <w:color w:val="auto"/>
          <w:szCs w:val="21"/>
          <w:highlight w:val="none"/>
        </w:rPr>
      </w:pPr>
      <w:r>
        <w:rPr>
          <w:rFonts w:hint="eastAsia"/>
          <w:color w:val="auto"/>
          <w:szCs w:val="21"/>
          <w:highlight w:val="none"/>
        </w:rPr>
        <w:t>附表四</w:t>
      </w:r>
    </w:p>
    <w:p>
      <w:pPr>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rPr>
        <w:t>技术标详细审查评分表</w:t>
      </w:r>
    </w:p>
    <w:tbl>
      <w:tblPr>
        <w:tblStyle w:val="38"/>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782"/>
        <w:gridCol w:w="1218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3" w:type="dxa"/>
            <w:tcBorders>
              <w:top w:val="single" w:color="auto" w:sz="8" w:space="0"/>
            </w:tcBorders>
            <w:noWrap w:val="0"/>
            <w:vAlign w:val="center"/>
          </w:tcPr>
          <w:p>
            <w:pPr>
              <w:snapToGrid w:val="0"/>
              <w:spacing w:before="109" w:beforeLines="35" w:after="109" w:afterLines="35"/>
              <w:jc w:val="center"/>
              <w:rPr>
                <w:rFonts w:hint="eastAsia" w:ascii="宋体" w:hAnsi="宋体"/>
                <w:b/>
                <w:bCs/>
                <w:color w:val="auto"/>
                <w:szCs w:val="21"/>
                <w:highlight w:val="none"/>
              </w:rPr>
            </w:pPr>
            <w:r>
              <w:rPr>
                <w:rFonts w:hint="eastAsia" w:ascii="宋体" w:hAnsi="宋体"/>
                <w:b/>
                <w:bCs/>
                <w:color w:val="auto"/>
                <w:szCs w:val="21"/>
                <w:highlight w:val="none"/>
              </w:rPr>
              <w:t>评分项目</w:t>
            </w:r>
          </w:p>
        </w:tc>
        <w:tc>
          <w:tcPr>
            <w:tcW w:w="1207" w:type="dxa"/>
            <w:tcBorders>
              <w:top w:val="single" w:color="auto" w:sz="8" w:space="0"/>
            </w:tcBorders>
            <w:noWrap w:val="0"/>
            <w:vAlign w:val="center"/>
          </w:tcPr>
          <w:p>
            <w:pPr>
              <w:snapToGrid w:val="0"/>
              <w:spacing w:before="109" w:beforeLines="35" w:after="109" w:afterLines="35"/>
              <w:jc w:val="center"/>
              <w:rPr>
                <w:rFonts w:hint="eastAsia" w:ascii="宋体" w:hAnsi="宋体"/>
                <w:b/>
                <w:bCs/>
                <w:color w:val="auto"/>
                <w:szCs w:val="21"/>
                <w:highlight w:val="none"/>
              </w:rPr>
            </w:pPr>
            <w:r>
              <w:rPr>
                <w:rFonts w:hint="eastAsia" w:ascii="宋体" w:hAnsi="宋体"/>
                <w:b/>
                <w:bCs/>
                <w:color w:val="auto"/>
                <w:szCs w:val="21"/>
                <w:highlight w:val="none"/>
              </w:rPr>
              <w:t>评分内容</w:t>
            </w:r>
          </w:p>
        </w:tc>
        <w:tc>
          <w:tcPr>
            <w:tcW w:w="782" w:type="dxa"/>
            <w:tcBorders>
              <w:top w:val="single" w:color="auto" w:sz="8" w:space="0"/>
            </w:tcBorders>
            <w:noWrap w:val="0"/>
            <w:vAlign w:val="center"/>
          </w:tcPr>
          <w:p>
            <w:pPr>
              <w:snapToGrid w:val="0"/>
              <w:spacing w:before="109" w:beforeLines="35" w:after="109" w:afterLines="35"/>
              <w:jc w:val="center"/>
              <w:rPr>
                <w:rFonts w:hint="eastAsia" w:ascii="宋体" w:hAnsi="宋体"/>
                <w:b/>
                <w:bCs/>
                <w:color w:val="auto"/>
                <w:szCs w:val="21"/>
                <w:highlight w:val="none"/>
              </w:rPr>
            </w:pPr>
            <w:r>
              <w:rPr>
                <w:rFonts w:hint="eastAsia" w:ascii="宋体" w:hAnsi="宋体"/>
                <w:b/>
                <w:bCs/>
                <w:color w:val="auto"/>
                <w:szCs w:val="21"/>
                <w:highlight w:val="none"/>
              </w:rPr>
              <w:t>分值</w:t>
            </w:r>
          </w:p>
        </w:tc>
        <w:tc>
          <w:tcPr>
            <w:tcW w:w="12183" w:type="dxa"/>
            <w:tcBorders>
              <w:top w:val="single" w:color="auto" w:sz="8" w:space="0"/>
            </w:tcBorders>
            <w:noWrap w:val="0"/>
            <w:vAlign w:val="center"/>
          </w:tcPr>
          <w:p>
            <w:pPr>
              <w:snapToGrid w:val="0"/>
              <w:spacing w:before="109" w:beforeLines="35" w:after="109" w:afterLines="35"/>
              <w:jc w:val="center"/>
              <w:rPr>
                <w:rFonts w:hint="eastAsia" w:ascii="宋体" w:hAnsi="宋体"/>
                <w:b/>
                <w:bCs/>
                <w:color w:val="auto"/>
                <w:szCs w:val="21"/>
                <w:highlight w:val="none"/>
              </w:rPr>
            </w:pPr>
            <w:r>
              <w:rPr>
                <w:rFonts w:hint="eastAsia" w:ascii="宋体" w:hAnsi="宋体"/>
                <w:b/>
                <w:bCs/>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Merge w:val="restart"/>
            <w:noWrap w:val="0"/>
            <w:vAlign w:val="center"/>
          </w:tcPr>
          <w:p>
            <w:pPr>
              <w:snapToGrid w:val="0"/>
              <w:spacing w:before="109" w:beforeLines="35" w:after="109" w:afterLines="35"/>
              <w:rPr>
                <w:rFonts w:hint="eastAsia" w:ascii="宋体" w:hAnsi="宋体" w:eastAsia="宋体"/>
                <w:color w:val="auto"/>
                <w:szCs w:val="21"/>
                <w:highlight w:val="none"/>
              </w:rPr>
            </w:pPr>
            <w:r>
              <w:rPr>
                <w:rFonts w:hint="eastAsia" w:ascii="宋体" w:hAnsi="宋体"/>
                <w:color w:val="auto"/>
                <w:szCs w:val="21"/>
                <w:highlight w:val="none"/>
              </w:rPr>
              <w:t>一、项目管理机构能力（</w:t>
            </w:r>
            <w:r>
              <w:rPr>
                <w:rFonts w:hint="eastAsia" w:ascii="宋体" w:hAnsi="宋体"/>
                <w:color w:val="auto"/>
                <w:szCs w:val="21"/>
                <w:highlight w:val="none"/>
                <w:lang w:val="en-US" w:eastAsia="zh-CN"/>
              </w:rPr>
              <w:t>70</w:t>
            </w:r>
            <w:r>
              <w:rPr>
                <w:rFonts w:hint="eastAsia" w:ascii="宋体" w:hAnsi="宋体"/>
                <w:color w:val="auto"/>
                <w:szCs w:val="21"/>
                <w:highlight w:val="none"/>
              </w:rPr>
              <w:t>分）</w:t>
            </w:r>
          </w:p>
        </w:tc>
        <w:tc>
          <w:tcPr>
            <w:tcW w:w="1207" w:type="dxa"/>
            <w:noWrap w:val="0"/>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技术负责人</w:t>
            </w:r>
          </w:p>
        </w:tc>
        <w:tc>
          <w:tcPr>
            <w:tcW w:w="782" w:type="dxa"/>
            <w:noWrap w:val="0"/>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2183"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2020年</w:t>
            </w:r>
            <w:r>
              <w:rPr>
                <w:rFonts w:hint="eastAsia" w:ascii="宋体" w:hAnsi="宋体" w:cs="宋体"/>
                <w:color w:val="auto"/>
                <w:kern w:val="2"/>
                <w:sz w:val="21"/>
                <w:szCs w:val="21"/>
                <w:highlight w:val="none"/>
                <w:lang w:val="en-US" w:eastAsia="zh-CN" w:bidi="ar-SA"/>
              </w:rPr>
              <w:t>1月1日</w:t>
            </w:r>
            <w:r>
              <w:rPr>
                <w:rFonts w:hint="eastAsia" w:ascii="宋体" w:hAnsi="宋体" w:eastAsia="宋体" w:cs="宋体"/>
                <w:color w:val="auto"/>
                <w:kern w:val="2"/>
                <w:sz w:val="21"/>
                <w:szCs w:val="21"/>
                <w:highlight w:val="none"/>
                <w:lang w:val="en-US" w:eastAsia="zh-CN" w:bidi="ar-SA"/>
              </w:rPr>
              <w:t>至今，作为项目负责人</w:t>
            </w:r>
            <w:r>
              <w:rPr>
                <w:rFonts w:hint="eastAsia" w:ascii="宋体" w:hAnsi="宋体" w:cs="宋体"/>
                <w:color w:val="auto"/>
                <w:kern w:val="2"/>
                <w:sz w:val="21"/>
                <w:szCs w:val="21"/>
                <w:highlight w:val="none"/>
                <w:lang w:val="en-US" w:eastAsia="zh-CN" w:bidi="ar-SA"/>
              </w:rPr>
              <w:t>或技术负责人</w:t>
            </w:r>
            <w:r>
              <w:rPr>
                <w:rFonts w:hint="eastAsia" w:ascii="宋体" w:hAnsi="宋体" w:eastAsia="宋体" w:cs="宋体"/>
                <w:color w:val="auto"/>
                <w:kern w:val="2"/>
                <w:sz w:val="21"/>
                <w:szCs w:val="21"/>
                <w:highlight w:val="none"/>
                <w:lang w:val="en-US" w:eastAsia="zh-CN" w:bidi="ar-SA"/>
              </w:rPr>
              <w:t>完成过市政公用工程业绩的，</w:t>
            </w:r>
            <w:r>
              <w:rPr>
                <w:rFonts w:hint="eastAsia" w:ascii="宋体" w:hAnsi="宋体" w:cs="宋体"/>
                <w:color w:val="auto"/>
                <w:kern w:val="2"/>
                <w:sz w:val="21"/>
                <w:szCs w:val="21"/>
                <w:highlight w:val="none"/>
                <w:lang w:val="en-US" w:eastAsia="zh-CN" w:bidi="ar-SA"/>
              </w:rPr>
              <w:t>每项得5分，最高</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注：业绩需提供中标通知书或免招标证明、合同和验收报告，</w:t>
            </w:r>
            <w:r>
              <w:rPr>
                <w:rFonts w:hint="eastAsia" w:ascii="宋体" w:hAnsi="宋体" w:cs="宋体"/>
                <w:color w:val="auto"/>
                <w:kern w:val="2"/>
                <w:sz w:val="21"/>
                <w:szCs w:val="21"/>
                <w:highlight w:val="none"/>
                <w:lang w:val="en-US" w:eastAsia="zh-CN" w:bidi="ar-SA"/>
              </w:rPr>
              <w:t>时间以验收日期为准。</w:t>
            </w:r>
            <w:r>
              <w:rPr>
                <w:rFonts w:hint="eastAsia" w:ascii="宋体" w:hAnsi="宋体" w:eastAsia="宋体" w:cs="宋体"/>
                <w:color w:val="auto"/>
                <w:kern w:val="2"/>
                <w:sz w:val="21"/>
                <w:szCs w:val="21"/>
                <w:highlight w:val="none"/>
                <w:lang w:val="en-US" w:eastAsia="zh-CN" w:bidi="ar-SA"/>
              </w:rPr>
              <w:t>提供</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材料能体现技术负责人的信息。</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03" w:type="dxa"/>
            <w:vMerge w:val="continue"/>
            <w:noWrap w:val="0"/>
            <w:vAlign w:val="center"/>
          </w:tcPr>
          <w:p>
            <w:pPr>
              <w:snapToGrid w:val="0"/>
              <w:spacing w:before="109" w:beforeLines="35" w:after="109" w:afterLines="35"/>
              <w:rPr>
                <w:rFonts w:hint="eastAsia" w:ascii="宋体" w:hAnsi="宋体" w:eastAsia="宋体"/>
                <w:color w:val="auto"/>
                <w:szCs w:val="21"/>
                <w:highlight w:val="none"/>
              </w:rPr>
            </w:pPr>
          </w:p>
        </w:tc>
        <w:tc>
          <w:tcPr>
            <w:tcW w:w="1207"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安全负责人</w:t>
            </w:r>
          </w:p>
        </w:tc>
        <w:tc>
          <w:tcPr>
            <w:tcW w:w="782" w:type="dxa"/>
            <w:noWrap w:val="0"/>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2183"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安全负责人（与专职安全员不为同一人）：</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1.具有建筑施工安全专业的注册安全工程师注册证书的，得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2.具有工程</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高级（或以上）工程师职称的，得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分；具有工程</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中级工程师职称的，得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.5分。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3.具有20年（不含20年）以上工程类相关工作经验的，得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分；11年-20年的，得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.5分；1-10年的，得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SA"/>
              </w:rPr>
              <w:t>注：须提供注册单位与投标单位一致的注册安全工程师注册证书扫描件及注册安全工程师查询网站（https://rmocse.chinasafety.ac.cn/）查询结果网上截图、职称证书、大专或以上毕业证扫描件并加盖投标人企业电子印章。工作经验年限以工程类相关专业大专或以上毕业证毕业时间开始计，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Merge w:val="continue"/>
            <w:noWrap w:val="0"/>
            <w:vAlign w:val="center"/>
          </w:tcPr>
          <w:p>
            <w:pPr>
              <w:pStyle w:val="51"/>
              <w:rPr>
                <w:rFonts w:hint="eastAsia" w:ascii="宋体" w:hAnsi="宋体" w:eastAsia="宋体"/>
                <w:color w:val="auto"/>
                <w:szCs w:val="21"/>
                <w:highlight w:val="none"/>
              </w:rPr>
            </w:pPr>
          </w:p>
        </w:tc>
        <w:tc>
          <w:tcPr>
            <w:tcW w:w="1207"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质量负责人</w:t>
            </w:r>
          </w:p>
        </w:tc>
        <w:tc>
          <w:tcPr>
            <w:tcW w:w="782" w:type="dxa"/>
            <w:noWrap w:val="0"/>
            <w:vAlign w:val="center"/>
          </w:tcPr>
          <w:p>
            <w:pPr>
              <w:widowControl/>
              <w:snapToGrid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c>
          <w:tcPr>
            <w:tcW w:w="12183" w:type="dxa"/>
            <w:noWrap w:val="0"/>
            <w:vAlign w:val="center"/>
          </w:tcPr>
          <w:p>
            <w:pPr>
              <w:pStyle w:val="3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具有工程类高级（或以上）工程师职称的，得</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分；具有工程类中级工程师职称的，得</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分。</w:t>
            </w:r>
          </w:p>
          <w:p>
            <w:pPr>
              <w:pStyle w:val="3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具有20年（不含20年）以上工程类相关工作经验的，得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分；11年-20年的，得</w:t>
            </w:r>
            <w:r>
              <w:rPr>
                <w:rFonts w:hint="eastAsia"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分；1-10年的，得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注：提供职称证书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大专或以上毕业证扫描件并加盖投标人企业电子印章。工作经验年限以工程类相关专业大专或以上毕业证毕业时间开始计，未按要求提供相关资料的人员，该人员不作为评分依据。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3" w:type="dxa"/>
            <w:vMerge w:val="continue"/>
            <w:noWrap w:val="0"/>
            <w:vAlign w:val="center"/>
          </w:tcPr>
          <w:p>
            <w:pPr>
              <w:snapToGrid w:val="0"/>
              <w:spacing w:before="109" w:beforeLines="35" w:after="109" w:afterLines="35"/>
              <w:rPr>
                <w:rFonts w:hint="eastAsia" w:ascii="宋体" w:hAnsi="宋体"/>
                <w:color w:val="auto"/>
                <w:szCs w:val="21"/>
                <w:highlight w:val="none"/>
              </w:rPr>
            </w:pPr>
          </w:p>
        </w:tc>
        <w:tc>
          <w:tcPr>
            <w:tcW w:w="1207"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造价负责人</w:t>
            </w:r>
          </w:p>
        </w:tc>
        <w:tc>
          <w:tcPr>
            <w:tcW w:w="782" w:type="dxa"/>
            <w:noWrap w:val="0"/>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2183"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1.具有土建专业一级注册造价师注册证的，得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2.取得工程</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高级（或以上）职称证的，得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分；具有工程</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中级工程师职称的，得</w:t>
            </w:r>
            <w:r>
              <w:rPr>
                <w:rFonts w:hint="eastAsia"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3.具有20年（不含20年）以上工程类相关工作经验的，得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分；11年-20年的，得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.5分；1-10年的，得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提供职称证、一级注册造价师注册证、大专或以上毕业证扫描件并加盖投标人企业电子印章。工作经验年限以工程类相关专业大专或以上毕业证毕业时间开始计，未按要求提供相关资料的人员，该人员不作为评分依据。</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ascii="宋体" w:hAnsi="宋体" w:eastAsia="宋体" w:cs="宋体"/>
                <w:color w:val="auto"/>
                <w:szCs w:val="21"/>
                <w:highlight w:val="none"/>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一级注册造价工程师提供注册造价工程师注册信息查询网站（http://zaojiasys.jianshe99.com/）查询结果网上截图，且执业状态栏显示“正常”且注册单位与投标单位一致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Merge w:val="continue"/>
            <w:noWrap w:val="0"/>
            <w:vAlign w:val="center"/>
          </w:tcPr>
          <w:p>
            <w:pPr>
              <w:snapToGrid w:val="0"/>
              <w:spacing w:before="109" w:beforeLines="35" w:after="109" w:afterLines="35"/>
              <w:rPr>
                <w:rFonts w:hint="eastAsia" w:ascii="宋体" w:hAnsi="宋体"/>
                <w:color w:val="auto"/>
                <w:szCs w:val="21"/>
                <w:highlight w:val="none"/>
              </w:rPr>
            </w:pPr>
          </w:p>
        </w:tc>
        <w:tc>
          <w:tcPr>
            <w:tcW w:w="1207" w:type="dxa"/>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其他管理人员</w:t>
            </w:r>
          </w:p>
        </w:tc>
        <w:tc>
          <w:tcPr>
            <w:tcW w:w="782" w:type="dxa"/>
            <w:noWrap w:val="0"/>
            <w:vAlign w:val="center"/>
          </w:tcPr>
          <w:p>
            <w:pPr>
              <w:widowControl/>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183" w:type="dxa"/>
            <w:noWrap w:val="0"/>
            <w:vAlign w:val="center"/>
          </w:tcPr>
          <w:p>
            <w:pPr>
              <w:spacing w:after="120"/>
              <w:rPr>
                <w:rFonts w:hint="eastAsia" w:ascii="宋体" w:hAnsi="宋体" w:eastAsia="宋体" w:cs="宋体"/>
                <w:color w:val="auto"/>
                <w:szCs w:val="21"/>
                <w:highlight w:val="none"/>
              </w:rPr>
            </w:pPr>
            <w:r>
              <w:rPr>
                <w:rFonts w:hint="eastAsia" w:ascii="宋体" w:hAnsi="宋体" w:cs="宋体"/>
                <w:color w:val="auto"/>
                <w:szCs w:val="21"/>
                <w:highlight w:val="none"/>
              </w:rPr>
              <w:t>除项目负责人、技术负责人、安全负责人、造价负责人、质量负责人外，拟投入本项目的人员配置完善合理，其中包含如下人员：具有机械中级（或以上）工程师1人、机电设备安装中级</w:t>
            </w:r>
            <w:r>
              <w:rPr>
                <w:rFonts w:hint="eastAsia" w:ascii="宋体" w:hAnsi="宋体" w:cs="宋体"/>
                <w:color w:val="auto"/>
                <w:szCs w:val="21"/>
                <w:highlight w:val="none"/>
                <w:lang w:eastAsia="zh-CN"/>
              </w:rPr>
              <w:t>（</w:t>
            </w:r>
            <w:r>
              <w:rPr>
                <w:rFonts w:hint="eastAsia" w:ascii="宋体" w:hAnsi="宋体" w:cs="宋体"/>
                <w:color w:val="auto"/>
                <w:szCs w:val="21"/>
                <w:highlight w:val="none"/>
              </w:rPr>
              <w:t>或以上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工程师1人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注册安全工程师</w:t>
            </w:r>
            <w:r>
              <w:rPr>
                <w:rFonts w:hint="eastAsia" w:ascii="宋体" w:hAnsi="宋体" w:cs="宋体"/>
                <w:color w:val="auto"/>
                <w:szCs w:val="21"/>
                <w:highlight w:val="none"/>
                <w:lang w:val="en-US" w:eastAsia="zh-CN"/>
              </w:rPr>
              <w:t>1人</w:t>
            </w:r>
            <w:r>
              <w:rPr>
                <w:rFonts w:hint="eastAsia" w:ascii="宋体" w:hAnsi="宋体" w:cs="宋体"/>
                <w:color w:val="auto"/>
                <w:szCs w:val="21"/>
                <w:highlight w:val="none"/>
              </w:rPr>
              <w:t>、注册一级造价工程师（注册专业：安装）1人。全部满足的得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分，每少一人(在</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分的基础上)扣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分，最低扣至0分。注：提供职称证</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注册证扫描件，</w:t>
            </w:r>
            <w:r>
              <w:rPr>
                <w:rFonts w:hint="eastAsia" w:ascii="宋体" w:hAnsi="宋体" w:cs="宋体"/>
                <w:color w:val="auto"/>
                <w:szCs w:val="21"/>
                <w:highlight w:val="none"/>
                <w:lang w:val="en-US" w:eastAsia="zh-CN"/>
              </w:rPr>
              <w:t>同一人员</w:t>
            </w:r>
            <w:r>
              <w:rPr>
                <w:rFonts w:hint="eastAsia" w:ascii="宋体" w:hAnsi="宋体" w:cs="宋体"/>
                <w:color w:val="auto"/>
                <w:szCs w:val="21"/>
                <w:highlight w:val="none"/>
              </w:rPr>
              <w:t>同一专业职称或注册证只计算一次</w:t>
            </w:r>
            <w:r>
              <w:rPr>
                <w:rFonts w:hint="eastAsia" w:ascii="宋体" w:hAnsi="宋体" w:cs="宋体"/>
                <w:color w:val="auto"/>
                <w:szCs w:val="21"/>
                <w:highlight w:val="none"/>
                <w:lang w:val="en-US" w:eastAsia="zh-CN"/>
              </w:rPr>
              <w:t>得分</w:t>
            </w:r>
            <w:r>
              <w:rPr>
                <w:rFonts w:hint="eastAsia" w:ascii="宋体" w:hAnsi="宋体" w:cs="宋体"/>
                <w:color w:val="auto"/>
                <w:szCs w:val="21"/>
                <w:highlight w:val="none"/>
              </w:rPr>
              <w:t>。同一人员不得兼任多个专业岗位。</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3" w:type="dxa"/>
            <w:vMerge w:val="restart"/>
            <w:noWrap w:val="0"/>
            <w:vAlign w:val="center"/>
          </w:tcPr>
          <w:p>
            <w:pPr>
              <w:snapToGrid w:val="0"/>
              <w:spacing w:before="109" w:beforeLines="35" w:after="109" w:afterLines="35"/>
              <w:rPr>
                <w:rFonts w:hint="eastAsia" w:ascii="宋体" w:hAnsi="宋体"/>
                <w:color w:val="auto"/>
                <w:szCs w:val="21"/>
                <w:highlight w:val="none"/>
              </w:rPr>
            </w:pPr>
            <w:bookmarkStart w:id="30" w:name="OLE_LINK1"/>
            <w:r>
              <w:rPr>
                <w:rFonts w:hint="eastAsia" w:ascii="宋体" w:hAnsi="宋体"/>
                <w:color w:val="auto"/>
                <w:szCs w:val="21"/>
                <w:highlight w:val="none"/>
              </w:rPr>
              <w:t>二、企业资信</w:t>
            </w:r>
            <w:bookmarkEnd w:id="30"/>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1207" w:type="dxa"/>
            <w:noWrap w:val="0"/>
            <w:vAlign w:val="center"/>
          </w:tcPr>
          <w:p>
            <w:pPr>
              <w:snapToGrid w:val="0"/>
              <w:spacing w:before="109" w:beforeLines="35" w:after="109" w:afterLines="35"/>
              <w:jc w:val="center"/>
              <w:rPr>
                <w:rFonts w:hint="eastAsia" w:ascii="宋体" w:hAnsi="宋体" w:cs="宋体"/>
                <w:color w:val="auto"/>
                <w:szCs w:val="21"/>
                <w:highlight w:val="none"/>
              </w:rPr>
            </w:pPr>
            <w:r>
              <w:rPr>
                <w:rFonts w:hint="eastAsia" w:ascii="宋体" w:hAnsi="宋体" w:cs="宋体"/>
                <w:color w:val="auto"/>
                <w:szCs w:val="21"/>
                <w:highlight w:val="none"/>
              </w:rPr>
              <w:t>企业业绩</w:t>
            </w:r>
          </w:p>
        </w:tc>
        <w:tc>
          <w:tcPr>
            <w:tcW w:w="782" w:type="dxa"/>
            <w:noWrap w:val="0"/>
            <w:vAlign w:val="center"/>
          </w:tcPr>
          <w:p>
            <w:pPr>
              <w:snapToGrid w:val="0"/>
              <w:spacing w:before="109" w:beforeLines="35" w:after="109" w:afterLines="35"/>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183" w:type="dxa"/>
            <w:noWrap w:val="0"/>
            <w:vAlign w:val="center"/>
          </w:tcPr>
          <w:p>
            <w:pPr>
              <w:pStyle w:val="31"/>
              <w:widowControl/>
              <w:shd w:val="clear" w:color="auto" w:fill="FFFFFF"/>
              <w:spacing w:before="0" w:beforeAutospacing="0" w:after="0" w:afterAutospacing="0" w:line="200" w:lineRule="atLeast"/>
              <w:rPr>
                <w:rFonts w:hint="eastAsia" w:ascii="宋体" w:hAnsi="宋体" w:cs="宋体"/>
                <w:color w:val="auto"/>
                <w:kern w:val="0"/>
                <w:szCs w:val="21"/>
                <w:highlight w:val="none"/>
              </w:rPr>
            </w:pPr>
            <w:r>
              <w:rPr>
                <w:rFonts w:hint="eastAsia" w:ascii="宋体" w:hAnsi="宋体" w:eastAsia="宋体" w:cs="宋体"/>
                <w:color w:val="auto"/>
                <w:kern w:val="2"/>
                <w:sz w:val="21"/>
                <w:szCs w:val="21"/>
                <w:highlight w:val="none"/>
                <w:lang w:val="en-US" w:eastAsia="zh-CN" w:bidi="ar-SA"/>
              </w:rPr>
              <w:t>自2020年1月1日至投标截止时间，投标人完成过市政公用工程施工总承包业绩的，完成1项得</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分，本项最高得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03" w:type="dxa"/>
            <w:vMerge w:val="continue"/>
            <w:noWrap w:val="0"/>
            <w:vAlign w:val="center"/>
          </w:tcPr>
          <w:p>
            <w:pPr>
              <w:snapToGrid w:val="0"/>
              <w:spacing w:before="109" w:beforeLines="35" w:after="109" w:afterLines="35"/>
              <w:rPr>
                <w:rFonts w:hint="eastAsia" w:ascii="宋体" w:hAnsi="宋体"/>
                <w:color w:val="auto"/>
                <w:szCs w:val="21"/>
                <w:highlight w:val="none"/>
              </w:rPr>
            </w:pPr>
          </w:p>
        </w:tc>
        <w:tc>
          <w:tcPr>
            <w:tcW w:w="1207" w:type="dxa"/>
            <w:noWrap w:val="0"/>
            <w:vAlign w:val="center"/>
          </w:tcPr>
          <w:p>
            <w:pPr>
              <w:snapToGrid w:val="0"/>
              <w:spacing w:before="109" w:beforeLines="35" w:after="109" w:afterLines="35"/>
              <w:jc w:val="center"/>
              <w:rPr>
                <w:rFonts w:hint="eastAsia" w:ascii="宋体" w:hAnsi="宋体" w:cs="宋体"/>
                <w:color w:val="auto"/>
                <w:szCs w:val="21"/>
                <w:highlight w:val="none"/>
              </w:rPr>
            </w:pPr>
            <w:r>
              <w:rPr>
                <w:rFonts w:hint="eastAsia" w:ascii="宋体" w:hAnsi="宋体" w:eastAsia="宋体" w:cs="宋体"/>
                <w:color w:val="auto"/>
                <w:szCs w:val="21"/>
                <w:highlight w:val="none"/>
              </w:rPr>
              <w:t>工程奖项</w:t>
            </w:r>
          </w:p>
        </w:tc>
        <w:tc>
          <w:tcPr>
            <w:tcW w:w="782" w:type="dxa"/>
            <w:noWrap w:val="0"/>
            <w:vAlign w:val="center"/>
          </w:tcPr>
          <w:p>
            <w:pPr>
              <w:snapToGrid w:val="0"/>
              <w:spacing w:line="2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2183" w:type="dxa"/>
            <w:noWrap w:val="0"/>
            <w:vAlign w:val="center"/>
          </w:tcPr>
          <w:p>
            <w:pPr>
              <w:spacing w:after="120"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投标人自2020年1月1日至今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承建的工程获得过</w:t>
            </w:r>
            <w:r>
              <w:rPr>
                <w:rFonts w:hint="eastAsia" w:ascii="宋体" w:hAnsi="宋体" w:eastAsia="宋体" w:cs="宋体"/>
                <w:color w:val="auto"/>
                <w:kern w:val="0"/>
                <w:szCs w:val="21"/>
                <w:highlight w:val="none"/>
              </w:rPr>
              <w:t>国家级质量奖项每个得</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分，省级质量奖项每个得0.</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分，市级质量奖项每个得0.</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分。本项最多得分</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Merge w:val="continue"/>
            <w:noWrap w:val="0"/>
            <w:vAlign w:val="center"/>
          </w:tcPr>
          <w:p>
            <w:pPr>
              <w:snapToGrid w:val="0"/>
              <w:spacing w:before="109" w:beforeLines="35" w:after="109" w:afterLines="35"/>
              <w:rPr>
                <w:rFonts w:hint="eastAsia" w:ascii="宋体" w:hAnsi="宋体"/>
                <w:color w:val="auto"/>
                <w:szCs w:val="21"/>
                <w:highlight w:val="none"/>
              </w:rPr>
            </w:pPr>
          </w:p>
        </w:tc>
        <w:tc>
          <w:tcPr>
            <w:tcW w:w="1207" w:type="dxa"/>
            <w:noWrap w:val="0"/>
            <w:vAlign w:val="center"/>
          </w:tcPr>
          <w:p>
            <w:pPr>
              <w:snapToGrid w:val="0"/>
              <w:spacing w:before="109" w:beforeLines="35" w:after="109" w:afterLines="35"/>
              <w:jc w:val="center"/>
              <w:rPr>
                <w:rFonts w:hint="eastAsia" w:ascii="宋体" w:hAnsi="宋体" w:cs="宋体"/>
                <w:color w:val="auto"/>
                <w:szCs w:val="21"/>
                <w:highlight w:val="none"/>
              </w:rPr>
            </w:pPr>
            <w:r>
              <w:rPr>
                <w:rFonts w:hint="eastAsia" w:ascii="宋体" w:hAnsi="宋体" w:cs="宋体"/>
                <w:color w:val="auto"/>
                <w:szCs w:val="21"/>
                <w:highlight w:val="none"/>
              </w:rPr>
              <w:t>工程研发能力</w:t>
            </w:r>
          </w:p>
        </w:tc>
        <w:tc>
          <w:tcPr>
            <w:tcW w:w="782" w:type="dxa"/>
            <w:noWrap w:val="0"/>
            <w:vAlign w:val="center"/>
          </w:tcPr>
          <w:p>
            <w:pPr>
              <w:snapToGrid w:val="0"/>
              <w:spacing w:before="109" w:beforeLines="35" w:after="109" w:afterLines="35"/>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183" w:type="dxa"/>
            <w:noWrap w:val="0"/>
            <w:vAlign w:val="center"/>
          </w:tcPr>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自2020年1月1日至投标截止时间止，承建的工程项目获得技术创新QC成果（部优或以上）的，每项得</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分；承建的工程项目获得技术创新QC成果（</w:t>
            </w:r>
            <w:r>
              <w:rPr>
                <w:rFonts w:hint="eastAsia" w:ascii="宋体" w:hAnsi="宋体" w:cs="宋体"/>
                <w:color w:val="auto"/>
                <w:kern w:val="2"/>
                <w:sz w:val="21"/>
                <w:szCs w:val="21"/>
                <w:highlight w:val="none"/>
                <w:lang w:val="en-US" w:eastAsia="zh-CN" w:bidi="ar-SA"/>
              </w:rPr>
              <w:t>省</w:t>
            </w:r>
            <w:r>
              <w:rPr>
                <w:rFonts w:hint="eastAsia" w:ascii="宋体" w:hAnsi="宋体" w:eastAsia="宋体" w:cs="宋体"/>
                <w:color w:val="auto"/>
                <w:kern w:val="2"/>
                <w:sz w:val="21"/>
                <w:szCs w:val="21"/>
                <w:highlight w:val="none"/>
                <w:lang w:val="en-US" w:eastAsia="zh-CN" w:bidi="ar-SA"/>
              </w:rPr>
              <w:t>优）的，每项得</w:t>
            </w:r>
            <w:r>
              <w:rPr>
                <w:rFonts w:hint="eastAsia" w:ascii="宋体" w:hAnsi="宋体" w:cs="宋体"/>
                <w:color w:val="auto"/>
                <w:kern w:val="2"/>
                <w:sz w:val="21"/>
                <w:szCs w:val="21"/>
                <w:highlight w:val="none"/>
                <w:lang w:val="en-US" w:eastAsia="zh-CN" w:bidi="ar-SA"/>
              </w:rPr>
              <w:t>0.6</w:t>
            </w:r>
            <w:r>
              <w:rPr>
                <w:rFonts w:hint="eastAsia" w:ascii="宋体" w:hAnsi="宋体" w:eastAsia="宋体" w:cs="宋体"/>
                <w:color w:val="auto"/>
                <w:kern w:val="2"/>
                <w:sz w:val="21"/>
                <w:szCs w:val="21"/>
                <w:highlight w:val="none"/>
                <w:lang w:val="en-US" w:eastAsia="zh-CN" w:bidi="ar-SA"/>
              </w:rPr>
              <w:t>分；承建的工程项目获得技术创新QC成果（市优）的，每项得0.</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分；其他不得分。</w:t>
            </w:r>
          </w:p>
          <w:p>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本小项最高得</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Merge w:val="continue"/>
            <w:noWrap w:val="0"/>
            <w:vAlign w:val="center"/>
          </w:tcPr>
          <w:p>
            <w:pPr>
              <w:snapToGrid w:val="0"/>
              <w:spacing w:before="109" w:beforeLines="35" w:after="109" w:afterLines="35"/>
              <w:rPr>
                <w:rFonts w:hint="eastAsia" w:ascii="宋体" w:hAnsi="宋体"/>
                <w:color w:val="auto"/>
                <w:szCs w:val="21"/>
                <w:highlight w:val="none"/>
              </w:rPr>
            </w:pPr>
          </w:p>
        </w:tc>
        <w:tc>
          <w:tcPr>
            <w:tcW w:w="1207" w:type="dxa"/>
            <w:noWrap w:val="0"/>
            <w:vAlign w:val="center"/>
          </w:tcPr>
          <w:p>
            <w:pPr>
              <w:snapToGrid w:val="0"/>
              <w:spacing w:before="109" w:beforeLines="35" w:after="109" w:afterLines="35"/>
              <w:jc w:val="center"/>
              <w:rPr>
                <w:rFonts w:hint="eastAsia" w:ascii="宋体" w:hAnsi="宋体" w:cs="宋体"/>
                <w:color w:val="auto"/>
                <w:szCs w:val="21"/>
                <w:highlight w:val="none"/>
              </w:rPr>
            </w:pPr>
            <w:r>
              <w:rPr>
                <w:rFonts w:hint="eastAsia" w:ascii="宋体" w:hAnsi="宋体" w:cs="宋体"/>
                <w:color w:val="auto"/>
                <w:szCs w:val="21"/>
                <w:highlight w:val="none"/>
              </w:rPr>
              <w:t>财务指标</w:t>
            </w:r>
          </w:p>
        </w:tc>
        <w:tc>
          <w:tcPr>
            <w:tcW w:w="782" w:type="dxa"/>
            <w:noWrap w:val="0"/>
            <w:vAlign w:val="center"/>
          </w:tcPr>
          <w:p>
            <w:pPr>
              <w:snapToGrid w:val="0"/>
              <w:spacing w:before="109" w:beforeLines="35" w:after="109" w:afterLines="35"/>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183" w:type="dxa"/>
            <w:noWrap w:val="0"/>
            <w:vAlign w:val="center"/>
          </w:tcPr>
          <w:p>
            <w:pPr>
              <w:pStyle w:val="6"/>
              <w:numPr>
                <w:ilvl w:val="0"/>
                <w:numId w:val="0"/>
              </w:numPr>
              <w:ind w:firstLine="0"/>
              <w:rPr>
                <w:rFonts w:hint="eastAsia" w:ascii="宋体" w:hAnsi="宋体" w:cs="宋体"/>
                <w:color w:val="auto"/>
                <w:szCs w:val="21"/>
                <w:highlight w:val="none"/>
                <w:lang w:val="en-US" w:eastAsia="zh-CN"/>
              </w:rPr>
            </w:pPr>
            <w:r>
              <w:rPr>
                <w:rFonts w:hint="eastAsia" w:ascii="宋体" w:hAnsi="宋体" w:cs="宋体"/>
                <w:color w:val="auto"/>
                <w:highlight w:val="none"/>
                <w:lang w:val="en-US" w:eastAsia="zh-CN"/>
              </w:rPr>
              <w:t>1.投标人近三年（2020年、2021年、2022年）平均资产负债率在30%以下的</w:t>
            </w:r>
            <w:r>
              <w:rPr>
                <w:rFonts w:hint="eastAsia" w:ascii="宋体" w:hAnsi="宋体" w:cs="宋体"/>
                <w:color w:val="auto"/>
                <w:szCs w:val="21"/>
                <w:highlight w:val="none"/>
                <w:lang w:val="en-US" w:eastAsia="zh-CN"/>
              </w:rPr>
              <w:t>，得6分；</w:t>
            </w:r>
          </w:p>
          <w:p>
            <w:pPr>
              <w:pStyle w:val="6"/>
              <w:numPr>
                <w:ilvl w:val="0"/>
                <w:numId w:val="0"/>
              </w:numPr>
              <w:ind w:firstLine="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2.投标人近三年（</w:t>
            </w:r>
            <w:r>
              <w:rPr>
                <w:rFonts w:hint="eastAsia" w:ascii="宋体" w:hAnsi="宋体" w:cs="宋体"/>
                <w:color w:val="auto"/>
                <w:highlight w:val="none"/>
                <w:lang w:val="en-US" w:eastAsia="zh-CN"/>
              </w:rPr>
              <w:t>2020年、2021年、2022年</w:t>
            </w:r>
            <w:r>
              <w:rPr>
                <w:rFonts w:hint="eastAsia" w:ascii="宋体" w:hAnsi="宋体" w:cs="宋体"/>
                <w:color w:val="auto"/>
                <w:szCs w:val="21"/>
                <w:highlight w:val="none"/>
                <w:lang w:val="en-US" w:eastAsia="zh-CN"/>
              </w:rPr>
              <w:t>）平均资产负债率在[30%，40%）区间的，得3分；</w:t>
            </w:r>
          </w:p>
          <w:p>
            <w:pPr>
              <w:pStyle w:val="6"/>
              <w:numPr>
                <w:ilvl w:val="0"/>
                <w:numId w:val="0"/>
              </w:numPr>
              <w:ind w:firstLine="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3.投标人近三年（</w:t>
            </w:r>
            <w:r>
              <w:rPr>
                <w:rFonts w:hint="eastAsia" w:ascii="宋体" w:hAnsi="宋体" w:cs="宋体"/>
                <w:color w:val="auto"/>
                <w:highlight w:val="none"/>
                <w:lang w:val="en-US" w:eastAsia="zh-CN"/>
              </w:rPr>
              <w:t>2020年、2021年、2022年</w:t>
            </w:r>
            <w:r>
              <w:rPr>
                <w:rFonts w:hint="eastAsia" w:ascii="宋体" w:hAnsi="宋体" w:cs="宋体"/>
                <w:color w:val="auto"/>
                <w:szCs w:val="21"/>
                <w:highlight w:val="none"/>
                <w:lang w:val="en-US" w:eastAsia="zh-CN"/>
              </w:rPr>
              <w:t>）平均资产负债率在[40%，50%]区间的，得1.5分；</w:t>
            </w:r>
          </w:p>
          <w:p>
            <w:pPr>
              <w:pStyle w:val="6"/>
              <w:numPr>
                <w:ilvl w:val="0"/>
                <w:numId w:val="0"/>
              </w:numPr>
              <w:rPr>
                <w:rFonts w:hint="eastAsia" w:ascii="宋体" w:hAnsi="宋体" w:cs="宋体"/>
                <w:color w:val="auto"/>
                <w:szCs w:val="21"/>
                <w:highlight w:val="none"/>
              </w:rPr>
            </w:pPr>
            <w:r>
              <w:rPr>
                <w:rFonts w:hint="eastAsia" w:ascii="宋体" w:hAnsi="宋体" w:cs="宋体"/>
                <w:color w:val="auto"/>
                <w:szCs w:val="21"/>
                <w:highlight w:val="none"/>
                <w:lang w:val="en-US" w:eastAsia="zh-CN"/>
              </w:rPr>
              <w:t>4.其他情况不得分。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3" w:type="dxa"/>
            <w:vMerge w:val="continue"/>
            <w:noWrap w:val="0"/>
            <w:vAlign w:val="center"/>
          </w:tcPr>
          <w:p>
            <w:pPr>
              <w:snapToGrid w:val="0"/>
              <w:spacing w:before="109" w:beforeLines="35" w:after="109" w:afterLines="35"/>
              <w:rPr>
                <w:rFonts w:hint="eastAsia" w:ascii="宋体" w:hAnsi="宋体"/>
                <w:color w:val="auto"/>
                <w:szCs w:val="21"/>
                <w:highlight w:val="none"/>
              </w:rPr>
            </w:pPr>
          </w:p>
        </w:tc>
        <w:tc>
          <w:tcPr>
            <w:tcW w:w="1207" w:type="dxa"/>
            <w:noWrap w:val="0"/>
            <w:vAlign w:val="center"/>
          </w:tcPr>
          <w:p>
            <w:pPr>
              <w:snapToGrid w:val="0"/>
              <w:spacing w:before="109" w:beforeLines="35" w:after="109" w:afterLines="35"/>
              <w:jc w:val="center"/>
              <w:rPr>
                <w:rFonts w:hint="eastAsia" w:ascii="宋体" w:hAnsi="宋体" w:cs="宋体"/>
                <w:color w:val="auto"/>
                <w:szCs w:val="21"/>
                <w:highlight w:val="none"/>
              </w:rPr>
            </w:pPr>
            <w:r>
              <w:rPr>
                <w:rFonts w:hint="eastAsia" w:ascii="宋体" w:hAnsi="宋体" w:cs="宋体"/>
                <w:color w:val="auto"/>
                <w:szCs w:val="21"/>
                <w:highlight w:val="none"/>
              </w:rPr>
              <w:t>第三方评价</w:t>
            </w:r>
          </w:p>
        </w:tc>
        <w:tc>
          <w:tcPr>
            <w:tcW w:w="782" w:type="dxa"/>
            <w:noWrap w:val="0"/>
            <w:vAlign w:val="center"/>
          </w:tcPr>
          <w:p>
            <w:pPr>
              <w:snapToGrid w:val="0"/>
              <w:spacing w:before="109" w:beforeLines="35" w:after="109" w:afterLines="35"/>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183" w:type="dxa"/>
            <w:noWrap w:val="0"/>
            <w:vAlign w:val="center"/>
          </w:tcPr>
          <w:p>
            <w:pPr>
              <w:snapToGrid w:val="0"/>
              <w:spacing w:beforeLines="25" w:line="27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投标人自最新评审年度（2022年度）往前算，连续获得国家税务部门评定的纳税信用等级情况：</w:t>
            </w:r>
          </w:p>
          <w:p>
            <w:pPr>
              <w:pStyle w:val="31"/>
              <w:widowControl/>
              <w:shd w:val="clear" w:color="auto" w:fill="FFFFFF"/>
              <w:spacing w:before="0" w:beforeAutospacing="0" w:after="0" w:afterAutospacing="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1</w:t>
            </w:r>
            <w:r>
              <w:rPr>
                <w:rFonts w:hint="eastAsia" w:ascii="宋体" w:hAnsi="宋体" w:cs="宋体"/>
                <w:color w:val="auto"/>
                <w:highlight w:val="none"/>
                <w:lang w:val="en-US" w:eastAsia="zh-CN"/>
              </w:rPr>
              <w:t>.</w:t>
            </w:r>
            <w:r>
              <w:rPr>
                <w:rFonts w:hint="eastAsia" w:ascii="宋体" w:hAnsi="宋体" w:cs="宋体"/>
                <w:color w:val="auto"/>
                <w:kern w:val="2"/>
                <w:sz w:val="21"/>
                <w:szCs w:val="21"/>
                <w:highlight w:val="none"/>
              </w:rPr>
              <w:t>连续</w:t>
            </w:r>
            <w:r>
              <w:rPr>
                <w:rFonts w:hint="eastAsia" w:ascii="宋体" w:hAnsi="宋体" w:cs="宋体"/>
                <w:color w:val="auto"/>
                <w:kern w:val="2"/>
                <w:sz w:val="21"/>
                <w:szCs w:val="21"/>
                <w:highlight w:val="none"/>
                <w:lang w:val="en-US" w:eastAsia="zh-CN"/>
              </w:rPr>
              <w:t>近7-8</w:t>
            </w:r>
            <w:r>
              <w:rPr>
                <w:rFonts w:hint="eastAsia" w:ascii="宋体" w:hAnsi="宋体" w:cs="宋体"/>
                <w:color w:val="auto"/>
                <w:kern w:val="2"/>
                <w:sz w:val="21"/>
                <w:szCs w:val="21"/>
                <w:highlight w:val="none"/>
              </w:rPr>
              <w:t>年（或以上）获得“纳税信用A级纳税人”称号的，得</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分；</w:t>
            </w:r>
          </w:p>
          <w:p>
            <w:pPr>
              <w:pStyle w:val="31"/>
              <w:widowControl/>
              <w:shd w:val="clear" w:color="auto" w:fill="FFFFFF"/>
              <w:spacing w:before="0" w:beforeAutospacing="0" w:after="0" w:afterAutospacing="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highlight w:val="none"/>
                <w:lang w:val="en-US" w:eastAsia="zh-CN"/>
              </w:rPr>
              <w:t>.</w:t>
            </w:r>
            <w:r>
              <w:rPr>
                <w:rFonts w:hint="eastAsia" w:ascii="宋体" w:hAnsi="宋体" w:cs="宋体"/>
                <w:color w:val="auto"/>
                <w:kern w:val="2"/>
                <w:sz w:val="21"/>
                <w:szCs w:val="21"/>
                <w:highlight w:val="none"/>
              </w:rPr>
              <w:t>连续</w:t>
            </w:r>
            <w:r>
              <w:rPr>
                <w:rFonts w:hint="eastAsia" w:ascii="宋体" w:hAnsi="宋体" w:cs="宋体"/>
                <w:color w:val="auto"/>
                <w:kern w:val="2"/>
                <w:sz w:val="21"/>
                <w:szCs w:val="21"/>
                <w:highlight w:val="none"/>
                <w:lang w:val="en-US" w:eastAsia="zh-CN"/>
              </w:rPr>
              <w:t>近5-6</w:t>
            </w:r>
            <w:r>
              <w:rPr>
                <w:rFonts w:hint="eastAsia" w:ascii="宋体" w:hAnsi="宋体" w:cs="宋体"/>
                <w:color w:val="auto"/>
                <w:kern w:val="2"/>
                <w:sz w:val="21"/>
                <w:szCs w:val="21"/>
                <w:highlight w:val="none"/>
              </w:rPr>
              <w:t>年获得“纳税信用A级纳税人”称号的，得</w:t>
            </w:r>
            <w:r>
              <w:rPr>
                <w:rFonts w:hint="eastAsia" w:ascii="宋体" w:hAnsi="宋体" w:cs="宋体"/>
                <w:color w:val="auto"/>
                <w:kern w:val="2"/>
                <w:sz w:val="21"/>
                <w:szCs w:val="21"/>
                <w:highlight w:val="none"/>
                <w:lang w:val="en-US" w:eastAsia="zh-CN"/>
              </w:rPr>
              <w:t>3</w:t>
            </w:r>
            <w:r>
              <w:rPr>
                <w:rFonts w:hint="eastAsia" w:ascii="宋体" w:hAnsi="宋体" w:cs="宋体"/>
                <w:color w:val="auto"/>
                <w:kern w:val="2"/>
                <w:sz w:val="21"/>
                <w:szCs w:val="21"/>
                <w:highlight w:val="none"/>
              </w:rPr>
              <w:t>分；</w:t>
            </w:r>
          </w:p>
          <w:p>
            <w:pPr>
              <w:pStyle w:val="31"/>
              <w:widowControl/>
              <w:shd w:val="clear" w:color="auto" w:fill="FFFFFF"/>
              <w:spacing w:before="0" w:beforeAutospacing="0" w:after="0" w:afterAutospacing="0"/>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rPr>
              <w:t>3</w:t>
            </w:r>
            <w:r>
              <w:rPr>
                <w:rFonts w:hint="eastAsia" w:ascii="宋体" w:hAnsi="宋体" w:cs="宋体"/>
                <w:color w:val="auto"/>
                <w:highlight w:val="none"/>
                <w:lang w:val="en-US" w:eastAsia="zh-CN"/>
              </w:rPr>
              <w:t>.</w:t>
            </w:r>
            <w:r>
              <w:rPr>
                <w:rFonts w:hint="eastAsia" w:ascii="宋体" w:hAnsi="宋体" w:cs="宋体"/>
                <w:color w:val="auto"/>
                <w:kern w:val="2"/>
                <w:sz w:val="21"/>
                <w:szCs w:val="21"/>
                <w:highlight w:val="none"/>
              </w:rPr>
              <w:t>连续</w:t>
            </w:r>
            <w:r>
              <w:rPr>
                <w:rFonts w:hint="eastAsia" w:ascii="宋体" w:hAnsi="宋体" w:cs="宋体"/>
                <w:color w:val="auto"/>
                <w:kern w:val="2"/>
                <w:sz w:val="21"/>
                <w:szCs w:val="21"/>
                <w:highlight w:val="none"/>
                <w:lang w:val="en-US" w:eastAsia="zh-CN"/>
              </w:rPr>
              <w:t>近3-4</w:t>
            </w:r>
            <w:r>
              <w:rPr>
                <w:rFonts w:hint="eastAsia" w:ascii="宋体" w:hAnsi="宋体" w:cs="宋体"/>
                <w:color w:val="auto"/>
                <w:kern w:val="2"/>
                <w:sz w:val="21"/>
                <w:szCs w:val="21"/>
                <w:highlight w:val="none"/>
              </w:rPr>
              <w:t>年获得“纳税信用A级纳税人”称号的，得</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分；</w:t>
            </w:r>
          </w:p>
          <w:p>
            <w:pPr>
              <w:pStyle w:val="31"/>
              <w:widowControl/>
              <w:shd w:val="clear" w:color="auto" w:fill="FFFFFF"/>
              <w:spacing w:before="0" w:beforeAutospacing="0" w:after="0" w:afterAutospacing="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不符合上述条件的不得分。</w:t>
            </w:r>
            <w:r>
              <w:rPr>
                <w:rFonts w:hint="eastAsia" w:ascii="宋体" w:hAnsi="宋体" w:eastAsia="宋体" w:cs="宋体"/>
                <w:color w:val="auto"/>
                <w:kern w:val="2"/>
                <w:sz w:val="21"/>
                <w:szCs w:val="21"/>
                <w:highlight w:val="none"/>
                <w:lang w:val="en-US" w:eastAsia="zh-CN"/>
              </w:rPr>
              <w:t>本项最高得</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10" w:type="dxa"/>
            <w:gridSpan w:val="2"/>
            <w:noWrap w:val="0"/>
            <w:vAlign w:val="center"/>
          </w:tcPr>
          <w:p>
            <w:pPr>
              <w:snapToGrid w:val="0"/>
              <w:spacing w:before="109" w:beforeLines="35" w:after="109" w:afterLines="35"/>
              <w:jc w:val="center"/>
              <w:rPr>
                <w:rFonts w:hint="eastAsia" w:ascii="宋体" w:hAnsi="宋体"/>
                <w:color w:val="auto"/>
                <w:szCs w:val="21"/>
                <w:highlight w:val="none"/>
              </w:rPr>
            </w:pPr>
            <w:r>
              <w:rPr>
                <w:rFonts w:hint="eastAsia" w:ascii="宋体" w:hAnsi="宋体"/>
                <w:color w:val="auto"/>
                <w:szCs w:val="21"/>
                <w:highlight w:val="none"/>
              </w:rPr>
              <w:t>合计</w:t>
            </w:r>
          </w:p>
        </w:tc>
        <w:tc>
          <w:tcPr>
            <w:tcW w:w="782" w:type="dxa"/>
            <w:noWrap w:val="0"/>
            <w:vAlign w:val="center"/>
          </w:tcPr>
          <w:p>
            <w:pPr>
              <w:snapToGrid w:val="0"/>
              <w:spacing w:before="109" w:beforeLines="35" w:after="109" w:afterLines="35"/>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w:t>
            </w:r>
          </w:p>
        </w:tc>
        <w:tc>
          <w:tcPr>
            <w:tcW w:w="12183" w:type="dxa"/>
            <w:noWrap w:val="0"/>
            <w:vAlign w:val="center"/>
          </w:tcPr>
          <w:p>
            <w:pPr>
              <w:snapToGrid w:val="0"/>
              <w:spacing w:line="260" w:lineRule="exact"/>
              <w:rPr>
                <w:rFonts w:hint="default" w:ascii="宋体" w:hAnsi="宋体" w:eastAsia="宋体"/>
                <w:color w:val="auto"/>
                <w:szCs w:val="21"/>
                <w:highlight w:val="none"/>
                <w:lang w:val="en-US" w:eastAsia="zh-CN"/>
              </w:rPr>
            </w:pPr>
          </w:p>
        </w:tc>
      </w:tr>
    </w:tbl>
    <w:p>
      <w:pPr>
        <w:rPr>
          <w:rFonts w:hint="eastAsia" w:ascii="宋体" w:hAnsi="宋体"/>
          <w:b/>
          <w:color w:val="auto"/>
          <w:szCs w:val="21"/>
          <w:highlight w:val="none"/>
        </w:rPr>
      </w:pPr>
      <w:r>
        <w:rPr>
          <w:rFonts w:hint="eastAsia" w:ascii="宋体" w:hAnsi="宋体"/>
          <w:b/>
          <w:color w:val="auto"/>
          <w:szCs w:val="21"/>
          <w:highlight w:val="none"/>
        </w:rPr>
        <w:t>注：</w:t>
      </w:r>
    </w:p>
    <w:p>
      <w:pPr>
        <w:ind w:firstLine="422" w:firstLineChars="200"/>
        <w:jc w:val="left"/>
        <w:rPr>
          <w:rFonts w:hint="eastAsia"/>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拟投入的项目管理机构人员必须为投标人单位正式员工，需提供有效的职称证或注册证扫描件并加盖投标人电子印章、同时需提供2023年</w:t>
      </w:r>
      <w:r>
        <w:rPr>
          <w:rFonts w:hint="eastAsia" w:ascii="宋体" w:hAnsi="宋体" w:cs="宋体"/>
          <w:b/>
          <w:bCs/>
          <w:color w:val="auto"/>
          <w:sz w:val="21"/>
          <w:szCs w:val="21"/>
          <w:highlight w:val="none"/>
          <w:lang w:val="en-US" w:eastAsia="zh-CN"/>
        </w:rPr>
        <w:t>9</w:t>
      </w:r>
      <w:r>
        <w:rPr>
          <w:rFonts w:hint="eastAsia" w:ascii="宋体" w:hAnsi="宋体" w:cs="宋体"/>
          <w:b/>
          <w:bCs/>
          <w:color w:val="auto"/>
          <w:sz w:val="21"/>
          <w:szCs w:val="21"/>
          <w:highlight w:val="none"/>
        </w:rPr>
        <w:t>月的有效社保证明扫描件并加盖投标人电子印章。不符合条件或无提交相关资料的不计分。</w:t>
      </w:r>
    </w:p>
    <w:p>
      <w:pPr>
        <w:pStyle w:val="31"/>
        <w:shd w:val="clear" w:color="auto" w:fill="FFFFFF"/>
        <w:spacing w:before="0" w:beforeAutospacing="0" w:after="0" w:afterAutospacing="0"/>
        <w:ind w:firstLine="422"/>
        <w:jc w:val="both"/>
        <w:rPr>
          <w:rFonts w:hint="eastAsia" w:ascii="宋体" w:hAnsi="宋体" w:cs="宋体"/>
          <w:b/>
          <w:color w:val="auto"/>
          <w:sz w:val="21"/>
          <w:szCs w:val="21"/>
          <w:highlight w:val="none"/>
        </w:rPr>
      </w:pPr>
      <w:r>
        <w:rPr>
          <w:rStyle w:val="41"/>
          <w:rFonts w:hint="eastAsia"/>
          <w:bCs/>
          <w:color w:val="auto"/>
          <w:sz w:val="21"/>
          <w:szCs w:val="21"/>
          <w:highlight w:val="none"/>
          <w:shd w:val="clear" w:color="auto" w:fill="FFFFFF"/>
          <w:lang w:val="en-US" w:eastAsia="zh-CN"/>
        </w:rPr>
        <w:t>2.</w:t>
      </w:r>
      <w:r>
        <w:rPr>
          <w:rStyle w:val="41"/>
          <w:rFonts w:hint="eastAsia"/>
          <w:bCs/>
          <w:color w:val="auto"/>
          <w:sz w:val="21"/>
          <w:szCs w:val="21"/>
          <w:highlight w:val="none"/>
          <w:shd w:val="clear" w:color="auto" w:fill="FFFFFF"/>
        </w:rPr>
        <w:t>企业业绩</w:t>
      </w:r>
      <w:r>
        <w:rPr>
          <w:rFonts w:hint="eastAsia"/>
          <w:color w:val="auto"/>
          <w:sz w:val="21"/>
          <w:szCs w:val="21"/>
          <w:highlight w:val="none"/>
          <w:shd w:val="clear" w:color="auto" w:fill="FFFFFF"/>
        </w:rPr>
        <w:t>：（1）须提交业绩的中标通知书（或免招证明）、合同、竣工验收资料扫描件；（2）金额以中标通知书为准，中标通知书上没有金额或免招标的，以施工合同（不含补充合同）为准。（3）完成时间以竣工验收文件为准。验收文件至少具有建设单位、设计、施工和监理单位盖章。（4）平台内业绩上传件不符合上述要求的或登记的工程资质内容与施工合同等业绩证明资料不相符的，该项业绩不予认定。</w:t>
      </w:r>
    </w:p>
    <w:p>
      <w:pPr>
        <w:ind w:firstLine="422" w:firstLineChars="200"/>
        <w:jc w:val="left"/>
        <w:rPr>
          <w:rFonts w:hint="eastAsia" w:ascii="宋体" w:hAnsi="宋体" w:cs="宋体"/>
          <w:color w:val="auto"/>
          <w:sz w:val="21"/>
          <w:szCs w:val="21"/>
          <w:highlight w:val="none"/>
          <w:u w:val="single"/>
        </w:rPr>
      </w:pP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.工程研发能力：</w:t>
      </w:r>
      <w:r>
        <w:rPr>
          <w:rFonts w:hint="eastAsia" w:ascii="宋体" w:hAnsi="宋体"/>
          <w:color w:val="auto"/>
          <w:sz w:val="21"/>
          <w:szCs w:val="21"/>
          <w:highlight w:val="none"/>
        </w:rPr>
        <w:t>技术创新QC成果</w:t>
      </w:r>
      <w:r>
        <w:rPr>
          <w:rFonts w:hint="eastAsia" w:ascii="宋体" w:hAnsi="宋体"/>
          <w:color w:val="auto"/>
          <w:sz w:val="21"/>
          <w:szCs w:val="21"/>
          <w:highlight w:val="none"/>
          <w:lang w:val="en-US" w:eastAsia="zh-CN"/>
        </w:rPr>
        <w:t>提供</w:t>
      </w:r>
      <w:r>
        <w:rPr>
          <w:rFonts w:hint="eastAsia" w:ascii="宋体" w:hAnsi="宋体" w:cs="宋体"/>
          <w:color w:val="auto"/>
          <w:sz w:val="21"/>
          <w:szCs w:val="21"/>
          <w:highlight w:val="none"/>
        </w:rPr>
        <w:t>获奖证书</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color w:val="auto"/>
          <w:sz w:val="21"/>
          <w:szCs w:val="21"/>
          <w:highlight w:val="none"/>
        </w:rPr>
        <w:t>时间以获奖证书的发证时间为准。同一项目获得多个奖项，按分数最高只计算一次，不重复计算；不符合上述条件或未提供上述资料的不得分。</w:t>
      </w:r>
    </w:p>
    <w:p>
      <w:pPr>
        <w:pStyle w:val="35"/>
        <w:ind w:firstLine="421"/>
        <w:rPr>
          <w:rFonts w:hint="eastAsia" w:ascii="宋体" w:hAnsi="宋体" w:cs="宋体"/>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.财务指标</w:t>
      </w:r>
      <w:r>
        <w:rPr>
          <w:rFonts w:hint="eastAsia" w:ascii="宋体" w:hAnsi="宋体" w:cs="宋体"/>
          <w:color w:val="auto"/>
          <w:sz w:val="21"/>
          <w:szCs w:val="21"/>
          <w:highlight w:val="none"/>
        </w:rPr>
        <w:t>：根据提供完整的近三年(2020年度、2021年度、2022年度)经会计事务所审计的审计报告及附表（包括资产负债表、利润表、现金流量表、财务报表附注）复印件并加盖公章。如年度审计报告未经会计事务所审计或不符合上述情况的，则以0分计；资产负债率计算公式：资产负债率X=期（年）末负债总额/期（年）末资产总额×100%，不符合上述条件的不得分</w:t>
      </w:r>
    </w:p>
    <w:p>
      <w:pPr>
        <w:pStyle w:val="51"/>
        <w:spacing w:line="276"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.第三方评价：</w:t>
      </w:r>
      <w:r>
        <w:rPr>
          <w:rFonts w:hint="eastAsia" w:ascii="宋体" w:hAnsi="宋体" w:eastAsia="宋体" w:cs="宋体"/>
          <w:color w:val="auto"/>
          <w:kern w:val="0"/>
          <w:sz w:val="21"/>
          <w:szCs w:val="21"/>
          <w:highlight w:val="none"/>
        </w:rPr>
        <w:t>投标人须提交省级或以上税务局网站</w:t>
      </w:r>
      <w:r>
        <w:rPr>
          <w:rFonts w:hint="eastAsia" w:ascii="宋体" w:hAnsi="宋体" w:eastAsia="宋体" w:cs="宋体"/>
          <w:color w:val="auto"/>
          <w:kern w:val="0"/>
          <w:sz w:val="21"/>
          <w:szCs w:val="21"/>
          <w:highlight w:val="none"/>
          <w:u w:val="single"/>
        </w:rPr>
        <w:t>https://www.chinatax.gov.cn/</w:t>
      </w:r>
      <w:r>
        <w:rPr>
          <w:rFonts w:hint="eastAsia" w:ascii="宋体" w:hAnsi="宋体" w:eastAsia="宋体" w:cs="宋体"/>
          <w:color w:val="auto"/>
          <w:kern w:val="0"/>
          <w:sz w:val="21"/>
          <w:szCs w:val="21"/>
          <w:highlight w:val="none"/>
        </w:rPr>
        <w:t>纳税信用信息查询结果（查询结果只计算投标人自身，不计算投标人的分公司、子公司和分支机构）的网页截图及纳税信用A级纳税人证书扫描件并加盖投标人企业电子印章，不符合条件或无提供查询结果网页截图或无提供证书扫描件或无加盖投标人企业电子印章的不计分。</w:t>
      </w:r>
    </w:p>
    <w:p>
      <w:pPr>
        <w:pStyle w:val="51"/>
        <w:spacing w:line="276" w:lineRule="auto"/>
        <w:ind w:firstLine="420" w:firstLineChars="200"/>
        <w:rPr>
          <w:rFonts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.投标人若同时满足多个得分档次的，按所满足的最高档计分。</w:t>
      </w:r>
    </w:p>
    <w:p>
      <w:pPr>
        <w:ind w:firstLine="420" w:firstLineChars="200"/>
        <w:rPr>
          <w:color w:val="auto"/>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.所有评委总分汇总后的算术平均值为投标人的最终得分。分数出现小数点，保留小数点后二位小数，第三位小数四舍五入。</w:t>
      </w:r>
    </w:p>
    <w:p>
      <w:pPr>
        <w:spacing w:beforeLines="0" w:line="400" w:lineRule="exact"/>
        <w:ind w:firstLine="420" w:firstLineChars="200"/>
        <w:rPr>
          <w:rFonts w:ascii="宋体" w:hAnsi="宋体" w:cs="宋体"/>
          <w:color w:val="auto"/>
          <w:szCs w:val="21"/>
          <w:highlight w:val="none"/>
        </w:rPr>
      </w:pPr>
    </w:p>
    <w:p>
      <w:pPr>
        <w:pStyle w:val="37"/>
        <w:ind w:firstLine="0" w:firstLineChars="0"/>
        <w:rPr>
          <w:b/>
          <w:color w:val="auto"/>
          <w:sz w:val="36"/>
          <w:szCs w:val="36"/>
          <w:highlight w:val="none"/>
        </w:rPr>
      </w:pPr>
      <w:r>
        <w:rPr>
          <w:rFonts w:hint="eastAsia"/>
          <w:b/>
          <w:color w:val="auto"/>
          <w:sz w:val="36"/>
          <w:szCs w:val="36"/>
          <w:highlight w:val="none"/>
        </w:rPr>
        <w:br w:type="page"/>
      </w:r>
    </w:p>
    <w:p>
      <w:pPr>
        <w:pStyle w:val="51"/>
        <w:rPr>
          <w:color w:val="auto"/>
          <w:highlight w:val="none"/>
        </w:rPr>
      </w:pP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szCs w:val="21"/>
          <w:highlight w:val="none"/>
        </w:rPr>
      </w:pPr>
      <w:r>
        <w:rPr>
          <w:rFonts w:hint="eastAsia"/>
          <w:color w:val="auto"/>
          <w:szCs w:val="21"/>
          <w:highlight w:val="none"/>
        </w:rPr>
        <w:t>评委签名：</w:t>
      </w:r>
      <w:r>
        <w:rPr>
          <w:b/>
          <w:color w:val="auto"/>
          <w:sz w:val="36"/>
          <w:szCs w:val="36"/>
          <w:highlight w:val="none"/>
        </w:rPr>
        <w:br w:type="page"/>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修正率</w:t>
            </w:r>
          </w:p>
          <w:p>
            <w:pPr>
              <w:pStyle w:val="6"/>
              <w:rPr>
                <w:rFonts w:hint="eastAsia"/>
                <w:color w:val="auto"/>
                <w:highlight w:val="none"/>
                <w:lang w:eastAsia="zh-CN"/>
              </w:rPr>
            </w:pPr>
          </w:p>
          <w:p>
            <w:pPr>
              <w:pStyle w:val="6"/>
              <w:rPr>
                <w:rFonts w:hint="eastAsia"/>
                <w:color w:val="auto"/>
                <w:highlight w:val="none"/>
                <w:lang w:eastAsia="zh-CN"/>
              </w:rPr>
            </w:pP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0" w:type="first"/>
          <w:footerReference r:id="rId12" w:type="first"/>
          <w:headerReference r:id="rId9" w:type="default"/>
          <w:footerReference r:id="rId11" w:type="default"/>
          <w:endnotePr>
            <w:numFmt w:val="decimal"/>
          </w:endnotePr>
          <w:pgSz w:w="16838" w:h="11906" w:orient="landscape"/>
          <w:pgMar w:top="1418" w:right="1247" w:bottom="1418" w:left="1134" w:header="851" w:footer="907" w:gutter="0"/>
          <w:cols w:space="425" w:num="1"/>
          <w:titlePg/>
          <w:docGrid w:type="lines" w:linePitch="312" w:charSpace="0"/>
        </w:sectPr>
      </w:pPr>
    </w:p>
    <w:p>
      <w:pPr>
        <w:pStyle w:val="3"/>
        <w:jc w:val="center"/>
        <w:rPr>
          <w:color w:val="auto"/>
          <w:highlight w:val="none"/>
        </w:rPr>
      </w:pPr>
      <w:bookmarkStart w:id="31" w:name="_Toc2272566"/>
      <w:bookmarkStart w:id="32" w:name="_Toc21525511"/>
      <w:r>
        <w:rPr>
          <w:rFonts w:hint="eastAsia"/>
          <w:color w:val="auto"/>
          <w:highlight w:val="none"/>
        </w:rPr>
        <w:t>第三章合同条款</w:t>
      </w:r>
      <w:bookmarkEnd w:id="31"/>
      <w:bookmarkEnd w:id="32"/>
    </w:p>
    <w:p>
      <w:pPr>
        <w:rPr>
          <w:rFonts w:ascii="宋体"/>
          <w:b/>
          <w:color w:val="auto"/>
          <w:sz w:val="24"/>
          <w:szCs w:val="24"/>
          <w:highlight w:val="none"/>
        </w:rPr>
      </w:pPr>
      <w:r>
        <w:rPr>
          <w:rFonts w:hint="eastAsia"/>
          <w:strike/>
          <w:color w:val="auto"/>
          <w:sz w:val="24"/>
          <w:szCs w:val="24"/>
          <w:highlight w:val="none"/>
        </w:rPr>
        <w:t>注：</w:t>
      </w:r>
      <w:r>
        <w:rPr>
          <w:rFonts w:hint="eastAsia" w:ascii="宋体" w:hAnsi="宋体"/>
          <w:strike/>
          <w:color w:val="auto"/>
          <w:sz w:val="24"/>
          <w:szCs w:val="24"/>
          <w:highlight w:val="none"/>
        </w:rPr>
        <w:t>按《建设项目工程总承包合同示范文本（试行）》（</w:t>
      </w:r>
      <w:r>
        <w:rPr>
          <w:rFonts w:ascii="宋体" w:hAnsi="宋体"/>
          <w:strike/>
          <w:color w:val="auto"/>
          <w:sz w:val="24"/>
          <w:szCs w:val="24"/>
          <w:highlight w:val="none"/>
        </w:rPr>
        <w:t>GF-2011-0216</w:t>
      </w:r>
      <w:r>
        <w:rPr>
          <w:rFonts w:hint="eastAsia" w:ascii="宋体" w:hAnsi="宋体"/>
          <w:strike/>
          <w:color w:val="auto"/>
          <w:sz w:val="24"/>
          <w:szCs w:val="24"/>
          <w:highlight w:val="none"/>
        </w:rPr>
        <w:t>）执行，</w:t>
      </w:r>
      <w:r>
        <w:rPr>
          <w:rFonts w:hint="eastAsia" w:ascii="宋体" w:hAnsi="宋体"/>
          <w:color w:val="auto"/>
          <w:sz w:val="24"/>
          <w:szCs w:val="24"/>
          <w:highlight w:val="none"/>
        </w:rPr>
        <w:t>另册。</w:t>
      </w:r>
    </w:p>
    <w:p>
      <w:pPr>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35"/>
        <w:spacing w:line="360" w:lineRule="auto"/>
        <w:rPr>
          <w:color w:val="auto"/>
          <w:sz w:val="24"/>
          <w:szCs w:val="24"/>
          <w:highlight w:val="none"/>
        </w:rPr>
      </w:pPr>
    </w:p>
    <w:p>
      <w:pPr>
        <w:pStyle w:val="19"/>
        <w:spacing w:line="360" w:lineRule="auto"/>
        <w:rPr>
          <w:color w:val="auto"/>
          <w:sz w:val="24"/>
          <w:szCs w:val="24"/>
          <w:highlight w:val="none"/>
        </w:rPr>
      </w:pPr>
    </w:p>
    <w:p>
      <w:pPr>
        <w:pStyle w:val="19"/>
        <w:spacing w:line="360" w:lineRule="auto"/>
        <w:rPr>
          <w:color w:val="auto"/>
          <w:sz w:val="24"/>
          <w:szCs w:val="24"/>
          <w:highlight w:val="none"/>
        </w:rPr>
      </w:pPr>
      <w:r>
        <w:rPr>
          <w:color w:val="auto"/>
          <w:sz w:val="24"/>
          <w:szCs w:val="24"/>
          <w:highlight w:val="none"/>
        </w:rPr>
        <w:br w:type="page"/>
      </w:r>
    </w:p>
    <w:p>
      <w:pPr>
        <w:pStyle w:val="3"/>
        <w:jc w:val="center"/>
        <w:rPr>
          <w:color w:val="auto"/>
          <w:highlight w:val="none"/>
        </w:rPr>
      </w:pPr>
      <w:bookmarkStart w:id="33" w:name="_Toc21525512"/>
      <w:bookmarkStart w:id="34" w:name="_Toc2272567"/>
      <w:r>
        <w:rPr>
          <w:rFonts w:hint="eastAsia"/>
          <w:color w:val="auto"/>
          <w:highlight w:val="none"/>
        </w:rPr>
        <w:t>第四章投标文件格式</w:t>
      </w:r>
      <w:bookmarkEnd w:id="33"/>
      <w:bookmarkEnd w:id="34"/>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color w:val="auto"/>
                <w:sz w:val="24"/>
                <w:szCs w:val="24"/>
                <w:highlight w:val="none"/>
                <w:lang w:eastAsia="zh-CN"/>
              </w:rPr>
              <w:t>鱼窝头社区停车场建设工程等3个项目</w:t>
            </w:r>
            <w:r>
              <w:rPr>
                <w:rFonts w:hint="eastAsia" w:ascii="宋体" w:hAnsi="宋体" w:eastAsia="宋体" w:cs="宋体"/>
                <w:color w:val="auto"/>
                <w:sz w:val="24"/>
                <w:szCs w:val="24"/>
                <w:highlight w:val="none"/>
                <w:lang w:eastAsia="zh-CN"/>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color w:val="auto"/>
                <w:sz w:val="24"/>
                <w:szCs w:val="24"/>
                <w:highlight w:val="none"/>
                <w:lang w:val="zh-CN"/>
              </w:rPr>
              <w:t>按招标文件要求</w:t>
            </w: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sectPr>
          <w:pgSz w:w="11906" w:h="16838"/>
          <w:pgMar w:top="1440" w:right="1800" w:bottom="1440" w:left="1800" w:header="851" w:footer="992" w:gutter="0"/>
          <w:cols w:space="425" w:num="1"/>
          <w:docGrid w:type="lines" w:linePitch="312" w:charSpace="0"/>
        </w:sectPr>
      </w:pPr>
      <w:r>
        <w:rPr>
          <w:color w:val="auto"/>
          <w:sz w:val="24"/>
          <w:szCs w:val="24"/>
          <w:highlight w:val="none"/>
        </w:rPr>
        <w:br w:type="page"/>
      </w:r>
    </w:p>
    <w:p>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附表1.</w:t>
      </w:r>
      <w:r>
        <w:rPr>
          <w:rFonts w:hint="eastAsia" w:ascii="宋体" w:hAnsi="宋体" w:cs="宋体"/>
          <w:color w:val="auto"/>
          <w:sz w:val="24"/>
          <w:szCs w:val="24"/>
          <w:highlight w:val="none"/>
          <w:lang w:val="en-US" w:eastAsia="zh-CN"/>
        </w:rPr>
        <w:t>1</w:t>
      </w:r>
    </w:p>
    <w:p>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cs="Times New Roman"/>
                <w:color w:val="auto"/>
                <w:sz w:val="24"/>
                <w:szCs w:val="24"/>
                <w:highlight w:val="none"/>
                <w:u w:val="none"/>
                <w:lang w:eastAsia="zh-CN"/>
              </w:rPr>
              <w:t>鱼窝头社区停车场建设工程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bl>
    <w:p>
      <w:pPr>
        <w:pStyle w:val="19"/>
        <w:rPr>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 w:val="24"/>
          <w:szCs w:val="24"/>
          <w:highlight w:val="none"/>
        </w:rPr>
        <w:br w:type="page"/>
      </w:r>
    </w:p>
    <w:p>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附表1.</w:t>
      </w:r>
      <w:r>
        <w:rPr>
          <w:rFonts w:hint="eastAsia" w:ascii="宋体" w:hAnsi="宋体" w:cs="宋体"/>
          <w:color w:val="auto"/>
          <w:sz w:val="24"/>
          <w:szCs w:val="24"/>
          <w:highlight w:val="none"/>
          <w:lang w:val="en-US" w:eastAsia="zh-CN"/>
        </w:rPr>
        <w:t>2</w:t>
      </w:r>
    </w:p>
    <w:p>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highlight w:val="none"/>
                <w:u w:val="single"/>
                <w:lang w:eastAsia="zh-CN"/>
              </w:rPr>
              <w:t>东涌镇2023年桥梁建设工程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bl>
    <w:p>
      <w:pPr>
        <w:rPr>
          <w:color w:val="auto"/>
          <w:highlight w:val="none"/>
        </w:rPr>
        <w:sectPr>
          <w:pgSz w:w="11906" w:h="16838"/>
          <w:pgMar w:top="1440" w:right="1800" w:bottom="1440" w:left="1800" w:header="851" w:footer="992" w:gutter="0"/>
          <w:cols w:space="425" w:num="1"/>
          <w:docGrid w:type="lines" w:linePitch="312" w:charSpace="0"/>
        </w:sectPr>
      </w:pPr>
    </w:p>
    <w:p>
      <w:pPr>
        <w:autoSpaceDE w:val="0"/>
        <w:autoSpaceDN w:val="0"/>
        <w:adjustRightInd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附表1.</w:t>
      </w:r>
      <w:r>
        <w:rPr>
          <w:rFonts w:hint="eastAsia" w:ascii="宋体" w:hAnsi="宋体" w:cs="宋体"/>
          <w:color w:val="auto"/>
          <w:sz w:val="24"/>
          <w:szCs w:val="24"/>
          <w:highlight w:val="none"/>
          <w:lang w:val="en-US" w:eastAsia="zh-CN"/>
        </w:rPr>
        <w:t>3</w:t>
      </w:r>
    </w:p>
    <w:p>
      <w:pP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highlight w:val="none"/>
                <w:u w:val="single"/>
                <w:lang w:eastAsia="zh-CN"/>
              </w:rPr>
              <w:t>东涌地铁站非机动车停车场建设工程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2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51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按招标文件要求</w:t>
            </w:r>
          </w:p>
        </w:tc>
      </w:tr>
    </w:tbl>
    <w:p>
      <w:pPr>
        <w:pStyle w:val="19"/>
        <w:rPr>
          <w:color w:val="auto"/>
          <w:highlight w:val="none"/>
        </w:rPr>
        <w:sectPr>
          <w:pgSz w:w="11906" w:h="16838"/>
          <w:pgMar w:top="1440" w:right="1800" w:bottom="1440" w:left="1800" w:header="851" w:footer="992" w:gutter="0"/>
          <w:cols w:space="425" w:num="1"/>
          <w:docGrid w:type="lines" w:linePitch="312" w:charSpace="0"/>
        </w:sectPr>
      </w:pPr>
    </w:p>
    <w:p>
      <w:pPr>
        <w:rPr>
          <w:color w:val="auto"/>
          <w:highlight w:val="none"/>
        </w:rPr>
      </w:pPr>
    </w:p>
    <w:tbl>
      <w:tblPr>
        <w:tblStyle w:val="38"/>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jc w:val="center"/>
              <w:rPr>
                <w:rFonts w:ascii="宋体" w:hAnsi="宋体"/>
                <w:b/>
                <w:color w:val="auto"/>
                <w:sz w:val="36"/>
                <w:szCs w:val="36"/>
                <w:highlight w:val="none"/>
              </w:rPr>
            </w:pPr>
            <w:r>
              <w:rPr>
                <w:rFonts w:hint="eastAsia" w:ascii="宋体" w:hAnsi="宋体"/>
                <w:b/>
                <w:color w:val="auto"/>
                <w:sz w:val="36"/>
                <w:szCs w:val="36"/>
                <w:highlight w:val="none"/>
              </w:rPr>
              <w:t>响应招标文件所附</w:t>
            </w:r>
            <w:r>
              <w:rPr>
                <w:rFonts w:hint="eastAsia" w:ascii="宋体" w:hAnsi="宋体"/>
                <w:b/>
                <w:color w:val="auto"/>
                <w:sz w:val="36"/>
                <w:szCs w:val="36"/>
                <w:highlight w:val="none"/>
                <w:u w:val="single"/>
              </w:rPr>
              <w:t>施工组织设计要点</w:t>
            </w:r>
            <w:r>
              <w:rPr>
                <w:rFonts w:hint="eastAsia" w:ascii="宋体" w:hAnsi="宋体"/>
                <w:b/>
                <w:color w:val="auto"/>
                <w:sz w:val="36"/>
                <w:szCs w:val="36"/>
                <w:highlight w:val="none"/>
              </w:rPr>
              <w:t>的承诺书</w:t>
            </w:r>
          </w:p>
          <w:p>
            <w:pPr>
              <w:spacing w:line="360" w:lineRule="auto"/>
              <w:jc w:val="center"/>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u w:val="single"/>
              </w:rPr>
            </w:pPr>
            <w:r>
              <w:rPr>
                <w:rFonts w:hint="eastAsia" w:ascii="宋体" w:hAnsi="宋体"/>
                <w:color w:val="auto"/>
                <w:sz w:val="24"/>
                <w:highlight w:val="none"/>
                <w:u w:val="single"/>
              </w:rPr>
              <w:t xml:space="preserve">     （招标人）</w:t>
            </w:r>
            <w:r>
              <w:rPr>
                <w:rFonts w:hint="eastAsia" w:ascii="宋体" w:hAnsi="宋体"/>
                <w:color w:val="auto"/>
                <w:sz w:val="24"/>
                <w:highlight w:val="none"/>
              </w:rPr>
              <w:t>：</w:t>
            </w:r>
          </w:p>
          <w:p>
            <w:pPr>
              <w:spacing w:line="360" w:lineRule="auto"/>
              <w:ind w:firstLine="435"/>
              <w:rPr>
                <w:rFonts w:ascii="宋体" w:hAnsi="宋体"/>
                <w:color w:val="auto"/>
                <w:sz w:val="24"/>
                <w:highlight w:val="none"/>
              </w:rPr>
            </w:pPr>
            <w:r>
              <w:rPr>
                <w:rFonts w:hint="eastAsia" w:ascii="宋体" w:hAnsi="宋体"/>
                <w:color w:val="auto"/>
                <w:sz w:val="24"/>
                <w:highlight w:val="none"/>
              </w:rPr>
              <w:t>我方承诺，如中标承建</w:t>
            </w:r>
            <w:r>
              <w:rPr>
                <w:rFonts w:hint="eastAsia" w:ascii="宋体" w:hAnsi="宋体"/>
                <w:color w:val="auto"/>
                <w:sz w:val="24"/>
                <w:highlight w:val="none"/>
                <w:u w:val="single"/>
              </w:rPr>
              <w:t xml:space="preserve">                    项目</w:t>
            </w:r>
            <w:r>
              <w:rPr>
                <w:rFonts w:hint="eastAsia" w:ascii="宋体" w:hAnsi="宋体"/>
                <w:color w:val="auto"/>
                <w:sz w:val="24"/>
                <w:highlight w:val="none"/>
              </w:rPr>
              <w:t>，将按招标文件所附的本工程</w:t>
            </w:r>
            <w:r>
              <w:rPr>
                <w:rFonts w:hint="eastAsia" w:ascii="宋体" w:hAnsi="宋体"/>
                <w:color w:val="auto"/>
                <w:sz w:val="24"/>
                <w:highlight w:val="none"/>
                <w:u w:val="single"/>
              </w:rPr>
              <w:t>（施工组织设计要点）</w:t>
            </w:r>
            <w:r>
              <w:rPr>
                <w:rFonts w:hint="eastAsia" w:ascii="宋体" w:hAnsi="宋体"/>
                <w:color w:val="auto"/>
                <w:sz w:val="24"/>
                <w:highlight w:val="none"/>
              </w:rPr>
              <w:t>进行响应的基础上自行组织施工。并承诺在中标后按招标文件所附的</w:t>
            </w:r>
            <w:r>
              <w:rPr>
                <w:rFonts w:hint="eastAsia" w:ascii="宋体" w:hAnsi="宋体"/>
                <w:color w:val="auto"/>
                <w:sz w:val="24"/>
                <w:highlight w:val="none"/>
                <w:u w:val="single"/>
              </w:rPr>
              <w:t>（施工组织设计要点）</w:t>
            </w:r>
            <w:r>
              <w:rPr>
                <w:rFonts w:hint="eastAsia" w:ascii="宋体" w:hAnsi="宋体"/>
                <w:color w:val="auto"/>
                <w:sz w:val="24"/>
                <w:highlight w:val="none"/>
              </w:rPr>
              <w:t>基础上编制详细的施工组织设计，并报经监理单位和建设单位审批后实施。</w:t>
            </w: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435"/>
              <w:rPr>
                <w:rFonts w:ascii="宋体" w:hAnsi="宋体"/>
                <w:color w:val="auto"/>
                <w:sz w:val="24"/>
                <w:highlight w:val="none"/>
              </w:rPr>
            </w:pPr>
          </w:p>
          <w:p>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投标人名称（盖法人公章）：</w:t>
            </w:r>
          </w:p>
          <w:p>
            <w:pPr>
              <w:spacing w:line="360" w:lineRule="auto"/>
              <w:ind w:firstLine="3000" w:firstLineChars="1250"/>
              <w:rPr>
                <w:rFonts w:ascii="宋体" w:hAnsi="宋体"/>
                <w:color w:val="auto"/>
                <w:sz w:val="24"/>
                <w:highlight w:val="none"/>
                <w:u w:val="single"/>
              </w:rPr>
            </w:pPr>
          </w:p>
          <w:p>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法定代表人或被授权人（签字或盖章）：</w:t>
            </w:r>
          </w:p>
          <w:p>
            <w:pPr>
              <w:spacing w:line="360" w:lineRule="auto"/>
              <w:ind w:firstLine="3000" w:firstLineChars="1250"/>
              <w:rPr>
                <w:rFonts w:ascii="宋体" w:hAnsi="宋体"/>
                <w:color w:val="auto"/>
                <w:sz w:val="24"/>
                <w:highlight w:val="none"/>
                <w:u w:val="single"/>
              </w:rPr>
            </w:pPr>
          </w:p>
          <w:p>
            <w:pPr>
              <w:spacing w:line="360" w:lineRule="auto"/>
              <w:ind w:firstLine="4440" w:firstLineChars="1850"/>
              <w:rPr>
                <w:rFonts w:ascii="宋体" w:hAnsi="宋体"/>
                <w:color w:val="auto"/>
                <w:sz w:val="24"/>
                <w:highlight w:val="none"/>
              </w:rPr>
            </w:pPr>
            <w:r>
              <w:rPr>
                <w:rFonts w:hint="eastAsia" w:ascii="宋体" w:hAnsi="宋体"/>
                <w:color w:val="auto"/>
                <w:sz w:val="24"/>
                <w:highlight w:val="none"/>
              </w:rPr>
              <w:t>日期：年月日</w:t>
            </w:r>
          </w:p>
          <w:p>
            <w:pPr>
              <w:widowControl/>
              <w:spacing w:line="360" w:lineRule="auto"/>
              <w:jc w:val="left"/>
              <w:rPr>
                <w:rFonts w:ascii="宋体" w:cs="宋体"/>
                <w:color w:val="auto"/>
                <w:kern w:val="0"/>
                <w:sz w:val="28"/>
                <w:szCs w:val="28"/>
                <w:highlight w:val="none"/>
              </w:rPr>
            </w:pPr>
          </w:p>
        </w:tc>
      </w:tr>
    </w:tbl>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3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35"/>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附件三</w:t>
      </w:r>
    </w:p>
    <w:p>
      <w:pPr>
        <w:pStyle w:val="3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3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3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3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3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3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35"/>
        <w:spacing w:after="0" w:line="360" w:lineRule="auto"/>
        <w:ind w:firstLine="360" w:firstLineChars="150"/>
        <w:rPr>
          <w:rFonts w:ascii="宋体" w:hAnsi="宋体"/>
          <w:color w:val="auto"/>
          <w:sz w:val="24"/>
          <w:szCs w:val="24"/>
          <w:highlight w:val="none"/>
        </w:rPr>
      </w:pPr>
    </w:p>
    <w:p>
      <w:pPr>
        <w:pStyle w:val="3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p>
    <w:p>
      <w:pPr>
        <w:pStyle w:val="35"/>
        <w:spacing w:after="0" w:line="360" w:lineRule="auto"/>
        <w:ind w:firstLine="0"/>
        <w:rPr>
          <w:b/>
          <w:color w:val="auto"/>
          <w:sz w:val="32"/>
          <w:szCs w:val="32"/>
          <w:highlight w:val="none"/>
        </w:rPr>
      </w:pPr>
    </w:p>
    <w:p>
      <w:pPr>
        <w:pStyle w:val="3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3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3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8"/>
        <w:tblW w:w="8306" w:type="dxa"/>
        <w:tblInd w:w="0" w:type="dxa"/>
        <w:tblLayout w:type="fixed"/>
        <w:tblCellMar>
          <w:top w:w="0" w:type="dxa"/>
          <w:left w:w="108" w:type="dxa"/>
          <w:bottom w:w="0" w:type="dxa"/>
          <w:right w:w="108" w:type="dxa"/>
        </w:tblCellMar>
      </w:tblPr>
      <w:tblGrid>
        <w:gridCol w:w="8306"/>
      </w:tblGrid>
      <w:tr>
        <w:trPr>
          <w:trHeight w:val="2819" w:hRule="atLeast"/>
        </w:trPr>
        <w:tc>
          <w:tcPr>
            <w:tcW w:w="8306" w:type="dxa"/>
            <w:shd w:val="clear" w:color="auto" w:fill="auto"/>
          </w:tcPr>
          <w:p>
            <w:pPr>
              <w:pStyle w:val="3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3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3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3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widowControl/>
        <w:spacing w:line="360" w:lineRule="auto"/>
        <w:jc w:val="center"/>
        <w:textAlignment w:val="center"/>
        <w:rPr>
          <w:rFonts w:ascii="方正大标宋简体" w:hAnsi="方正大标宋简体" w:eastAsia="方正大标宋简体" w:cs="方正大标宋简体"/>
          <w:b/>
          <w:bCs/>
          <w:color w:val="auto"/>
          <w:kern w:val="0"/>
          <w:sz w:val="32"/>
          <w:szCs w:val="32"/>
          <w:highlight w:val="none"/>
        </w:rPr>
        <w:sectPr>
          <w:pgSz w:w="11906" w:h="16838"/>
          <w:pgMar w:top="1440" w:right="1800" w:bottom="1440" w:left="1800" w:header="851" w:footer="992" w:gutter="0"/>
          <w:cols w:space="425" w:num="1"/>
          <w:docGrid w:type="lines" w:linePitch="312" w:charSpace="0"/>
        </w:sectPr>
      </w:pPr>
      <w:r>
        <w:rPr>
          <w:rFonts w:ascii="方正大标宋简体" w:hAnsi="方正大标宋简体" w:eastAsia="方正大标宋简体" w:cs="方正大标宋简体"/>
          <w:b/>
          <w:bCs/>
          <w:color w:val="auto"/>
          <w:kern w:val="0"/>
          <w:sz w:val="32"/>
          <w:szCs w:val="32"/>
          <w:highlight w:val="none"/>
        </w:rPr>
        <w:br w:type="page"/>
      </w:r>
    </w:p>
    <w:p>
      <w:pPr>
        <w:pStyle w:val="19"/>
        <w:rPr>
          <w:rFonts w:hint="default" w:eastAsia="宋体"/>
          <w:color w:val="auto"/>
          <w:highlight w:val="none"/>
          <w:lang w:val="en-US" w:eastAsia="zh-CN"/>
        </w:rPr>
      </w:pPr>
      <w:r>
        <w:rPr>
          <w:rFonts w:hint="eastAsia"/>
          <w:color w:val="auto"/>
          <w:highlight w:val="none"/>
          <w:lang w:eastAsia="zh-CN"/>
        </w:rPr>
        <w:t>附件</w:t>
      </w:r>
      <w:r>
        <w:rPr>
          <w:rFonts w:hint="eastAsia"/>
          <w:color w:val="auto"/>
          <w:highlight w:val="none"/>
          <w:lang w:val="en-US" w:eastAsia="zh-CN"/>
        </w:rPr>
        <w:t>4</w:t>
      </w:r>
    </w:p>
    <w:tbl>
      <w:tblPr>
        <w:tblStyle w:val="38"/>
        <w:tblW w:w="9840" w:type="dxa"/>
        <w:jc w:val="center"/>
        <w:tblLayout w:type="fixed"/>
        <w:tblCellMar>
          <w:top w:w="0" w:type="dxa"/>
          <w:left w:w="108" w:type="dxa"/>
          <w:bottom w:w="0" w:type="dxa"/>
          <w:right w:w="108" w:type="dxa"/>
        </w:tblCellMar>
      </w:tblPr>
      <w:tblGrid>
        <w:gridCol w:w="844"/>
        <w:gridCol w:w="1741"/>
        <w:gridCol w:w="2938"/>
        <w:gridCol w:w="1310"/>
        <w:gridCol w:w="3007"/>
      </w:tblGrid>
      <w:tr>
        <w:tblPrEx>
          <w:tblCellMar>
            <w:top w:w="0" w:type="dxa"/>
            <w:left w:w="108" w:type="dxa"/>
            <w:bottom w:w="0" w:type="dxa"/>
            <w:right w:w="108" w:type="dxa"/>
          </w:tblCellMar>
        </w:tblPrEx>
        <w:trPr>
          <w:trHeight w:val="735" w:hRule="atLeast"/>
          <w:jc w:val="center"/>
        </w:trPr>
        <w:tc>
          <w:tcPr>
            <w:tcW w:w="9840" w:type="dxa"/>
            <w:gridSpan w:val="5"/>
            <w:tcBorders>
              <w:top w:val="nil"/>
              <w:left w:val="nil"/>
              <w:bottom w:val="single" w:color="000000" w:sz="4" w:space="0"/>
              <w:right w:val="nil"/>
            </w:tcBorders>
            <w:noWrap/>
            <w:vAlign w:val="center"/>
          </w:tcPr>
          <w:p>
            <w:pPr>
              <w:widowControl/>
              <w:spacing w:line="360" w:lineRule="auto"/>
              <w:jc w:val="center"/>
              <w:textAlignment w:val="center"/>
              <w:rPr>
                <w:rFonts w:ascii="方正大标宋简体" w:hAnsi="方正大标宋简体" w:eastAsia="方正大标宋简体" w:cs="方正大标宋简体"/>
                <w:b/>
                <w:bCs/>
                <w:color w:val="auto"/>
                <w:sz w:val="32"/>
                <w:szCs w:val="32"/>
                <w:highlight w:val="none"/>
              </w:rPr>
            </w:pPr>
            <w:r>
              <w:rPr>
                <w:rFonts w:ascii="方正大标宋简体" w:hAnsi="方正大标宋简体" w:eastAsia="方正大标宋简体" w:cs="方正大标宋简体"/>
                <w:b/>
                <w:bCs/>
                <w:color w:val="auto"/>
                <w:kern w:val="0"/>
                <w:sz w:val="32"/>
                <w:szCs w:val="32"/>
                <w:highlight w:val="none"/>
              </w:rPr>
              <w:t>施工项目管理团队人员信息表</w:t>
            </w:r>
          </w:p>
        </w:tc>
      </w:tr>
      <w:tr>
        <w:tblPrEx>
          <w:tblCellMar>
            <w:top w:w="0" w:type="dxa"/>
            <w:left w:w="108" w:type="dxa"/>
            <w:bottom w:w="0" w:type="dxa"/>
            <w:right w:w="108" w:type="dxa"/>
          </w:tblCellMar>
        </w:tblPrEx>
        <w:trPr>
          <w:trHeight w:val="1222"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序号</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姓名</w:t>
            </w:r>
          </w:p>
        </w:tc>
        <w:tc>
          <w:tcPr>
            <w:tcW w:w="29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岗位</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职称</w:t>
            </w:r>
          </w:p>
        </w:tc>
        <w:tc>
          <w:tcPr>
            <w:tcW w:w="30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1</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4</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6</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2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w:t>
            </w:r>
          </w:p>
        </w:tc>
        <w:tc>
          <w:tcPr>
            <w:tcW w:w="17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293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w:t>
            </w:r>
          </w:p>
        </w:tc>
        <w:tc>
          <w:tcPr>
            <w:tcW w:w="13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4433" w:hRule="atLeast"/>
          <w:jc w:val="center"/>
        </w:trPr>
        <w:tc>
          <w:tcPr>
            <w:tcW w:w="984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auto"/>
                <w:sz w:val="28"/>
                <w:szCs w:val="28"/>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br w:type="textWrapping"/>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Fonts w:ascii="宋体" w:hAnsi="宋体" w:cs="宋体"/>
                <w:color w:val="auto"/>
                <w:kern w:val="0"/>
                <w:szCs w:val="21"/>
                <w:highlight w:val="none"/>
              </w:rPr>
              <w:br w:type="textWrapping"/>
            </w: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ascii="宋体" w:hAnsi="宋体" w:cs="宋体"/>
                <w:color w:val="auto"/>
                <w:kern w:val="0"/>
                <w:szCs w:val="21"/>
                <w:highlight w:val="none"/>
              </w:rPr>
              <w:br w:type="textWrapping"/>
            </w: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26"/>
        <w:spacing w:line="240" w:lineRule="auto"/>
        <w:ind w:firstLine="0" w:firstLineChars="0"/>
        <w:rPr>
          <w:color w:val="auto"/>
          <w:highlight w:val="none"/>
        </w:rPr>
      </w:pPr>
      <w:r>
        <w:rPr>
          <w:rFonts w:hint="eastAsia"/>
          <w:color w:val="auto"/>
          <w:highlight w:val="none"/>
        </w:rPr>
        <w:t>注：附相关的证明材料。</w:t>
      </w:r>
    </w:p>
    <w:p>
      <w:pPr>
        <w:topLinePunct/>
        <w:adjustRightInd w:val="0"/>
        <w:snapToGrid w:val="0"/>
        <w:rPr>
          <w:rFonts w:ascii="宋体" w:hAnsi="宋体" w:cs="宋体"/>
          <w:color w:val="auto"/>
          <w:spacing w:val="4"/>
          <w:kern w:val="0"/>
          <w:szCs w:val="21"/>
          <w:highlight w:val="none"/>
        </w:rPr>
      </w:pPr>
    </w:p>
    <w:p>
      <w:pPr>
        <w:topLinePunct/>
        <w:adjustRightInd w:val="0"/>
        <w:snapToGrid w:val="0"/>
        <w:spacing w:line="276" w:lineRule="auto"/>
        <w:ind w:firstLine="3306" w:firstLineChars="1450"/>
        <w:jc w:val="left"/>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投标人：　　（盖章）</w:t>
      </w:r>
    </w:p>
    <w:p>
      <w:pPr>
        <w:topLinePunct/>
        <w:adjustRightInd w:val="0"/>
        <w:snapToGrid w:val="0"/>
        <w:spacing w:line="276" w:lineRule="auto"/>
        <w:ind w:firstLine="3306" w:firstLineChars="1450"/>
        <w:jc w:val="left"/>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法定代表人或授权代理人(签字或盖章)：</w:t>
      </w:r>
    </w:p>
    <w:p>
      <w:pPr>
        <w:autoSpaceDE w:val="0"/>
        <w:autoSpaceDN w:val="0"/>
        <w:adjustRightInd w:val="0"/>
        <w:spacing w:line="276" w:lineRule="auto"/>
        <w:ind w:firstLine="3306" w:firstLineChars="1450"/>
        <w:jc w:val="left"/>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日   期：    年    月    日</w:t>
      </w:r>
    </w:p>
    <w:p>
      <w:pPr>
        <w:rPr>
          <w:color w:val="auto"/>
          <w:highlight w:val="none"/>
        </w:rPr>
      </w:pPr>
    </w:p>
    <w:p>
      <w:pPr>
        <w:spacing w:line="320" w:lineRule="exact"/>
        <w:rPr>
          <w:rFonts w:ascii="仿宋_GB2312" w:hAnsi="楷体" w:eastAsia="仿宋_GB2312"/>
          <w:color w:val="auto"/>
          <w:szCs w:val="21"/>
          <w:highlight w:val="none"/>
        </w:rPr>
      </w:pPr>
    </w:p>
    <w:p>
      <w:pPr>
        <w:autoSpaceDE w:val="0"/>
        <w:autoSpaceDN w:val="0"/>
        <w:adjustRightInd w:val="0"/>
        <w:rPr>
          <w:rFonts w:hint="eastAsia" w:ascii="宋体" w:hAnsi="宋体" w:cs="宋体"/>
          <w:color w:val="auto"/>
          <w:szCs w:val="21"/>
          <w:highlight w:val="none"/>
        </w:rPr>
      </w:pPr>
      <w:r>
        <w:rPr>
          <w:rFonts w:hint="eastAsia" w:ascii="宋体" w:hAnsi="宋体" w:cs="宋体"/>
          <w:color w:val="auto"/>
          <w:szCs w:val="21"/>
          <w:highlight w:val="none"/>
        </w:rPr>
        <w:t>附件五</w:t>
      </w:r>
    </w:p>
    <w:p>
      <w:pPr>
        <w:pStyle w:val="51"/>
        <w:ind w:firstLine="400"/>
        <w:rPr>
          <w:rFonts w:hint="eastAsia"/>
          <w:color w:val="auto"/>
          <w:highlight w:val="none"/>
        </w:rPr>
      </w:pPr>
    </w:p>
    <w:p>
      <w:pPr>
        <w:widowControl/>
        <w:spacing w:line="360" w:lineRule="auto"/>
        <w:jc w:val="center"/>
        <w:rPr>
          <w:rFonts w:hint="eastAsia" w:ascii="宋体" w:hAnsi="宋体" w:cs="宋体"/>
          <w:b/>
          <w:strike w:val="0"/>
          <w:color w:val="auto"/>
          <w:kern w:val="0"/>
          <w:sz w:val="32"/>
          <w:szCs w:val="32"/>
          <w:highlight w:val="none"/>
        </w:rPr>
      </w:pPr>
      <w:r>
        <w:rPr>
          <w:rFonts w:hint="eastAsia" w:ascii="宋体" w:hAnsi="宋体" w:cs="宋体"/>
          <w:b/>
          <w:strike w:val="0"/>
          <w:color w:val="auto"/>
          <w:kern w:val="0"/>
          <w:sz w:val="32"/>
          <w:szCs w:val="32"/>
          <w:highlight w:val="none"/>
        </w:rPr>
        <w:t>工程质量终身责任承诺书</w:t>
      </w:r>
    </w:p>
    <w:p>
      <w:pPr>
        <w:spacing w:after="120" w:line="360" w:lineRule="auto"/>
        <w:rPr>
          <w:rFonts w:ascii="宋体" w:hAnsi="宋体"/>
          <w:strike w:val="0"/>
          <w:color w:val="auto"/>
          <w:kern w:val="1"/>
          <w:sz w:val="24"/>
          <w:szCs w:val="24"/>
          <w:highlight w:val="none"/>
        </w:rPr>
      </w:pPr>
    </w:p>
    <w:p>
      <w:pPr>
        <w:widowControl/>
        <w:spacing w:after="120" w:line="360" w:lineRule="auto"/>
        <w:ind w:firstLine="480" w:firstLineChars="200"/>
        <w:rPr>
          <w:rFonts w:hint="eastAsia" w:ascii="宋体" w:hAnsi="宋体"/>
          <w:strike w:val="0"/>
          <w:color w:val="auto"/>
          <w:kern w:val="1"/>
          <w:sz w:val="24"/>
          <w:szCs w:val="24"/>
          <w:highlight w:val="none"/>
        </w:rPr>
      </w:pPr>
      <w:r>
        <w:rPr>
          <w:rFonts w:hint="eastAsia" w:ascii="宋体" w:hAnsi="宋体"/>
          <w:strike w:val="0"/>
          <w:color w:val="auto"/>
          <w:kern w:val="1"/>
          <w:sz w:val="24"/>
          <w:szCs w:val="24"/>
          <w:highlight w:val="none"/>
        </w:rPr>
        <w:t>本人受</w:t>
      </w:r>
      <w:r>
        <w:rPr>
          <w:rFonts w:hint="eastAsia" w:ascii="宋体" w:hAnsi="宋体"/>
          <w:strike w:val="0"/>
          <w:color w:val="auto"/>
          <w:kern w:val="1"/>
          <w:sz w:val="24"/>
          <w:szCs w:val="24"/>
          <w:highlight w:val="none"/>
          <w:u w:val="single"/>
        </w:rPr>
        <w:t xml:space="preserve">                        </w:t>
      </w:r>
      <w:r>
        <w:rPr>
          <w:rFonts w:hint="eastAsia" w:ascii="宋体" w:hAnsi="宋体"/>
          <w:strike w:val="0"/>
          <w:color w:val="auto"/>
          <w:kern w:val="1"/>
          <w:sz w:val="24"/>
          <w:szCs w:val="24"/>
          <w:highlight w:val="none"/>
        </w:rPr>
        <w:t xml:space="preserve"> 单位（法定代表人</w:t>
      </w:r>
      <w:r>
        <w:rPr>
          <w:rFonts w:hint="eastAsia" w:ascii="宋体" w:hAnsi="宋体"/>
          <w:strike w:val="0"/>
          <w:color w:val="auto"/>
          <w:kern w:val="1"/>
          <w:sz w:val="24"/>
          <w:szCs w:val="24"/>
          <w:highlight w:val="none"/>
          <w:u w:val="single"/>
        </w:rPr>
        <w:t xml:space="preserve">          </w:t>
      </w:r>
      <w:r>
        <w:rPr>
          <w:rFonts w:hint="eastAsia" w:ascii="宋体" w:hAnsi="宋体"/>
          <w:strike w:val="0"/>
          <w:color w:val="auto"/>
          <w:kern w:val="1"/>
          <w:sz w:val="24"/>
          <w:szCs w:val="24"/>
          <w:highlight w:val="none"/>
        </w:rPr>
        <w:t>）授权，担任</w:t>
      </w:r>
      <w:r>
        <w:rPr>
          <w:rFonts w:hint="eastAsia" w:ascii="宋体" w:hAnsi="宋体"/>
          <w:strike w:val="0"/>
          <w:color w:val="auto"/>
          <w:kern w:val="1"/>
          <w:sz w:val="24"/>
          <w:szCs w:val="24"/>
          <w:highlight w:val="none"/>
          <w:u w:val="single"/>
        </w:rPr>
        <w:t xml:space="preserve">              </w:t>
      </w:r>
      <w:r>
        <w:rPr>
          <w:rFonts w:hint="eastAsia" w:ascii="宋体" w:hAnsi="宋体"/>
          <w:strike w:val="0"/>
          <w:color w:val="auto"/>
          <w:kern w:val="1"/>
          <w:sz w:val="24"/>
          <w:szCs w:val="24"/>
          <w:highlight w:val="none"/>
        </w:rPr>
        <w:t>工程项目的（建设、勘察、设计、施工、监理）项目负责人，对该工程项目的（建设、勘察、设计、施工、监理）工作实施组织管理。本人承诺严格依旧国家有关法律法规及标准规范履行职责，并对设计使用年限内的工程质量承担相应终身责任。</w:t>
      </w:r>
    </w:p>
    <w:p>
      <w:pPr>
        <w:widowControl/>
        <w:spacing w:after="120" w:line="360" w:lineRule="auto"/>
        <w:ind w:firstLine="480" w:firstLineChars="200"/>
        <w:rPr>
          <w:rFonts w:hint="eastAsia" w:ascii="宋体" w:hAnsi="宋体"/>
          <w:strike w:val="0"/>
          <w:color w:val="auto"/>
          <w:kern w:val="1"/>
          <w:sz w:val="24"/>
          <w:szCs w:val="24"/>
          <w:highlight w:val="none"/>
        </w:rPr>
      </w:pPr>
    </w:p>
    <w:p>
      <w:pPr>
        <w:widowControl/>
        <w:wordWrap w:val="0"/>
        <w:spacing w:after="120" w:line="360" w:lineRule="auto"/>
        <w:ind w:firstLine="480" w:firstLineChars="200"/>
        <w:jc w:val="right"/>
        <w:rPr>
          <w:rFonts w:ascii="宋体" w:hAnsi="宋体"/>
          <w:strike w:val="0"/>
          <w:color w:val="auto"/>
          <w:kern w:val="1"/>
          <w:sz w:val="24"/>
          <w:szCs w:val="24"/>
          <w:highlight w:val="none"/>
        </w:rPr>
      </w:pPr>
      <w:r>
        <w:rPr>
          <w:rFonts w:hint="eastAsia" w:ascii="宋体" w:hAnsi="宋体"/>
          <w:strike w:val="0"/>
          <w:color w:val="auto"/>
          <w:kern w:val="1"/>
          <w:sz w:val="24"/>
          <w:szCs w:val="24"/>
          <w:highlight w:val="none"/>
        </w:rPr>
        <w:t>承诺人签字：</w:t>
      </w:r>
      <w:r>
        <w:rPr>
          <w:rFonts w:hint="eastAsia" w:ascii="宋体" w:hAnsi="宋体"/>
          <w:strike w:val="0"/>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strike w:val="0"/>
          <w:color w:val="auto"/>
          <w:kern w:val="1"/>
          <w:sz w:val="24"/>
          <w:szCs w:val="24"/>
          <w:highlight w:val="none"/>
        </w:rPr>
      </w:pPr>
      <w:r>
        <w:rPr>
          <w:rFonts w:hint="eastAsia" w:ascii="宋体" w:hAnsi="宋体"/>
          <w:strike w:val="0"/>
          <w:color w:val="auto"/>
          <w:kern w:val="1"/>
          <w:sz w:val="24"/>
          <w:szCs w:val="24"/>
          <w:highlight w:val="none"/>
        </w:rPr>
        <w:t>身份证号：</w:t>
      </w:r>
      <w:r>
        <w:rPr>
          <w:rFonts w:hint="eastAsia" w:ascii="宋体" w:hAnsi="宋体"/>
          <w:strike w:val="0"/>
          <w:color w:val="auto"/>
          <w:kern w:val="1"/>
          <w:sz w:val="24"/>
          <w:szCs w:val="24"/>
          <w:highlight w:val="none"/>
          <w:u w:val="single"/>
        </w:rPr>
        <w:t xml:space="preserve">                 </w:t>
      </w:r>
    </w:p>
    <w:p>
      <w:pPr>
        <w:widowControl/>
        <w:wordWrap w:val="0"/>
        <w:spacing w:after="120" w:line="360" w:lineRule="auto"/>
        <w:ind w:firstLine="480" w:firstLineChars="200"/>
        <w:jc w:val="right"/>
        <w:rPr>
          <w:rFonts w:ascii="宋体" w:hAnsi="宋体"/>
          <w:strike w:val="0"/>
          <w:color w:val="auto"/>
          <w:kern w:val="1"/>
          <w:sz w:val="24"/>
          <w:szCs w:val="24"/>
          <w:highlight w:val="none"/>
        </w:rPr>
      </w:pPr>
      <w:r>
        <w:rPr>
          <w:rFonts w:hint="eastAsia" w:ascii="宋体" w:hAnsi="宋体"/>
          <w:strike w:val="0"/>
          <w:color w:val="auto"/>
          <w:kern w:val="1"/>
          <w:sz w:val="24"/>
          <w:szCs w:val="24"/>
          <w:highlight w:val="none"/>
        </w:rPr>
        <w:t>注册执业资格：</w:t>
      </w:r>
      <w:r>
        <w:rPr>
          <w:rFonts w:hint="eastAsia" w:ascii="宋体" w:hAnsi="宋体"/>
          <w:strike w:val="0"/>
          <w:color w:val="auto"/>
          <w:kern w:val="1"/>
          <w:sz w:val="24"/>
          <w:szCs w:val="24"/>
          <w:highlight w:val="none"/>
          <w:u w:val="single"/>
        </w:rPr>
        <w:t xml:space="preserve">                 </w:t>
      </w:r>
    </w:p>
    <w:p>
      <w:pPr>
        <w:widowControl/>
        <w:wordWrap w:val="0"/>
        <w:spacing w:after="120" w:line="360" w:lineRule="auto"/>
        <w:ind w:firstLine="480" w:firstLineChars="200"/>
        <w:jc w:val="right"/>
        <w:rPr>
          <w:rFonts w:hint="eastAsia" w:ascii="宋体" w:hAnsi="宋体"/>
          <w:strike w:val="0"/>
          <w:color w:val="auto"/>
          <w:kern w:val="1"/>
          <w:sz w:val="24"/>
          <w:szCs w:val="24"/>
          <w:highlight w:val="none"/>
          <w:u w:val="single"/>
        </w:rPr>
      </w:pPr>
      <w:r>
        <w:rPr>
          <w:rFonts w:hint="eastAsia" w:ascii="宋体" w:hAnsi="宋体"/>
          <w:strike w:val="0"/>
          <w:color w:val="auto"/>
          <w:kern w:val="1"/>
          <w:sz w:val="24"/>
          <w:szCs w:val="24"/>
          <w:highlight w:val="none"/>
        </w:rPr>
        <w:t>注册执业证号：</w:t>
      </w:r>
      <w:r>
        <w:rPr>
          <w:rFonts w:hint="eastAsia" w:ascii="宋体" w:hAnsi="宋体"/>
          <w:strike w:val="0"/>
          <w:color w:val="auto"/>
          <w:kern w:val="1"/>
          <w:sz w:val="24"/>
          <w:szCs w:val="24"/>
          <w:highlight w:val="none"/>
          <w:u w:val="single"/>
        </w:rPr>
        <w:t xml:space="preserve">                 </w:t>
      </w:r>
    </w:p>
    <w:p>
      <w:pPr>
        <w:widowControl/>
        <w:wordWrap w:val="0"/>
        <w:spacing w:after="120" w:line="360" w:lineRule="auto"/>
        <w:ind w:firstLine="480" w:firstLineChars="200"/>
        <w:jc w:val="right"/>
        <w:rPr>
          <w:rFonts w:hint="eastAsia" w:ascii="宋体" w:hAnsi="宋体"/>
          <w:strike w:val="0"/>
          <w:color w:val="auto"/>
          <w:kern w:val="1"/>
          <w:sz w:val="24"/>
          <w:szCs w:val="24"/>
          <w:highlight w:val="none"/>
        </w:rPr>
      </w:pPr>
      <w:r>
        <w:rPr>
          <w:rFonts w:hint="eastAsia" w:ascii="宋体" w:hAnsi="宋体"/>
          <w:strike w:val="0"/>
          <w:color w:val="auto"/>
          <w:kern w:val="1"/>
          <w:sz w:val="24"/>
          <w:szCs w:val="24"/>
          <w:highlight w:val="none"/>
        </w:rPr>
        <w:t>签字日期：</w:t>
      </w:r>
      <w:r>
        <w:rPr>
          <w:rFonts w:hint="eastAsia" w:ascii="宋体" w:hAnsi="宋体"/>
          <w:strike w:val="0"/>
          <w:color w:val="auto"/>
          <w:kern w:val="1"/>
          <w:sz w:val="24"/>
          <w:szCs w:val="24"/>
          <w:highlight w:val="none"/>
          <w:u w:val="single"/>
        </w:rPr>
        <w:t xml:space="preserve">     </w:t>
      </w:r>
      <w:r>
        <w:rPr>
          <w:rFonts w:hint="eastAsia" w:ascii="宋体" w:hAnsi="宋体"/>
          <w:strike w:val="0"/>
          <w:color w:val="auto"/>
          <w:kern w:val="1"/>
          <w:sz w:val="24"/>
          <w:szCs w:val="24"/>
          <w:highlight w:val="none"/>
        </w:rPr>
        <w:t>年</w:t>
      </w:r>
      <w:r>
        <w:rPr>
          <w:rFonts w:hint="eastAsia" w:ascii="宋体" w:hAnsi="宋体"/>
          <w:strike w:val="0"/>
          <w:color w:val="auto"/>
          <w:kern w:val="1"/>
          <w:sz w:val="24"/>
          <w:szCs w:val="24"/>
          <w:highlight w:val="none"/>
          <w:u w:val="single"/>
        </w:rPr>
        <w:t xml:space="preserve">   </w:t>
      </w:r>
      <w:r>
        <w:rPr>
          <w:rFonts w:hint="eastAsia" w:ascii="宋体" w:hAnsi="宋体"/>
          <w:strike w:val="0"/>
          <w:color w:val="auto"/>
          <w:kern w:val="1"/>
          <w:sz w:val="24"/>
          <w:szCs w:val="24"/>
          <w:highlight w:val="none"/>
        </w:rPr>
        <w:t>月</w:t>
      </w:r>
      <w:r>
        <w:rPr>
          <w:rFonts w:hint="eastAsia" w:ascii="宋体" w:hAnsi="宋体"/>
          <w:strike w:val="0"/>
          <w:color w:val="auto"/>
          <w:kern w:val="1"/>
          <w:sz w:val="24"/>
          <w:szCs w:val="24"/>
          <w:highlight w:val="none"/>
          <w:u w:val="single"/>
        </w:rPr>
        <w:t xml:space="preserve">   </w:t>
      </w:r>
      <w:r>
        <w:rPr>
          <w:rFonts w:hint="eastAsia" w:ascii="宋体" w:hAnsi="宋体"/>
          <w:strike w:val="0"/>
          <w:color w:val="auto"/>
          <w:kern w:val="1"/>
          <w:sz w:val="24"/>
          <w:szCs w:val="24"/>
          <w:highlight w:val="none"/>
        </w:rPr>
        <w:t>日</w:t>
      </w:r>
    </w:p>
    <w:p>
      <w:pPr>
        <w:widowControl/>
        <w:wordWrap w:val="0"/>
        <w:spacing w:after="120" w:line="240" w:lineRule="atLeast"/>
        <w:rPr>
          <w:rFonts w:hint="eastAsia" w:ascii="宋体" w:hAnsi="宋体"/>
          <w:color w:val="auto"/>
          <w:kern w:val="1"/>
          <w:sz w:val="24"/>
          <w:szCs w:val="24"/>
          <w:highlight w:val="none"/>
        </w:rPr>
      </w:pPr>
      <w:r>
        <w:rPr>
          <w:rFonts w:hint="eastAsia" w:ascii="宋体" w:hAnsi="宋体"/>
          <w:color w:val="auto"/>
          <w:kern w:val="1"/>
          <w:sz w:val="24"/>
          <w:szCs w:val="24"/>
          <w:highlight w:val="none"/>
        </w:rPr>
        <w:br w:type="page"/>
      </w:r>
      <w:r>
        <w:rPr>
          <w:rFonts w:hint="eastAsia" w:ascii="宋体" w:hAnsi="宋体"/>
          <w:color w:val="auto"/>
          <w:kern w:val="1"/>
          <w:sz w:val="24"/>
          <w:szCs w:val="24"/>
          <w:highlight w:val="none"/>
        </w:rPr>
        <w:t>附件六</w:t>
      </w:r>
    </w:p>
    <w:p>
      <w:pPr>
        <w:spacing w:line="360" w:lineRule="auto"/>
        <w:jc w:val="center"/>
        <w:rPr>
          <w:rFonts w:ascii="宋体" w:hAnsi="宋体" w:cs="宋体"/>
          <w:b/>
          <w:strike w:val="0"/>
          <w:color w:val="auto"/>
          <w:sz w:val="32"/>
          <w:szCs w:val="32"/>
          <w:highlight w:val="none"/>
        </w:rPr>
      </w:pPr>
      <w:r>
        <w:rPr>
          <w:rFonts w:hint="eastAsia" w:ascii="宋体" w:hAnsi="宋体" w:cs="宋体"/>
          <w:b/>
          <w:strike w:val="0"/>
          <w:color w:val="auto"/>
          <w:sz w:val="32"/>
          <w:szCs w:val="32"/>
          <w:highlight w:val="none"/>
        </w:rPr>
        <w:t>人员配置承诺书</w:t>
      </w:r>
    </w:p>
    <w:p>
      <w:pPr>
        <w:jc w:val="center"/>
        <w:rPr>
          <w:rFonts w:ascii="宋体" w:hAnsi="宋体" w:cs="宋体"/>
          <w:strike w:val="0"/>
          <w:color w:val="auto"/>
          <w:highlight w:val="none"/>
        </w:rPr>
      </w:pPr>
    </w:p>
    <w:p>
      <w:pPr>
        <w:spacing w:line="360" w:lineRule="auto"/>
        <w:jc w:val="center"/>
        <w:rPr>
          <w:rFonts w:ascii="宋体" w:hAnsi="宋体" w:cs="宋体"/>
          <w:b/>
          <w:strike w:val="0"/>
          <w:color w:val="auto"/>
          <w:sz w:val="24"/>
          <w:szCs w:val="24"/>
          <w:highlight w:val="none"/>
        </w:rPr>
      </w:pPr>
    </w:p>
    <w:p>
      <w:pPr>
        <w:spacing w:line="360" w:lineRule="auto"/>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致：</w:t>
      </w:r>
      <w:r>
        <w:rPr>
          <w:rFonts w:hint="eastAsia" w:ascii="宋体" w:hAnsi="宋体" w:cs="宋体"/>
          <w:strike w:val="0"/>
          <w:color w:val="auto"/>
          <w:sz w:val="24"/>
          <w:szCs w:val="24"/>
          <w:highlight w:val="none"/>
          <w:u w:val="single"/>
        </w:rPr>
        <w:t xml:space="preserve">     （招标人名称）</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一旦我方中标，我方愿意做出如下承诺：</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w:t>
      </w:r>
      <w:r>
        <w:rPr>
          <w:rFonts w:ascii="宋体" w:hAnsi="宋体" w:cs="宋体"/>
          <w:snapToGrid w:val="0"/>
          <w:color w:val="auto"/>
          <w:spacing w:val="4"/>
          <w:kern w:val="0"/>
          <w:sz w:val="24"/>
          <w:szCs w:val="24"/>
          <w:highlight w:val="none"/>
        </w:rPr>
        <w:t>7个工作日内提供投标文件拟投入的全部人员的相关资料原件（包括但不限于</w:t>
      </w:r>
      <w:r>
        <w:rPr>
          <w:rFonts w:hint="eastAsia" w:ascii="宋体" w:hAnsi="宋体" w:cs="宋体"/>
          <w:snapToGrid w:val="0"/>
          <w:color w:val="auto"/>
          <w:spacing w:val="4"/>
          <w:kern w:val="0"/>
          <w:sz w:val="24"/>
          <w:szCs w:val="24"/>
          <w:highlight w:val="none"/>
        </w:rPr>
        <w:t>社保证明、执业证、职称证等）供贵单位审核。</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如因我方逾期提供原件核对导致未按期签订合同的，贵单位有权取消我方中标资格。</w:t>
      </w:r>
    </w:p>
    <w:p>
      <w:pPr>
        <w:topLinePunct/>
        <w:adjustRightInd w:val="0"/>
        <w:snapToGrid w:val="0"/>
        <w:spacing w:line="360" w:lineRule="auto"/>
        <w:ind w:firstLine="496" w:firstLineChars="200"/>
        <w:rPr>
          <w:rFonts w:ascii="宋体" w:hAnsi="宋体" w:cs="宋体"/>
          <w:bCs/>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cs="宋体"/>
          <w:snapToGrid w:val="0"/>
          <w:color w:val="auto"/>
          <w:spacing w:val="4"/>
          <w:kern w:val="0"/>
          <w:sz w:val="24"/>
          <w:szCs w:val="24"/>
          <w:highlight w:val="none"/>
        </w:rPr>
        <w:t>我司承诺</w:t>
      </w:r>
      <w:r>
        <w:rPr>
          <w:rFonts w:hint="eastAsia" w:ascii="宋体" w:hAnsi="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bCs/>
          <w:snapToGrid w:val="0"/>
          <w:color w:val="auto"/>
          <w:spacing w:val="4"/>
          <w:kern w:val="0"/>
          <w:sz w:val="24"/>
          <w:szCs w:val="24"/>
          <w:highlight w:val="none"/>
        </w:rPr>
        <w:t>三、</w:t>
      </w:r>
      <w:r>
        <w:rPr>
          <w:rFonts w:hint="eastAsia" w:ascii="宋体" w:hAnsi="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我方将不提出任何异议。</w:t>
      </w:r>
    </w:p>
    <w:p>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w:t>
      </w:r>
      <w:r>
        <w:rPr>
          <w:rFonts w:ascii="宋体" w:hAnsi="宋体" w:cs="宋体"/>
          <w:snapToGrid w:val="0"/>
          <w:color w:val="auto"/>
          <w:spacing w:val="4"/>
          <w:kern w:val="0"/>
          <w:sz w:val="24"/>
          <w:szCs w:val="24"/>
          <w:highlight w:val="none"/>
        </w:rPr>
        <w:t>(签字或盖章)：</w:t>
      </w:r>
    </w:p>
    <w:p>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w:t>
      </w:r>
      <w:r>
        <w:rPr>
          <w:rFonts w:ascii="宋体" w:hAnsi="宋体" w:cs="宋体"/>
          <w:snapToGrid w:val="0"/>
          <w:color w:val="auto"/>
          <w:spacing w:val="4"/>
          <w:kern w:val="0"/>
          <w:sz w:val="24"/>
          <w:szCs w:val="24"/>
          <w:highlight w:val="none"/>
        </w:rPr>
        <w:t>(签字或盖章)：</w:t>
      </w:r>
    </w:p>
    <w:p>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w:t>
      </w:r>
      <w:r>
        <w:rPr>
          <w:rFonts w:ascii="宋体" w:hAnsi="宋体" w:cs="宋体"/>
          <w:snapToGrid w:val="0"/>
          <w:color w:val="auto"/>
          <w:spacing w:val="4"/>
          <w:kern w:val="0"/>
          <w:sz w:val="24"/>
          <w:szCs w:val="24"/>
          <w:highlight w:val="none"/>
        </w:rPr>
        <w:t>(签字或盖章)：</w:t>
      </w:r>
    </w:p>
    <w:p>
      <w:pPr>
        <w:topLinePunct/>
        <w:adjustRightInd w:val="0"/>
        <w:snapToGrid w:val="0"/>
        <w:spacing w:line="360" w:lineRule="auto"/>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年</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月</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日</w:t>
      </w:r>
    </w:p>
    <w:p>
      <w:pPr>
        <w:pStyle w:val="4"/>
        <w:snapToGrid w:val="0"/>
        <w:spacing w:line="26" w:lineRule="atLeast"/>
        <w:rPr>
          <w:rFonts w:hint="eastAsia" w:ascii="宋体" w:hAnsi="宋体" w:cs="宋体"/>
          <w:color w:val="auto"/>
          <w:sz w:val="24"/>
          <w:szCs w:val="24"/>
          <w:highlight w:val="none"/>
        </w:rPr>
      </w:pPr>
      <w:bookmarkStart w:id="35" w:name="_Toc30087"/>
      <w:bookmarkStart w:id="36" w:name="_Toc23674"/>
      <w:bookmarkStart w:id="37" w:name="_Toc2736"/>
    </w:p>
    <w:p>
      <w:pPr>
        <w:pStyle w:val="4"/>
        <w:snapToGrid w:val="0"/>
        <w:spacing w:line="26" w:lineRule="atLeast"/>
        <w:rPr>
          <w:rFonts w:hint="eastAsia" w:ascii="宋体" w:hAnsi="宋体" w:cs="宋体"/>
          <w:color w:val="auto"/>
          <w:sz w:val="24"/>
          <w:szCs w:val="24"/>
          <w:highlight w:val="none"/>
        </w:rPr>
      </w:pPr>
    </w:p>
    <w:p>
      <w:pPr>
        <w:pStyle w:val="4"/>
        <w:snapToGrid w:val="0"/>
        <w:spacing w:line="26" w:lineRule="atLeast"/>
        <w:rPr>
          <w:rFonts w:hint="eastAsia" w:ascii="宋体" w:hAnsi="宋体" w:cs="宋体"/>
          <w:color w:val="auto"/>
          <w:sz w:val="24"/>
          <w:szCs w:val="24"/>
          <w:highlight w:val="none"/>
        </w:rPr>
      </w:pPr>
    </w:p>
    <w:p>
      <w:pPr>
        <w:pStyle w:val="4"/>
        <w:snapToGrid w:val="0"/>
        <w:spacing w:line="26" w:lineRule="atLeast"/>
        <w:rPr>
          <w:rFonts w:hint="eastAsia"/>
          <w:color w:val="auto"/>
          <w:highlight w:val="none"/>
        </w:rPr>
      </w:pPr>
    </w:p>
    <w:p>
      <w:pPr>
        <w:pStyle w:val="4"/>
        <w:snapToGrid w:val="0"/>
        <w:spacing w:line="26" w:lineRule="atLeast"/>
        <w:rPr>
          <w:color w:val="auto"/>
          <w:spacing w:val="4"/>
          <w:sz w:val="24"/>
          <w:szCs w:val="24"/>
          <w:highlight w:val="none"/>
        </w:rPr>
      </w:pPr>
      <w:r>
        <w:rPr>
          <w:rFonts w:hint="eastAsia"/>
          <w:color w:val="auto"/>
          <w:highlight w:val="none"/>
        </w:rPr>
        <w:t>格式七：</w:t>
      </w:r>
      <w:bookmarkEnd w:id="35"/>
      <w:bookmarkEnd w:id="36"/>
      <w:bookmarkEnd w:id="37"/>
    </w:p>
    <w:p>
      <w:pPr>
        <w:pStyle w:val="19"/>
        <w:rPr>
          <w:color w:val="auto"/>
          <w:highlight w:val="none"/>
        </w:rPr>
      </w:pP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中小企业声明函</w:t>
      </w:r>
    </w:p>
    <w:p>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本企业郑重声明，根据《关于印发中小企业划型标准规定的通知》（工信部联企业〔2011〕300号）的规定，本企业具体情况如下：</w:t>
      </w:r>
    </w:p>
    <w:p>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本企业属于建筑业行业；营业收入为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w:t>
      </w:r>
    </w:p>
    <w:p>
      <w:pPr>
        <w:pStyle w:val="19"/>
        <w:spacing w:line="360" w:lineRule="auto"/>
        <w:rPr>
          <w:rFonts w:hAnsi="宋体" w:cs="宋体"/>
          <w:color w:val="auto"/>
          <w:sz w:val="24"/>
          <w:szCs w:val="24"/>
          <w:highlight w:val="none"/>
        </w:rPr>
      </w:pPr>
      <w:r>
        <w:rPr>
          <w:rFonts w:hint="eastAsia" w:hAnsi="宋体" w:cs="宋体"/>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（中型企业、小型企业、微型企业）；</w:t>
      </w:r>
    </w:p>
    <w:p>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本企业对上述声明内容的真实性负责。如有虚假，将依法承担相应责任。 </w:t>
      </w:r>
    </w:p>
    <w:p>
      <w:pPr>
        <w:pStyle w:val="19"/>
        <w:spacing w:line="360" w:lineRule="auto"/>
        <w:ind w:firstLine="3600" w:firstLineChars="1500"/>
        <w:rPr>
          <w:rFonts w:hAnsi="宋体" w:cs="宋体"/>
          <w:color w:val="auto"/>
          <w:sz w:val="24"/>
          <w:szCs w:val="24"/>
          <w:highlight w:val="none"/>
        </w:rPr>
      </w:pPr>
    </w:p>
    <w:p>
      <w:pPr>
        <w:pStyle w:val="19"/>
        <w:spacing w:line="360" w:lineRule="auto"/>
        <w:ind w:firstLine="3600" w:firstLineChars="1500"/>
        <w:rPr>
          <w:rFonts w:hAnsi="宋体" w:cs="宋体"/>
          <w:color w:val="auto"/>
          <w:sz w:val="24"/>
          <w:szCs w:val="24"/>
          <w:highlight w:val="none"/>
        </w:rPr>
      </w:pPr>
      <w:r>
        <w:rPr>
          <w:rFonts w:hint="eastAsia" w:hAnsi="宋体" w:cs="宋体"/>
          <w:color w:val="auto"/>
          <w:sz w:val="24"/>
          <w:szCs w:val="24"/>
          <w:highlight w:val="none"/>
        </w:rPr>
        <w:t>企业名称（盖章）：</w:t>
      </w:r>
    </w:p>
    <w:p>
      <w:pPr>
        <w:pStyle w:val="19"/>
        <w:spacing w:line="360" w:lineRule="auto"/>
        <w:ind w:firstLine="3840" w:firstLineChars="1600"/>
        <w:rPr>
          <w:rFonts w:hAnsi="宋体" w:cs="宋体"/>
          <w:color w:val="auto"/>
          <w:sz w:val="24"/>
          <w:szCs w:val="24"/>
          <w:highlight w:val="none"/>
        </w:rPr>
      </w:pPr>
      <w:r>
        <w:rPr>
          <w:rFonts w:hint="eastAsia" w:hAnsi="宋体" w:cs="宋体"/>
          <w:color w:val="auto"/>
          <w:sz w:val="24"/>
          <w:szCs w:val="24"/>
          <w:highlight w:val="none"/>
        </w:rPr>
        <w:t>日 期：</w:t>
      </w:r>
    </w:p>
    <w:p>
      <w:pPr>
        <w:pStyle w:val="19"/>
        <w:spacing w:line="360" w:lineRule="auto"/>
        <w:ind w:firstLine="480" w:firstLineChars="200"/>
        <w:rPr>
          <w:rFonts w:hAnsi="宋体" w:cs="宋体"/>
          <w:color w:val="auto"/>
          <w:sz w:val="24"/>
          <w:szCs w:val="24"/>
          <w:highlight w:val="none"/>
        </w:rPr>
      </w:pPr>
    </w:p>
    <w:p>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注：1、营业收入、资产总额填报上一年度数据，无上一年度数据的新成立企业可不填报。</w:t>
      </w:r>
    </w:p>
    <w:p>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2、《中小企业声明函》须按照本函格式填写，否则评标委员会有权视其为非中小企业，不享受免于提交投标保证金的优惠政策。</w:t>
      </w:r>
    </w:p>
    <w:p>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3、招标人、招标代理机构将按有关规定公开《中小企业声明函》。</w:t>
      </w:r>
    </w:p>
    <w:p>
      <w:pPr>
        <w:pStyle w:val="4"/>
        <w:rPr>
          <w:color w:val="auto"/>
          <w:highlight w:val="none"/>
        </w:rPr>
      </w:pPr>
    </w:p>
    <w:p>
      <w:pPr>
        <w:pStyle w:val="4"/>
        <w:snapToGrid w:val="0"/>
        <w:spacing w:line="26" w:lineRule="atLeast"/>
        <w:rPr>
          <w:rFonts w:hint="eastAsia"/>
          <w:color w:val="auto"/>
          <w:highlight w:val="none"/>
        </w:rPr>
      </w:pPr>
      <w:bookmarkStart w:id="38" w:name="_Toc6987"/>
      <w:bookmarkStart w:id="39" w:name="_Toc20784"/>
    </w:p>
    <w:p>
      <w:pPr>
        <w:pStyle w:val="4"/>
        <w:snapToGrid w:val="0"/>
        <w:spacing w:line="26" w:lineRule="atLeast"/>
        <w:rPr>
          <w:rFonts w:hint="eastAsia"/>
          <w:color w:val="auto"/>
          <w:highlight w:val="none"/>
        </w:rPr>
      </w:pPr>
    </w:p>
    <w:p>
      <w:pPr>
        <w:pStyle w:val="4"/>
        <w:snapToGrid w:val="0"/>
        <w:spacing w:line="26" w:lineRule="atLeast"/>
        <w:rPr>
          <w:rFonts w:hint="eastAsia"/>
          <w:color w:val="auto"/>
          <w:highlight w:val="none"/>
        </w:rPr>
      </w:pPr>
    </w:p>
    <w:p>
      <w:pPr>
        <w:pStyle w:val="4"/>
        <w:snapToGrid w:val="0"/>
        <w:spacing w:line="26" w:lineRule="atLeast"/>
        <w:rPr>
          <w:rFonts w:hint="eastAsia"/>
          <w:color w:val="auto"/>
          <w:highlight w:val="none"/>
        </w:rPr>
      </w:pPr>
    </w:p>
    <w:p>
      <w:pPr>
        <w:pStyle w:val="4"/>
        <w:snapToGrid w:val="0"/>
        <w:spacing w:line="26" w:lineRule="atLeast"/>
        <w:rPr>
          <w:rFonts w:hint="eastAsia"/>
          <w:color w:val="auto"/>
          <w:highlight w:val="none"/>
        </w:rPr>
      </w:pPr>
    </w:p>
    <w:p>
      <w:pPr>
        <w:pStyle w:val="4"/>
        <w:snapToGrid w:val="0"/>
        <w:spacing w:line="26" w:lineRule="atLeast"/>
        <w:rPr>
          <w:color w:val="auto"/>
          <w:spacing w:val="4"/>
          <w:sz w:val="24"/>
          <w:szCs w:val="24"/>
          <w:highlight w:val="none"/>
        </w:rPr>
      </w:pPr>
      <w:r>
        <w:rPr>
          <w:rFonts w:hint="eastAsia"/>
          <w:color w:val="auto"/>
          <w:highlight w:val="none"/>
        </w:rPr>
        <w:t>格式八：</w:t>
      </w:r>
      <w:bookmarkEnd w:id="38"/>
      <w:bookmarkEnd w:id="39"/>
    </w:p>
    <w:p>
      <w:pPr>
        <w:pStyle w:val="19"/>
        <w:spacing w:line="26" w:lineRule="atLeast"/>
        <w:jc w:val="center"/>
        <w:rPr>
          <w:rFonts w:hAnsi="宋体" w:cs="宋体"/>
          <w:b/>
          <w:bCs/>
          <w:color w:val="auto"/>
          <w:sz w:val="30"/>
          <w:szCs w:val="30"/>
          <w:highlight w:val="none"/>
        </w:rPr>
      </w:pPr>
      <w:r>
        <w:rPr>
          <w:rFonts w:hint="eastAsia" w:hAnsi="宋体" w:cs="宋体"/>
          <w:b/>
          <w:bCs/>
          <w:color w:val="auto"/>
          <w:kern w:val="0"/>
          <w:sz w:val="30"/>
          <w:szCs w:val="30"/>
          <w:highlight w:val="none"/>
          <w:lang w:val="zh-CN"/>
        </w:rPr>
        <w:t>关于投标保证金的承诺</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本招标项目招标人及招标监管机构：</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本公司就参加</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项目的投标工作，作出郑重声明：</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color w:val="auto"/>
          <w:kern w:val="0"/>
          <w:sz w:val="24"/>
          <w:szCs w:val="24"/>
          <w:highlight w:val="none"/>
          <w:lang w:val="zh-CN"/>
        </w:rPr>
        <w:t>一旦发生符合招标文件规定的不予退还投标保证金情形的，将</w:t>
      </w:r>
      <w:r>
        <w:rPr>
          <w:rFonts w:hint="eastAsia" w:ascii="宋体" w:hAnsi="宋体" w:cs="宋体"/>
          <w:color w:val="auto"/>
          <w:sz w:val="24"/>
          <w:szCs w:val="24"/>
          <w:highlight w:val="none"/>
        </w:rPr>
        <w:t>按照招标人的要求，在规定的时间内向招标人足额补交投标保证金。</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本公司违反上述保证的，将被视为虚假承诺，按相关规定进行信用记录。本公司对失信行为产生的一切后果已知悉，并承担由此产生的相应责任。</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spacing w:line="360" w:lineRule="auto"/>
        <w:ind w:firstLine="480" w:firstLineChars="200"/>
        <w:jc w:val="left"/>
        <w:rPr>
          <w:rFonts w:ascii="宋体" w:hAnsi="宋体" w:cs="宋体"/>
          <w:color w:val="auto"/>
          <w:sz w:val="24"/>
          <w:szCs w:val="24"/>
          <w:highlight w:val="none"/>
        </w:rPr>
      </w:pPr>
    </w:p>
    <w:p>
      <w:pPr>
        <w:spacing w:line="360" w:lineRule="auto"/>
        <w:ind w:firstLine="3120" w:firstLineChars="1300"/>
        <w:jc w:val="left"/>
        <w:rPr>
          <w:rFonts w:ascii="宋体" w:hAnsi="宋体" w:cs="宋体"/>
          <w:color w:val="auto"/>
          <w:sz w:val="24"/>
          <w:szCs w:val="24"/>
          <w:highlight w:val="none"/>
        </w:rPr>
      </w:pPr>
      <w:r>
        <w:rPr>
          <w:rFonts w:hint="eastAsia" w:ascii="宋体" w:hAnsi="宋体" w:cs="宋体"/>
          <w:color w:val="auto"/>
          <w:sz w:val="24"/>
          <w:szCs w:val="24"/>
          <w:highlight w:val="none"/>
        </w:rPr>
        <w:t>投标人：　　（盖章）</w:t>
      </w:r>
    </w:p>
    <w:p>
      <w:pPr>
        <w:spacing w:line="360" w:lineRule="auto"/>
        <w:ind w:firstLine="3120" w:firstLineChars="1300"/>
        <w:jc w:val="left"/>
        <w:rPr>
          <w:rFonts w:ascii="宋体" w:hAnsi="宋体" w:cs="宋体"/>
          <w:color w:val="auto"/>
          <w:sz w:val="24"/>
          <w:szCs w:val="24"/>
          <w:highlight w:val="none"/>
        </w:rPr>
      </w:pPr>
      <w:r>
        <w:rPr>
          <w:rFonts w:hint="eastAsia" w:ascii="宋体" w:hAnsi="宋体" w:cs="宋体"/>
          <w:color w:val="auto"/>
          <w:sz w:val="24"/>
          <w:szCs w:val="24"/>
          <w:highlight w:val="none"/>
        </w:rPr>
        <w:t>日  期：</w:t>
      </w:r>
    </w:p>
    <w:p>
      <w:pPr>
        <w:pStyle w:val="35"/>
        <w:spacing w:line="360" w:lineRule="auto"/>
        <w:ind w:firstLine="0"/>
        <w:jc w:val="left"/>
        <w:rPr>
          <w:rFonts w:ascii="宋体" w:hAnsi="宋体" w:eastAsia="宋体" w:cs="宋体"/>
          <w:bCs/>
          <w:color w:val="auto"/>
          <w:sz w:val="24"/>
          <w:szCs w:val="24"/>
          <w:highlight w:val="none"/>
        </w:rPr>
      </w:pPr>
    </w:p>
    <w:p>
      <w:pPr>
        <w:pStyle w:val="35"/>
        <w:spacing w:line="360" w:lineRule="auto"/>
        <w:ind w:firstLine="0"/>
        <w:jc w:val="left"/>
        <w:rPr>
          <w:rFonts w:ascii="宋体" w:hAnsi="宋体" w:eastAsia="宋体" w:cs="宋体"/>
          <w:bCs/>
          <w:color w:val="auto"/>
          <w:sz w:val="24"/>
          <w:szCs w:val="24"/>
          <w:highlight w:val="none"/>
        </w:rPr>
      </w:pPr>
    </w:p>
    <w:p>
      <w:pPr>
        <w:pStyle w:val="35"/>
        <w:spacing w:line="360" w:lineRule="auto"/>
        <w:ind w:firstLine="0"/>
        <w:jc w:val="left"/>
        <w:rPr>
          <w:rFonts w:ascii="宋体" w:hAnsi="宋体" w:eastAsia="宋体" w:cs="宋体"/>
          <w:bCs/>
          <w:color w:val="auto"/>
          <w:sz w:val="24"/>
          <w:szCs w:val="24"/>
          <w:highlight w:val="none"/>
        </w:rPr>
        <w:sectPr>
          <w:footerReference r:id="rId13" w:type="first"/>
          <w:pgSz w:w="11906" w:h="16838"/>
          <w:pgMar w:top="1440" w:right="1418" w:bottom="1440" w:left="1418" w:header="851" w:footer="992" w:gutter="0"/>
          <w:cols w:space="720" w:num="1"/>
          <w:docGrid w:type="lines" w:linePitch="312" w:charSpace="0"/>
        </w:sectPr>
      </w:pPr>
    </w:p>
    <w:p>
      <w:pPr>
        <w:tabs>
          <w:tab w:val="left" w:pos="720"/>
        </w:tabs>
        <w:snapToGrid w:val="0"/>
        <w:spacing w:line="360" w:lineRule="auto"/>
        <w:ind w:firstLine="0" w:firstLineChars="0"/>
        <w:rPr>
          <w:rStyle w:val="48"/>
          <w:color w:val="auto"/>
          <w:highlight w:val="none"/>
        </w:rPr>
      </w:pPr>
      <w:bookmarkStart w:id="40" w:name="_Toc2272568"/>
      <w:bookmarkStart w:id="41" w:name="_Toc21525513"/>
      <w:r>
        <w:rPr>
          <w:rStyle w:val="48"/>
          <w:rFonts w:hint="eastAsia"/>
          <w:color w:val="auto"/>
          <w:highlight w:val="none"/>
        </w:rPr>
        <w:t>第五章技术条件（工程建设标准）</w:t>
      </w:r>
      <w:bookmarkEnd w:id="40"/>
      <w:bookmarkEnd w:id="41"/>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3"/>
        <w:rPr>
          <w:color w:val="auto"/>
          <w:highlight w:val="none"/>
        </w:rPr>
      </w:pPr>
      <w:r>
        <w:rPr>
          <w:color w:val="auto"/>
          <w:sz w:val="24"/>
          <w:szCs w:val="24"/>
          <w:highlight w:val="none"/>
        </w:rPr>
        <w:br w:type="page"/>
      </w:r>
      <w:bookmarkStart w:id="42" w:name="_Toc2272569"/>
      <w:bookmarkStart w:id="43" w:name="_Toc21525514"/>
      <w:r>
        <w:rPr>
          <w:rFonts w:hint="eastAsia"/>
          <w:color w:val="auto"/>
          <w:highlight w:val="none"/>
        </w:rPr>
        <w:t>第六章图纸及勘察资料</w:t>
      </w:r>
      <w:bookmarkEnd w:id="42"/>
      <w:bookmarkEnd w:id="43"/>
    </w:p>
    <w:p>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pPr>
        <w:pStyle w:val="3"/>
        <w:rPr>
          <w:color w:val="auto"/>
          <w:highlight w:val="none"/>
        </w:rPr>
      </w:pPr>
      <w:r>
        <w:rPr>
          <w:color w:val="auto"/>
          <w:sz w:val="24"/>
          <w:szCs w:val="24"/>
          <w:highlight w:val="none"/>
        </w:rPr>
        <w:br w:type="page"/>
      </w:r>
      <w:bookmarkStart w:id="44" w:name="_Toc21525515"/>
      <w:bookmarkStart w:id="45" w:name="_Toc2272570"/>
      <w:r>
        <w:rPr>
          <w:rFonts w:hint="eastAsia"/>
          <w:color w:val="auto"/>
          <w:highlight w:val="none"/>
        </w:rPr>
        <w:t>第七章工程量清单</w:t>
      </w:r>
      <w:bookmarkEnd w:id="44"/>
      <w:bookmarkEnd w:id="45"/>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3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46" w:name="_Toc2272571"/>
      <w:bookmarkStart w:id="47" w:name="_Toc21525516"/>
      <w:r>
        <w:rPr>
          <w:rFonts w:hint="eastAsia"/>
          <w:color w:val="auto"/>
          <w:highlight w:val="none"/>
        </w:rPr>
        <w:t>第八章最高投标限价</w:t>
      </w:r>
      <w:bookmarkEnd w:id="46"/>
      <w:bookmarkEnd w:id="47"/>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olor w:val="auto"/>
          <w:sz w:val="24"/>
          <w:szCs w:val="24"/>
          <w:highlight w:val="none"/>
          <w:u w:val="single"/>
        </w:rPr>
      </w:pPr>
    </w:p>
    <w:p>
      <w:pPr>
        <w:spacing w:line="360" w:lineRule="auto"/>
        <w:ind w:firstLine="480"/>
        <w:rPr>
          <w:rFonts w:ascii="宋体" w:hAnsi="宋体"/>
          <w:color w:val="auto"/>
          <w:sz w:val="24"/>
          <w:szCs w:val="24"/>
          <w:highlight w:val="none"/>
          <w:u w:val="singl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方正大标宋简体">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3"/>
      </w:rPr>
    </w:pPr>
    <w:r>
      <w:rPr>
        <w:rStyle w:val="43"/>
      </w:rPr>
      <w:fldChar w:fldCharType="begin"/>
    </w:r>
    <w:r>
      <w:rPr>
        <w:rStyle w:val="43"/>
      </w:rPr>
      <w:instrText xml:space="preserve">PAGE  </w:instrText>
    </w:r>
    <w:r>
      <w:rPr>
        <w:rStyle w:val="43"/>
      </w:rPr>
      <w:fldChar w:fldCharType="separate"/>
    </w:r>
    <w:r>
      <w:rPr>
        <w:rStyle w:val="43"/>
        <w:rFonts w:hint="eastAsia"/>
      </w:rPr>
      <w:t>一</w:t>
    </w:r>
    <w:r>
      <w:rPr>
        <w:rStyle w:val="43"/>
      </w:rPr>
      <w:t>–2</w:t>
    </w:r>
    <w:r>
      <w:rPr>
        <w:rStyle w:val="43"/>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383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383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left"/>
                          </w:pP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jc w:val="left"/>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FEF07"/>
    <w:multiLevelType w:val="singleLevel"/>
    <w:tmpl w:val="C03FEF07"/>
    <w:lvl w:ilvl="0" w:tentative="0">
      <w:start w:val="1"/>
      <w:numFmt w:val="decimal"/>
      <w:lvlText w:val="%1."/>
      <w:lvlJc w:val="left"/>
      <w:pPr>
        <w:tabs>
          <w:tab w:val="left" w:pos="312"/>
        </w:tabs>
      </w:pPr>
    </w:lvl>
  </w:abstractNum>
  <w:abstractNum w:abstractNumId="1">
    <w:nsid w:val="259905B5"/>
    <w:multiLevelType w:val="multilevel"/>
    <w:tmpl w:val="259905B5"/>
    <w:lvl w:ilvl="0" w:tentative="0">
      <w:start w:val="1"/>
      <w:numFmt w:val="chineseCountingThousand"/>
      <w:pStyle w:val="98"/>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ZjgwNGRkYjkyMTFlNDUwODY1OGU1M2NjZTgxN2YifQ=="/>
  </w:docVars>
  <w:rsids>
    <w:rsidRoot w:val="007B41BE"/>
    <w:rsid w:val="000200EE"/>
    <w:rsid w:val="000575F8"/>
    <w:rsid w:val="00085630"/>
    <w:rsid w:val="000A002F"/>
    <w:rsid w:val="000C1007"/>
    <w:rsid w:val="000C11E0"/>
    <w:rsid w:val="000C2710"/>
    <w:rsid w:val="000D396E"/>
    <w:rsid w:val="00181CAA"/>
    <w:rsid w:val="00285085"/>
    <w:rsid w:val="00336AA3"/>
    <w:rsid w:val="004370EC"/>
    <w:rsid w:val="004424B8"/>
    <w:rsid w:val="00472B85"/>
    <w:rsid w:val="004B295D"/>
    <w:rsid w:val="005866FB"/>
    <w:rsid w:val="005B556D"/>
    <w:rsid w:val="005C212B"/>
    <w:rsid w:val="006036EF"/>
    <w:rsid w:val="00673B83"/>
    <w:rsid w:val="00680BFD"/>
    <w:rsid w:val="006B6B0D"/>
    <w:rsid w:val="006F3576"/>
    <w:rsid w:val="0073229B"/>
    <w:rsid w:val="00780EC8"/>
    <w:rsid w:val="007B41BE"/>
    <w:rsid w:val="007D6D06"/>
    <w:rsid w:val="007D7D5E"/>
    <w:rsid w:val="00816543"/>
    <w:rsid w:val="00835C9E"/>
    <w:rsid w:val="008D2515"/>
    <w:rsid w:val="008E4AD1"/>
    <w:rsid w:val="00920E49"/>
    <w:rsid w:val="0096137A"/>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A4957"/>
    <w:rsid w:val="00CD156B"/>
    <w:rsid w:val="00D75B45"/>
    <w:rsid w:val="00D84E64"/>
    <w:rsid w:val="00E22EAB"/>
    <w:rsid w:val="00E457F6"/>
    <w:rsid w:val="00E638F3"/>
    <w:rsid w:val="00E645F8"/>
    <w:rsid w:val="00EB6530"/>
    <w:rsid w:val="00EC014E"/>
    <w:rsid w:val="00F40301"/>
    <w:rsid w:val="00F53CB1"/>
    <w:rsid w:val="00FA5926"/>
    <w:rsid w:val="00FC5596"/>
    <w:rsid w:val="01120395"/>
    <w:rsid w:val="02323606"/>
    <w:rsid w:val="028B18FB"/>
    <w:rsid w:val="02A76009"/>
    <w:rsid w:val="03304250"/>
    <w:rsid w:val="03541CED"/>
    <w:rsid w:val="03B60BF9"/>
    <w:rsid w:val="03D42732"/>
    <w:rsid w:val="04096F7B"/>
    <w:rsid w:val="040F3E66"/>
    <w:rsid w:val="04593B4A"/>
    <w:rsid w:val="04844854"/>
    <w:rsid w:val="051871F9"/>
    <w:rsid w:val="0568602C"/>
    <w:rsid w:val="05935ABA"/>
    <w:rsid w:val="06160916"/>
    <w:rsid w:val="065B2B05"/>
    <w:rsid w:val="066769E8"/>
    <w:rsid w:val="06693D01"/>
    <w:rsid w:val="067803E8"/>
    <w:rsid w:val="069A1EFC"/>
    <w:rsid w:val="069F7723"/>
    <w:rsid w:val="06C23FE7"/>
    <w:rsid w:val="06CC25BE"/>
    <w:rsid w:val="06D66EBD"/>
    <w:rsid w:val="06E432D0"/>
    <w:rsid w:val="06F77C65"/>
    <w:rsid w:val="071C604A"/>
    <w:rsid w:val="072F44E3"/>
    <w:rsid w:val="0738115B"/>
    <w:rsid w:val="07631425"/>
    <w:rsid w:val="076B2FD8"/>
    <w:rsid w:val="076B5857"/>
    <w:rsid w:val="07C86D9E"/>
    <w:rsid w:val="080D690E"/>
    <w:rsid w:val="086724C2"/>
    <w:rsid w:val="08FF0C82"/>
    <w:rsid w:val="090B2A93"/>
    <w:rsid w:val="09311982"/>
    <w:rsid w:val="093431FC"/>
    <w:rsid w:val="0969226A"/>
    <w:rsid w:val="09BB586D"/>
    <w:rsid w:val="09C9012C"/>
    <w:rsid w:val="09F33618"/>
    <w:rsid w:val="0A360A1C"/>
    <w:rsid w:val="0AAB0AEC"/>
    <w:rsid w:val="0ACF38CA"/>
    <w:rsid w:val="0AF810D8"/>
    <w:rsid w:val="0B187AA4"/>
    <w:rsid w:val="0B4C1FB1"/>
    <w:rsid w:val="0BA55683"/>
    <w:rsid w:val="0BA8707A"/>
    <w:rsid w:val="0BB4200C"/>
    <w:rsid w:val="0BC45746"/>
    <w:rsid w:val="0C006EB6"/>
    <w:rsid w:val="0C2F32F7"/>
    <w:rsid w:val="0C3B5902"/>
    <w:rsid w:val="0C6D2D8E"/>
    <w:rsid w:val="0CB27ED1"/>
    <w:rsid w:val="0CC04897"/>
    <w:rsid w:val="0CD01E78"/>
    <w:rsid w:val="0CE27DCE"/>
    <w:rsid w:val="0D015AD2"/>
    <w:rsid w:val="0D1D5845"/>
    <w:rsid w:val="0D4E09BD"/>
    <w:rsid w:val="0D9C7666"/>
    <w:rsid w:val="0DA47D15"/>
    <w:rsid w:val="0DE56999"/>
    <w:rsid w:val="0EB14497"/>
    <w:rsid w:val="0EBB70C4"/>
    <w:rsid w:val="0F00541F"/>
    <w:rsid w:val="0F7E4AB5"/>
    <w:rsid w:val="0F7F1D46"/>
    <w:rsid w:val="0F9D2C6D"/>
    <w:rsid w:val="0FAD6B1F"/>
    <w:rsid w:val="0FEF45D8"/>
    <w:rsid w:val="108F6576"/>
    <w:rsid w:val="11186A50"/>
    <w:rsid w:val="11687684"/>
    <w:rsid w:val="11DB2CE1"/>
    <w:rsid w:val="11E8746F"/>
    <w:rsid w:val="12110957"/>
    <w:rsid w:val="123243BB"/>
    <w:rsid w:val="12541629"/>
    <w:rsid w:val="12BF0270"/>
    <w:rsid w:val="1301264F"/>
    <w:rsid w:val="13166FBF"/>
    <w:rsid w:val="13367661"/>
    <w:rsid w:val="1365516B"/>
    <w:rsid w:val="139323BD"/>
    <w:rsid w:val="14240855"/>
    <w:rsid w:val="14763522"/>
    <w:rsid w:val="14860174"/>
    <w:rsid w:val="14AE76DA"/>
    <w:rsid w:val="14B26F05"/>
    <w:rsid w:val="14D34591"/>
    <w:rsid w:val="14DD03F0"/>
    <w:rsid w:val="14DD70DD"/>
    <w:rsid w:val="14E8498B"/>
    <w:rsid w:val="14ED01F3"/>
    <w:rsid w:val="15015A4D"/>
    <w:rsid w:val="15773735"/>
    <w:rsid w:val="15C31523"/>
    <w:rsid w:val="16315EBE"/>
    <w:rsid w:val="16EF4EE4"/>
    <w:rsid w:val="16F615E1"/>
    <w:rsid w:val="16FC0D4A"/>
    <w:rsid w:val="173B6FF4"/>
    <w:rsid w:val="17B2302E"/>
    <w:rsid w:val="17E07134"/>
    <w:rsid w:val="18151F96"/>
    <w:rsid w:val="181C07FE"/>
    <w:rsid w:val="18420856"/>
    <w:rsid w:val="18BE444C"/>
    <w:rsid w:val="19033B41"/>
    <w:rsid w:val="19080281"/>
    <w:rsid w:val="190F5A29"/>
    <w:rsid w:val="19180E73"/>
    <w:rsid w:val="192105BA"/>
    <w:rsid w:val="19414464"/>
    <w:rsid w:val="196A629E"/>
    <w:rsid w:val="1991422C"/>
    <w:rsid w:val="19B17A41"/>
    <w:rsid w:val="19BE5CBA"/>
    <w:rsid w:val="19E159CB"/>
    <w:rsid w:val="19E33973"/>
    <w:rsid w:val="1A2F4635"/>
    <w:rsid w:val="1A41695D"/>
    <w:rsid w:val="1A931C02"/>
    <w:rsid w:val="1A9B37E3"/>
    <w:rsid w:val="1AA255DC"/>
    <w:rsid w:val="1AA475A6"/>
    <w:rsid w:val="1AD03189"/>
    <w:rsid w:val="1AEB1710"/>
    <w:rsid w:val="1AEF14A4"/>
    <w:rsid w:val="1B7A3E63"/>
    <w:rsid w:val="1B966EEF"/>
    <w:rsid w:val="1BF96E70"/>
    <w:rsid w:val="1C443322"/>
    <w:rsid w:val="1C850899"/>
    <w:rsid w:val="1D232A04"/>
    <w:rsid w:val="1D24607C"/>
    <w:rsid w:val="1D3C16F9"/>
    <w:rsid w:val="1D3E15EC"/>
    <w:rsid w:val="1D484219"/>
    <w:rsid w:val="1DC2478C"/>
    <w:rsid w:val="1E18182C"/>
    <w:rsid w:val="1E486D96"/>
    <w:rsid w:val="1E7D689F"/>
    <w:rsid w:val="1EBA5A37"/>
    <w:rsid w:val="1FA8688A"/>
    <w:rsid w:val="200603BB"/>
    <w:rsid w:val="2027280B"/>
    <w:rsid w:val="20334F74"/>
    <w:rsid w:val="20AD698F"/>
    <w:rsid w:val="20DD55C0"/>
    <w:rsid w:val="2103054B"/>
    <w:rsid w:val="21661111"/>
    <w:rsid w:val="218E0668"/>
    <w:rsid w:val="21BF6A73"/>
    <w:rsid w:val="21CB38ED"/>
    <w:rsid w:val="223C539F"/>
    <w:rsid w:val="22765C42"/>
    <w:rsid w:val="22791318"/>
    <w:rsid w:val="22CD0B2B"/>
    <w:rsid w:val="2336193C"/>
    <w:rsid w:val="23B92F87"/>
    <w:rsid w:val="23E34C9B"/>
    <w:rsid w:val="24173360"/>
    <w:rsid w:val="241E2177"/>
    <w:rsid w:val="242C0022"/>
    <w:rsid w:val="24A34758"/>
    <w:rsid w:val="24A972CC"/>
    <w:rsid w:val="255404F7"/>
    <w:rsid w:val="25ED4D42"/>
    <w:rsid w:val="265C0D35"/>
    <w:rsid w:val="26613950"/>
    <w:rsid w:val="267442D0"/>
    <w:rsid w:val="26F63E75"/>
    <w:rsid w:val="270E3C60"/>
    <w:rsid w:val="273D0B66"/>
    <w:rsid w:val="274F2647"/>
    <w:rsid w:val="275639D6"/>
    <w:rsid w:val="27677991"/>
    <w:rsid w:val="279544FE"/>
    <w:rsid w:val="27985420"/>
    <w:rsid w:val="27C26ADB"/>
    <w:rsid w:val="27DC037F"/>
    <w:rsid w:val="27DC36B5"/>
    <w:rsid w:val="28072F22"/>
    <w:rsid w:val="282815BD"/>
    <w:rsid w:val="284F0005"/>
    <w:rsid w:val="28786B04"/>
    <w:rsid w:val="28790229"/>
    <w:rsid w:val="28B75D97"/>
    <w:rsid w:val="28E03E9F"/>
    <w:rsid w:val="28F214DC"/>
    <w:rsid w:val="29125C80"/>
    <w:rsid w:val="299A67A7"/>
    <w:rsid w:val="29B33362"/>
    <w:rsid w:val="29C32435"/>
    <w:rsid w:val="29C834E8"/>
    <w:rsid w:val="2A2B739C"/>
    <w:rsid w:val="2A880A7B"/>
    <w:rsid w:val="2B342813"/>
    <w:rsid w:val="2BD96AC6"/>
    <w:rsid w:val="2BF122DB"/>
    <w:rsid w:val="2C4402A1"/>
    <w:rsid w:val="2C4B4A59"/>
    <w:rsid w:val="2C5A3F68"/>
    <w:rsid w:val="2C5B0BFE"/>
    <w:rsid w:val="2C797BAF"/>
    <w:rsid w:val="2C815051"/>
    <w:rsid w:val="2C8F3717"/>
    <w:rsid w:val="2D1A689C"/>
    <w:rsid w:val="2D314B1F"/>
    <w:rsid w:val="2D8D5C78"/>
    <w:rsid w:val="2DA21723"/>
    <w:rsid w:val="2DC4660F"/>
    <w:rsid w:val="2DD604E0"/>
    <w:rsid w:val="2E5F0055"/>
    <w:rsid w:val="2E750BE6"/>
    <w:rsid w:val="2E756E38"/>
    <w:rsid w:val="2E9F3EB4"/>
    <w:rsid w:val="2F6A7970"/>
    <w:rsid w:val="2F7571F4"/>
    <w:rsid w:val="2F8810A2"/>
    <w:rsid w:val="2FA200FA"/>
    <w:rsid w:val="304050A9"/>
    <w:rsid w:val="30850E88"/>
    <w:rsid w:val="30997F39"/>
    <w:rsid w:val="309E3961"/>
    <w:rsid w:val="30D452BD"/>
    <w:rsid w:val="30DA7426"/>
    <w:rsid w:val="31253A1B"/>
    <w:rsid w:val="316C0716"/>
    <w:rsid w:val="31B934DF"/>
    <w:rsid w:val="32BF3509"/>
    <w:rsid w:val="32C37ECE"/>
    <w:rsid w:val="32DD31FD"/>
    <w:rsid w:val="32F669F2"/>
    <w:rsid w:val="32F83B93"/>
    <w:rsid w:val="33356A68"/>
    <w:rsid w:val="33813DD2"/>
    <w:rsid w:val="338E62A6"/>
    <w:rsid w:val="34565015"/>
    <w:rsid w:val="346816D4"/>
    <w:rsid w:val="34BC5799"/>
    <w:rsid w:val="350F11F9"/>
    <w:rsid w:val="355A6D87"/>
    <w:rsid w:val="355C5E07"/>
    <w:rsid w:val="355E0625"/>
    <w:rsid w:val="35B92137"/>
    <w:rsid w:val="35B9536A"/>
    <w:rsid w:val="360B0633"/>
    <w:rsid w:val="36203B2D"/>
    <w:rsid w:val="365B3E4B"/>
    <w:rsid w:val="36C00E6C"/>
    <w:rsid w:val="36FC6348"/>
    <w:rsid w:val="375D203C"/>
    <w:rsid w:val="378B1E5E"/>
    <w:rsid w:val="378E0F6A"/>
    <w:rsid w:val="37A14F47"/>
    <w:rsid w:val="37E62B54"/>
    <w:rsid w:val="38026A6F"/>
    <w:rsid w:val="38284791"/>
    <w:rsid w:val="38356D2C"/>
    <w:rsid w:val="385B5829"/>
    <w:rsid w:val="38FF3ECD"/>
    <w:rsid w:val="39333B77"/>
    <w:rsid w:val="394965ED"/>
    <w:rsid w:val="398154AF"/>
    <w:rsid w:val="398308D9"/>
    <w:rsid w:val="39C15447"/>
    <w:rsid w:val="39EE7A9E"/>
    <w:rsid w:val="3A4A5E98"/>
    <w:rsid w:val="3A9C574C"/>
    <w:rsid w:val="3AC54CA3"/>
    <w:rsid w:val="3B3B7745"/>
    <w:rsid w:val="3B7A19C8"/>
    <w:rsid w:val="3BE70C49"/>
    <w:rsid w:val="3BF07AFD"/>
    <w:rsid w:val="3BF70E8C"/>
    <w:rsid w:val="3BF82B4C"/>
    <w:rsid w:val="3C447E49"/>
    <w:rsid w:val="3C665525"/>
    <w:rsid w:val="3C8666B4"/>
    <w:rsid w:val="3C953E50"/>
    <w:rsid w:val="3CC9154C"/>
    <w:rsid w:val="3CFF488E"/>
    <w:rsid w:val="3CFF77DC"/>
    <w:rsid w:val="3D344362"/>
    <w:rsid w:val="3D60411F"/>
    <w:rsid w:val="3D6214F6"/>
    <w:rsid w:val="3D934BE4"/>
    <w:rsid w:val="3D962926"/>
    <w:rsid w:val="3DAE751D"/>
    <w:rsid w:val="3DAF21CD"/>
    <w:rsid w:val="3DB64D77"/>
    <w:rsid w:val="3DC81666"/>
    <w:rsid w:val="3E5A12E4"/>
    <w:rsid w:val="3E6622F9"/>
    <w:rsid w:val="3E6E2F0C"/>
    <w:rsid w:val="3ECA2888"/>
    <w:rsid w:val="3EDE4333"/>
    <w:rsid w:val="3F2647CE"/>
    <w:rsid w:val="3F874C1D"/>
    <w:rsid w:val="3F89361E"/>
    <w:rsid w:val="3FC512A1"/>
    <w:rsid w:val="3FC75019"/>
    <w:rsid w:val="3FD414E4"/>
    <w:rsid w:val="3FD87226"/>
    <w:rsid w:val="3FDA11F0"/>
    <w:rsid w:val="3FDF2363"/>
    <w:rsid w:val="400242A3"/>
    <w:rsid w:val="40774C91"/>
    <w:rsid w:val="40D7128C"/>
    <w:rsid w:val="40E37C31"/>
    <w:rsid w:val="40FB7670"/>
    <w:rsid w:val="41112495"/>
    <w:rsid w:val="41823A41"/>
    <w:rsid w:val="419378A9"/>
    <w:rsid w:val="419E14BD"/>
    <w:rsid w:val="41E657FF"/>
    <w:rsid w:val="42024A2E"/>
    <w:rsid w:val="42250FE1"/>
    <w:rsid w:val="422C5607"/>
    <w:rsid w:val="427174BE"/>
    <w:rsid w:val="42C75A27"/>
    <w:rsid w:val="42E47C90"/>
    <w:rsid w:val="42EF6A22"/>
    <w:rsid w:val="42FB1D70"/>
    <w:rsid w:val="435766B4"/>
    <w:rsid w:val="43712CD8"/>
    <w:rsid w:val="444E7CA8"/>
    <w:rsid w:val="4460137B"/>
    <w:rsid w:val="44784B34"/>
    <w:rsid w:val="44F3065E"/>
    <w:rsid w:val="450B0D97"/>
    <w:rsid w:val="454647BC"/>
    <w:rsid w:val="454A2974"/>
    <w:rsid w:val="458D0AB3"/>
    <w:rsid w:val="45B3679A"/>
    <w:rsid w:val="45C1272A"/>
    <w:rsid w:val="45C2641C"/>
    <w:rsid w:val="45DC1E70"/>
    <w:rsid w:val="460C31B9"/>
    <w:rsid w:val="46935C55"/>
    <w:rsid w:val="46EE5B96"/>
    <w:rsid w:val="47023838"/>
    <w:rsid w:val="470537DD"/>
    <w:rsid w:val="47456300"/>
    <w:rsid w:val="47852538"/>
    <w:rsid w:val="47863A0C"/>
    <w:rsid w:val="47C63E08"/>
    <w:rsid w:val="47D05003"/>
    <w:rsid w:val="47EA721F"/>
    <w:rsid w:val="481D47CB"/>
    <w:rsid w:val="481D611E"/>
    <w:rsid w:val="48484C47"/>
    <w:rsid w:val="48523C0A"/>
    <w:rsid w:val="4860110E"/>
    <w:rsid w:val="487806ED"/>
    <w:rsid w:val="48AC1250"/>
    <w:rsid w:val="48AC74A2"/>
    <w:rsid w:val="48B35E22"/>
    <w:rsid w:val="49296D45"/>
    <w:rsid w:val="492D05E3"/>
    <w:rsid w:val="494F571A"/>
    <w:rsid w:val="49B04D70"/>
    <w:rsid w:val="49DE368B"/>
    <w:rsid w:val="4A0550BC"/>
    <w:rsid w:val="4AA77F21"/>
    <w:rsid w:val="4AC44348"/>
    <w:rsid w:val="4B242DD8"/>
    <w:rsid w:val="4B321807"/>
    <w:rsid w:val="4B3F6B82"/>
    <w:rsid w:val="4B471FE1"/>
    <w:rsid w:val="4B4C0AC8"/>
    <w:rsid w:val="4B6B71A0"/>
    <w:rsid w:val="4B6B7860"/>
    <w:rsid w:val="4BA43EA8"/>
    <w:rsid w:val="4BBE19C6"/>
    <w:rsid w:val="4BD27220"/>
    <w:rsid w:val="4BF154C0"/>
    <w:rsid w:val="4CA72352"/>
    <w:rsid w:val="4CAF212E"/>
    <w:rsid w:val="4CE94821"/>
    <w:rsid w:val="4CF136D5"/>
    <w:rsid w:val="4D1A0E7E"/>
    <w:rsid w:val="4DBE39A6"/>
    <w:rsid w:val="4DF9171D"/>
    <w:rsid w:val="4E271E6D"/>
    <w:rsid w:val="4E437F61"/>
    <w:rsid w:val="4E45406C"/>
    <w:rsid w:val="4E5C54C6"/>
    <w:rsid w:val="4E6013BE"/>
    <w:rsid w:val="4E6C325B"/>
    <w:rsid w:val="4E887A02"/>
    <w:rsid w:val="4E8F4409"/>
    <w:rsid w:val="4EB23E2D"/>
    <w:rsid w:val="4F284094"/>
    <w:rsid w:val="4F6942D3"/>
    <w:rsid w:val="4F844CD5"/>
    <w:rsid w:val="4F94767E"/>
    <w:rsid w:val="4FF10F99"/>
    <w:rsid w:val="50041972"/>
    <w:rsid w:val="51314ABD"/>
    <w:rsid w:val="5187285A"/>
    <w:rsid w:val="51E15998"/>
    <w:rsid w:val="51F72C9B"/>
    <w:rsid w:val="526A01B2"/>
    <w:rsid w:val="52BC29D7"/>
    <w:rsid w:val="52ED4A5D"/>
    <w:rsid w:val="53177C0E"/>
    <w:rsid w:val="53A96AB8"/>
    <w:rsid w:val="53F92C98"/>
    <w:rsid w:val="541303D5"/>
    <w:rsid w:val="541648CE"/>
    <w:rsid w:val="541B7F5F"/>
    <w:rsid w:val="54370568"/>
    <w:rsid w:val="54790A58"/>
    <w:rsid w:val="54A11FA8"/>
    <w:rsid w:val="54A176F2"/>
    <w:rsid w:val="54EF2BF0"/>
    <w:rsid w:val="55517AB0"/>
    <w:rsid w:val="555C1B07"/>
    <w:rsid w:val="55F26763"/>
    <w:rsid w:val="56066443"/>
    <w:rsid w:val="56307F1D"/>
    <w:rsid w:val="565A38FF"/>
    <w:rsid w:val="56E615A7"/>
    <w:rsid w:val="575578BF"/>
    <w:rsid w:val="57D367F9"/>
    <w:rsid w:val="57F347A6"/>
    <w:rsid w:val="5809221B"/>
    <w:rsid w:val="58094C63"/>
    <w:rsid w:val="5813309A"/>
    <w:rsid w:val="584274DB"/>
    <w:rsid w:val="586B4C84"/>
    <w:rsid w:val="58704048"/>
    <w:rsid w:val="58801DB1"/>
    <w:rsid w:val="58856767"/>
    <w:rsid w:val="58A7297C"/>
    <w:rsid w:val="58C8711A"/>
    <w:rsid w:val="58CB74D0"/>
    <w:rsid w:val="59040B3D"/>
    <w:rsid w:val="59590F80"/>
    <w:rsid w:val="59747B1A"/>
    <w:rsid w:val="59B30690"/>
    <w:rsid w:val="59B60181"/>
    <w:rsid w:val="59C9560C"/>
    <w:rsid w:val="5A405C9C"/>
    <w:rsid w:val="5A4E780A"/>
    <w:rsid w:val="5A696FA1"/>
    <w:rsid w:val="5AD22D98"/>
    <w:rsid w:val="5AF5099C"/>
    <w:rsid w:val="5AFA5E4B"/>
    <w:rsid w:val="5B04316E"/>
    <w:rsid w:val="5B7E082A"/>
    <w:rsid w:val="5BC528FD"/>
    <w:rsid w:val="5BEC140D"/>
    <w:rsid w:val="5C2F5F25"/>
    <w:rsid w:val="5CDF456F"/>
    <w:rsid w:val="5CE172C2"/>
    <w:rsid w:val="5D110DF0"/>
    <w:rsid w:val="5D5201C0"/>
    <w:rsid w:val="5D572C78"/>
    <w:rsid w:val="5DE10FFA"/>
    <w:rsid w:val="5E53169C"/>
    <w:rsid w:val="5EB3228E"/>
    <w:rsid w:val="5EBB4369"/>
    <w:rsid w:val="5F4B72E8"/>
    <w:rsid w:val="5F95052E"/>
    <w:rsid w:val="5FFC08B7"/>
    <w:rsid w:val="601847C2"/>
    <w:rsid w:val="603B318E"/>
    <w:rsid w:val="61E110DD"/>
    <w:rsid w:val="61E97A82"/>
    <w:rsid w:val="629923ED"/>
    <w:rsid w:val="62A25746"/>
    <w:rsid w:val="62E95227"/>
    <w:rsid w:val="63467FE5"/>
    <w:rsid w:val="634B49DA"/>
    <w:rsid w:val="63620A31"/>
    <w:rsid w:val="63670332"/>
    <w:rsid w:val="63734DA4"/>
    <w:rsid w:val="639A45FD"/>
    <w:rsid w:val="63B76FCF"/>
    <w:rsid w:val="63BC45E5"/>
    <w:rsid w:val="64656A2B"/>
    <w:rsid w:val="64897A59"/>
    <w:rsid w:val="6494748A"/>
    <w:rsid w:val="64B649E4"/>
    <w:rsid w:val="64DE2339"/>
    <w:rsid w:val="64EC1371"/>
    <w:rsid w:val="65246909"/>
    <w:rsid w:val="653505E7"/>
    <w:rsid w:val="65717652"/>
    <w:rsid w:val="65FC33BF"/>
    <w:rsid w:val="66860EDB"/>
    <w:rsid w:val="66891EBF"/>
    <w:rsid w:val="668B64F1"/>
    <w:rsid w:val="669A5649"/>
    <w:rsid w:val="66E14363"/>
    <w:rsid w:val="67705E13"/>
    <w:rsid w:val="677F22F5"/>
    <w:rsid w:val="67D82851"/>
    <w:rsid w:val="67F325A0"/>
    <w:rsid w:val="68014CBD"/>
    <w:rsid w:val="680B68A2"/>
    <w:rsid w:val="684B23DC"/>
    <w:rsid w:val="68556DB7"/>
    <w:rsid w:val="68B57855"/>
    <w:rsid w:val="68CF6B69"/>
    <w:rsid w:val="68EE3D08"/>
    <w:rsid w:val="693370F8"/>
    <w:rsid w:val="69407A67"/>
    <w:rsid w:val="69CC4E56"/>
    <w:rsid w:val="69DF4B8A"/>
    <w:rsid w:val="69E1358F"/>
    <w:rsid w:val="6A1D7D82"/>
    <w:rsid w:val="6A5D1F52"/>
    <w:rsid w:val="6A6A6ACD"/>
    <w:rsid w:val="6AA81420"/>
    <w:rsid w:val="6B006666"/>
    <w:rsid w:val="6BF568E6"/>
    <w:rsid w:val="6C0C1E82"/>
    <w:rsid w:val="6C30791F"/>
    <w:rsid w:val="6C564DD5"/>
    <w:rsid w:val="6C661592"/>
    <w:rsid w:val="6C7621DF"/>
    <w:rsid w:val="6C787452"/>
    <w:rsid w:val="6CE93F71"/>
    <w:rsid w:val="6CEB16F8"/>
    <w:rsid w:val="6CEF4F0F"/>
    <w:rsid w:val="6D307333"/>
    <w:rsid w:val="6D68105D"/>
    <w:rsid w:val="6DAB59DE"/>
    <w:rsid w:val="6DC72505"/>
    <w:rsid w:val="6DD10C8D"/>
    <w:rsid w:val="6DE358A2"/>
    <w:rsid w:val="6E3556C0"/>
    <w:rsid w:val="6E3851B0"/>
    <w:rsid w:val="6F6B485B"/>
    <w:rsid w:val="6F8B1FE7"/>
    <w:rsid w:val="6F904A19"/>
    <w:rsid w:val="6F9738AC"/>
    <w:rsid w:val="6FA973ED"/>
    <w:rsid w:val="6FEC1387"/>
    <w:rsid w:val="6FFA1F91"/>
    <w:rsid w:val="705B6644"/>
    <w:rsid w:val="70862203"/>
    <w:rsid w:val="70A64CCC"/>
    <w:rsid w:val="70DD3DED"/>
    <w:rsid w:val="70F76C5D"/>
    <w:rsid w:val="710B44B6"/>
    <w:rsid w:val="71DB5A58"/>
    <w:rsid w:val="72706B69"/>
    <w:rsid w:val="727F164E"/>
    <w:rsid w:val="72CE018C"/>
    <w:rsid w:val="72FC167C"/>
    <w:rsid w:val="731955B0"/>
    <w:rsid w:val="731A4E85"/>
    <w:rsid w:val="737A450C"/>
    <w:rsid w:val="73880603"/>
    <w:rsid w:val="73B47087"/>
    <w:rsid w:val="73CC483B"/>
    <w:rsid w:val="73E65612"/>
    <w:rsid w:val="742105C6"/>
    <w:rsid w:val="74445C43"/>
    <w:rsid w:val="74904A3A"/>
    <w:rsid w:val="74DA2B1D"/>
    <w:rsid w:val="74E14DC3"/>
    <w:rsid w:val="74FA4F6E"/>
    <w:rsid w:val="752C5111"/>
    <w:rsid w:val="75D77FE5"/>
    <w:rsid w:val="76984A3E"/>
    <w:rsid w:val="76DB2B7D"/>
    <w:rsid w:val="77681272"/>
    <w:rsid w:val="77A02C14"/>
    <w:rsid w:val="77B41D81"/>
    <w:rsid w:val="77EF4B32"/>
    <w:rsid w:val="780B56E4"/>
    <w:rsid w:val="78480F87"/>
    <w:rsid w:val="786F4218"/>
    <w:rsid w:val="78BD078C"/>
    <w:rsid w:val="78DA554A"/>
    <w:rsid w:val="79267AB1"/>
    <w:rsid w:val="792862D2"/>
    <w:rsid w:val="79725A1A"/>
    <w:rsid w:val="797A667D"/>
    <w:rsid w:val="79C42366"/>
    <w:rsid w:val="79E329F0"/>
    <w:rsid w:val="79FE105C"/>
    <w:rsid w:val="7A156C7F"/>
    <w:rsid w:val="7A1718B8"/>
    <w:rsid w:val="7A207CCE"/>
    <w:rsid w:val="7AA02113"/>
    <w:rsid w:val="7AAF05A8"/>
    <w:rsid w:val="7ADC31A8"/>
    <w:rsid w:val="7AF10BC1"/>
    <w:rsid w:val="7B26641F"/>
    <w:rsid w:val="7B6B4721"/>
    <w:rsid w:val="7BFC781D"/>
    <w:rsid w:val="7C0E12FE"/>
    <w:rsid w:val="7C1F175E"/>
    <w:rsid w:val="7C224DAA"/>
    <w:rsid w:val="7C705052"/>
    <w:rsid w:val="7C9944BA"/>
    <w:rsid w:val="7CC12815"/>
    <w:rsid w:val="7CF624BE"/>
    <w:rsid w:val="7CFF3A91"/>
    <w:rsid w:val="7D535FFC"/>
    <w:rsid w:val="7D585741"/>
    <w:rsid w:val="7D9817C8"/>
    <w:rsid w:val="7DFD162B"/>
    <w:rsid w:val="7E0577AE"/>
    <w:rsid w:val="7E105802"/>
    <w:rsid w:val="7E6C0E0D"/>
    <w:rsid w:val="7EA70F66"/>
    <w:rsid w:val="7EBB59C7"/>
    <w:rsid w:val="7F46479C"/>
    <w:rsid w:val="7F5522F1"/>
    <w:rsid w:val="7F963AE5"/>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8"/>
    <w:qFormat/>
    <w:uiPriority w:val="0"/>
    <w:pPr>
      <w:keepNext/>
      <w:keepLines/>
      <w:spacing w:after="120" w:line="360" w:lineRule="auto"/>
      <w:outlineLvl w:val="0"/>
    </w:pPr>
    <w:rPr>
      <w:kern w:val="44"/>
      <w:sz w:val="28"/>
      <w:szCs w:val="28"/>
    </w:rPr>
  </w:style>
  <w:style w:type="paragraph" w:styleId="2">
    <w:name w:val="heading 2"/>
    <w:basedOn w:val="1"/>
    <w:next w:val="1"/>
    <w:link w:val="49"/>
    <w:qFormat/>
    <w:uiPriority w:val="0"/>
    <w:pPr>
      <w:keepNext/>
      <w:keepLines/>
      <w:spacing w:before="120" w:after="120" w:line="415" w:lineRule="auto"/>
      <w:ind w:left="454"/>
      <w:jc w:val="center"/>
      <w:outlineLvl w:val="1"/>
    </w:pPr>
    <w:rPr>
      <w:rFonts w:ascii="Arial" w:hAnsi="Arial" w:eastAsia="宋体"/>
      <w:b/>
      <w:color w:val="000000"/>
      <w:sz w:val="36"/>
      <w:szCs w:val="24"/>
    </w:rPr>
  </w:style>
  <w:style w:type="paragraph" w:styleId="4">
    <w:name w:val="heading 3"/>
    <w:basedOn w:val="1"/>
    <w:next w:val="1"/>
    <w:link w:val="61"/>
    <w:qFormat/>
    <w:uiPriority w:val="0"/>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4"/>
    <w:next w:val="6"/>
    <w:link w:val="66"/>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7">
    <w:name w:val="heading 5"/>
    <w:basedOn w:val="5"/>
    <w:next w:val="6"/>
    <w:link w:val="67"/>
    <w:qFormat/>
    <w:uiPriority w:val="0"/>
    <w:pPr>
      <w:numPr>
        <w:ilvl w:val="4"/>
      </w:numPr>
      <w:spacing w:line="240" w:lineRule="exact"/>
      <w:outlineLvl w:val="4"/>
    </w:pPr>
  </w:style>
  <w:style w:type="paragraph" w:styleId="8">
    <w:name w:val="heading 6"/>
    <w:basedOn w:val="1"/>
    <w:next w:val="1"/>
    <w:link w:val="68"/>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6"/>
    <w:link w:val="69"/>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6"/>
    <w:link w:val="7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71"/>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Times New Roman" w:hAnsi="Times New Roman"/>
      <w:szCs w:val="20"/>
    </w:rPr>
  </w:style>
  <w:style w:type="paragraph" w:styleId="12">
    <w:name w:val="Document Map"/>
    <w:basedOn w:val="1"/>
    <w:link w:val="83"/>
    <w:qFormat/>
    <w:uiPriority w:val="0"/>
    <w:pPr>
      <w:shd w:val="clear" w:color="auto" w:fill="000080"/>
    </w:pPr>
    <w:rPr>
      <w:rFonts w:ascii="Times New Roman" w:hAnsi="Times New Roman"/>
      <w:szCs w:val="20"/>
    </w:rPr>
  </w:style>
  <w:style w:type="paragraph" w:styleId="13">
    <w:name w:val="annotation text"/>
    <w:basedOn w:val="1"/>
    <w:link w:val="109"/>
    <w:qFormat/>
    <w:uiPriority w:val="0"/>
    <w:pPr>
      <w:spacing w:line="360" w:lineRule="auto"/>
      <w:ind w:firstLine="523" w:firstLineChars="218"/>
      <w:jc w:val="left"/>
    </w:pPr>
    <w:rPr>
      <w:rFonts w:ascii="宋体" w:hAnsi="宋体"/>
      <w:sz w:val="24"/>
      <w:szCs w:val="24"/>
    </w:rPr>
  </w:style>
  <w:style w:type="paragraph" w:styleId="14">
    <w:name w:val="Body Text 3"/>
    <w:basedOn w:val="1"/>
    <w:unhideWhenUsed/>
    <w:qFormat/>
    <w:uiPriority w:val="99"/>
    <w:pPr>
      <w:spacing w:after="120"/>
    </w:pPr>
    <w:rPr>
      <w:sz w:val="16"/>
      <w:szCs w:val="16"/>
    </w:rPr>
  </w:style>
  <w:style w:type="paragraph" w:styleId="15">
    <w:name w:val="Body Text"/>
    <w:basedOn w:val="1"/>
    <w:next w:val="1"/>
    <w:link w:val="75"/>
    <w:qFormat/>
    <w:uiPriority w:val="0"/>
    <w:pPr>
      <w:spacing w:after="120"/>
    </w:pPr>
    <w:rPr>
      <w:rFonts w:ascii="Times New Roman" w:hAnsi="Times New Roman"/>
      <w:szCs w:val="20"/>
    </w:rPr>
  </w:style>
  <w:style w:type="paragraph" w:styleId="16">
    <w:name w:val="Body Text Indent"/>
    <w:basedOn w:val="1"/>
    <w:next w:val="17"/>
    <w:link w:val="81"/>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5"/>
    <w:qFormat/>
    <w:uiPriority w:val="0"/>
    <w:rPr>
      <w:rFonts w:ascii="宋体" w:hAnsi="Courier New"/>
      <w:szCs w:val="20"/>
    </w:rPr>
  </w:style>
  <w:style w:type="paragraph" w:styleId="20">
    <w:name w:val="Date"/>
    <w:basedOn w:val="1"/>
    <w:next w:val="1"/>
    <w:link w:val="79"/>
    <w:qFormat/>
    <w:uiPriority w:val="0"/>
    <w:rPr>
      <w:rFonts w:ascii="Times New Roman" w:hAnsi="Times New Roman"/>
      <w:szCs w:val="20"/>
    </w:rPr>
  </w:style>
  <w:style w:type="paragraph" w:styleId="21">
    <w:name w:val="Body Text Indent 2"/>
    <w:basedOn w:val="1"/>
    <w:link w:val="87"/>
    <w:qFormat/>
    <w:uiPriority w:val="0"/>
    <w:pPr>
      <w:spacing w:line="400" w:lineRule="exact"/>
      <w:ind w:left="425"/>
    </w:pPr>
    <w:rPr>
      <w:rFonts w:ascii="Times New Roman" w:hAnsi="Times New Roman"/>
      <w:color w:val="000000"/>
      <w:sz w:val="24"/>
      <w:szCs w:val="20"/>
    </w:rPr>
  </w:style>
  <w:style w:type="paragraph" w:styleId="22">
    <w:name w:val="endnote text"/>
    <w:basedOn w:val="1"/>
    <w:link w:val="96"/>
    <w:qFormat/>
    <w:uiPriority w:val="0"/>
    <w:pPr>
      <w:snapToGrid w:val="0"/>
      <w:jc w:val="left"/>
    </w:pPr>
    <w:rPr>
      <w:rFonts w:ascii="Times New Roman" w:hAnsi="Times New Roman"/>
      <w:szCs w:val="20"/>
    </w:rPr>
  </w:style>
  <w:style w:type="paragraph" w:styleId="23">
    <w:name w:val="Balloon Text"/>
    <w:basedOn w:val="1"/>
    <w:link w:val="106"/>
    <w:qFormat/>
    <w:uiPriority w:val="0"/>
    <w:rPr>
      <w:rFonts w:ascii="Times New Roman" w:hAnsi="Times New Roman"/>
      <w:sz w:val="18"/>
      <w:szCs w:val="18"/>
    </w:rPr>
  </w:style>
  <w:style w:type="paragraph" w:styleId="24">
    <w:name w:val="footer"/>
    <w:basedOn w:val="1"/>
    <w:link w:val="65"/>
    <w:unhideWhenUsed/>
    <w:qFormat/>
    <w:uiPriority w:val="0"/>
    <w:pPr>
      <w:tabs>
        <w:tab w:val="center" w:pos="4153"/>
        <w:tab w:val="right" w:pos="8306"/>
      </w:tabs>
      <w:snapToGrid w:val="0"/>
      <w:jc w:val="left"/>
    </w:pPr>
    <w:rPr>
      <w:sz w:val="18"/>
      <w:szCs w:val="18"/>
    </w:rPr>
  </w:style>
  <w:style w:type="paragraph" w:styleId="25">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1"/>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3"/>
    <w:qFormat/>
    <w:uiPriority w:val="0"/>
    <w:rPr>
      <w:rFonts w:ascii="宋体" w:hAnsi="宋体"/>
      <w:szCs w:val="24"/>
      <w:u w:val="single"/>
    </w:rPr>
  </w:style>
  <w:style w:type="paragraph" w:styleId="31">
    <w:name w:val="Normal (Web)"/>
    <w:basedOn w:val="1"/>
    <w:qFormat/>
    <w:uiPriority w:val="99"/>
    <w:rPr>
      <w:sz w:val="24"/>
      <w:szCs w:val="20"/>
    </w:rPr>
  </w:style>
  <w:style w:type="paragraph" w:styleId="32">
    <w:name w:val="index 1"/>
    <w:basedOn w:val="1"/>
    <w:next w:val="1"/>
    <w:qFormat/>
    <w:uiPriority w:val="0"/>
    <w:rPr>
      <w:rFonts w:ascii="Times New Roman" w:hAnsi="Times New Roman" w:eastAsia="仿宋_GB2312"/>
      <w:sz w:val="28"/>
      <w:szCs w:val="20"/>
    </w:rPr>
  </w:style>
  <w:style w:type="paragraph" w:styleId="33">
    <w:name w:val="Title"/>
    <w:basedOn w:val="1"/>
    <w:link w:val="73"/>
    <w:qFormat/>
    <w:uiPriority w:val="0"/>
    <w:pPr>
      <w:spacing w:before="120" w:after="60"/>
      <w:jc w:val="center"/>
    </w:pPr>
    <w:rPr>
      <w:rFonts w:ascii="Arial" w:hAnsi="Arial"/>
      <w:b/>
      <w:sz w:val="44"/>
      <w:szCs w:val="20"/>
    </w:rPr>
  </w:style>
  <w:style w:type="paragraph" w:styleId="34">
    <w:name w:val="annotation subject"/>
    <w:basedOn w:val="13"/>
    <w:next w:val="13"/>
    <w:link w:val="113"/>
    <w:qFormat/>
    <w:uiPriority w:val="0"/>
    <w:rPr>
      <w:b/>
      <w:bCs/>
    </w:rPr>
  </w:style>
  <w:style w:type="paragraph" w:styleId="35">
    <w:name w:val="Body Text First Indent"/>
    <w:basedOn w:val="15"/>
    <w:link w:val="77"/>
    <w:qFormat/>
    <w:uiPriority w:val="0"/>
    <w:pPr>
      <w:ind w:firstLine="420"/>
    </w:pPr>
  </w:style>
  <w:style w:type="paragraph" w:styleId="36">
    <w:name w:val="Body Text First Indent 2"/>
    <w:basedOn w:val="16"/>
    <w:next w:val="37"/>
    <w:qFormat/>
    <w:uiPriority w:val="0"/>
    <w:pPr>
      <w:spacing w:after="120"/>
      <w:ind w:left="200" w:leftChars="200" w:firstLine="200" w:firstLineChars="200"/>
    </w:pPr>
    <w:rPr>
      <w:rFonts w:ascii="Calibri" w:hAnsi="Calibri"/>
      <w:sz w:val="21"/>
      <w:szCs w:val="24"/>
    </w:rPr>
  </w:style>
  <w:style w:type="paragraph" w:customStyle="1" w:styleId="37">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39">
    <w:name w:val="Table Grid"/>
    <w:basedOn w:val="3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semiHidden/>
    <w:unhideWhenUsed/>
    <w:qFormat/>
    <w:uiPriority w:val="99"/>
    <w:rPr>
      <w:color w:val="954F72"/>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customStyle="1" w:styleId="48">
    <w:name w:val="标题 1 Char"/>
    <w:link w:val="3"/>
    <w:qFormat/>
    <w:uiPriority w:val="0"/>
    <w:rPr>
      <w:rFonts w:ascii="Arial" w:hAnsi="Arial" w:eastAsia="宋体"/>
      <w:b/>
      <w:kern w:val="44"/>
      <w:sz w:val="28"/>
      <w:szCs w:val="28"/>
    </w:rPr>
  </w:style>
  <w:style w:type="character" w:customStyle="1" w:styleId="49">
    <w:name w:val="标题 2 Char"/>
    <w:link w:val="2"/>
    <w:qFormat/>
    <w:uiPriority w:val="0"/>
    <w:rPr>
      <w:rFonts w:ascii="Arial" w:hAnsi="Arial" w:eastAsia="宋体" w:cs="Times New Roman"/>
      <w:b/>
      <w:color w:val="000000"/>
      <w:sz w:val="36"/>
      <w:szCs w:val="24"/>
    </w:rPr>
  </w:style>
  <w:style w:type="paragraph" w:customStyle="1" w:styleId="50">
    <w:name w:val="PlainText"/>
    <w:basedOn w:val="1"/>
    <w:qFormat/>
    <w:uiPriority w:val="0"/>
    <w:rPr>
      <w:rFonts w:ascii="宋体" w:hAnsi="Courier New"/>
      <w:kern w:val="0"/>
      <w:sz w:val="20"/>
      <w:szCs w:val="20"/>
    </w:rPr>
  </w:style>
  <w:style w:type="paragraph" w:customStyle="1" w:styleId="51">
    <w:name w:val="_Style 3"/>
    <w:next w:val="2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2">
    <w:name w:val="标题 1 字符"/>
    <w:qFormat/>
    <w:uiPriority w:val="9"/>
    <w:rPr>
      <w:rFonts w:ascii="Calibri" w:hAnsi="Calibri" w:eastAsia="宋体" w:cs="Times New Roman"/>
      <w:b/>
      <w:bCs/>
      <w:kern w:val="44"/>
      <w:sz w:val="44"/>
      <w:szCs w:val="44"/>
    </w:rPr>
  </w:style>
  <w:style w:type="character" w:customStyle="1" w:styleId="53">
    <w:name w:val="标题 2 字符"/>
    <w:semiHidden/>
    <w:qFormat/>
    <w:uiPriority w:val="9"/>
    <w:rPr>
      <w:rFonts w:ascii="等线 Light" w:hAnsi="等线 Light" w:eastAsia="等线 Light" w:cs="Times New Roman"/>
      <w:b/>
      <w:bCs/>
      <w:sz w:val="32"/>
      <w:szCs w:val="32"/>
    </w:rPr>
  </w:style>
  <w:style w:type="character" w:customStyle="1" w:styleId="54">
    <w:name w:val="标题 3 字符"/>
    <w:semiHidden/>
    <w:qFormat/>
    <w:uiPriority w:val="9"/>
    <w:rPr>
      <w:rFonts w:ascii="Calibri" w:hAnsi="Calibri" w:eastAsia="宋体" w:cs="Times New Roman"/>
      <w:b/>
      <w:bCs/>
      <w:sz w:val="32"/>
      <w:szCs w:val="32"/>
    </w:rPr>
  </w:style>
  <w:style w:type="character" w:customStyle="1" w:styleId="55">
    <w:name w:val="标题 4 字符"/>
    <w:semiHidden/>
    <w:qFormat/>
    <w:uiPriority w:val="9"/>
    <w:rPr>
      <w:rFonts w:ascii="等线 Light" w:hAnsi="等线 Light" w:eastAsia="等线 Light" w:cs="Times New Roman"/>
      <w:b/>
      <w:bCs/>
      <w:sz w:val="28"/>
      <w:szCs w:val="28"/>
    </w:rPr>
  </w:style>
  <w:style w:type="character" w:customStyle="1" w:styleId="56">
    <w:name w:val="标题 5 字符"/>
    <w:semiHidden/>
    <w:qFormat/>
    <w:uiPriority w:val="9"/>
    <w:rPr>
      <w:rFonts w:ascii="Calibri" w:hAnsi="Calibri" w:eastAsia="宋体" w:cs="Times New Roman"/>
      <w:b/>
      <w:bCs/>
      <w:sz w:val="28"/>
      <w:szCs w:val="28"/>
    </w:rPr>
  </w:style>
  <w:style w:type="character" w:customStyle="1" w:styleId="57">
    <w:name w:val="标题 6 字符"/>
    <w:semiHidden/>
    <w:qFormat/>
    <w:uiPriority w:val="9"/>
    <w:rPr>
      <w:rFonts w:ascii="等线 Light" w:hAnsi="等线 Light" w:eastAsia="等线 Light" w:cs="Times New Roman"/>
      <w:b/>
      <w:bCs/>
      <w:sz w:val="24"/>
      <w:szCs w:val="24"/>
    </w:rPr>
  </w:style>
  <w:style w:type="character" w:customStyle="1" w:styleId="58">
    <w:name w:val="标题 7 字符"/>
    <w:semiHidden/>
    <w:qFormat/>
    <w:uiPriority w:val="9"/>
    <w:rPr>
      <w:rFonts w:ascii="Calibri" w:hAnsi="Calibri" w:eastAsia="宋体" w:cs="Times New Roman"/>
      <w:b/>
      <w:bCs/>
      <w:sz w:val="24"/>
      <w:szCs w:val="24"/>
    </w:rPr>
  </w:style>
  <w:style w:type="character" w:customStyle="1" w:styleId="59">
    <w:name w:val="标题 8 字符"/>
    <w:semiHidden/>
    <w:qFormat/>
    <w:uiPriority w:val="9"/>
    <w:rPr>
      <w:rFonts w:ascii="等线 Light" w:hAnsi="等线 Light" w:eastAsia="等线 Light" w:cs="Times New Roman"/>
      <w:sz w:val="24"/>
      <w:szCs w:val="24"/>
    </w:rPr>
  </w:style>
  <w:style w:type="character" w:customStyle="1" w:styleId="60">
    <w:name w:val="标题 9 字符"/>
    <w:semiHidden/>
    <w:qFormat/>
    <w:uiPriority w:val="9"/>
    <w:rPr>
      <w:rFonts w:ascii="等线 Light" w:hAnsi="等线 Light" w:eastAsia="等线 Light" w:cs="Times New Roman"/>
      <w:szCs w:val="21"/>
    </w:rPr>
  </w:style>
  <w:style w:type="character" w:customStyle="1" w:styleId="61">
    <w:name w:val="标题 3 Char"/>
    <w:link w:val="4"/>
    <w:qFormat/>
    <w:uiPriority w:val="0"/>
    <w:rPr>
      <w:rFonts w:ascii="宋体" w:hAnsi="宋体" w:eastAsia="宋体" w:cs="宋体"/>
      <w:kern w:val="0"/>
      <w:sz w:val="27"/>
      <w:szCs w:val="27"/>
    </w:rPr>
  </w:style>
  <w:style w:type="character" w:customStyle="1" w:styleId="62">
    <w:name w:val="页眉 字符"/>
    <w:semiHidden/>
    <w:qFormat/>
    <w:uiPriority w:val="99"/>
    <w:rPr>
      <w:rFonts w:ascii="Calibri" w:hAnsi="Calibri" w:eastAsia="宋体" w:cs="Times New Roman"/>
      <w:sz w:val="18"/>
      <w:szCs w:val="18"/>
    </w:rPr>
  </w:style>
  <w:style w:type="character" w:customStyle="1" w:styleId="63">
    <w:name w:val="页眉 Char"/>
    <w:link w:val="25"/>
    <w:qFormat/>
    <w:uiPriority w:val="0"/>
    <w:rPr>
      <w:rFonts w:ascii="Calibri" w:hAnsi="Calibri" w:eastAsia="宋体" w:cs="Times New Roman"/>
      <w:sz w:val="18"/>
      <w:szCs w:val="18"/>
    </w:rPr>
  </w:style>
  <w:style w:type="character" w:customStyle="1" w:styleId="64">
    <w:name w:val="页脚 字符"/>
    <w:semiHidden/>
    <w:qFormat/>
    <w:uiPriority w:val="99"/>
    <w:rPr>
      <w:rFonts w:ascii="Calibri" w:hAnsi="Calibri" w:eastAsia="宋体" w:cs="Times New Roman"/>
      <w:sz w:val="18"/>
      <w:szCs w:val="18"/>
    </w:rPr>
  </w:style>
  <w:style w:type="character" w:customStyle="1" w:styleId="65">
    <w:name w:val="页脚 Char"/>
    <w:link w:val="24"/>
    <w:qFormat/>
    <w:uiPriority w:val="0"/>
    <w:rPr>
      <w:rFonts w:ascii="Calibri" w:hAnsi="Calibri" w:eastAsia="宋体" w:cs="Times New Roman"/>
      <w:sz w:val="18"/>
      <w:szCs w:val="18"/>
    </w:rPr>
  </w:style>
  <w:style w:type="character" w:customStyle="1" w:styleId="66">
    <w:name w:val="标题 4 Char"/>
    <w:link w:val="5"/>
    <w:qFormat/>
    <w:uiPriority w:val="0"/>
    <w:rPr>
      <w:rFonts w:ascii="Arial" w:hAnsi="Arial" w:eastAsia="宋体" w:cs="Times New Roman"/>
      <w:color w:val="000000"/>
      <w:szCs w:val="21"/>
    </w:rPr>
  </w:style>
  <w:style w:type="character" w:customStyle="1" w:styleId="67">
    <w:name w:val="标题 5 Char"/>
    <w:link w:val="7"/>
    <w:qFormat/>
    <w:uiPriority w:val="0"/>
    <w:rPr>
      <w:rFonts w:ascii="Arial" w:hAnsi="Arial" w:eastAsia="宋体" w:cs="Times New Roman"/>
      <w:color w:val="000000"/>
      <w:szCs w:val="21"/>
    </w:rPr>
  </w:style>
  <w:style w:type="character" w:customStyle="1" w:styleId="68">
    <w:name w:val="标题 6 Char"/>
    <w:link w:val="8"/>
    <w:qFormat/>
    <w:uiPriority w:val="0"/>
    <w:rPr>
      <w:rFonts w:ascii="Arial" w:hAnsi="Arial" w:eastAsia="黑体" w:cs="Times New Roman"/>
      <w:b/>
      <w:bCs/>
      <w:sz w:val="24"/>
      <w:szCs w:val="24"/>
    </w:rPr>
  </w:style>
  <w:style w:type="character" w:customStyle="1" w:styleId="69">
    <w:name w:val="标题 7 Char"/>
    <w:link w:val="9"/>
    <w:qFormat/>
    <w:uiPriority w:val="0"/>
    <w:rPr>
      <w:rFonts w:ascii="Times New Roman" w:hAnsi="Times New Roman" w:eastAsia="宋体" w:cs="Times New Roman"/>
      <w:b/>
      <w:sz w:val="24"/>
      <w:szCs w:val="20"/>
    </w:rPr>
  </w:style>
  <w:style w:type="character" w:customStyle="1" w:styleId="70">
    <w:name w:val="标题 8 Char"/>
    <w:link w:val="10"/>
    <w:qFormat/>
    <w:uiPriority w:val="0"/>
    <w:rPr>
      <w:rFonts w:ascii="Arial" w:hAnsi="Arial" w:eastAsia="黑体" w:cs="Times New Roman"/>
      <w:sz w:val="24"/>
      <w:szCs w:val="20"/>
    </w:rPr>
  </w:style>
  <w:style w:type="character" w:customStyle="1" w:styleId="71">
    <w:name w:val="标题 9 Char"/>
    <w:link w:val="11"/>
    <w:qFormat/>
    <w:uiPriority w:val="0"/>
    <w:rPr>
      <w:rFonts w:ascii="Arial" w:hAnsi="Arial" w:eastAsia="黑体" w:cs="Times New Roman"/>
      <w:szCs w:val="20"/>
    </w:rPr>
  </w:style>
  <w:style w:type="character" w:customStyle="1" w:styleId="72">
    <w:name w:val="标题 字符"/>
    <w:qFormat/>
    <w:uiPriority w:val="10"/>
    <w:rPr>
      <w:rFonts w:ascii="等线 Light" w:hAnsi="等线 Light" w:eastAsia="等线 Light" w:cs="Times New Roman"/>
      <w:b/>
      <w:bCs/>
      <w:sz w:val="32"/>
      <w:szCs w:val="32"/>
    </w:rPr>
  </w:style>
  <w:style w:type="character" w:customStyle="1" w:styleId="73">
    <w:name w:val="标题 Char"/>
    <w:link w:val="33"/>
    <w:qFormat/>
    <w:uiPriority w:val="0"/>
    <w:rPr>
      <w:rFonts w:ascii="Arial" w:hAnsi="Arial" w:eastAsia="宋体" w:cs="Times New Roman"/>
      <w:b/>
      <w:sz w:val="44"/>
      <w:szCs w:val="20"/>
    </w:rPr>
  </w:style>
  <w:style w:type="character" w:customStyle="1" w:styleId="74">
    <w:name w:val="正文文本 字符"/>
    <w:semiHidden/>
    <w:qFormat/>
    <w:uiPriority w:val="99"/>
    <w:rPr>
      <w:rFonts w:ascii="Calibri" w:hAnsi="Calibri" w:eastAsia="宋体" w:cs="Times New Roman"/>
    </w:rPr>
  </w:style>
  <w:style w:type="character" w:customStyle="1" w:styleId="75">
    <w:name w:val="正文文本 Char"/>
    <w:link w:val="15"/>
    <w:qFormat/>
    <w:uiPriority w:val="0"/>
    <w:rPr>
      <w:rFonts w:ascii="Times New Roman" w:hAnsi="Times New Roman" w:eastAsia="宋体" w:cs="Times New Roman"/>
      <w:szCs w:val="20"/>
    </w:rPr>
  </w:style>
  <w:style w:type="character" w:customStyle="1" w:styleId="76">
    <w:name w:val="正文首行缩进 字符"/>
    <w:basedOn w:val="74"/>
    <w:semiHidden/>
    <w:qFormat/>
    <w:uiPriority w:val="99"/>
    <w:rPr>
      <w:rFonts w:ascii="Calibri" w:hAnsi="Calibri" w:eastAsia="宋体" w:cs="Times New Roman"/>
    </w:rPr>
  </w:style>
  <w:style w:type="character" w:customStyle="1" w:styleId="77">
    <w:name w:val="正文首行缩进 Char"/>
    <w:link w:val="35"/>
    <w:qFormat/>
    <w:uiPriority w:val="0"/>
  </w:style>
  <w:style w:type="character" w:customStyle="1" w:styleId="78">
    <w:name w:val="日期 字符"/>
    <w:semiHidden/>
    <w:qFormat/>
    <w:uiPriority w:val="99"/>
    <w:rPr>
      <w:rFonts w:ascii="Calibri" w:hAnsi="Calibri" w:eastAsia="宋体" w:cs="Times New Roman"/>
    </w:rPr>
  </w:style>
  <w:style w:type="character" w:customStyle="1" w:styleId="79">
    <w:name w:val="日期 Char"/>
    <w:link w:val="20"/>
    <w:qFormat/>
    <w:uiPriority w:val="0"/>
    <w:rPr>
      <w:rFonts w:ascii="Times New Roman" w:hAnsi="Times New Roman" w:eastAsia="宋体" w:cs="Times New Roman"/>
      <w:szCs w:val="20"/>
    </w:rPr>
  </w:style>
  <w:style w:type="character" w:customStyle="1" w:styleId="80">
    <w:name w:val="正文文本缩进 字符"/>
    <w:semiHidden/>
    <w:qFormat/>
    <w:uiPriority w:val="99"/>
    <w:rPr>
      <w:rFonts w:ascii="Calibri" w:hAnsi="Calibri" w:eastAsia="宋体" w:cs="Times New Roman"/>
    </w:rPr>
  </w:style>
  <w:style w:type="character" w:customStyle="1" w:styleId="81">
    <w:name w:val="正文文本缩进 Char"/>
    <w:link w:val="16"/>
    <w:qFormat/>
    <w:uiPriority w:val="0"/>
    <w:rPr>
      <w:rFonts w:ascii="Times New Roman" w:hAnsi="Times New Roman" w:eastAsia="宋体" w:cs="Times New Roman"/>
      <w:sz w:val="28"/>
      <w:szCs w:val="20"/>
    </w:rPr>
  </w:style>
  <w:style w:type="character" w:customStyle="1" w:styleId="82">
    <w:name w:val="文档结构图 字符"/>
    <w:semiHidden/>
    <w:qFormat/>
    <w:uiPriority w:val="99"/>
    <w:rPr>
      <w:rFonts w:ascii="Microsoft YaHei UI" w:hAnsi="Calibri" w:eastAsia="Microsoft YaHei UI" w:cs="Times New Roman"/>
      <w:sz w:val="18"/>
      <w:szCs w:val="18"/>
    </w:rPr>
  </w:style>
  <w:style w:type="character" w:customStyle="1" w:styleId="83">
    <w:name w:val="文档结构图 Char"/>
    <w:link w:val="12"/>
    <w:qFormat/>
    <w:uiPriority w:val="0"/>
    <w:rPr>
      <w:rFonts w:ascii="Times New Roman" w:hAnsi="Times New Roman" w:eastAsia="宋体" w:cs="Times New Roman"/>
      <w:szCs w:val="20"/>
      <w:shd w:val="clear" w:color="auto" w:fill="000080"/>
    </w:rPr>
  </w:style>
  <w:style w:type="character" w:customStyle="1" w:styleId="84">
    <w:name w:val="纯文本 字符"/>
    <w:semiHidden/>
    <w:qFormat/>
    <w:uiPriority w:val="99"/>
    <w:rPr>
      <w:rFonts w:ascii="等线" w:hAnsi="Courier New" w:cs="Courier New"/>
    </w:rPr>
  </w:style>
  <w:style w:type="character" w:customStyle="1" w:styleId="85">
    <w:name w:val="纯文本 Char"/>
    <w:link w:val="19"/>
    <w:qFormat/>
    <w:uiPriority w:val="0"/>
    <w:rPr>
      <w:rFonts w:ascii="宋体" w:hAnsi="Courier New" w:eastAsia="宋体" w:cs="Times New Roman"/>
      <w:szCs w:val="20"/>
    </w:rPr>
  </w:style>
  <w:style w:type="character" w:customStyle="1" w:styleId="86">
    <w:name w:val="正文文本缩进 2 字符"/>
    <w:semiHidden/>
    <w:qFormat/>
    <w:uiPriority w:val="99"/>
    <w:rPr>
      <w:rFonts w:ascii="Calibri" w:hAnsi="Calibri" w:eastAsia="宋体" w:cs="Times New Roman"/>
    </w:rPr>
  </w:style>
  <w:style w:type="character" w:customStyle="1" w:styleId="87">
    <w:name w:val="正文文本缩进 2 Char"/>
    <w:link w:val="21"/>
    <w:qFormat/>
    <w:uiPriority w:val="0"/>
    <w:rPr>
      <w:rFonts w:ascii="Times New Roman" w:hAnsi="Times New Roman" w:eastAsia="宋体" w:cs="Times New Roman"/>
      <w:color w:val="000000"/>
      <w:sz w:val="24"/>
      <w:szCs w:val="20"/>
    </w:rPr>
  </w:style>
  <w:style w:type="character" w:customStyle="1" w:styleId="88">
    <w:name w:val="正文文本缩进 3 字符"/>
    <w:semiHidden/>
    <w:qFormat/>
    <w:uiPriority w:val="99"/>
    <w:rPr>
      <w:rFonts w:ascii="Calibri" w:hAnsi="Calibri" w:eastAsia="宋体" w:cs="Times New Roman"/>
      <w:sz w:val="16"/>
      <w:szCs w:val="16"/>
    </w:rPr>
  </w:style>
  <w:style w:type="character" w:customStyle="1" w:styleId="89">
    <w:name w:val="正文文本缩进 3 Char"/>
    <w:link w:val="28"/>
    <w:qFormat/>
    <w:uiPriority w:val="0"/>
    <w:rPr>
      <w:rFonts w:ascii="Times New Roman" w:hAnsi="Times New Roman" w:eastAsia="宋体" w:cs="Times New Roman"/>
      <w:color w:val="000000"/>
      <w:sz w:val="24"/>
      <w:szCs w:val="20"/>
    </w:rPr>
  </w:style>
  <w:style w:type="paragraph" w:customStyle="1" w:styleId="9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1">
    <w:name w:val="_Style 69"/>
    <w:qFormat/>
    <w:uiPriority w:val="0"/>
    <w:rPr>
      <w:rFonts w:ascii="等线" w:hAnsi="等线" w:eastAsia="等线" w:cs="Times New Roman"/>
      <w:lang w:val="en-US" w:eastAsia="zh-CN" w:bidi="ar-SA"/>
    </w:rPr>
  </w:style>
  <w:style w:type="character" w:customStyle="1" w:styleId="92">
    <w:name w:val="正文文本 2 字符"/>
    <w:semiHidden/>
    <w:qFormat/>
    <w:uiPriority w:val="99"/>
    <w:rPr>
      <w:rFonts w:ascii="Calibri" w:hAnsi="Calibri" w:eastAsia="宋体" w:cs="Times New Roman"/>
    </w:rPr>
  </w:style>
  <w:style w:type="character" w:customStyle="1" w:styleId="93">
    <w:name w:val="正文文本 2 Char"/>
    <w:link w:val="30"/>
    <w:qFormat/>
    <w:uiPriority w:val="0"/>
    <w:rPr>
      <w:rFonts w:ascii="宋体" w:hAnsi="宋体" w:eastAsia="宋体" w:cs="Times New Roman"/>
      <w:szCs w:val="24"/>
      <w:u w:val="single"/>
    </w:rPr>
  </w:style>
  <w:style w:type="paragraph" w:customStyle="1" w:styleId="94">
    <w:name w:val="表头"/>
    <w:basedOn w:val="1"/>
    <w:qFormat/>
    <w:uiPriority w:val="0"/>
    <w:pPr>
      <w:spacing w:line="360" w:lineRule="auto"/>
      <w:jc w:val="center"/>
    </w:pPr>
    <w:rPr>
      <w:rFonts w:ascii="黑体" w:hAnsi="Times New Roman" w:eastAsia="黑体"/>
      <w:kern w:val="0"/>
      <w:sz w:val="24"/>
      <w:szCs w:val="20"/>
    </w:rPr>
  </w:style>
  <w:style w:type="character" w:customStyle="1" w:styleId="95">
    <w:name w:val="尾注文本 字符"/>
    <w:semiHidden/>
    <w:qFormat/>
    <w:uiPriority w:val="99"/>
    <w:rPr>
      <w:rFonts w:ascii="Calibri" w:hAnsi="Calibri" w:eastAsia="宋体" w:cs="Times New Roman"/>
    </w:rPr>
  </w:style>
  <w:style w:type="character" w:customStyle="1" w:styleId="96">
    <w:name w:val="尾注文本 Char"/>
    <w:link w:val="22"/>
    <w:qFormat/>
    <w:uiPriority w:val="0"/>
    <w:rPr>
      <w:rFonts w:ascii="Times New Roman" w:hAnsi="Times New Roman" w:eastAsia="宋体" w:cs="Times New Roman"/>
      <w:szCs w:val="20"/>
    </w:rPr>
  </w:style>
  <w:style w:type="paragraph" w:customStyle="1" w:styleId="97">
    <w:name w:val="Char"/>
    <w:basedOn w:val="1"/>
    <w:qFormat/>
    <w:uiPriority w:val="0"/>
    <w:rPr>
      <w:rFonts w:ascii="Tahoma" w:hAnsi="Tahoma"/>
      <w:sz w:val="24"/>
      <w:szCs w:val="20"/>
    </w:rPr>
  </w:style>
  <w:style w:type="paragraph" w:customStyle="1" w:styleId="98">
    <w:name w:val="Char1"/>
    <w:basedOn w:val="1"/>
    <w:qFormat/>
    <w:uiPriority w:val="0"/>
    <w:pPr>
      <w:numPr>
        <w:ilvl w:val="0"/>
        <w:numId w:val="1"/>
      </w:numPr>
    </w:pPr>
    <w:rPr>
      <w:rFonts w:ascii="Times New Roman" w:hAnsi="Times New Roman"/>
      <w:sz w:val="24"/>
      <w:szCs w:val="24"/>
    </w:rPr>
  </w:style>
  <w:style w:type="paragraph" w:customStyle="1" w:styleId="99">
    <w:name w:val="公文抬头"/>
    <w:basedOn w:val="6"/>
    <w:qFormat/>
    <w:uiPriority w:val="0"/>
    <w:pPr>
      <w:ind w:firstLine="0"/>
    </w:pPr>
    <w:rPr>
      <w:rFonts w:ascii="仿宋_GB2312" w:eastAsia="仿宋_GB2312"/>
      <w:sz w:val="30"/>
      <w:szCs w:val="24"/>
    </w:rPr>
  </w:style>
  <w:style w:type="paragraph" w:customStyle="1" w:styleId="100">
    <w:name w:val="Char Char Char1 Char"/>
    <w:basedOn w:val="12"/>
    <w:qFormat/>
    <w:uiPriority w:val="0"/>
    <w:rPr>
      <w:rFonts w:ascii="Tahoma" w:hAnsi="Tahoma"/>
      <w:sz w:val="24"/>
      <w:szCs w:val="24"/>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4"/>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3">
    <w:name w:val="发文落款"/>
    <w:basedOn w:val="101"/>
    <w:qFormat/>
    <w:uiPriority w:val="0"/>
    <w:pPr>
      <w:ind w:left="4094" w:right="607" w:firstLine="0"/>
      <w:jc w:val="center"/>
    </w:pPr>
  </w:style>
  <w:style w:type="paragraph" w:customStyle="1" w:styleId="104">
    <w:name w:val="Char Char Char Char"/>
    <w:basedOn w:val="1"/>
    <w:qFormat/>
    <w:uiPriority w:val="0"/>
    <w:rPr>
      <w:rFonts w:ascii="Times New Roman" w:hAnsi="Times New Roman"/>
      <w:sz w:val="30"/>
      <w:szCs w:val="24"/>
    </w:rPr>
  </w:style>
  <w:style w:type="character" w:customStyle="1" w:styleId="105">
    <w:name w:val="批注框文本 字符"/>
    <w:semiHidden/>
    <w:qFormat/>
    <w:uiPriority w:val="99"/>
    <w:rPr>
      <w:rFonts w:ascii="Calibri" w:hAnsi="Calibri" w:eastAsia="宋体" w:cs="Times New Roman"/>
      <w:sz w:val="18"/>
      <w:szCs w:val="18"/>
    </w:rPr>
  </w:style>
  <w:style w:type="character" w:customStyle="1" w:styleId="106">
    <w:name w:val="批注框文本 Char"/>
    <w:link w:val="23"/>
    <w:qFormat/>
    <w:uiPriority w:val="0"/>
    <w:rPr>
      <w:rFonts w:ascii="Times New Roman" w:hAnsi="Times New Roman" w:eastAsia="宋体" w:cs="Times New Roman"/>
      <w:sz w:val="18"/>
      <w:szCs w:val="18"/>
    </w:rPr>
  </w:style>
  <w:style w:type="paragraph" w:customStyle="1" w:styleId="107">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8">
    <w:name w:val="批注文字 字符"/>
    <w:semiHidden/>
    <w:qFormat/>
    <w:uiPriority w:val="99"/>
    <w:rPr>
      <w:rFonts w:ascii="Calibri" w:hAnsi="Calibri" w:eastAsia="宋体" w:cs="Times New Roman"/>
    </w:rPr>
  </w:style>
  <w:style w:type="character" w:customStyle="1" w:styleId="109">
    <w:name w:val="批注文字 Char"/>
    <w:link w:val="13"/>
    <w:qFormat/>
    <w:uiPriority w:val="0"/>
    <w:rPr>
      <w:rFonts w:ascii="宋体" w:hAnsi="宋体" w:eastAsia="宋体" w:cs="Times New Roman"/>
      <w:sz w:val="24"/>
      <w:szCs w:val="24"/>
    </w:rPr>
  </w:style>
  <w:style w:type="character" w:customStyle="1" w:styleId="110">
    <w:name w:val="脚注文本 字符"/>
    <w:semiHidden/>
    <w:qFormat/>
    <w:uiPriority w:val="99"/>
    <w:rPr>
      <w:rFonts w:ascii="Calibri" w:hAnsi="Calibri" w:eastAsia="宋体" w:cs="Times New Roman"/>
      <w:sz w:val="18"/>
      <w:szCs w:val="18"/>
    </w:rPr>
  </w:style>
  <w:style w:type="character" w:customStyle="1" w:styleId="111">
    <w:name w:val="脚注文本 Char"/>
    <w:link w:val="27"/>
    <w:qFormat/>
    <w:uiPriority w:val="0"/>
    <w:rPr>
      <w:rFonts w:ascii="宋体" w:hAnsi="宋体" w:eastAsia="宋体" w:cs="Times New Roman"/>
      <w:sz w:val="18"/>
      <w:szCs w:val="18"/>
    </w:rPr>
  </w:style>
  <w:style w:type="character" w:customStyle="1" w:styleId="112">
    <w:name w:val="批注主题 字符"/>
    <w:semiHidden/>
    <w:qFormat/>
    <w:uiPriority w:val="99"/>
    <w:rPr>
      <w:rFonts w:ascii="Calibri" w:hAnsi="Calibri" w:eastAsia="宋体" w:cs="Times New Roman"/>
      <w:b/>
      <w:bCs/>
    </w:rPr>
  </w:style>
  <w:style w:type="character" w:customStyle="1" w:styleId="113">
    <w:name w:val="批注主题 Char"/>
    <w:link w:val="34"/>
    <w:qFormat/>
    <w:uiPriority w:val="0"/>
    <w:rPr>
      <w:rFonts w:ascii="宋体" w:hAnsi="宋体" w:eastAsia="宋体" w:cs="Times New Roman"/>
      <w:b/>
      <w:bCs/>
      <w:sz w:val="24"/>
      <w:szCs w:val="24"/>
    </w:rPr>
  </w:style>
  <w:style w:type="paragraph" w:styleId="114">
    <w:name w:val="List Paragraph"/>
    <w:basedOn w:val="1"/>
    <w:qFormat/>
    <w:uiPriority w:val="34"/>
    <w:pPr>
      <w:ind w:firstLine="420" w:firstLineChars="200"/>
    </w:pPr>
    <w:rPr>
      <w:rFonts w:ascii="Times New Roman" w:hAnsi="Times New Roman"/>
      <w:szCs w:val="20"/>
    </w:rPr>
  </w:style>
  <w:style w:type="paragraph" w:customStyle="1" w:styleId="115">
    <w:name w:val="修订1"/>
    <w:hidden/>
    <w:semiHidden/>
    <w:qFormat/>
    <w:uiPriority w:val="99"/>
    <w:rPr>
      <w:rFonts w:ascii="Times New Roman" w:hAnsi="Times New Roman" w:eastAsia="宋体" w:cs="Times New Roman"/>
      <w:kern w:val="2"/>
      <w:sz w:val="21"/>
      <w:lang w:val="en-US" w:eastAsia="zh-CN" w:bidi="ar-SA"/>
    </w:rPr>
  </w:style>
  <w:style w:type="character" w:customStyle="1" w:styleId="116">
    <w:name w:val="s15"/>
    <w:qFormat/>
    <w:uiPriority w:val="0"/>
    <w:rPr>
      <w:color w:val="2131A1"/>
    </w:rPr>
  </w:style>
  <w:style w:type="character" w:customStyle="1" w:styleId="117">
    <w:name w:val="s2"/>
    <w:qFormat/>
    <w:uiPriority w:val="0"/>
  </w:style>
  <w:style w:type="character" w:customStyle="1" w:styleId="118">
    <w:name w:val="s3"/>
    <w:qFormat/>
    <w:uiPriority w:val="0"/>
  </w:style>
  <w:style w:type="paragraph" w:customStyle="1" w:styleId="119">
    <w:name w:val="正文 New New"/>
    <w:qFormat/>
    <w:uiPriority w:val="0"/>
    <w:pPr>
      <w:widowControl w:val="0"/>
      <w:jc w:val="both"/>
    </w:pPr>
    <w:rPr>
      <w:rFonts w:ascii="Calibri" w:hAnsi="Calibri" w:eastAsia="楷体_GB2312" w:cs="Times New Roman"/>
      <w:lang w:val="en-US" w:eastAsia="zh-CN" w:bidi="ar-SA"/>
    </w:rPr>
  </w:style>
  <w:style w:type="character" w:customStyle="1" w:styleId="120">
    <w:name w:val="font11"/>
    <w:basedOn w:val="40"/>
    <w:qFormat/>
    <w:uiPriority w:val="0"/>
    <w:rPr>
      <w:rFonts w:hint="eastAsia" w:ascii="仿宋" w:hAnsi="仿宋" w:eastAsia="仿宋" w:cs="仿宋"/>
      <w:color w:val="000000"/>
      <w:sz w:val="28"/>
      <w:szCs w:val="28"/>
      <w:u w:val="none"/>
    </w:rPr>
  </w:style>
  <w:style w:type="character" w:customStyle="1" w:styleId="121">
    <w:name w:val="font31"/>
    <w:basedOn w:val="40"/>
    <w:qFormat/>
    <w:uiPriority w:val="0"/>
    <w:rPr>
      <w:rFonts w:hint="eastAsia" w:ascii="仿宋" w:hAnsi="仿宋" w:eastAsia="仿宋" w:cs="仿宋"/>
      <w:b/>
      <w:bCs/>
      <w:color w:val="000000"/>
      <w:sz w:val="28"/>
      <w:szCs w:val="28"/>
      <w:u w:val="none"/>
    </w:rPr>
  </w:style>
  <w:style w:type="paragraph" w:customStyle="1" w:styleId="122">
    <w:name w:val="正文文本3"/>
    <w:basedOn w:val="1"/>
    <w:qFormat/>
    <w:uiPriority w:val="0"/>
    <w:pPr>
      <w:shd w:val="clear" w:color="auto" w:fill="FFFFFF"/>
      <w:spacing w:line="0" w:lineRule="atLeast"/>
    </w:pPr>
    <w:rPr>
      <w:rFonts w:ascii="宋体" w:hAnsi="宋体" w:cs="宋体"/>
      <w:sz w:val="19"/>
      <w:szCs w:val="19"/>
    </w:rPr>
  </w:style>
  <w:style w:type="character" w:customStyle="1" w:styleId="123">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24">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125">
    <w:name w:val="NormalCharacter"/>
    <w:qFormat/>
    <w:uiPriority w:val="0"/>
  </w:style>
  <w:style w:type="paragraph" w:customStyle="1" w:styleId="126">
    <w:name w:val="文一"/>
    <w:basedOn w:val="1"/>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71</Pages>
  <Words>43106</Words>
  <Characters>45878</Characters>
  <Lines>294</Lines>
  <Paragraphs>82</Paragraphs>
  <TotalTime>27</TotalTime>
  <ScaleCrop>false</ScaleCrop>
  <LinksUpToDate>false</LinksUpToDate>
  <CharactersWithSpaces>47452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2022-05-27T07:48:00Z</dcterms:created>
  <dc:creator>管理员</dc:creator>
  <cp:lastModifiedBy>杜某</cp:lastModifiedBy>
  <cp:lastPrinted>2023-09-20T10:31:00Z</cp:lastPrinted>
  <dcterms:modified xsi:type="dcterms:W3CDTF">2023-10-17T08:33:12Z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511B8FFB896A473382CE1158D2256DD5_13</vt:lpwstr>
  </property>
  <property fmtid="{D5CDD505-2E9C-101B-9397-08002B2CF9AE}" pid="4" name="commondata">
    <vt:lpwstr>eyJoZGlkIjoiYTMyMmEwODIwM2E1YTc1MGQxZTFiMTc4Nzg3M2I4MGMifQ==</vt:lpwstr>
  </property>
</Properties>
</file>