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960" w:firstLineChars="300"/>
        <w:rPr>
          <w:rStyle w:val="105"/>
          <w:rFonts w:hint="eastAsia" w:ascii="宋体" w:hAnsi="宋体" w:cs="宋体"/>
          <w:color w:val="auto"/>
          <w:sz w:val="32"/>
          <w:highlight w:val="none"/>
        </w:rPr>
      </w:pPr>
    </w:p>
    <w:p>
      <w:pPr>
        <w:pStyle w:val="13"/>
        <w:rPr>
          <w:rFonts w:hint="eastAsia"/>
          <w:color w:val="auto"/>
          <w:highlight w:val="none"/>
        </w:rPr>
      </w:pPr>
    </w:p>
    <w:p>
      <w:pPr>
        <w:widowControl w:val="0"/>
        <w:spacing w:line="360" w:lineRule="auto"/>
        <w:jc w:val="center"/>
        <w:textAlignment w:val="auto"/>
        <w:rPr>
          <w:rFonts w:hint="eastAsia" w:ascii="宋体" w:hAnsi="宋体" w:cs="宋体"/>
          <w:b/>
          <w:bCs/>
          <w:color w:val="auto"/>
          <w:spacing w:val="26"/>
          <w:sz w:val="36"/>
          <w:szCs w:val="36"/>
          <w:highlight w:val="none"/>
        </w:rPr>
      </w:pPr>
      <w:r>
        <w:rPr>
          <w:rFonts w:hint="eastAsia" w:ascii="宋体" w:hAnsi="宋体" w:cs="宋体"/>
          <w:b/>
          <w:bCs/>
          <w:color w:val="auto"/>
          <w:spacing w:val="26"/>
          <w:sz w:val="36"/>
          <w:szCs w:val="36"/>
          <w:highlight w:val="none"/>
        </w:rPr>
        <w:t>南方医科大学口腔医院（广东省口腔医院）番禺院区二楼C区及三楼A、B、C区改造项目</w:t>
      </w:r>
    </w:p>
    <w:p>
      <w:pPr>
        <w:spacing w:line="360" w:lineRule="auto"/>
        <w:rPr>
          <w:rFonts w:hint="eastAsia" w:ascii="宋体" w:hAnsi="宋体" w:cs="宋体"/>
          <w:b/>
          <w:bCs/>
          <w:color w:val="auto"/>
          <w:spacing w:val="26"/>
          <w:sz w:val="52"/>
          <w:szCs w:val="110"/>
          <w:highlight w:val="none"/>
        </w:rPr>
      </w:pPr>
    </w:p>
    <w:p>
      <w:pPr>
        <w:spacing w:line="360" w:lineRule="auto"/>
        <w:rPr>
          <w:rFonts w:hint="eastAsia" w:ascii="宋体" w:hAnsi="宋体" w:cs="宋体"/>
          <w:b/>
          <w:bCs/>
          <w:color w:val="auto"/>
          <w:spacing w:val="26"/>
          <w:sz w:val="52"/>
          <w:szCs w:val="110"/>
          <w:highlight w:val="none"/>
        </w:rPr>
      </w:pPr>
    </w:p>
    <w:p>
      <w:pPr>
        <w:pStyle w:val="13"/>
        <w:rPr>
          <w:rFonts w:hint="eastAsia"/>
          <w:color w:val="auto"/>
          <w:highlight w:val="none"/>
        </w:rPr>
      </w:pPr>
    </w:p>
    <w:p>
      <w:pPr>
        <w:spacing w:line="360" w:lineRule="auto"/>
        <w:rPr>
          <w:rFonts w:hint="eastAsia" w:ascii="宋体" w:hAnsi="宋体" w:cs="宋体"/>
          <w:b/>
          <w:bCs/>
          <w:color w:val="auto"/>
          <w:spacing w:val="26"/>
          <w:sz w:val="44"/>
          <w:szCs w:val="110"/>
          <w:highlight w:val="none"/>
        </w:rPr>
      </w:pPr>
    </w:p>
    <w:p>
      <w:pPr>
        <w:spacing w:line="360" w:lineRule="auto"/>
        <w:jc w:val="center"/>
        <w:rPr>
          <w:rFonts w:hint="eastAsia" w:ascii="宋体" w:hAnsi="宋体" w:cs="宋体"/>
          <w:b/>
          <w:bCs/>
          <w:color w:val="auto"/>
          <w:spacing w:val="26"/>
          <w:sz w:val="110"/>
          <w:szCs w:val="110"/>
          <w:highlight w:val="none"/>
        </w:rPr>
      </w:pPr>
      <w:r>
        <w:rPr>
          <w:rFonts w:hint="eastAsia" w:ascii="宋体" w:hAnsi="宋体" w:cs="宋体"/>
          <w:b/>
          <w:bCs/>
          <w:color w:val="auto"/>
          <w:spacing w:val="26"/>
          <w:sz w:val="110"/>
          <w:szCs w:val="110"/>
          <w:highlight w:val="none"/>
        </w:rPr>
        <w:t>招标文件</w:t>
      </w:r>
    </w:p>
    <w:p>
      <w:pPr>
        <w:spacing w:line="360" w:lineRule="auto"/>
        <w:ind w:firstLine="2560" w:firstLineChars="800"/>
        <w:rPr>
          <w:rFonts w:hint="eastAsia" w:ascii="宋体" w:hAnsi="宋体" w:cs="宋体"/>
          <w:color w:val="auto"/>
          <w:sz w:val="32"/>
          <w:highlight w:val="none"/>
        </w:rPr>
      </w:pPr>
    </w:p>
    <w:p>
      <w:pPr>
        <w:spacing w:line="360" w:lineRule="auto"/>
        <w:rPr>
          <w:rFonts w:hint="eastAsia" w:ascii="宋体" w:hAnsi="宋体" w:cs="宋体"/>
          <w:color w:val="auto"/>
          <w:sz w:val="52"/>
          <w:highlight w:val="none"/>
        </w:rPr>
      </w:pPr>
    </w:p>
    <w:p>
      <w:pPr>
        <w:pStyle w:val="13"/>
        <w:rPr>
          <w:rFonts w:hint="eastAsia" w:hAnsi="宋体" w:cs="宋体"/>
          <w:color w:val="auto"/>
          <w:sz w:val="52"/>
          <w:highlight w:val="none"/>
        </w:rPr>
      </w:pPr>
    </w:p>
    <w:p>
      <w:pPr>
        <w:spacing w:line="360" w:lineRule="auto"/>
        <w:rPr>
          <w:rFonts w:hint="eastAsia" w:ascii="宋体" w:hAnsi="宋体" w:cs="宋体"/>
          <w:color w:val="auto"/>
          <w:sz w:val="52"/>
          <w:highlight w:val="none"/>
        </w:rPr>
      </w:pPr>
    </w:p>
    <w:p>
      <w:pPr>
        <w:spacing w:line="360" w:lineRule="auto"/>
        <w:rPr>
          <w:rFonts w:hint="eastAsia" w:ascii="宋体" w:hAnsi="宋体" w:cs="宋体"/>
          <w:color w:val="auto"/>
          <w:sz w:val="52"/>
          <w:highlight w:val="none"/>
        </w:rPr>
      </w:pPr>
    </w:p>
    <w:p>
      <w:pPr>
        <w:autoSpaceDE w:val="0"/>
        <w:autoSpaceDN w:val="0"/>
        <w:adjustRightInd w:val="0"/>
        <w:spacing w:line="360" w:lineRule="auto"/>
        <w:ind w:firstLine="964" w:firstLineChars="300"/>
        <w:jc w:val="left"/>
        <w:rPr>
          <w:rFonts w:hint="eastAsia" w:ascii="宋体" w:hAnsi="宋体" w:cs="宋体"/>
          <w:b/>
          <w:bCs/>
          <w:color w:val="auto"/>
          <w:sz w:val="32"/>
          <w:szCs w:val="32"/>
          <w:highlight w:val="none"/>
          <w:u w:val="single"/>
        </w:rPr>
      </w:pPr>
      <w:r>
        <w:rPr>
          <w:rFonts w:hint="eastAsia" w:ascii="宋体" w:hAnsi="宋体" w:cs="宋体"/>
          <w:b/>
          <w:bCs/>
          <w:color w:val="auto"/>
          <w:sz w:val="32"/>
          <w:szCs w:val="30"/>
          <w:highlight w:val="none"/>
          <w:lang w:val="zh-CN"/>
        </w:rPr>
        <w:t>招   标   人：</w:t>
      </w:r>
      <w:r>
        <w:rPr>
          <w:rFonts w:hint="eastAsia" w:ascii="宋体" w:hAnsi="宋体" w:cs="宋体"/>
          <w:b/>
          <w:bCs/>
          <w:color w:val="auto"/>
          <w:sz w:val="32"/>
          <w:szCs w:val="32"/>
          <w:highlight w:val="none"/>
          <w:u w:val="single"/>
        </w:rPr>
        <w:t>南方医科大学口腔医院</w:t>
      </w:r>
    </w:p>
    <w:p>
      <w:pPr>
        <w:autoSpaceDE w:val="0"/>
        <w:autoSpaceDN w:val="0"/>
        <w:adjustRightInd w:val="0"/>
        <w:spacing w:line="360" w:lineRule="auto"/>
        <w:ind w:firstLine="964" w:firstLineChars="300"/>
        <w:jc w:val="left"/>
        <w:rPr>
          <w:rFonts w:hint="eastAsia" w:ascii="宋体" w:hAnsi="宋体" w:cs="宋体"/>
          <w:b/>
          <w:bCs/>
          <w:color w:val="auto"/>
          <w:sz w:val="32"/>
          <w:szCs w:val="30"/>
          <w:highlight w:val="none"/>
        </w:rPr>
      </w:pPr>
      <w:r>
        <w:rPr>
          <w:rFonts w:hint="eastAsia" w:ascii="宋体" w:hAnsi="宋体" w:cs="宋体"/>
          <w:b/>
          <w:bCs/>
          <w:color w:val="auto"/>
          <w:sz w:val="32"/>
          <w:szCs w:val="30"/>
          <w:highlight w:val="none"/>
          <w:lang w:val="zh-CN"/>
        </w:rPr>
        <w:t>招标代理机构：</w:t>
      </w:r>
      <w:r>
        <w:rPr>
          <w:rFonts w:hint="eastAsia" w:ascii="宋体" w:hAnsi="宋体" w:cs="宋体"/>
          <w:b/>
          <w:bCs/>
          <w:color w:val="auto"/>
          <w:sz w:val="32"/>
          <w:szCs w:val="32"/>
          <w:highlight w:val="none"/>
          <w:u w:val="single"/>
        </w:rPr>
        <w:t>广州市国科招标代理有限公司</w:t>
      </w:r>
    </w:p>
    <w:p>
      <w:pPr>
        <w:spacing w:line="360" w:lineRule="auto"/>
        <w:ind w:firstLine="964" w:firstLineChars="300"/>
        <w:rPr>
          <w:rFonts w:hint="eastAsia" w:ascii="宋体" w:hAnsi="宋体" w:cs="宋体"/>
          <w:color w:val="auto"/>
          <w:sz w:val="32"/>
          <w:highlight w:val="none"/>
        </w:rPr>
      </w:pPr>
      <w:r>
        <w:rPr>
          <w:rFonts w:hint="eastAsia" w:ascii="宋体" w:hAnsi="宋体" w:cs="宋体"/>
          <w:b/>
          <w:bCs/>
          <w:color w:val="auto"/>
          <w:sz w:val="32"/>
          <w:szCs w:val="30"/>
          <w:highlight w:val="none"/>
          <w:lang w:val="zh-CN"/>
        </w:rPr>
        <w:t>日        期：</w:t>
      </w:r>
      <w:r>
        <w:rPr>
          <w:rFonts w:hint="eastAsia" w:ascii="宋体" w:hAnsi="宋体" w:cs="宋体"/>
          <w:b/>
          <w:bCs/>
          <w:color w:val="auto"/>
          <w:sz w:val="32"/>
          <w:szCs w:val="30"/>
          <w:highlight w:val="none"/>
          <w:u w:val="single"/>
          <w:lang w:val="zh-CN"/>
        </w:rPr>
        <w:t>202</w:t>
      </w:r>
      <w:r>
        <w:rPr>
          <w:rFonts w:hint="eastAsia" w:ascii="宋体" w:hAnsi="宋体" w:cs="宋体"/>
          <w:b/>
          <w:bCs/>
          <w:color w:val="auto"/>
          <w:sz w:val="32"/>
          <w:szCs w:val="30"/>
          <w:highlight w:val="none"/>
          <w:u w:val="single"/>
        </w:rPr>
        <w:t>3</w:t>
      </w:r>
      <w:r>
        <w:rPr>
          <w:rFonts w:hint="eastAsia" w:ascii="宋体" w:hAnsi="宋体" w:cs="宋体"/>
          <w:b/>
          <w:bCs/>
          <w:color w:val="auto"/>
          <w:sz w:val="32"/>
          <w:szCs w:val="30"/>
          <w:highlight w:val="none"/>
          <w:lang w:val="zh-CN"/>
        </w:rPr>
        <w:t>年</w:t>
      </w:r>
      <w:r>
        <w:rPr>
          <w:rFonts w:hint="eastAsia" w:ascii="宋体" w:hAnsi="宋体" w:cs="宋体"/>
          <w:b/>
          <w:bCs/>
          <w:color w:val="auto"/>
          <w:sz w:val="32"/>
          <w:szCs w:val="30"/>
          <w:highlight w:val="none"/>
          <w:u w:val="single"/>
          <w:lang w:val="en-US" w:eastAsia="zh-CN"/>
        </w:rPr>
        <w:t>10</w:t>
      </w:r>
      <w:r>
        <w:rPr>
          <w:rFonts w:hint="eastAsia" w:ascii="宋体" w:hAnsi="宋体" w:cs="宋体"/>
          <w:b/>
          <w:bCs/>
          <w:color w:val="auto"/>
          <w:sz w:val="32"/>
          <w:szCs w:val="30"/>
          <w:highlight w:val="none"/>
          <w:lang w:val="zh-CN"/>
        </w:rPr>
        <w:t>月</w:t>
      </w:r>
    </w:p>
    <w:p>
      <w:pPr>
        <w:spacing w:line="360" w:lineRule="auto"/>
        <w:ind w:firstLine="960" w:firstLineChars="300"/>
        <w:rPr>
          <w:rStyle w:val="105"/>
          <w:rFonts w:hint="eastAsia" w:ascii="宋体" w:hAnsi="宋体" w:cs="宋体"/>
          <w:color w:val="auto"/>
          <w:sz w:val="32"/>
          <w:highlight w:val="none"/>
        </w:rPr>
      </w:pPr>
    </w:p>
    <w:p>
      <w:pPr>
        <w:spacing w:line="360" w:lineRule="auto"/>
        <w:ind w:firstLine="632" w:firstLineChars="300"/>
        <w:jc w:val="center"/>
        <w:rPr>
          <w:rStyle w:val="32"/>
          <w:rFonts w:hint="eastAsia" w:ascii="宋体" w:hAnsi="宋体" w:eastAsia="宋体" w:cs="宋体"/>
          <w:b/>
          <w:bCs/>
          <w:color w:val="auto"/>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418" w:right="1701" w:bottom="1418" w:left="1701" w:header="851" w:footer="907" w:gutter="0"/>
          <w:pgNumType w:start="0"/>
          <w:cols w:space="720" w:num="1"/>
          <w:titlePg/>
          <w:docGrid w:type="lines" w:linePitch="312" w:charSpace="0"/>
        </w:sectPr>
      </w:pPr>
      <w:bookmarkStart w:id="47" w:name="_GoBack"/>
      <w:bookmarkEnd w:id="47"/>
    </w:p>
    <w:p>
      <w:pPr>
        <w:spacing w:line="360" w:lineRule="auto"/>
        <w:ind w:firstLine="632" w:firstLineChars="300"/>
        <w:jc w:val="center"/>
        <w:rPr>
          <w:rStyle w:val="32"/>
          <w:rFonts w:hint="eastAsia" w:ascii="宋体" w:hAnsi="宋体" w:eastAsia="宋体" w:cs="宋体"/>
          <w:b/>
          <w:bCs/>
          <w:color w:val="auto"/>
          <w:highlight w:val="none"/>
        </w:rPr>
      </w:pPr>
    </w:p>
    <w:p>
      <w:pPr>
        <w:spacing w:line="480" w:lineRule="auto"/>
        <w:jc w:val="center"/>
        <w:rPr>
          <w:rStyle w:val="32"/>
          <w:rFonts w:hint="eastAsia" w:ascii="宋体" w:hAnsi="宋体" w:eastAsia="宋体" w:cs="宋体"/>
          <w:b/>
          <w:bCs/>
          <w:color w:val="auto"/>
          <w:sz w:val="28"/>
          <w:szCs w:val="28"/>
          <w:highlight w:val="none"/>
        </w:rPr>
      </w:pPr>
      <w:r>
        <w:rPr>
          <w:rStyle w:val="32"/>
          <w:rFonts w:hint="eastAsia" w:ascii="宋体" w:hAnsi="宋体" w:eastAsia="宋体" w:cs="宋体"/>
          <w:b/>
          <w:bCs/>
          <w:color w:val="auto"/>
          <w:sz w:val="28"/>
          <w:szCs w:val="28"/>
          <w:highlight w:val="none"/>
        </w:rPr>
        <w:t>目录</w:t>
      </w:r>
    </w:p>
    <w:p>
      <w:pPr>
        <w:pStyle w:val="18"/>
        <w:tabs>
          <w:tab w:val="right" w:leader="dot" w:pos="9060"/>
        </w:tabs>
        <w:spacing w:line="480" w:lineRule="auto"/>
        <w:rPr>
          <w:rFonts w:hint="eastAsia" w:ascii="宋体" w:hAnsi="宋体" w:cs="宋体"/>
          <w:color w:val="auto"/>
          <w:highlight w:val="none"/>
          <w:lang w:val="en-US" w:eastAsia="zh-CN"/>
        </w:rPr>
      </w:pPr>
      <w:r>
        <w:rPr>
          <w:rFonts w:hint="eastAsia" w:ascii="宋体" w:hAnsi="宋体" w:cs="宋体"/>
          <w:color w:val="auto"/>
          <w:sz w:val="32"/>
          <w:highlight w:val="none"/>
        </w:rPr>
        <w:fldChar w:fldCharType="begin"/>
      </w:r>
      <w:r>
        <w:rPr>
          <w:rFonts w:hint="eastAsia" w:ascii="宋体" w:hAnsi="宋体" w:cs="宋体"/>
          <w:color w:val="auto"/>
          <w:sz w:val="32"/>
          <w:highlight w:val="none"/>
        </w:rPr>
        <w:instrText xml:space="preserve"> TOC \o "1-3" \h \z \u </w:instrText>
      </w:r>
      <w:r>
        <w:rPr>
          <w:rFonts w:hint="eastAsia" w:ascii="宋体" w:hAnsi="宋体" w:cs="宋体"/>
          <w:color w:val="auto"/>
          <w:sz w:val="32"/>
          <w:highlight w:val="none"/>
        </w:rPr>
        <w:fldChar w:fldCharType="separate"/>
      </w:r>
      <w:r>
        <w:rPr>
          <w:color w:val="auto"/>
          <w:highlight w:val="none"/>
        </w:rPr>
        <w:fldChar w:fldCharType="begin"/>
      </w:r>
      <w:r>
        <w:rPr>
          <w:color w:val="auto"/>
          <w:highlight w:val="none"/>
        </w:rPr>
        <w:instrText xml:space="preserve"> HYPERLINK \l "_Toc105014619" </w:instrText>
      </w:r>
      <w:r>
        <w:rPr>
          <w:color w:val="auto"/>
          <w:highlight w:val="none"/>
        </w:rPr>
        <w:fldChar w:fldCharType="separate"/>
      </w:r>
      <w:r>
        <w:rPr>
          <w:rStyle w:val="32"/>
          <w:rFonts w:hint="eastAsia" w:ascii="宋体" w:hAnsi="宋体" w:eastAsia="宋体" w:cs="宋体"/>
          <w:color w:val="auto"/>
          <w:highlight w:val="none"/>
          <w:lang w:val="en-US" w:eastAsia="zh-CN"/>
        </w:rPr>
        <w:t>第一章  投标须知</w:t>
      </w:r>
      <w:r>
        <w:rPr>
          <w:rFonts w:hint="eastAsia" w:ascii="宋体" w:hAnsi="宋体" w:cs="宋体"/>
          <w:color w:val="auto"/>
          <w:highlight w:val="none"/>
          <w:lang w:val="en-US" w:eastAsia="zh-CN"/>
        </w:rPr>
        <w:tab/>
      </w:r>
      <w:r>
        <w:rPr>
          <w:rFonts w:hint="eastAsia" w:ascii="宋体" w:hAnsi="宋体" w:cs="宋体"/>
          <w:color w:val="auto"/>
          <w:highlight w:val="none"/>
          <w:lang w:val="en-US" w:eastAsia="zh-CN"/>
        </w:rPr>
        <w:fldChar w:fldCharType="begin"/>
      </w:r>
      <w:r>
        <w:rPr>
          <w:rFonts w:hint="eastAsia" w:ascii="宋体" w:hAnsi="宋体" w:cs="宋体"/>
          <w:color w:val="auto"/>
          <w:highlight w:val="none"/>
          <w:lang w:val="en-US" w:eastAsia="zh-CN"/>
        </w:rPr>
        <w:instrText xml:space="preserve"> PAGEREF _Toc105014619 \h </w:instrText>
      </w:r>
      <w:r>
        <w:rPr>
          <w:rFonts w:hint="eastAsia" w:ascii="宋体" w:hAnsi="宋体" w:cs="宋体"/>
          <w:color w:val="auto"/>
          <w:highlight w:val="none"/>
          <w:lang w:val="en-US" w:eastAsia="zh-CN"/>
        </w:rPr>
        <w:fldChar w:fldCharType="separate"/>
      </w:r>
      <w:r>
        <w:rPr>
          <w:rFonts w:hint="eastAsia" w:ascii="宋体" w:hAnsi="宋体" w:cs="宋体"/>
          <w:color w:val="auto"/>
          <w:highlight w:val="none"/>
          <w:lang w:val="en-US" w:eastAsia="zh-CN"/>
        </w:rPr>
        <w:t>2</w:t>
      </w:r>
      <w:r>
        <w:rPr>
          <w:rFonts w:hint="eastAsia" w:ascii="宋体" w:hAnsi="宋体" w:cs="宋体"/>
          <w:color w:val="auto"/>
          <w:highlight w:val="none"/>
          <w:lang w:val="en-US" w:eastAsia="zh-CN"/>
        </w:rPr>
        <w:fldChar w:fldCharType="end"/>
      </w:r>
      <w:r>
        <w:rPr>
          <w:rFonts w:hint="eastAsia" w:ascii="宋体" w:hAnsi="宋体" w:cs="宋体"/>
          <w:color w:val="auto"/>
          <w:highlight w:val="none"/>
          <w:lang w:val="en-US" w:eastAsia="zh-CN"/>
        </w:rPr>
        <w:fldChar w:fldCharType="end"/>
      </w:r>
    </w:p>
    <w:p>
      <w:pPr>
        <w:pStyle w:val="21"/>
        <w:tabs>
          <w:tab w:val="right" w:leader="dot" w:pos="9060"/>
        </w:tabs>
        <w:spacing w:line="480" w:lineRule="auto"/>
        <w:rPr>
          <w:rFonts w:hint="eastAsia" w:ascii="宋体" w:hAnsi="宋体" w:cs="宋体"/>
          <w:color w:val="auto"/>
          <w:highlight w:val="none"/>
          <w:lang w:val="en-US" w:eastAsia="zh-CN"/>
        </w:rPr>
      </w:pPr>
      <w:r>
        <w:rPr>
          <w:color w:val="auto"/>
          <w:highlight w:val="none"/>
        </w:rPr>
        <w:fldChar w:fldCharType="begin"/>
      </w:r>
      <w:r>
        <w:rPr>
          <w:color w:val="auto"/>
          <w:highlight w:val="none"/>
        </w:rPr>
        <w:instrText xml:space="preserve"> HYPERLINK \l "_Toc105014620" </w:instrText>
      </w:r>
      <w:r>
        <w:rPr>
          <w:color w:val="auto"/>
          <w:highlight w:val="none"/>
        </w:rPr>
        <w:fldChar w:fldCharType="separate"/>
      </w:r>
      <w:r>
        <w:rPr>
          <w:rStyle w:val="32"/>
          <w:rFonts w:hint="eastAsia" w:ascii="宋体" w:hAnsi="宋体" w:eastAsia="宋体" w:cs="宋体"/>
          <w:b/>
          <w:color w:val="auto"/>
          <w:highlight w:val="none"/>
          <w:lang w:val="en-US" w:eastAsia="zh-CN"/>
        </w:rPr>
        <w:t>一、投标须知前附表</w:t>
      </w:r>
      <w:r>
        <w:rPr>
          <w:rFonts w:hint="eastAsia" w:ascii="宋体" w:hAnsi="宋体" w:cs="宋体"/>
          <w:color w:val="auto"/>
          <w:highlight w:val="none"/>
          <w:lang w:val="en-US" w:eastAsia="zh-CN"/>
        </w:rPr>
        <w:tab/>
      </w:r>
      <w:r>
        <w:rPr>
          <w:rFonts w:hint="eastAsia" w:ascii="宋体" w:hAnsi="宋体" w:cs="宋体"/>
          <w:color w:val="auto"/>
          <w:highlight w:val="none"/>
          <w:lang w:val="en-US" w:eastAsia="zh-CN"/>
        </w:rPr>
        <w:fldChar w:fldCharType="begin"/>
      </w:r>
      <w:r>
        <w:rPr>
          <w:rFonts w:hint="eastAsia" w:ascii="宋体" w:hAnsi="宋体" w:cs="宋体"/>
          <w:color w:val="auto"/>
          <w:highlight w:val="none"/>
          <w:lang w:val="en-US" w:eastAsia="zh-CN"/>
        </w:rPr>
        <w:instrText xml:space="preserve"> PAGEREF _Toc105014620 \h </w:instrText>
      </w:r>
      <w:r>
        <w:rPr>
          <w:rFonts w:hint="eastAsia" w:ascii="宋体" w:hAnsi="宋体" w:cs="宋体"/>
          <w:color w:val="auto"/>
          <w:highlight w:val="none"/>
          <w:lang w:val="en-US" w:eastAsia="zh-CN"/>
        </w:rPr>
        <w:fldChar w:fldCharType="separate"/>
      </w:r>
      <w:r>
        <w:rPr>
          <w:rFonts w:hint="eastAsia" w:ascii="宋体" w:hAnsi="宋体" w:cs="宋体"/>
          <w:color w:val="auto"/>
          <w:highlight w:val="none"/>
          <w:lang w:val="en-US" w:eastAsia="zh-CN"/>
        </w:rPr>
        <w:t>2</w:t>
      </w:r>
      <w:r>
        <w:rPr>
          <w:rFonts w:hint="eastAsia" w:ascii="宋体" w:hAnsi="宋体" w:cs="宋体"/>
          <w:color w:val="auto"/>
          <w:highlight w:val="none"/>
          <w:lang w:val="en-US" w:eastAsia="zh-CN"/>
        </w:rPr>
        <w:fldChar w:fldCharType="end"/>
      </w:r>
      <w:r>
        <w:rPr>
          <w:rFonts w:hint="eastAsia" w:ascii="宋体" w:hAnsi="宋体" w:cs="宋体"/>
          <w:color w:val="auto"/>
          <w:highlight w:val="none"/>
          <w:lang w:val="en-US" w:eastAsia="zh-CN"/>
        </w:rPr>
        <w:fldChar w:fldCharType="end"/>
      </w:r>
    </w:p>
    <w:p>
      <w:pPr>
        <w:pStyle w:val="21"/>
        <w:tabs>
          <w:tab w:val="right" w:leader="dot" w:pos="9060"/>
        </w:tabs>
        <w:spacing w:line="480" w:lineRule="auto"/>
        <w:rPr>
          <w:rFonts w:hint="eastAsia" w:ascii="宋体" w:hAnsi="宋体" w:cs="宋体"/>
          <w:color w:val="auto"/>
          <w:highlight w:val="none"/>
          <w:lang w:val="en-US" w:eastAsia="zh-CN"/>
        </w:rPr>
      </w:pPr>
      <w:r>
        <w:rPr>
          <w:color w:val="auto"/>
          <w:highlight w:val="none"/>
        </w:rPr>
        <w:fldChar w:fldCharType="begin"/>
      </w:r>
      <w:r>
        <w:rPr>
          <w:color w:val="auto"/>
          <w:highlight w:val="none"/>
        </w:rPr>
        <w:instrText xml:space="preserve"> HYPERLINK \l "_Toc105014622" </w:instrText>
      </w:r>
      <w:r>
        <w:rPr>
          <w:color w:val="auto"/>
          <w:highlight w:val="none"/>
        </w:rPr>
        <w:fldChar w:fldCharType="separate"/>
      </w:r>
      <w:r>
        <w:rPr>
          <w:rStyle w:val="32"/>
          <w:rFonts w:hint="eastAsia" w:ascii="宋体" w:hAnsi="宋体" w:eastAsia="宋体" w:cs="宋体"/>
          <w:b/>
          <w:color w:val="auto"/>
          <w:highlight w:val="none"/>
          <w:lang w:val="en-US" w:eastAsia="zh-CN"/>
        </w:rPr>
        <w:t>二、投标须知修改表</w:t>
      </w:r>
      <w:r>
        <w:rPr>
          <w:rFonts w:hint="eastAsia" w:ascii="宋体" w:hAnsi="宋体" w:cs="宋体"/>
          <w:color w:val="auto"/>
          <w:highlight w:val="none"/>
          <w:lang w:val="en-US" w:eastAsia="zh-CN"/>
        </w:rPr>
        <w:tab/>
      </w:r>
      <w:r>
        <w:rPr>
          <w:rFonts w:hint="eastAsia" w:ascii="宋体" w:hAnsi="宋体" w:cs="宋体"/>
          <w:color w:val="auto"/>
          <w:highlight w:val="none"/>
          <w:lang w:val="en-US" w:eastAsia="zh-CN"/>
        </w:rPr>
        <w:fldChar w:fldCharType="begin"/>
      </w:r>
      <w:r>
        <w:rPr>
          <w:rFonts w:hint="eastAsia" w:ascii="宋体" w:hAnsi="宋体" w:cs="宋体"/>
          <w:color w:val="auto"/>
          <w:highlight w:val="none"/>
          <w:lang w:val="en-US" w:eastAsia="zh-CN"/>
        </w:rPr>
        <w:instrText xml:space="preserve"> PAGEREF _Toc105014622 \h </w:instrText>
      </w:r>
      <w:r>
        <w:rPr>
          <w:rFonts w:hint="eastAsia" w:ascii="宋体" w:hAnsi="宋体" w:cs="宋体"/>
          <w:color w:val="auto"/>
          <w:highlight w:val="none"/>
          <w:lang w:val="en-US" w:eastAsia="zh-CN"/>
        </w:rPr>
        <w:fldChar w:fldCharType="separate"/>
      </w:r>
      <w:r>
        <w:rPr>
          <w:rFonts w:hint="eastAsia" w:ascii="宋体" w:hAnsi="宋体" w:cs="宋体"/>
          <w:color w:val="auto"/>
          <w:highlight w:val="none"/>
          <w:lang w:val="en-US" w:eastAsia="zh-CN"/>
        </w:rPr>
        <w:t>7</w:t>
      </w:r>
      <w:r>
        <w:rPr>
          <w:rFonts w:hint="eastAsia" w:ascii="宋体" w:hAnsi="宋体" w:cs="宋体"/>
          <w:color w:val="auto"/>
          <w:highlight w:val="none"/>
          <w:lang w:val="en-US" w:eastAsia="zh-CN"/>
        </w:rPr>
        <w:fldChar w:fldCharType="end"/>
      </w:r>
      <w:r>
        <w:rPr>
          <w:rFonts w:hint="eastAsia" w:ascii="宋体" w:hAnsi="宋体" w:cs="宋体"/>
          <w:color w:val="auto"/>
          <w:highlight w:val="none"/>
          <w:lang w:val="en-US" w:eastAsia="zh-CN"/>
        </w:rPr>
        <w:fldChar w:fldCharType="end"/>
      </w:r>
    </w:p>
    <w:p>
      <w:pPr>
        <w:pStyle w:val="21"/>
        <w:tabs>
          <w:tab w:val="right" w:leader="dot" w:pos="9060"/>
        </w:tabs>
        <w:spacing w:line="480" w:lineRule="auto"/>
        <w:rPr>
          <w:rFonts w:hint="eastAsia" w:ascii="宋体" w:hAnsi="宋体" w:cs="宋体"/>
          <w:color w:val="auto"/>
          <w:highlight w:val="none"/>
          <w:lang w:val="en-US" w:eastAsia="zh-CN"/>
        </w:rPr>
      </w:pPr>
      <w:r>
        <w:rPr>
          <w:color w:val="auto"/>
          <w:highlight w:val="none"/>
        </w:rPr>
        <w:fldChar w:fldCharType="begin"/>
      </w:r>
      <w:r>
        <w:rPr>
          <w:color w:val="auto"/>
          <w:highlight w:val="none"/>
        </w:rPr>
        <w:instrText xml:space="preserve"> HYPERLINK \l "_Toc105014623" </w:instrText>
      </w:r>
      <w:r>
        <w:rPr>
          <w:color w:val="auto"/>
          <w:highlight w:val="none"/>
        </w:rPr>
        <w:fldChar w:fldCharType="separate"/>
      </w:r>
      <w:r>
        <w:rPr>
          <w:rStyle w:val="32"/>
          <w:rFonts w:hint="eastAsia" w:ascii="宋体" w:hAnsi="宋体" w:eastAsia="宋体" w:cs="宋体"/>
          <w:b/>
          <w:color w:val="auto"/>
          <w:highlight w:val="none"/>
          <w:lang w:val="en-US" w:eastAsia="zh-CN"/>
        </w:rPr>
        <w:t>三、投标须知通用条款</w:t>
      </w:r>
      <w:r>
        <w:rPr>
          <w:rFonts w:hint="eastAsia" w:ascii="宋体" w:hAnsi="宋体" w:cs="宋体"/>
          <w:color w:val="auto"/>
          <w:highlight w:val="none"/>
          <w:lang w:val="en-US" w:eastAsia="zh-CN"/>
        </w:rPr>
        <w:tab/>
      </w:r>
      <w:r>
        <w:rPr>
          <w:rFonts w:hint="eastAsia" w:ascii="宋体" w:hAnsi="宋体" w:cs="宋体"/>
          <w:color w:val="auto"/>
          <w:highlight w:val="none"/>
          <w:lang w:val="en-US" w:eastAsia="zh-CN"/>
        </w:rPr>
        <w:fldChar w:fldCharType="begin"/>
      </w:r>
      <w:r>
        <w:rPr>
          <w:rFonts w:hint="eastAsia" w:ascii="宋体" w:hAnsi="宋体" w:cs="宋体"/>
          <w:color w:val="auto"/>
          <w:highlight w:val="none"/>
          <w:lang w:val="en-US" w:eastAsia="zh-CN"/>
        </w:rPr>
        <w:instrText xml:space="preserve"> PAGEREF _Toc105014623 \h </w:instrText>
      </w:r>
      <w:r>
        <w:rPr>
          <w:rFonts w:hint="eastAsia" w:ascii="宋体" w:hAnsi="宋体" w:cs="宋体"/>
          <w:color w:val="auto"/>
          <w:highlight w:val="none"/>
          <w:lang w:val="en-US" w:eastAsia="zh-CN"/>
        </w:rPr>
        <w:fldChar w:fldCharType="separate"/>
      </w:r>
      <w:r>
        <w:rPr>
          <w:rFonts w:hint="eastAsia" w:ascii="宋体" w:hAnsi="宋体" w:cs="宋体"/>
          <w:color w:val="auto"/>
          <w:highlight w:val="none"/>
          <w:lang w:val="en-US" w:eastAsia="zh-CN"/>
        </w:rPr>
        <w:t>20</w:t>
      </w:r>
      <w:r>
        <w:rPr>
          <w:rFonts w:hint="eastAsia" w:ascii="宋体" w:hAnsi="宋体" w:cs="宋体"/>
          <w:color w:val="auto"/>
          <w:highlight w:val="none"/>
          <w:lang w:val="en-US" w:eastAsia="zh-CN"/>
        </w:rPr>
        <w:fldChar w:fldCharType="end"/>
      </w:r>
      <w:r>
        <w:rPr>
          <w:rFonts w:hint="eastAsia" w:ascii="宋体" w:hAnsi="宋体" w:cs="宋体"/>
          <w:color w:val="auto"/>
          <w:highlight w:val="none"/>
          <w:lang w:val="en-US" w:eastAsia="zh-CN"/>
        </w:rPr>
        <w:fldChar w:fldCharType="end"/>
      </w:r>
    </w:p>
    <w:p>
      <w:pPr>
        <w:pStyle w:val="18"/>
        <w:tabs>
          <w:tab w:val="right" w:leader="dot" w:pos="9060"/>
        </w:tabs>
        <w:spacing w:line="480" w:lineRule="auto"/>
        <w:rPr>
          <w:rFonts w:hint="eastAsia" w:ascii="宋体" w:hAnsi="宋体" w:cs="宋体"/>
          <w:color w:val="auto"/>
          <w:highlight w:val="none"/>
          <w:lang w:val="en-US" w:eastAsia="zh-CN"/>
        </w:rPr>
      </w:pPr>
      <w:r>
        <w:rPr>
          <w:color w:val="auto"/>
          <w:highlight w:val="none"/>
        </w:rPr>
        <w:fldChar w:fldCharType="begin"/>
      </w:r>
      <w:r>
        <w:rPr>
          <w:color w:val="auto"/>
          <w:highlight w:val="none"/>
        </w:rPr>
        <w:instrText xml:space="preserve"> HYPERLINK \l "_Toc105014629" </w:instrText>
      </w:r>
      <w:r>
        <w:rPr>
          <w:color w:val="auto"/>
          <w:highlight w:val="none"/>
        </w:rPr>
        <w:fldChar w:fldCharType="separate"/>
      </w:r>
      <w:r>
        <w:rPr>
          <w:rStyle w:val="32"/>
          <w:rFonts w:hint="eastAsia" w:ascii="宋体" w:hAnsi="宋体" w:eastAsia="宋体" w:cs="宋体"/>
          <w:color w:val="auto"/>
          <w:highlight w:val="none"/>
          <w:lang w:val="en-US" w:eastAsia="zh-CN"/>
        </w:rPr>
        <w:t>第二章  开标、评标及定标办法</w:t>
      </w:r>
      <w:r>
        <w:rPr>
          <w:rFonts w:hint="eastAsia" w:ascii="宋体" w:hAnsi="宋体" w:cs="宋体"/>
          <w:color w:val="auto"/>
          <w:highlight w:val="none"/>
          <w:lang w:val="en-US" w:eastAsia="zh-CN"/>
        </w:rPr>
        <w:tab/>
      </w:r>
      <w:r>
        <w:rPr>
          <w:rFonts w:hint="eastAsia" w:ascii="宋体" w:hAnsi="宋体" w:cs="宋体"/>
          <w:color w:val="auto"/>
          <w:highlight w:val="none"/>
          <w:lang w:val="en-US" w:eastAsia="zh-CN"/>
        </w:rPr>
        <w:fldChar w:fldCharType="begin"/>
      </w:r>
      <w:r>
        <w:rPr>
          <w:rFonts w:hint="eastAsia" w:ascii="宋体" w:hAnsi="宋体" w:cs="宋体"/>
          <w:color w:val="auto"/>
          <w:highlight w:val="none"/>
          <w:lang w:val="en-US" w:eastAsia="zh-CN"/>
        </w:rPr>
        <w:instrText xml:space="preserve"> PAGEREF _Toc105014629 \h </w:instrText>
      </w:r>
      <w:r>
        <w:rPr>
          <w:rFonts w:hint="eastAsia" w:ascii="宋体" w:hAnsi="宋体" w:cs="宋体"/>
          <w:color w:val="auto"/>
          <w:highlight w:val="none"/>
          <w:lang w:val="en-US" w:eastAsia="zh-CN"/>
        </w:rPr>
        <w:fldChar w:fldCharType="separate"/>
      </w:r>
      <w:r>
        <w:rPr>
          <w:rFonts w:hint="eastAsia" w:ascii="宋体" w:hAnsi="宋体" w:cs="宋体"/>
          <w:color w:val="auto"/>
          <w:highlight w:val="none"/>
          <w:lang w:val="en-US" w:eastAsia="zh-CN"/>
        </w:rPr>
        <w:t>30</w:t>
      </w:r>
      <w:r>
        <w:rPr>
          <w:rFonts w:hint="eastAsia" w:ascii="宋体" w:hAnsi="宋体" w:cs="宋体"/>
          <w:color w:val="auto"/>
          <w:highlight w:val="none"/>
          <w:lang w:val="en-US" w:eastAsia="zh-CN"/>
        </w:rPr>
        <w:fldChar w:fldCharType="end"/>
      </w:r>
      <w:r>
        <w:rPr>
          <w:rFonts w:hint="eastAsia" w:ascii="宋体" w:hAnsi="宋体" w:cs="宋体"/>
          <w:color w:val="auto"/>
          <w:highlight w:val="none"/>
          <w:lang w:val="en-US" w:eastAsia="zh-CN"/>
        </w:rPr>
        <w:fldChar w:fldCharType="end"/>
      </w:r>
    </w:p>
    <w:p>
      <w:pPr>
        <w:pStyle w:val="21"/>
        <w:tabs>
          <w:tab w:val="right" w:leader="dot" w:pos="9060"/>
        </w:tabs>
        <w:spacing w:line="480" w:lineRule="auto"/>
        <w:rPr>
          <w:rFonts w:hint="eastAsia" w:ascii="宋体" w:hAnsi="宋体" w:cs="宋体"/>
          <w:color w:val="auto"/>
          <w:highlight w:val="none"/>
          <w:lang w:val="en-US" w:eastAsia="zh-CN"/>
        </w:rPr>
      </w:pPr>
      <w:r>
        <w:rPr>
          <w:color w:val="auto"/>
          <w:highlight w:val="none"/>
        </w:rPr>
        <w:fldChar w:fldCharType="begin"/>
      </w:r>
      <w:r>
        <w:rPr>
          <w:color w:val="auto"/>
          <w:highlight w:val="none"/>
        </w:rPr>
        <w:instrText xml:space="preserve"> HYPERLINK \l "_Toc105014630" </w:instrText>
      </w:r>
      <w:r>
        <w:rPr>
          <w:color w:val="auto"/>
          <w:highlight w:val="none"/>
        </w:rPr>
        <w:fldChar w:fldCharType="separate"/>
      </w:r>
      <w:r>
        <w:rPr>
          <w:rStyle w:val="32"/>
          <w:rFonts w:hint="eastAsia" w:ascii="宋体" w:hAnsi="宋体" w:eastAsia="宋体" w:cs="宋体"/>
          <w:b/>
          <w:color w:val="auto"/>
          <w:highlight w:val="none"/>
          <w:lang w:val="en-US" w:eastAsia="zh-CN"/>
        </w:rPr>
        <w:t>一、开标、评标及定标办法修改表</w:t>
      </w:r>
      <w:r>
        <w:rPr>
          <w:rFonts w:hint="eastAsia" w:ascii="宋体" w:hAnsi="宋体" w:cs="宋体"/>
          <w:color w:val="auto"/>
          <w:highlight w:val="none"/>
          <w:lang w:val="en-US" w:eastAsia="zh-CN"/>
        </w:rPr>
        <w:tab/>
      </w:r>
      <w:r>
        <w:rPr>
          <w:rFonts w:hint="eastAsia" w:ascii="宋体" w:hAnsi="宋体" w:cs="宋体"/>
          <w:color w:val="auto"/>
          <w:highlight w:val="none"/>
          <w:lang w:val="en-US" w:eastAsia="zh-CN"/>
        </w:rPr>
        <w:fldChar w:fldCharType="begin"/>
      </w:r>
      <w:r>
        <w:rPr>
          <w:rFonts w:hint="eastAsia" w:ascii="宋体" w:hAnsi="宋体" w:cs="宋体"/>
          <w:color w:val="auto"/>
          <w:highlight w:val="none"/>
          <w:lang w:val="en-US" w:eastAsia="zh-CN"/>
        </w:rPr>
        <w:instrText xml:space="preserve"> PAGEREF _Toc105014630 \h </w:instrText>
      </w:r>
      <w:r>
        <w:rPr>
          <w:rFonts w:hint="eastAsia" w:ascii="宋体" w:hAnsi="宋体" w:cs="宋体"/>
          <w:color w:val="auto"/>
          <w:highlight w:val="none"/>
          <w:lang w:val="en-US" w:eastAsia="zh-CN"/>
        </w:rPr>
        <w:fldChar w:fldCharType="separate"/>
      </w:r>
      <w:r>
        <w:rPr>
          <w:rFonts w:hint="eastAsia" w:ascii="宋体" w:hAnsi="宋体" w:cs="宋体"/>
          <w:color w:val="auto"/>
          <w:highlight w:val="none"/>
          <w:lang w:val="en-US" w:eastAsia="zh-CN"/>
        </w:rPr>
        <w:t>30</w:t>
      </w:r>
      <w:r>
        <w:rPr>
          <w:rFonts w:hint="eastAsia" w:ascii="宋体" w:hAnsi="宋体" w:cs="宋体"/>
          <w:color w:val="auto"/>
          <w:highlight w:val="none"/>
          <w:lang w:val="en-US" w:eastAsia="zh-CN"/>
        </w:rPr>
        <w:fldChar w:fldCharType="end"/>
      </w:r>
      <w:r>
        <w:rPr>
          <w:rFonts w:hint="eastAsia" w:ascii="宋体" w:hAnsi="宋体" w:cs="宋体"/>
          <w:color w:val="auto"/>
          <w:highlight w:val="none"/>
          <w:lang w:val="en-US" w:eastAsia="zh-CN"/>
        </w:rPr>
        <w:fldChar w:fldCharType="end"/>
      </w:r>
    </w:p>
    <w:p>
      <w:pPr>
        <w:pStyle w:val="21"/>
        <w:tabs>
          <w:tab w:val="right" w:leader="dot" w:pos="9060"/>
        </w:tabs>
        <w:spacing w:line="480" w:lineRule="auto"/>
        <w:rPr>
          <w:rFonts w:hint="eastAsia" w:ascii="宋体" w:hAnsi="宋体" w:cs="宋体"/>
          <w:color w:val="auto"/>
          <w:highlight w:val="none"/>
          <w:lang w:val="en-US" w:eastAsia="zh-CN"/>
        </w:rPr>
      </w:pPr>
      <w:r>
        <w:rPr>
          <w:color w:val="auto"/>
          <w:highlight w:val="none"/>
        </w:rPr>
        <w:fldChar w:fldCharType="begin"/>
      </w:r>
      <w:r>
        <w:rPr>
          <w:color w:val="auto"/>
          <w:highlight w:val="none"/>
        </w:rPr>
        <w:instrText xml:space="preserve"> HYPERLINK \l "_Toc105014631" </w:instrText>
      </w:r>
      <w:r>
        <w:rPr>
          <w:color w:val="auto"/>
          <w:highlight w:val="none"/>
        </w:rPr>
        <w:fldChar w:fldCharType="separate"/>
      </w:r>
      <w:r>
        <w:rPr>
          <w:rStyle w:val="32"/>
          <w:rFonts w:hint="eastAsia" w:ascii="宋体" w:hAnsi="宋体" w:eastAsia="宋体" w:cs="宋体"/>
          <w:b/>
          <w:color w:val="auto"/>
          <w:highlight w:val="none"/>
          <w:lang w:val="en-US" w:eastAsia="zh-CN"/>
        </w:rPr>
        <w:t>二、开标、评标及</w:t>
      </w:r>
      <w:bookmarkStart w:id="0" w:name="_Hlt146297757"/>
      <w:bookmarkStart w:id="1" w:name="_Hlt146297756"/>
      <w:r>
        <w:rPr>
          <w:rStyle w:val="32"/>
          <w:rFonts w:hint="eastAsia" w:ascii="宋体" w:hAnsi="宋体" w:eastAsia="宋体" w:cs="宋体"/>
          <w:b/>
          <w:color w:val="auto"/>
          <w:highlight w:val="none"/>
          <w:lang w:val="en-US" w:eastAsia="zh-CN"/>
        </w:rPr>
        <w:t>定</w:t>
      </w:r>
      <w:bookmarkEnd w:id="0"/>
      <w:bookmarkEnd w:id="1"/>
      <w:r>
        <w:rPr>
          <w:rStyle w:val="32"/>
          <w:rFonts w:hint="eastAsia" w:ascii="宋体" w:hAnsi="宋体" w:eastAsia="宋体" w:cs="宋体"/>
          <w:b/>
          <w:color w:val="auto"/>
          <w:highlight w:val="none"/>
          <w:lang w:val="en-US" w:eastAsia="zh-CN"/>
        </w:rPr>
        <w:t>标办法通用条款</w:t>
      </w:r>
      <w:r>
        <w:rPr>
          <w:rFonts w:hint="eastAsia" w:ascii="宋体" w:hAnsi="宋体" w:cs="宋体"/>
          <w:color w:val="auto"/>
          <w:highlight w:val="none"/>
          <w:lang w:val="en-US" w:eastAsia="zh-CN"/>
        </w:rPr>
        <w:tab/>
      </w:r>
      <w:r>
        <w:rPr>
          <w:rFonts w:hint="eastAsia" w:ascii="宋体" w:hAnsi="宋体" w:cs="宋体"/>
          <w:color w:val="auto"/>
          <w:highlight w:val="none"/>
          <w:lang w:val="en-US" w:eastAsia="zh-CN"/>
        </w:rPr>
        <w:fldChar w:fldCharType="begin"/>
      </w:r>
      <w:r>
        <w:rPr>
          <w:rFonts w:hint="eastAsia" w:ascii="宋体" w:hAnsi="宋体" w:cs="宋体"/>
          <w:color w:val="auto"/>
          <w:highlight w:val="none"/>
          <w:lang w:val="en-US" w:eastAsia="zh-CN"/>
        </w:rPr>
        <w:instrText xml:space="preserve"> PAGEREF _Toc105014631 \h </w:instrText>
      </w:r>
      <w:r>
        <w:rPr>
          <w:rFonts w:hint="eastAsia" w:ascii="宋体" w:hAnsi="宋体" w:cs="宋体"/>
          <w:color w:val="auto"/>
          <w:highlight w:val="none"/>
          <w:lang w:val="en-US" w:eastAsia="zh-CN"/>
        </w:rPr>
        <w:fldChar w:fldCharType="separate"/>
      </w:r>
      <w:r>
        <w:rPr>
          <w:rFonts w:hint="eastAsia" w:ascii="宋体" w:hAnsi="宋体" w:cs="宋体"/>
          <w:color w:val="auto"/>
          <w:highlight w:val="none"/>
          <w:lang w:val="en-US" w:eastAsia="zh-CN"/>
        </w:rPr>
        <w:t>37</w:t>
      </w:r>
      <w:r>
        <w:rPr>
          <w:rFonts w:hint="eastAsia" w:ascii="宋体" w:hAnsi="宋体" w:cs="宋体"/>
          <w:color w:val="auto"/>
          <w:highlight w:val="none"/>
          <w:lang w:val="en-US" w:eastAsia="zh-CN"/>
        </w:rPr>
        <w:fldChar w:fldCharType="end"/>
      </w:r>
      <w:r>
        <w:rPr>
          <w:rFonts w:hint="eastAsia" w:ascii="宋体" w:hAnsi="宋体" w:cs="宋体"/>
          <w:color w:val="auto"/>
          <w:highlight w:val="none"/>
          <w:lang w:val="en-US" w:eastAsia="zh-CN"/>
        </w:rPr>
        <w:fldChar w:fldCharType="end"/>
      </w:r>
    </w:p>
    <w:p>
      <w:pPr>
        <w:pStyle w:val="12"/>
        <w:tabs>
          <w:tab w:val="right" w:leader="dot" w:pos="9060"/>
        </w:tabs>
        <w:spacing w:line="480" w:lineRule="auto"/>
        <w:rPr>
          <w:rFonts w:hint="eastAsia" w:ascii="宋体" w:hAnsi="宋体" w:cs="宋体"/>
          <w:color w:val="auto"/>
          <w:highlight w:val="none"/>
          <w:lang w:val="en-US" w:eastAsia="zh-CN"/>
        </w:rPr>
      </w:pPr>
      <w:r>
        <w:rPr>
          <w:color w:val="auto"/>
          <w:highlight w:val="none"/>
        </w:rPr>
        <w:fldChar w:fldCharType="begin"/>
      </w:r>
      <w:r>
        <w:rPr>
          <w:color w:val="auto"/>
          <w:highlight w:val="none"/>
        </w:rPr>
        <w:instrText xml:space="preserve"> HYPERLINK \l "_Toc105014634" </w:instrText>
      </w:r>
      <w:r>
        <w:rPr>
          <w:color w:val="auto"/>
          <w:highlight w:val="none"/>
        </w:rPr>
        <w:fldChar w:fldCharType="separate"/>
      </w:r>
      <w:r>
        <w:rPr>
          <w:rStyle w:val="32"/>
          <w:rFonts w:hint="eastAsia" w:ascii="宋体" w:hAnsi="宋体" w:eastAsia="宋体" w:cs="宋体"/>
          <w:b/>
          <w:bCs/>
          <w:color w:val="auto"/>
          <w:highlight w:val="none"/>
          <w:lang w:val="en-US" w:eastAsia="zh-CN"/>
        </w:rPr>
        <w:t>可选办法七（适合综合评分法四，技术标与经济标同时开启）</w:t>
      </w:r>
      <w:r>
        <w:rPr>
          <w:rFonts w:hint="eastAsia" w:ascii="宋体" w:hAnsi="宋体" w:cs="宋体"/>
          <w:color w:val="auto"/>
          <w:highlight w:val="none"/>
          <w:lang w:val="en-US" w:eastAsia="zh-CN"/>
        </w:rPr>
        <w:tab/>
      </w:r>
      <w:r>
        <w:rPr>
          <w:rFonts w:hint="eastAsia" w:ascii="宋体" w:hAnsi="宋体" w:cs="宋体"/>
          <w:color w:val="auto"/>
          <w:highlight w:val="none"/>
          <w:lang w:val="en-US" w:eastAsia="zh-CN"/>
        </w:rPr>
        <w:fldChar w:fldCharType="begin"/>
      </w:r>
      <w:r>
        <w:rPr>
          <w:rFonts w:hint="eastAsia" w:ascii="宋体" w:hAnsi="宋体" w:cs="宋体"/>
          <w:color w:val="auto"/>
          <w:highlight w:val="none"/>
          <w:lang w:val="en-US" w:eastAsia="zh-CN"/>
        </w:rPr>
        <w:instrText xml:space="preserve"> PAGEREF _Toc105014631 \h </w:instrText>
      </w:r>
      <w:r>
        <w:rPr>
          <w:rFonts w:hint="eastAsia" w:ascii="宋体" w:hAnsi="宋体" w:cs="宋体"/>
          <w:color w:val="auto"/>
          <w:highlight w:val="none"/>
          <w:lang w:val="en-US" w:eastAsia="zh-CN"/>
        </w:rPr>
        <w:fldChar w:fldCharType="separate"/>
      </w:r>
      <w:r>
        <w:rPr>
          <w:rFonts w:hint="eastAsia" w:ascii="宋体" w:hAnsi="宋体" w:cs="宋体"/>
          <w:color w:val="auto"/>
          <w:highlight w:val="none"/>
          <w:lang w:val="en-US" w:eastAsia="zh-CN"/>
        </w:rPr>
        <w:t>37</w:t>
      </w:r>
      <w:r>
        <w:rPr>
          <w:rFonts w:hint="eastAsia" w:ascii="宋体" w:hAnsi="宋体" w:cs="宋体"/>
          <w:color w:val="auto"/>
          <w:highlight w:val="none"/>
          <w:lang w:val="en-US" w:eastAsia="zh-CN"/>
        </w:rPr>
        <w:fldChar w:fldCharType="end"/>
      </w:r>
      <w:r>
        <w:rPr>
          <w:rFonts w:hint="eastAsia" w:ascii="宋体" w:hAnsi="宋体" w:cs="宋体"/>
          <w:color w:val="auto"/>
          <w:highlight w:val="none"/>
          <w:lang w:val="en-US" w:eastAsia="zh-CN"/>
        </w:rPr>
        <w:fldChar w:fldCharType="end"/>
      </w:r>
    </w:p>
    <w:p>
      <w:pPr>
        <w:pStyle w:val="18"/>
        <w:tabs>
          <w:tab w:val="right" w:leader="dot" w:pos="9060"/>
        </w:tabs>
        <w:spacing w:line="480" w:lineRule="auto"/>
        <w:rPr>
          <w:rFonts w:hint="eastAsia" w:ascii="宋体" w:hAnsi="宋体" w:cs="宋体"/>
          <w:color w:val="auto"/>
          <w:highlight w:val="none"/>
          <w:lang w:val="en-US" w:eastAsia="zh-CN"/>
        </w:rPr>
      </w:pPr>
      <w:r>
        <w:rPr>
          <w:color w:val="auto"/>
          <w:highlight w:val="none"/>
        </w:rPr>
        <w:fldChar w:fldCharType="begin"/>
      </w:r>
      <w:r>
        <w:rPr>
          <w:color w:val="auto"/>
          <w:highlight w:val="none"/>
        </w:rPr>
        <w:instrText xml:space="preserve"> HYPERLINK \l "_Toc105014636" </w:instrText>
      </w:r>
      <w:r>
        <w:rPr>
          <w:color w:val="auto"/>
          <w:highlight w:val="none"/>
        </w:rPr>
        <w:fldChar w:fldCharType="separate"/>
      </w:r>
      <w:r>
        <w:rPr>
          <w:rStyle w:val="32"/>
          <w:rFonts w:hint="eastAsia" w:ascii="宋体" w:hAnsi="宋体" w:eastAsia="宋体" w:cs="宋体"/>
          <w:color w:val="auto"/>
          <w:highlight w:val="none"/>
          <w:lang w:val="en-US" w:eastAsia="zh-CN"/>
        </w:rPr>
        <w:t>第三章  合同条款</w:t>
      </w:r>
      <w:r>
        <w:rPr>
          <w:rFonts w:hint="eastAsia" w:ascii="宋体" w:hAnsi="宋体" w:cs="宋体"/>
          <w:color w:val="auto"/>
          <w:highlight w:val="none"/>
          <w:lang w:val="en-US" w:eastAsia="zh-CN"/>
        </w:rPr>
        <w:tab/>
      </w:r>
      <w:r>
        <w:rPr>
          <w:rFonts w:hint="eastAsia" w:ascii="宋体" w:hAnsi="宋体" w:cs="宋体"/>
          <w:color w:val="auto"/>
          <w:highlight w:val="none"/>
          <w:lang w:val="en-US" w:eastAsia="zh-CN"/>
        </w:rPr>
        <w:fldChar w:fldCharType="begin"/>
      </w:r>
      <w:r>
        <w:rPr>
          <w:rFonts w:hint="eastAsia" w:ascii="宋体" w:hAnsi="宋体" w:cs="宋体"/>
          <w:color w:val="auto"/>
          <w:highlight w:val="none"/>
          <w:lang w:val="en-US" w:eastAsia="zh-CN"/>
        </w:rPr>
        <w:instrText xml:space="preserve"> PAGEREF _Toc105014636 \h </w:instrText>
      </w:r>
      <w:r>
        <w:rPr>
          <w:rFonts w:hint="eastAsia" w:ascii="宋体" w:hAnsi="宋体" w:cs="宋体"/>
          <w:color w:val="auto"/>
          <w:highlight w:val="none"/>
          <w:lang w:val="en-US" w:eastAsia="zh-CN"/>
        </w:rPr>
        <w:fldChar w:fldCharType="separate"/>
      </w:r>
      <w:r>
        <w:rPr>
          <w:rFonts w:hint="eastAsia" w:ascii="宋体" w:hAnsi="宋体" w:cs="宋体"/>
          <w:color w:val="auto"/>
          <w:highlight w:val="none"/>
          <w:lang w:val="en-US" w:eastAsia="zh-CN"/>
        </w:rPr>
        <w:t>55</w:t>
      </w:r>
      <w:r>
        <w:rPr>
          <w:rFonts w:hint="eastAsia" w:ascii="宋体" w:hAnsi="宋体" w:cs="宋体"/>
          <w:color w:val="auto"/>
          <w:highlight w:val="none"/>
          <w:lang w:val="en-US" w:eastAsia="zh-CN"/>
        </w:rPr>
        <w:fldChar w:fldCharType="end"/>
      </w:r>
      <w:r>
        <w:rPr>
          <w:rFonts w:hint="eastAsia" w:ascii="宋体" w:hAnsi="宋体" w:cs="宋体"/>
          <w:color w:val="auto"/>
          <w:highlight w:val="none"/>
          <w:lang w:val="en-US" w:eastAsia="zh-CN"/>
        </w:rPr>
        <w:fldChar w:fldCharType="end"/>
      </w:r>
    </w:p>
    <w:p>
      <w:pPr>
        <w:pStyle w:val="18"/>
        <w:tabs>
          <w:tab w:val="right" w:leader="dot" w:pos="9060"/>
        </w:tabs>
        <w:spacing w:line="480" w:lineRule="auto"/>
        <w:rPr>
          <w:rFonts w:hint="eastAsia" w:ascii="宋体" w:hAnsi="宋体" w:cs="宋体"/>
          <w:color w:val="auto"/>
          <w:highlight w:val="none"/>
          <w:lang w:val="en-US" w:eastAsia="zh-CN"/>
        </w:rPr>
      </w:pPr>
      <w:r>
        <w:rPr>
          <w:color w:val="auto"/>
          <w:highlight w:val="none"/>
        </w:rPr>
        <w:fldChar w:fldCharType="begin"/>
      </w:r>
      <w:r>
        <w:rPr>
          <w:color w:val="auto"/>
          <w:highlight w:val="none"/>
        </w:rPr>
        <w:instrText xml:space="preserve"> HYPERLINK \l "_Toc105014637" </w:instrText>
      </w:r>
      <w:r>
        <w:rPr>
          <w:color w:val="auto"/>
          <w:highlight w:val="none"/>
        </w:rPr>
        <w:fldChar w:fldCharType="separate"/>
      </w:r>
      <w:r>
        <w:rPr>
          <w:rStyle w:val="32"/>
          <w:rFonts w:hint="eastAsia" w:ascii="宋体" w:hAnsi="宋体" w:eastAsia="宋体" w:cs="宋体"/>
          <w:color w:val="auto"/>
          <w:highlight w:val="none"/>
          <w:lang w:val="en-US" w:eastAsia="zh-CN"/>
        </w:rPr>
        <w:t>第四章  投标文件格式</w:t>
      </w:r>
      <w:r>
        <w:rPr>
          <w:rFonts w:hint="eastAsia" w:ascii="宋体" w:hAnsi="宋体" w:cs="宋体"/>
          <w:color w:val="auto"/>
          <w:highlight w:val="none"/>
          <w:lang w:val="en-US" w:eastAsia="zh-CN"/>
        </w:rPr>
        <w:tab/>
      </w:r>
      <w:r>
        <w:rPr>
          <w:rFonts w:hint="eastAsia" w:ascii="宋体" w:hAnsi="宋体" w:cs="宋体"/>
          <w:color w:val="auto"/>
          <w:highlight w:val="none"/>
          <w:lang w:val="en-US" w:eastAsia="zh-CN"/>
        </w:rPr>
        <w:fldChar w:fldCharType="begin"/>
      </w:r>
      <w:r>
        <w:rPr>
          <w:rFonts w:hint="eastAsia" w:ascii="宋体" w:hAnsi="宋体" w:cs="宋体"/>
          <w:color w:val="auto"/>
          <w:highlight w:val="none"/>
          <w:lang w:val="en-US" w:eastAsia="zh-CN"/>
        </w:rPr>
        <w:instrText xml:space="preserve"> PAGEREF _Toc105014637 \h </w:instrText>
      </w:r>
      <w:r>
        <w:rPr>
          <w:rFonts w:hint="eastAsia" w:ascii="宋体" w:hAnsi="宋体" w:cs="宋体"/>
          <w:color w:val="auto"/>
          <w:highlight w:val="none"/>
          <w:lang w:val="en-US" w:eastAsia="zh-CN"/>
        </w:rPr>
        <w:fldChar w:fldCharType="separate"/>
      </w:r>
      <w:r>
        <w:rPr>
          <w:rFonts w:hint="eastAsia" w:ascii="宋体" w:hAnsi="宋体" w:cs="宋体"/>
          <w:color w:val="auto"/>
          <w:highlight w:val="none"/>
          <w:lang w:val="en-US" w:eastAsia="zh-CN"/>
        </w:rPr>
        <w:t>56</w:t>
      </w:r>
      <w:r>
        <w:rPr>
          <w:rFonts w:hint="eastAsia" w:ascii="宋体" w:hAnsi="宋体" w:cs="宋体"/>
          <w:color w:val="auto"/>
          <w:highlight w:val="none"/>
          <w:lang w:val="en-US" w:eastAsia="zh-CN"/>
        </w:rPr>
        <w:fldChar w:fldCharType="end"/>
      </w:r>
      <w:r>
        <w:rPr>
          <w:rFonts w:hint="eastAsia" w:ascii="宋体" w:hAnsi="宋体" w:cs="宋体"/>
          <w:color w:val="auto"/>
          <w:highlight w:val="none"/>
          <w:lang w:val="en-US" w:eastAsia="zh-CN"/>
        </w:rPr>
        <w:fldChar w:fldCharType="end"/>
      </w:r>
    </w:p>
    <w:p>
      <w:pPr>
        <w:pStyle w:val="18"/>
        <w:tabs>
          <w:tab w:val="right" w:leader="dot" w:pos="9060"/>
        </w:tabs>
        <w:spacing w:line="480" w:lineRule="auto"/>
        <w:rPr>
          <w:rFonts w:hint="eastAsia" w:ascii="宋体" w:hAnsi="宋体" w:cs="宋体"/>
          <w:color w:val="auto"/>
          <w:highlight w:val="none"/>
          <w:lang w:val="en-US" w:eastAsia="zh-CN"/>
        </w:rPr>
      </w:pPr>
      <w:r>
        <w:rPr>
          <w:color w:val="auto"/>
          <w:highlight w:val="none"/>
        </w:rPr>
        <w:fldChar w:fldCharType="begin"/>
      </w:r>
      <w:r>
        <w:rPr>
          <w:color w:val="auto"/>
          <w:highlight w:val="none"/>
        </w:rPr>
        <w:instrText xml:space="preserve"> HYPERLINK \l "_Toc105014638" </w:instrText>
      </w:r>
      <w:r>
        <w:rPr>
          <w:color w:val="auto"/>
          <w:highlight w:val="none"/>
        </w:rPr>
        <w:fldChar w:fldCharType="separate"/>
      </w:r>
      <w:r>
        <w:rPr>
          <w:rStyle w:val="32"/>
          <w:rFonts w:hint="eastAsia" w:ascii="宋体" w:hAnsi="宋体" w:eastAsia="宋体" w:cs="宋体"/>
          <w:color w:val="auto"/>
          <w:highlight w:val="none"/>
          <w:lang w:val="en-US" w:eastAsia="zh-CN"/>
        </w:rPr>
        <w:t>第五章  技术条件（工程建设标准）</w:t>
      </w:r>
      <w:r>
        <w:rPr>
          <w:rFonts w:hint="eastAsia" w:ascii="宋体" w:hAnsi="宋体" w:cs="宋体"/>
          <w:color w:val="auto"/>
          <w:highlight w:val="none"/>
          <w:lang w:val="en-US" w:eastAsia="zh-CN"/>
        </w:rPr>
        <w:tab/>
      </w:r>
      <w:r>
        <w:rPr>
          <w:rFonts w:hint="eastAsia" w:ascii="宋体" w:hAnsi="宋体" w:cs="宋体"/>
          <w:color w:val="auto"/>
          <w:highlight w:val="none"/>
          <w:lang w:val="en-US" w:eastAsia="zh-CN"/>
        </w:rPr>
        <w:fldChar w:fldCharType="begin"/>
      </w:r>
      <w:r>
        <w:rPr>
          <w:rFonts w:hint="eastAsia" w:ascii="宋体" w:hAnsi="宋体" w:cs="宋体"/>
          <w:color w:val="auto"/>
          <w:highlight w:val="none"/>
          <w:lang w:val="en-US" w:eastAsia="zh-CN"/>
        </w:rPr>
        <w:instrText xml:space="preserve"> PAGEREF _Toc105014638 \h </w:instrText>
      </w:r>
      <w:r>
        <w:rPr>
          <w:rFonts w:hint="eastAsia" w:ascii="宋体" w:hAnsi="宋体" w:cs="宋体"/>
          <w:color w:val="auto"/>
          <w:highlight w:val="none"/>
          <w:lang w:val="en-US" w:eastAsia="zh-CN"/>
        </w:rPr>
        <w:fldChar w:fldCharType="separate"/>
      </w:r>
      <w:r>
        <w:rPr>
          <w:rFonts w:hint="eastAsia" w:ascii="宋体" w:hAnsi="宋体" w:cs="宋体"/>
          <w:color w:val="auto"/>
          <w:highlight w:val="none"/>
          <w:lang w:val="en-US" w:eastAsia="zh-CN"/>
        </w:rPr>
        <w:t>71</w:t>
      </w:r>
      <w:r>
        <w:rPr>
          <w:rFonts w:hint="eastAsia" w:ascii="宋体" w:hAnsi="宋体" w:cs="宋体"/>
          <w:color w:val="auto"/>
          <w:highlight w:val="none"/>
          <w:lang w:val="en-US" w:eastAsia="zh-CN"/>
        </w:rPr>
        <w:fldChar w:fldCharType="end"/>
      </w:r>
      <w:r>
        <w:rPr>
          <w:rFonts w:hint="eastAsia" w:ascii="宋体" w:hAnsi="宋体" w:cs="宋体"/>
          <w:color w:val="auto"/>
          <w:highlight w:val="none"/>
          <w:lang w:val="en-US" w:eastAsia="zh-CN"/>
        </w:rPr>
        <w:fldChar w:fldCharType="end"/>
      </w:r>
    </w:p>
    <w:p>
      <w:pPr>
        <w:pStyle w:val="18"/>
        <w:tabs>
          <w:tab w:val="right" w:leader="dot" w:pos="9060"/>
        </w:tabs>
        <w:spacing w:line="480" w:lineRule="auto"/>
        <w:rPr>
          <w:rFonts w:hint="eastAsia" w:ascii="宋体" w:hAnsi="宋体" w:cs="宋体"/>
          <w:color w:val="auto"/>
          <w:highlight w:val="none"/>
          <w:lang w:val="en-US" w:eastAsia="zh-CN"/>
        </w:rPr>
      </w:pPr>
      <w:r>
        <w:rPr>
          <w:color w:val="auto"/>
          <w:highlight w:val="none"/>
        </w:rPr>
        <w:fldChar w:fldCharType="begin"/>
      </w:r>
      <w:r>
        <w:rPr>
          <w:color w:val="auto"/>
          <w:highlight w:val="none"/>
        </w:rPr>
        <w:instrText xml:space="preserve"> HYPERLINK \l "_Toc105014639" </w:instrText>
      </w:r>
      <w:r>
        <w:rPr>
          <w:color w:val="auto"/>
          <w:highlight w:val="none"/>
        </w:rPr>
        <w:fldChar w:fldCharType="separate"/>
      </w:r>
      <w:r>
        <w:rPr>
          <w:rStyle w:val="32"/>
          <w:rFonts w:hint="eastAsia" w:ascii="宋体" w:hAnsi="宋体" w:eastAsia="宋体" w:cs="宋体"/>
          <w:color w:val="auto"/>
          <w:highlight w:val="none"/>
          <w:lang w:val="en-US" w:eastAsia="zh-CN"/>
        </w:rPr>
        <w:t>第六章  图纸及勘察资料</w:t>
      </w:r>
      <w:r>
        <w:rPr>
          <w:rFonts w:hint="eastAsia" w:ascii="宋体" w:hAnsi="宋体" w:cs="宋体"/>
          <w:color w:val="auto"/>
          <w:highlight w:val="none"/>
          <w:lang w:val="en-US" w:eastAsia="zh-CN"/>
        </w:rPr>
        <w:tab/>
      </w:r>
      <w:r>
        <w:rPr>
          <w:rFonts w:hint="eastAsia" w:ascii="宋体" w:hAnsi="宋体" w:cs="宋体"/>
          <w:color w:val="auto"/>
          <w:highlight w:val="none"/>
          <w:lang w:val="en-US" w:eastAsia="zh-CN"/>
        </w:rPr>
        <w:fldChar w:fldCharType="begin"/>
      </w:r>
      <w:r>
        <w:rPr>
          <w:rFonts w:hint="eastAsia" w:ascii="宋体" w:hAnsi="宋体" w:cs="宋体"/>
          <w:color w:val="auto"/>
          <w:highlight w:val="none"/>
          <w:lang w:val="en-US" w:eastAsia="zh-CN"/>
        </w:rPr>
        <w:instrText xml:space="preserve"> PAGEREF _Toc105014639 \h </w:instrText>
      </w:r>
      <w:r>
        <w:rPr>
          <w:rFonts w:hint="eastAsia" w:ascii="宋体" w:hAnsi="宋体" w:cs="宋体"/>
          <w:color w:val="auto"/>
          <w:highlight w:val="none"/>
          <w:lang w:val="en-US" w:eastAsia="zh-CN"/>
        </w:rPr>
        <w:fldChar w:fldCharType="separate"/>
      </w:r>
      <w:r>
        <w:rPr>
          <w:rFonts w:hint="eastAsia" w:ascii="宋体" w:hAnsi="宋体" w:cs="宋体"/>
          <w:color w:val="auto"/>
          <w:highlight w:val="none"/>
          <w:lang w:val="en-US" w:eastAsia="zh-CN"/>
        </w:rPr>
        <w:t>85</w:t>
      </w:r>
      <w:r>
        <w:rPr>
          <w:rFonts w:hint="eastAsia" w:ascii="宋体" w:hAnsi="宋体" w:cs="宋体"/>
          <w:color w:val="auto"/>
          <w:highlight w:val="none"/>
          <w:lang w:val="en-US" w:eastAsia="zh-CN"/>
        </w:rPr>
        <w:fldChar w:fldCharType="end"/>
      </w:r>
      <w:r>
        <w:rPr>
          <w:rFonts w:hint="eastAsia" w:ascii="宋体" w:hAnsi="宋体" w:cs="宋体"/>
          <w:color w:val="auto"/>
          <w:highlight w:val="none"/>
          <w:lang w:val="en-US" w:eastAsia="zh-CN"/>
        </w:rPr>
        <w:fldChar w:fldCharType="end"/>
      </w:r>
    </w:p>
    <w:p>
      <w:pPr>
        <w:pStyle w:val="18"/>
        <w:tabs>
          <w:tab w:val="right" w:leader="dot" w:pos="9060"/>
        </w:tabs>
        <w:spacing w:line="480" w:lineRule="auto"/>
        <w:rPr>
          <w:rFonts w:hint="eastAsia" w:ascii="宋体" w:hAnsi="宋体" w:cs="宋体"/>
          <w:color w:val="auto"/>
          <w:highlight w:val="none"/>
          <w:lang w:val="en-US" w:eastAsia="zh-CN"/>
        </w:rPr>
      </w:pPr>
      <w:r>
        <w:rPr>
          <w:color w:val="auto"/>
          <w:highlight w:val="none"/>
        </w:rPr>
        <w:fldChar w:fldCharType="begin"/>
      </w:r>
      <w:r>
        <w:rPr>
          <w:color w:val="auto"/>
          <w:highlight w:val="none"/>
        </w:rPr>
        <w:instrText xml:space="preserve"> HYPERLINK \l "_Toc105014640" </w:instrText>
      </w:r>
      <w:r>
        <w:rPr>
          <w:color w:val="auto"/>
          <w:highlight w:val="none"/>
        </w:rPr>
        <w:fldChar w:fldCharType="separate"/>
      </w:r>
      <w:r>
        <w:rPr>
          <w:rStyle w:val="32"/>
          <w:rFonts w:hint="eastAsia" w:ascii="宋体" w:hAnsi="宋体" w:eastAsia="宋体" w:cs="宋体"/>
          <w:color w:val="auto"/>
          <w:highlight w:val="none"/>
          <w:lang w:val="en-US" w:eastAsia="zh-CN"/>
        </w:rPr>
        <w:t>第七章  工程量清单</w:t>
      </w:r>
      <w:r>
        <w:rPr>
          <w:rFonts w:hint="eastAsia" w:ascii="宋体" w:hAnsi="宋体" w:cs="宋体"/>
          <w:color w:val="auto"/>
          <w:highlight w:val="none"/>
          <w:lang w:val="en-US" w:eastAsia="zh-CN"/>
        </w:rPr>
        <w:tab/>
      </w:r>
      <w:r>
        <w:rPr>
          <w:rFonts w:hint="eastAsia" w:ascii="宋体" w:hAnsi="宋体" w:cs="宋体"/>
          <w:color w:val="auto"/>
          <w:highlight w:val="none"/>
          <w:lang w:val="en-US" w:eastAsia="zh-CN"/>
        </w:rPr>
        <w:fldChar w:fldCharType="begin"/>
      </w:r>
      <w:r>
        <w:rPr>
          <w:rFonts w:hint="eastAsia" w:ascii="宋体" w:hAnsi="宋体" w:cs="宋体"/>
          <w:color w:val="auto"/>
          <w:highlight w:val="none"/>
          <w:lang w:val="en-US" w:eastAsia="zh-CN"/>
        </w:rPr>
        <w:instrText xml:space="preserve"> PAGEREF _Toc105014640 \h </w:instrText>
      </w:r>
      <w:r>
        <w:rPr>
          <w:rFonts w:hint="eastAsia" w:ascii="宋体" w:hAnsi="宋体" w:cs="宋体"/>
          <w:color w:val="auto"/>
          <w:highlight w:val="none"/>
          <w:lang w:val="en-US" w:eastAsia="zh-CN"/>
        </w:rPr>
        <w:fldChar w:fldCharType="separate"/>
      </w:r>
      <w:r>
        <w:rPr>
          <w:rFonts w:hint="eastAsia" w:ascii="宋体" w:hAnsi="宋体" w:cs="宋体"/>
          <w:color w:val="auto"/>
          <w:highlight w:val="none"/>
          <w:lang w:val="en-US" w:eastAsia="zh-CN"/>
        </w:rPr>
        <w:t>86</w:t>
      </w:r>
      <w:r>
        <w:rPr>
          <w:rFonts w:hint="eastAsia" w:ascii="宋体" w:hAnsi="宋体" w:cs="宋体"/>
          <w:color w:val="auto"/>
          <w:highlight w:val="none"/>
          <w:lang w:val="en-US" w:eastAsia="zh-CN"/>
        </w:rPr>
        <w:fldChar w:fldCharType="end"/>
      </w:r>
      <w:r>
        <w:rPr>
          <w:rFonts w:hint="eastAsia" w:ascii="宋体" w:hAnsi="宋体" w:cs="宋体"/>
          <w:color w:val="auto"/>
          <w:highlight w:val="none"/>
          <w:lang w:val="en-US" w:eastAsia="zh-CN"/>
        </w:rPr>
        <w:fldChar w:fldCharType="end"/>
      </w:r>
    </w:p>
    <w:p>
      <w:pPr>
        <w:pStyle w:val="18"/>
        <w:tabs>
          <w:tab w:val="right" w:leader="dot" w:pos="9060"/>
        </w:tabs>
        <w:spacing w:line="480" w:lineRule="auto"/>
        <w:rPr>
          <w:rFonts w:hint="eastAsia" w:ascii="宋体" w:hAnsi="宋体" w:cs="宋体"/>
          <w:color w:val="auto"/>
          <w:highlight w:val="none"/>
          <w:lang w:val="en-US" w:eastAsia="zh-CN"/>
        </w:rPr>
      </w:pPr>
      <w:r>
        <w:rPr>
          <w:color w:val="auto"/>
          <w:highlight w:val="none"/>
        </w:rPr>
        <w:fldChar w:fldCharType="begin"/>
      </w:r>
      <w:r>
        <w:rPr>
          <w:color w:val="auto"/>
          <w:highlight w:val="none"/>
        </w:rPr>
        <w:instrText xml:space="preserve"> HYPERLINK \l "_Toc105014641" </w:instrText>
      </w:r>
      <w:r>
        <w:rPr>
          <w:color w:val="auto"/>
          <w:highlight w:val="none"/>
        </w:rPr>
        <w:fldChar w:fldCharType="separate"/>
      </w:r>
      <w:r>
        <w:rPr>
          <w:rStyle w:val="32"/>
          <w:rFonts w:hint="eastAsia" w:ascii="宋体" w:hAnsi="宋体" w:eastAsia="宋体" w:cs="宋体"/>
          <w:color w:val="auto"/>
          <w:highlight w:val="none"/>
          <w:lang w:val="en-US" w:eastAsia="zh-CN"/>
        </w:rPr>
        <w:t>第八章  最高投标限价</w:t>
      </w:r>
      <w:r>
        <w:rPr>
          <w:rFonts w:hint="eastAsia" w:ascii="宋体" w:hAnsi="宋体" w:cs="宋体"/>
          <w:color w:val="auto"/>
          <w:highlight w:val="none"/>
          <w:lang w:val="en-US" w:eastAsia="zh-CN"/>
        </w:rPr>
        <w:tab/>
      </w:r>
      <w:r>
        <w:rPr>
          <w:rFonts w:hint="eastAsia" w:ascii="宋体" w:hAnsi="宋体" w:cs="宋体"/>
          <w:color w:val="auto"/>
          <w:highlight w:val="none"/>
          <w:lang w:val="en-US" w:eastAsia="zh-CN"/>
        </w:rPr>
        <w:fldChar w:fldCharType="begin"/>
      </w:r>
      <w:r>
        <w:rPr>
          <w:rFonts w:hint="eastAsia" w:ascii="宋体" w:hAnsi="宋体" w:cs="宋体"/>
          <w:color w:val="auto"/>
          <w:highlight w:val="none"/>
          <w:lang w:val="en-US" w:eastAsia="zh-CN"/>
        </w:rPr>
        <w:instrText xml:space="preserve"> PAGEREF _Toc105014641 \h </w:instrText>
      </w:r>
      <w:r>
        <w:rPr>
          <w:rFonts w:hint="eastAsia" w:ascii="宋体" w:hAnsi="宋体" w:cs="宋体"/>
          <w:color w:val="auto"/>
          <w:highlight w:val="none"/>
          <w:lang w:val="en-US" w:eastAsia="zh-CN"/>
        </w:rPr>
        <w:fldChar w:fldCharType="separate"/>
      </w:r>
      <w:r>
        <w:rPr>
          <w:rFonts w:hint="eastAsia" w:ascii="宋体" w:hAnsi="宋体" w:cs="宋体"/>
          <w:color w:val="auto"/>
          <w:highlight w:val="none"/>
          <w:lang w:val="en-US" w:eastAsia="zh-CN"/>
        </w:rPr>
        <w:t>87</w:t>
      </w:r>
      <w:r>
        <w:rPr>
          <w:rFonts w:hint="eastAsia" w:ascii="宋体" w:hAnsi="宋体" w:cs="宋体"/>
          <w:color w:val="auto"/>
          <w:highlight w:val="none"/>
          <w:lang w:val="en-US" w:eastAsia="zh-CN"/>
        </w:rPr>
        <w:fldChar w:fldCharType="end"/>
      </w:r>
      <w:r>
        <w:rPr>
          <w:rFonts w:hint="eastAsia" w:ascii="宋体" w:hAnsi="宋体" w:cs="宋体"/>
          <w:color w:val="auto"/>
          <w:highlight w:val="none"/>
          <w:lang w:val="en-US" w:eastAsia="zh-CN"/>
        </w:rPr>
        <w:fldChar w:fldCharType="end"/>
      </w:r>
    </w:p>
    <w:p>
      <w:pPr>
        <w:pStyle w:val="155"/>
        <w:spacing w:line="480" w:lineRule="auto"/>
        <w:rPr>
          <w:rFonts w:hint="eastAsia" w:ascii="宋体" w:hAnsi="宋体" w:cs="宋体"/>
          <w:color w:val="auto"/>
          <w:highlight w:val="none"/>
        </w:rPr>
      </w:pPr>
      <w:r>
        <w:rPr>
          <w:rFonts w:hint="eastAsia" w:ascii="宋体" w:hAnsi="宋体" w:cs="宋体"/>
          <w:color w:val="auto"/>
          <w:sz w:val="32"/>
          <w:highlight w:val="none"/>
        </w:rPr>
        <w:fldChar w:fldCharType="end"/>
      </w:r>
    </w:p>
    <w:p>
      <w:pPr>
        <w:pStyle w:val="139"/>
        <w:spacing w:line="276" w:lineRule="auto"/>
        <w:outlineLvl w:val="0"/>
        <w:rPr>
          <w:rStyle w:val="105"/>
          <w:rFonts w:hint="eastAsia" w:ascii="宋体" w:hAnsi="宋体" w:cs="宋体"/>
          <w:bCs/>
          <w:color w:val="auto"/>
          <w:highlight w:val="none"/>
        </w:rPr>
      </w:pPr>
      <w:r>
        <w:rPr>
          <w:rStyle w:val="105"/>
          <w:rFonts w:hint="eastAsia" w:ascii="宋体" w:hAnsi="宋体" w:cs="宋体"/>
          <w:b w:val="0"/>
          <w:color w:val="auto"/>
          <w:highlight w:val="none"/>
        </w:rPr>
        <w:br w:type="page"/>
      </w:r>
      <w:bookmarkStart w:id="2" w:name="_Toc105014619"/>
      <w:r>
        <w:rPr>
          <w:rStyle w:val="105"/>
          <w:rFonts w:hint="eastAsia" w:ascii="宋体" w:hAnsi="宋体" w:cs="宋体"/>
          <w:bCs/>
          <w:color w:val="auto"/>
          <w:highlight w:val="none"/>
        </w:rPr>
        <w:t>第一章  投标须知</w:t>
      </w:r>
      <w:bookmarkEnd w:id="2"/>
    </w:p>
    <w:p>
      <w:pPr>
        <w:pStyle w:val="148"/>
        <w:spacing w:line="276" w:lineRule="auto"/>
        <w:outlineLvl w:val="1"/>
        <w:rPr>
          <w:rStyle w:val="105"/>
          <w:rFonts w:hint="eastAsia" w:ascii="宋体" w:hAnsi="宋体" w:cs="宋体"/>
          <w:b/>
          <w:color w:val="auto"/>
          <w:sz w:val="21"/>
          <w:szCs w:val="21"/>
          <w:highlight w:val="none"/>
        </w:rPr>
      </w:pPr>
      <w:bookmarkStart w:id="3" w:name="_Toc105014620"/>
      <w:r>
        <w:rPr>
          <w:rStyle w:val="105"/>
          <w:rFonts w:hint="eastAsia" w:ascii="宋体" w:hAnsi="宋体" w:cs="宋体"/>
          <w:b/>
          <w:color w:val="auto"/>
          <w:sz w:val="21"/>
          <w:szCs w:val="21"/>
          <w:highlight w:val="none"/>
        </w:rPr>
        <w:t>一、投标须知前附表</w:t>
      </w:r>
      <w:bookmarkEnd w:id="3"/>
    </w:p>
    <w:p>
      <w:pPr>
        <w:pStyle w:val="92"/>
        <w:spacing w:line="276" w:lineRule="auto"/>
        <w:ind w:firstLine="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27"/>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33"/>
        <w:gridCol w:w="944"/>
        <w:gridCol w:w="1494"/>
        <w:gridCol w:w="568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项目</w:t>
            </w:r>
          </w:p>
        </w:tc>
        <w:tc>
          <w:tcPr>
            <w:tcW w:w="944" w:type="dxa"/>
            <w:vAlign w:val="center"/>
          </w:tcPr>
          <w:p>
            <w:pPr>
              <w:spacing w:line="300" w:lineRule="auto"/>
              <w:jc w:val="center"/>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w:t>
            </w:r>
          </w:p>
        </w:tc>
        <w:tc>
          <w:tcPr>
            <w:tcW w:w="1494" w:type="dxa"/>
            <w:vAlign w:val="center"/>
          </w:tcPr>
          <w:p>
            <w:pPr>
              <w:spacing w:line="300" w:lineRule="auto"/>
              <w:jc w:val="center"/>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内容</w:t>
            </w:r>
          </w:p>
        </w:tc>
        <w:tc>
          <w:tcPr>
            <w:tcW w:w="5689" w:type="dxa"/>
            <w:vAlign w:val="center"/>
          </w:tcPr>
          <w:p>
            <w:pPr>
              <w:pStyle w:val="14"/>
              <w:spacing w:line="300" w:lineRule="auto"/>
              <w:ind w:firstLine="17"/>
              <w:jc w:val="center"/>
              <w:rPr>
                <w:rStyle w:val="105"/>
                <w:rFonts w:hint="eastAsia" w:ascii="宋体" w:hAnsi="宋体" w:cs="宋体"/>
                <w:b/>
                <w:color w:val="auto"/>
                <w:kern w:val="2"/>
                <w:sz w:val="21"/>
                <w:szCs w:val="21"/>
                <w:highlight w:val="none"/>
              </w:rPr>
            </w:pPr>
            <w:r>
              <w:rPr>
                <w:rStyle w:val="105"/>
                <w:rFonts w:hint="eastAsia" w:ascii="宋体" w:hAnsi="宋体" w:cs="宋体"/>
                <w:b/>
                <w:color w:val="auto"/>
                <w:kern w:val="2"/>
                <w:sz w:val="21"/>
                <w:szCs w:val="21"/>
                <w:highlight w:val="none"/>
              </w:rPr>
              <w:t>说明与要求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定义</w:t>
            </w:r>
          </w:p>
        </w:tc>
        <w:tc>
          <w:tcPr>
            <w:tcW w:w="5689" w:type="dxa"/>
            <w:vAlign w:val="center"/>
          </w:tcPr>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招标人：南方医科大学口腔医院</w:t>
            </w:r>
          </w:p>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招标代理：广州市国科招标代理有限公司</w:t>
            </w:r>
          </w:p>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设计单位：</w:t>
            </w:r>
            <w:r>
              <w:rPr>
                <w:rStyle w:val="105"/>
                <w:rFonts w:ascii="宋体" w:hAnsi="宋体" w:cs="宋体"/>
                <w:color w:val="auto"/>
                <w:szCs w:val="21"/>
                <w:highlight w:val="none"/>
              </w:rPr>
              <w:t>华南创图设计有限公司</w:t>
            </w:r>
          </w:p>
          <w:p>
            <w:pPr>
              <w:spacing w:line="300" w:lineRule="auto"/>
              <w:rPr>
                <w:rStyle w:val="105"/>
                <w:rFonts w:hint="eastAsia" w:ascii="宋体" w:hAnsi="宋体" w:cs="宋体"/>
                <w:color w:val="auto"/>
                <w:highlight w:val="none"/>
              </w:rPr>
            </w:pPr>
            <w:r>
              <w:rPr>
                <w:rStyle w:val="105"/>
                <w:rFonts w:hint="eastAsia" w:ascii="宋体" w:hAnsi="宋体" w:cs="宋体"/>
                <w:color w:val="auto"/>
                <w:highlight w:val="none"/>
              </w:rPr>
              <w:t>监理单位：</w:t>
            </w:r>
            <w:r>
              <w:rPr>
                <w:rFonts w:hint="eastAsia" w:ascii="宋体" w:hAnsi="宋体" w:cs="宋体"/>
                <w:color w:val="auto"/>
                <w:highlight w:val="none"/>
              </w:rPr>
              <w:t>/</w:t>
            </w:r>
          </w:p>
          <w:p>
            <w:pPr>
              <w:pStyle w:val="155"/>
              <w:spacing w:line="300" w:lineRule="auto"/>
              <w:rPr>
                <w:rStyle w:val="105"/>
                <w:rFonts w:hint="eastAsia" w:ascii="宋体" w:hAnsi="宋体" w:cs="宋体"/>
                <w:color w:val="auto"/>
                <w:highlight w:val="none"/>
              </w:rPr>
            </w:pPr>
            <w:r>
              <w:rPr>
                <w:rStyle w:val="105"/>
                <w:rFonts w:hint="eastAsia" w:ascii="宋体" w:hAnsi="宋体" w:cs="宋体"/>
                <w:color w:val="auto"/>
                <w:highlight w:val="none"/>
              </w:rPr>
              <w:t>检测机构：/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2.2</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工程名称</w:t>
            </w:r>
          </w:p>
        </w:tc>
        <w:tc>
          <w:tcPr>
            <w:tcW w:w="5689" w:type="dxa"/>
            <w:vAlign w:val="center"/>
          </w:tcPr>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南方医科大学口腔医院（广东省口腔医院）番禺院区二楼C区及三楼A、B、C区改造项目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3</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2.2</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建设地点</w:t>
            </w:r>
          </w:p>
        </w:tc>
        <w:tc>
          <w:tcPr>
            <w:tcW w:w="5689" w:type="dxa"/>
            <w:vAlign w:val="center"/>
          </w:tcPr>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详见本工程招标公告。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4</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2.2</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建设规模</w:t>
            </w:r>
          </w:p>
        </w:tc>
        <w:tc>
          <w:tcPr>
            <w:tcW w:w="5689" w:type="dxa"/>
            <w:vAlign w:val="center"/>
          </w:tcPr>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详见本工程招标公告，具体以工程量清单及图纸为准。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5</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2.2</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承包方式</w:t>
            </w:r>
          </w:p>
        </w:tc>
        <w:tc>
          <w:tcPr>
            <w:tcW w:w="5689" w:type="dxa"/>
            <w:vAlign w:val="center"/>
          </w:tcPr>
          <w:p>
            <w:pPr>
              <w:spacing w:line="300" w:lineRule="auto"/>
              <w:rPr>
                <w:rStyle w:val="105"/>
                <w:rFonts w:hint="eastAsia" w:ascii="宋体" w:hAnsi="宋体" w:cs="宋体"/>
                <w:color w:val="auto"/>
                <w:szCs w:val="21"/>
                <w:highlight w:val="none"/>
              </w:rPr>
            </w:pPr>
            <w:r>
              <w:rPr>
                <w:rStyle w:val="105"/>
                <w:rFonts w:ascii="宋体" w:hAnsi="宋体" w:cs="宋体"/>
                <w:color w:val="auto"/>
                <w:szCs w:val="21"/>
                <w:highlight w:val="none"/>
              </w:rPr>
              <w:t>本工程项目实行固定总价包干，项目措施费包干。按照工程量清单（深化完善后）、平面图及施工设计图纸内容，采取包深化设计、包工、包料、包服务、包行政施工许可、包材料检测、包机械、包工期、包质量、包安全生产、包文明施工、包税、包劳保、包验收、包保修、包竣工图编制、包组织项目整体竣工验收（含资料汇总、整理）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6</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2.2</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质量标准</w:t>
            </w:r>
          </w:p>
        </w:tc>
        <w:tc>
          <w:tcPr>
            <w:tcW w:w="5689" w:type="dxa"/>
            <w:vAlign w:val="center"/>
          </w:tcPr>
          <w:p>
            <w:pPr>
              <w:spacing w:line="300" w:lineRule="auto"/>
              <w:rPr>
                <w:rStyle w:val="105"/>
                <w:rFonts w:hint="eastAsia" w:ascii="宋体" w:hAnsi="宋体" w:cs="宋体"/>
                <w:color w:val="auto"/>
                <w:szCs w:val="21"/>
                <w:highlight w:val="none"/>
                <w:u w:val="single"/>
              </w:rPr>
            </w:pPr>
            <w:r>
              <w:rPr>
                <w:rStyle w:val="105"/>
                <w:rFonts w:hint="eastAsia" w:ascii="宋体" w:hAnsi="宋体" w:cs="宋体"/>
                <w:color w:val="auto"/>
                <w:highlight w:val="none"/>
              </w:rPr>
              <w:t>合格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7</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2.2</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招标范围</w:t>
            </w:r>
          </w:p>
        </w:tc>
        <w:tc>
          <w:tcPr>
            <w:tcW w:w="5689" w:type="dxa"/>
            <w:vAlign w:val="center"/>
          </w:tcPr>
          <w:p>
            <w:pPr>
              <w:spacing w:line="300" w:lineRule="auto"/>
              <w:rPr>
                <w:rStyle w:val="105"/>
                <w:rFonts w:hint="eastAsia" w:ascii="宋体" w:hAnsi="宋体" w:cs="宋体"/>
                <w:color w:val="auto"/>
                <w:szCs w:val="21"/>
                <w:highlight w:val="none"/>
                <w:u w:val="single"/>
              </w:rPr>
            </w:pPr>
            <w:r>
              <w:rPr>
                <w:rFonts w:hint="eastAsia" w:ascii="宋体" w:hAnsi="宋体" w:cs="宋体"/>
                <w:color w:val="auto"/>
                <w:szCs w:val="21"/>
                <w:highlight w:val="none"/>
                <w:u w:val="single"/>
              </w:rPr>
              <w:t>详见本工程招标公告（具体以招标图纸、招标文件、工程量清单为准）。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8</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2.2</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工期要求</w:t>
            </w:r>
          </w:p>
        </w:tc>
        <w:tc>
          <w:tcPr>
            <w:tcW w:w="5689" w:type="dxa"/>
            <w:vAlign w:val="center"/>
          </w:tcPr>
          <w:p>
            <w:pPr>
              <w:spacing w:line="300" w:lineRule="auto"/>
              <w:rPr>
                <w:rStyle w:val="105"/>
                <w:rFonts w:hint="eastAsia" w:ascii="宋体" w:hAnsi="宋体" w:cs="宋体"/>
                <w:color w:val="auto"/>
                <w:szCs w:val="21"/>
                <w:highlight w:val="none"/>
              </w:rPr>
            </w:pPr>
            <w:r>
              <w:rPr>
                <w:rFonts w:hint="eastAsia" w:ascii="宋体" w:hAnsi="宋体" w:cs="宋体"/>
                <w:color w:val="auto"/>
                <w:szCs w:val="21"/>
                <w:highlight w:val="none"/>
              </w:rPr>
              <w:t>工期由监理发出的开工令之日起计算，至验收合格之日止，总工期120日历天。欢迎投标人对工期进行优化。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9</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3.1</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资金来源</w:t>
            </w:r>
          </w:p>
        </w:tc>
        <w:tc>
          <w:tcPr>
            <w:tcW w:w="5689" w:type="dxa"/>
            <w:vAlign w:val="center"/>
          </w:tcPr>
          <w:p>
            <w:pPr>
              <w:spacing w:line="300" w:lineRule="auto"/>
              <w:rPr>
                <w:rStyle w:val="105"/>
                <w:rFonts w:hint="eastAsia" w:ascii="宋体" w:hAnsi="宋体" w:cs="宋体"/>
                <w:color w:val="auto"/>
                <w:szCs w:val="21"/>
                <w:highlight w:val="none"/>
                <w:u w:val="single"/>
              </w:rPr>
            </w:pPr>
            <w:r>
              <w:rPr>
                <w:rStyle w:val="105"/>
                <w:rFonts w:hint="eastAsia" w:ascii="宋体" w:hAnsi="宋体" w:cs="宋体"/>
                <w:color w:val="auto"/>
                <w:szCs w:val="21"/>
                <w:highlight w:val="none"/>
              </w:rPr>
              <w:t>详见本工程招标公告。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10</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4.1</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投标人资质等级及项目负责人等级要求</w:t>
            </w:r>
          </w:p>
        </w:tc>
        <w:tc>
          <w:tcPr>
            <w:tcW w:w="5689" w:type="dxa"/>
            <w:vAlign w:val="center"/>
          </w:tcPr>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详见本工程招标公告。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11</w:t>
            </w:r>
          </w:p>
        </w:tc>
        <w:tc>
          <w:tcPr>
            <w:tcW w:w="944" w:type="dxa"/>
            <w:vAlign w:val="center"/>
          </w:tcPr>
          <w:p>
            <w:pPr>
              <w:spacing w:line="300" w:lineRule="auto"/>
              <w:ind w:firstLine="458"/>
              <w:jc w:val="center"/>
              <w:rPr>
                <w:rStyle w:val="105"/>
                <w:rFonts w:hint="eastAsia" w:ascii="宋体" w:hAnsi="宋体" w:cs="宋体"/>
                <w:color w:val="auto"/>
                <w:szCs w:val="21"/>
                <w:highlight w:val="none"/>
              </w:rPr>
            </w:pP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资格审查方式</w:t>
            </w:r>
          </w:p>
        </w:tc>
        <w:tc>
          <w:tcPr>
            <w:tcW w:w="5689" w:type="dxa"/>
            <w:vAlign w:val="center"/>
          </w:tcPr>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详见本工程招标公告。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12</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13.1</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报价以及单价和总价计算方式</w:t>
            </w:r>
          </w:p>
        </w:tc>
        <w:tc>
          <w:tcPr>
            <w:tcW w:w="5689" w:type="dxa"/>
            <w:vAlign w:val="center"/>
          </w:tcPr>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工程量清单计价。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13</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15.1</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投标有效期</w:t>
            </w:r>
          </w:p>
        </w:tc>
        <w:tc>
          <w:tcPr>
            <w:tcW w:w="5689" w:type="dxa"/>
            <w:vAlign w:val="center"/>
          </w:tcPr>
          <w:p>
            <w:pPr>
              <w:spacing w:line="300" w:lineRule="auto"/>
              <w:rPr>
                <w:rStyle w:val="105"/>
                <w:rFonts w:hint="eastAsia" w:ascii="宋体" w:hAnsi="宋体" w:cs="宋体"/>
                <w:color w:val="auto"/>
                <w:szCs w:val="21"/>
                <w:highlight w:val="none"/>
                <w:u w:val="single"/>
              </w:rPr>
            </w:pPr>
            <w:r>
              <w:rPr>
                <w:rStyle w:val="105"/>
                <w:rFonts w:hint="eastAsia" w:ascii="宋体" w:hAnsi="宋体" w:cs="宋体"/>
                <w:color w:val="auto"/>
                <w:szCs w:val="21"/>
                <w:highlight w:val="none"/>
                <w:u w:val="single"/>
              </w:rPr>
              <w:t>90</w:t>
            </w:r>
            <w:r>
              <w:rPr>
                <w:rStyle w:val="105"/>
                <w:rFonts w:hint="eastAsia" w:ascii="宋体" w:hAnsi="宋体" w:cs="宋体"/>
                <w:color w:val="auto"/>
                <w:szCs w:val="21"/>
                <w:highlight w:val="none"/>
              </w:rPr>
              <w:t>日历天。（从投标截止之日计起）。如投标有效期内发生异议或投诉的，则投标有效期自动延长至异议或投诉处理结束后90日历天。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14</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16.1</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投标保证金</w:t>
            </w:r>
          </w:p>
        </w:tc>
        <w:tc>
          <w:tcPr>
            <w:tcW w:w="5689" w:type="dxa"/>
            <w:vAlign w:val="center"/>
          </w:tcPr>
          <w:p>
            <w:pPr>
              <w:pStyle w:val="155"/>
              <w:spacing w:line="300" w:lineRule="auto"/>
              <w:rPr>
                <w:rFonts w:hint="eastAsia" w:ascii="宋体" w:hAnsi="宋体" w:cs="宋体"/>
                <w:bCs/>
                <w:color w:val="auto"/>
                <w:szCs w:val="21"/>
                <w:highlight w:val="none"/>
              </w:rPr>
            </w:pPr>
            <w:r>
              <w:rPr>
                <w:rFonts w:hint="eastAsia" w:ascii="宋体" w:hAnsi="宋体" w:cs="宋体"/>
                <w:color w:val="auto"/>
                <w:szCs w:val="21"/>
                <w:highlight w:val="none"/>
                <w:u w:val="single"/>
              </w:rPr>
              <w:t>本项目无须递交投标保证金。所有关于投标保证金内容不适用本项目。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15</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5</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踏勘现场</w:t>
            </w:r>
          </w:p>
        </w:tc>
        <w:tc>
          <w:tcPr>
            <w:tcW w:w="5689" w:type="dxa"/>
            <w:vAlign w:val="center"/>
          </w:tcPr>
          <w:p>
            <w:pPr>
              <w:pStyle w:val="14"/>
              <w:spacing w:line="300" w:lineRule="auto"/>
              <w:rPr>
                <w:rStyle w:val="105"/>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招标人不集中组织，由投标人自行踏勘。投标人不进行踏勘的，视为已熟知现场条件，自行承担相关风险。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16</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8</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投标答疑</w:t>
            </w:r>
          </w:p>
        </w:tc>
        <w:tc>
          <w:tcPr>
            <w:tcW w:w="5689" w:type="dxa"/>
            <w:vAlign w:val="center"/>
          </w:tcPr>
          <w:p>
            <w:pPr>
              <w:spacing w:line="300" w:lineRule="auto"/>
              <w:rPr>
                <w:rFonts w:hint="eastAsia" w:ascii="宋体" w:hAnsi="宋体" w:cs="宋体"/>
                <w:bCs/>
                <w:color w:val="auto"/>
                <w:highlight w:val="none"/>
              </w:rPr>
            </w:pPr>
            <w:r>
              <w:rPr>
                <w:rStyle w:val="105"/>
                <w:rFonts w:hint="eastAsia" w:ascii="宋体" w:hAnsi="宋体" w:cs="宋体"/>
                <w:color w:val="auto"/>
                <w:szCs w:val="21"/>
                <w:highlight w:val="none"/>
              </w:rPr>
              <w:t>疑问提交时间：</w:t>
            </w:r>
            <w:r>
              <w:rPr>
                <w:rStyle w:val="105"/>
                <w:rFonts w:hint="eastAsia" w:ascii="宋体" w:hAnsi="宋体" w:cs="宋体"/>
                <w:color w:val="auto"/>
                <w:szCs w:val="21"/>
                <w:highlight w:val="none"/>
                <w:u w:val="single"/>
              </w:rPr>
              <w:t>2023</w:t>
            </w:r>
            <w:r>
              <w:rPr>
                <w:rStyle w:val="105"/>
                <w:rFonts w:hint="eastAsia" w:ascii="宋体" w:hAnsi="宋体" w:cs="宋体"/>
                <w:color w:val="auto"/>
                <w:szCs w:val="21"/>
                <w:highlight w:val="none"/>
              </w:rPr>
              <w:t>年</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月</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日</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时前；</w:t>
            </w:r>
            <w:r>
              <w:rPr>
                <w:rStyle w:val="105"/>
                <w:rFonts w:hint="eastAsia" w:ascii="宋体" w:hAnsi="宋体" w:cs="宋体"/>
                <w:color w:val="auto"/>
                <w:highlight w:val="none"/>
              </w:rPr>
              <w:t>（</w:t>
            </w:r>
            <w:r>
              <w:rPr>
                <w:rFonts w:hint="eastAsia" w:ascii="宋体" w:hAnsi="宋体" w:cs="宋体"/>
                <w:bCs/>
                <w:color w:val="auto"/>
                <w:highlight w:val="none"/>
              </w:rPr>
              <w:t>在递交投标文件截止日期18日前</w:t>
            </w:r>
            <w:r>
              <w:rPr>
                <w:rStyle w:val="105"/>
                <w:rFonts w:hint="eastAsia" w:ascii="宋体" w:hAnsi="宋体" w:cs="宋体"/>
                <w:color w:val="auto"/>
                <w:highlight w:val="none"/>
              </w:rPr>
              <w:t>）</w:t>
            </w:r>
          </w:p>
          <w:p>
            <w:pPr>
              <w:spacing w:line="300" w:lineRule="auto"/>
              <w:rPr>
                <w:rStyle w:val="105"/>
                <w:rFonts w:hint="eastAsia" w:ascii="宋体" w:hAnsi="宋体" w:cs="宋体"/>
                <w:bCs/>
                <w:color w:val="auto"/>
                <w:highlight w:val="none"/>
              </w:rPr>
            </w:pPr>
            <w:r>
              <w:rPr>
                <w:rStyle w:val="105"/>
                <w:rFonts w:hint="eastAsia" w:ascii="宋体" w:hAnsi="宋体" w:cs="宋体"/>
                <w:color w:val="auto"/>
                <w:szCs w:val="21"/>
                <w:highlight w:val="none"/>
              </w:rPr>
              <w:t>形式：投标人的疑问通过</w:t>
            </w:r>
            <w:r>
              <w:rPr>
                <w:rStyle w:val="105"/>
                <w:rFonts w:hint="eastAsia" w:ascii="宋体" w:hAnsi="宋体" w:cs="宋体"/>
                <w:color w:val="auto"/>
                <w:szCs w:val="21"/>
                <w:highlight w:val="none"/>
                <w:u w:val="single"/>
              </w:rPr>
              <w:t>广州交易集团有限公司（广州公共资源交易中心）</w:t>
            </w:r>
            <w:r>
              <w:rPr>
                <w:rStyle w:val="105"/>
                <w:rFonts w:hint="eastAsia" w:ascii="宋体" w:hAnsi="宋体" w:cs="宋体"/>
                <w:color w:val="auto"/>
                <w:szCs w:val="21"/>
                <w:highlight w:val="none"/>
              </w:rPr>
              <w:t>交易平台提交。</w:t>
            </w:r>
          </w:p>
          <w:p>
            <w:pPr>
              <w:spacing w:line="300" w:lineRule="auto"/>
              <w:rPr>
                <w:rStyle w:val="105"/>
                <w:rFonts w:hint="eastAsia" w:ascii="宋体" w:hAnsi="宋体" w:cs="宋体"/>
                <w:bCs/>
                <w:color w:val="auto"/>
                <w:highlight w:val="none"/>
              </w:rPr>
            </w:pPr>
            <w:r>
              <w:rPr>
                <w:rStyle w:val="105"/>
                <w:rFonts w:hint="eastAsia" w:ascii="宋体" w:hAnsi="宋体" w:cs="宋体"/>
                <w:color w:val="auto"/>
                <w:szCs w:val="21"/>
                <w:highlight w:val="none"/>
              </w:rPr>
              <w:t>具体要求：</w:t>
            </w:r>
            <w:r>
              <w:rPr>
                <w:rFonts w:hint="eastAsia" w:ascii="宋体" w:hAnsi="宋体" w:cs="宋体"/>
                <w:color w:val="auto"/>
                <w:szCs w:val="21"/>
                <w:highlight w:val="none"/>
              </w:rPr>
              <w:t>按照</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交易平台关于全流程电子化项目的相关指南进行操作，详见：</w:t>
            </w:r>
            <w:r>
              <w:rPr>
                <w:rStyle w:val="105"/>
                <w:rFonts w:hint="eastAsia" w:ascii="宋体" w:hAnsi="宋体" w:cs="宋体"/>
                <w:color w:val="auto"/>
                <w:szCs w:val="21"/>
                <w:highlight w:val="none"/>
                <w:u w:val="single"/>
              </w:rPr>
              <w:t>广州交易集团有限公司（广州公共资源交易中心）网站最新指引</w:t>
            </w:r>
            <w:r>
              <w:rPr>
                <w:rFonts w:hint="eastAsia" w:ascii="宋体" w:hAnsi="宋体" w:cs="宋体"/>
                <w:color w:val="auto"/>
                <w:szCs w:val="21"/>
                <w:highlight w:val="none"/>
              </w:rPr>
              <w:t>。提问一律不得署名。</w:t>
            </w:r>
          </w:p>
          <w:p>
            <w:pPr>
              <w:pStyle w:val="155"/>
              <w:spacing w:line="300" w:lineRule="auto"/>
              <w:rPr>
                <w:rFonts w:ascii="宋体" w:hAnsi="宋体" w:cs="宋体"/>
                <w:color w:val="auto"/>
                <w:szCs w:val="21"/>
                <w:highlight w:val="none"/>
              </w:rPr>
            </w:pPr>
            <w:r>
              <w:rPr>
                <w:rFonts w:hint="eastAsia" w:ascii="宋体" w:hAnsi="宋体" w:cs="宋体"/>
                <w:color w:val="auto"/>
                <w:szCs w:val="21"/>
                <w:highlight w:val="none"/>
              </w:rPr>
              <w:t>招标人澄清、修补或答疑期限：在递交投标文件截止日期</w:t>
            </w:r>
            <w:r>
              <w:rPr>
                <w:rFonts w:hint="eastAsia" w:ascii="宋体" w:hAnsi="宋体" w:cs="宋体"/>
                <w:color w:val="auto"/>
                <w:szCs w:val="21"/>
                <w:highlight w:val="none"/>
                <w:u w:val="single"/>
              </w:rPr>
              <w:t>15</w:t>
            </w:r>
            <w:r>
              <w:rPr>
                <w:rFonts w:hint="eastAsia" w:ascii="宋体" w:hAnsi="宋体" w:cs="宋体"/>
                <w:color w:val="auto"/>
                <w:szCs w:val="21"/>
                <w:highlight w:val="none"/>
              </w:rPr>
              <w:t>日前</w:t>
            </w:r>
            <w:r>
              <w:rPr>
                <w:rFonts w:hint="eastAsia"/>
                <w:color w:val="auto"/>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17</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20.1</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投标截止时间</w:t>
            </w:r>
          </w:p>
        </w:tc>
        <w:tc>
          <w:tcPr>
            <w:tcW w:w="5689" w:type="dxa"/>
            <w:vAlign w:val="center"/>
          </w:tcPr>
          <w:p>
            <w:pPr>
              <w:spacing w:line="300" w:lineRule="auto"/>
              <w:rPr>
                <w:rStyle w:val="105"/>
                <w:rFonts w:hint="eastAsia" w:ascii="宋体" w:hAnsi="宋体" w:cs="宋体"/>
                <w:strike/>
                <w:color w:val="auto"/>
                <w:szCs w:val="21"/>
                <w:highlight w:val="none"/>
              </w:rPr>
            </w:pPr>
            <w:r>
              <w:rPr>
                <w:rStyle w:val="105"/>
                <w:rFonts w:hint="eastAsia" w:ascii="宋体" w:hAnsi="宋体" w:cs="宋体"/>
                <w:color w:val="auto"/>
                <w:szCs w:val="21"/>
                <w:highlight w:val="none"/>
                <w:u w:val="single"/>
              </w:rPr>
              <w:t>2023</w:t>
            </w:r>
            <w:r>
              <w:rPr>
                <w:rStyle w:val="105"/>
                <w:rFonts w:hint="eastAsia" w:ascii="宋体" w:hAnsi="宋体" w:cs="宋体"/>
                <w:color w:val="auto"/>
                <w:szCs w:val="21"/>
                <w:highlight w:val="none"/>
              </w:rPr>
              <w:t>年</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月</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highlight w:val="none"/>
                <w:u w:val="single"/>
              </w:rPr>
              <w:t xml:space="preserve"> </w:t>
            </w:r>
            <w:r>
              <w:rPr>
                <w:rStyle w:val="105"/>
                <w:rFonts w:hint="eastAsia" w:ascii="宋体" w:hAnsi="宋体" w:cs="宋体"/>
                <w:color w:val="auto"/>
                <w:szCs w:val="21"/>
                <w:highlight w:val="none"/>
              </w:rPr>
              <w:t>日</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highlight w:val="none"/>
                <w:u w:val="single"/>
              </w:rPr>
              <w:t xml:space="preserve"> </w:t>
            </w:r>
            <w:r>
              <w:rPr>
                <w:rStyle w:val="105"/>
                <w:rFonts w:hint="eastAsia" w:ascii="宋体" w:hAnsi="宋体" w:cs="宋体"/>
                <w:color w:val="auto"/>
                <w:szCs w:val="21"/>
                <w:highlight w:val="none"/>
              </w:rPr>
              <w:t>时（北京时间）。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18</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20.1</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开标开始时间和地点</w:t>
            </w:r>
          </w:p>
        </w:tc>
        <w:tc>
          <w:tcPr>
            <w:tcW w:w="5689" w:type="dxa"/>
            <w:vAlign w:val="center"/>
          </w:tcPr>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（技术标和经济标同时开标）</w:t>
            </w:r>
          </w:p>
          <w:p>
            <w:pPr>
              <w:spacing w:line="300"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1.开标开始时间：</w:t>
            </w:r>
            <w:r>
              <w:rPr>
                <w:rStyle w:val="105"/>
                <w:rFonts w:hint="eastAsia" w:ascii="宋体" w:hAnsi="宋体" w:cs="宋体"/>
                <w:color w:val="auto"/>
                <w:szCs w:val="21"/>
                <w:highlight w:val="none"/>
                <w:u w:val="single"/>
              </w:rPr>
              <w:t>2023</w:t>
            </w:r>
            <w:r>
              <w:rPr>
                <w:rStyle w:val="105"/>
                <w:rFonts w:hint="eastAsia" w:ascii="宋体" w:hAnsi="宋体" w:cs="宋体"/>
                <w:color w:val="auto"/>
                <w:szCs w:val="21"/>
                <w:highlight w:val="none"/>
              </w:rPr>
              <w:t>年</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月</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日</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时</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分（与投标截止时间为同一时间），地点：</w:t>
            </w:r>
            <w:r>
              <w:rPr>
                <w:rStyle w:val="105"/>
                <w:rFonts w:hint="eastAsia" w:ascii="宋体" w:hAnsi="宋体" w:cs="宋体"/>
                <w:color w:val="auto"/>
                <w:szCs w:val="21"/>
                <w:highlight w:val="none"/>
                <w:u w:val="single"/>
              </w:rPr>
              <w:t>广州公共资源交易中心  开标室</w:t>
            </w:r>
            <w:r>
              <w:rPr>
                <w:rStyle w:val="105"/>
                <w:rFonts w:hint="eastAsia" w:ascii="宋体" w:hAnsi="宋体" w:cs="宋体"/>
                <w:color w:val="auto"/>
                <w:szCs w:val="21"/>
                <w:highlight w:val="none"/>
              </w:rPr>
              <w:t>。投标人也可选择参加在线开标，具体按照交易平台相关指南进行操作。详见：</w:t>
            </w:r>
            <w:r>
              <w:rPr>
                <w:rStyle w:val="105"/>
                <w:rFonts w:hint="eastAsia" w:ascii="宋体" w:hAnsi="宋体" w:cs="宋体"/>
                <w:color w:val="auto"/>
                <w:szCs w:val="21"/>
                <w:highlight w:val="none"/>
                <w:u w:val="single"/>
              </w:rPr>
              <w:t>广州交易集团有限公司（广州公共资源交易中心）网站最新指引</w:t>
            </w:r>
            <w:r>
              <w:rPr>
                <w:rStyle w:val="105"/>
                <w:rFonts w:hint="eastAsia" w:ascii="宋体" w:hAnsi="宋体" w:cs="宋体"/>
                <w:color w:val="auto"/>
                <w:szCs w:val="21"/>
                <w:highlight w:val="none"/>
              </w:rPr>
              <w:t>。</w:t>
            </w:r>
          </w:p>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注：投标文件解密问题。投标人只用执行一次解密，招标人执行解密次数根据招标文件开标次数确定。</w:t>
            </w:r>
          </w:p>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2.递交投标文件备用光盘时间：</w:t>
            </w:r>
            <w:r>
              <w:rPr>
                <w:rStyle w:val="105"/>
                <w:rFonts w:hint="eastAsia" w:ascii="宋体" w:hAnsi="宋体" w:cs="宋体"/>
                <w:color w:val="auto"/>
                <w:szCs w:val="21"/>
                <w:highlight w:val="none"/>
                <w:u w:val="single"/>
              </w:rPr>
              <w:t>2023</w:t>
            </w:r>
            <w:r>
              <w:rPr>
                <w:rStyle w:val="105"/>
                <w:rFonts w:hint="eastAsia" w:ascii="宋体" w:hAnsi="宋体" w:cs="宋体"/>
                <w:color w:val="auto"/>
                <w:szCs w:val="21"/>
                <w:highlight w:val="none"/>
              </w:rPr>
              <w:t>年</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月</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日</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时</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分至</w:t>
            </w:r>
            <w:r>
              <w:rPr>
                <w:rStyle w:val="105"/>
                <w:rFonts w:hint="eastAsia" w:ascii="宋体" w:hAnsi="宋体" w:cs="宋体"/>
                <w:color w:val="auto"/>
                <w:szCs w:val="21"/>
                <w:highlight w:val="none"/>
                <w:u w:val="single"/>
              </w:rPr>
              <w:t>2023</w:t>
            </w:r>
            <w:r>
              <w:rPr>
                <w:rStyle w:val="105"/>
                <w:rFonts w:hint="eastAsia" w:ascii="宋体" w:hAnsi="宋体" w:cs="宋体"/>
                <w:color w:val="auto"/>
                <w:szCs w:val="21"/>
                <w:highlight w:val="none"/>
              </w:rPr>
              <w:t>年</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月</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日</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时</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分；递交地点：</w:t>
            </w:r>
            <w:r>
              <w:rPr>
                <w:rStyle w:val="105"/>
                <w:rFonts w:hint="eastAsia" w:ascii="宋体" w:hAnsi="宋体" w:cs="宋体"/>
                <w:color w:val="auto"/>
                <w:szCs w:val="21"/>
                <w:highlight w:val="none"/>
                <w:u w:val="single"/>
              </w:rPr>
              <w:t>广州公共资源交易中心  开标室</w:t>
            </w:r>
            <w:r>
              <w:rPr>
                <w:rFonts w:hint="eastAsia" w:ascii="宋体" w:hAnsi="宋体" w:cs="宋体"/>
                <w:color w:val="auto"/>
                <w:szCs w:val="21"/>
                <w:highlight w:val="none"/>
                <w:u w:val="single"/>
              </w:rPr>
              <w:t>（广州市天河区天润路333号）</w:t>
            </w:r>
            <w:r>
              <w:rPr>
                <w:rStyle w:val="105"/>
                <w:rFonts w:hint="eastAsia" w:ascii="宋体" w:hAnsi="宋体" w:cs="宋体"/>
                <w:color w:val="auto"/>
                <w:szCs w:val="21"/>
                <w:highlight w:val="none"/>
              </w:rPr>
              <w:t>。</w:t>
            </w:r>
          </w:p>
          <w:p>
            <w:pPr>
              <w:spacing w:line="300" w:lineRule="auto"/>
              <w:rPr>
                <w:rStyle w:val="105"/>
                <w:rFonts w:hint="eastAsia" w:ascii="宋体" w:hAnsi="宋体" w:cs="宋体"/>
                <w:color w:val="auto"/>
                <w:szCs w:val="21"/>
                <w:highlight w:val="none"/>
              </w:rPr>
            </w:pPr>
            <w:r>
              <w:rPr>
                <w:rFonts w:hint="eastAsia" w:ascii="宋体" w:hAnsi="宋体" w:cs="宋体"/>
                <w:color w:val="auto"/>
                <w:szCs w:val="21"/>
                <w:highlight w:val="none"/>
              </w:rPr>
              <w:t>注：</w:t>
            </w:r>
            <w:r>
              <w:rPr>
                <w:rStyle w:val="105"/>
                <w:rFonts w:hint="eastAsia" w:ascii="宋体" w:hAnsi="宋体" w:cs="宋体"/>
                <w:color w:val="auto"/>
                <w:szCs w:val="21"/>
                <w:highlight w:val="none"/>
              </w:rPr>
              <w:t>上述时间及地点是否有改变，请密切留意补充公告和招标答疑纪要的相关信息。</w:t>
            </w:r>
          </w:p>
          <w:p>
            <w:pPr>
              <w:spacing w:line="300" w:lineRule="auto"/>
              <w:rPr>
                <w:rStyle w:val="105"/>
                <w:rFonts w:hint="eastAsia" w:ascii="宋体" w:hAnsi="宋体" w:cs="宋体"/>
                <w:color w:val="auto"/>
                <w:szCs w:val="21"/>
                <w:highlight w:val="none"/>
              </w:rPr>
            </w:pPr>
            <w:r>
              <w:rPr>
                <w:rStyle w:val="105"/>
                <w:rFonts w:hint="eastAsia" w:ascii="宋体" w:hAnsi="宋体" w:cs="宋体"/>
                <w:b/>
                <w:bCs/>
                <w:color w:val="auto"/>
                <w:szCs w:val="21"/>
                <w:highlight w:val="none"/>
              </w:rPr>
              <w:t>请各投标人密切留意本项目的日程安排，投标人可登录广州交易集团有限公司（广州公共资源交易中心）网站首页，点击“建设工程”专栏中的“项目查询（日程安排、答疑纪要）”输入项目编号或名称查询最新信息安排。</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19</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26</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开标评标办法</w:t>
            </w:r>
          </w:p>
        </w:tc>
        <w:tc>
          <w:tcPr>
            <w:tcW w:w="5689" w:type="dxa"/>
            <w:vAlign w:val="center"/>
          </w:tcPr>
          <w:p>
            <w:pPr>
              <w:spacing w:line="300" w:lineRule="auto"/>
              <w:rPr>
                <w:rFonts w:hint="eastAsia" w:ascii="宋体" w:hAnsi="宋体" w:cs="宋体"/>
                <w:b/>
                <w:bCs/>
                <w:color w:val="auto"/>
                <w:highlight w:val="none"/>
              </w:rPr>
            </w:pPr>
            <w:r>
              <w:rPr>
                <w:rFonts w:hint="eastAsia" w:ascii="宋体" w:hAnsi="宋体" w:cs="宋体"/>
                <w:color w:val="auto"/>
                <w:szCs w:val="21"/>
                <w:highlight w:val="none"/>
              </w:rPr>
              <w:t>方式一：选取方法办法七（适合综合评分法四，技术标与经济标同时开启）；</w:t>
            </w:r>
            <w:r>
              <w:rPr>
                <w:rFonts w:hint="eastAsia" w:ascii="宋体" w:hAnsi="宋体" w:cs="宋体"/>
                <w:b/>
                <w:bCs/>
                <w:color w:val="auto"/>
                <w:szCs w:val="21"/>
                <w:highlight w:val="none"/>
              </w:rPr>
              <w:t>投标人总得分=技术得分（满分20分）＋经济得分（100分）×经济得分权重（80%）</w:t>
            </w:r>
          </w:p>
          <w:p>
            <w:pPr>
              <w:spacing w:line="300" w:lineRule="auto"/>
              <w:rPr>
                <w:rStyle w:val="105"/>
                <w:rFonts w:hint="eastAsia" w:ascii="宋体" w:hAnsi="宋体" w:cs="宋体"/>
                <w:color w:val="auto"/>
                <w:szCs w:val="21"/>
                <w:highlight w:val="none"/>
              </w:rPr>
            </w:pPr>
            <w:r>
              <w:rPr>
                <w:rFonts w:hint="eastAsia" w:ascii="宋体" w:hAnsi="宋体" w:cs="宋体"/>
                <w:color w:val="auto"/>
                <w:szCs w:val="21"/>
                <w:highlight w:val="none"/>
              </w:rPr>
              <w:t>总得分相同情况下的排序方法：总得分相同的投标文件，以技术分高的排前；如仍存在相同情况，则对具有相同情况的投标人，由评标委员会采用投票方式，确定投标人的排序。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20</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29.1</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履约担保</w:t>
            </w:r>
          </w:p>
        </w:tc>
        <w:tc>
          <w:tcPr>
            <w:tcW w:w="5689" w:type="dxa"/>
            <w:vAlign w:val="center"/>
          </w:tcPr>
          <w:p>
            <w:pPr>
              <w:pStyle w:val="8"/>
              <w:topLinePunct/>
              <w:adjustRightInd w:val="0"/>
              <w:spacing w:after="0" w:line="300" w:lineRule="auto"/>
              <w:rPr>
                <w:rStyle w:val="105"/>
                <w:rFonts w:hint="eastAsia" w:ascii="宋体" w:hAnsi="宋体" w:cs="宋体"/>
                <w:color w:val="auto"/>
                <w:sz w:val="21"/>
                <w:szCs w:val="21"/>
                <w:highlight w:val="none"/>
              </w:rPr>
            </w:pPr>
            <w:r>
              <w:rPr>
                <w:rStyle w:val="105"/>
                <w:rFonts w:hint="eastAsia" w:ascii="宋体" w:hAnsi="宋体" w:cs="宋体"/>
                <w:color w:val="auto"/>
                <w:sz w:val="21"/>
                <w:szCs w:val="21"/>
                <w:highlight w:val="none"/>
              </w:rPr>
              <w:t>方式一：</w:t>
            </w:r>
          </w:p>
          <w:p>
            <w:pPr>
              <w:pStyle w:val="8"/>
              <w:topLinePunct/>
              <w:adjustRightInd w:val="0"/>
              <w:spacing w:after="0" w:line="300" w:lineRule="auto"/>
              <w:rPr>
                <w:rStyle w:val="105"/>
                <w:rFonts w:hint="eastAsia" w:ascii="宋体" w:hAnsi="宋体" w:cs="宋体"/>
                <w:color w:val="auto"/>
                <w:sz w:val="21"/>
                <w:szCs w:val="21"/>
                <w:highlight w:val="none"/>
              </w:rPr>
            </w:pPr>
            <w:r>
              <w:rPr>
                <w:rStyle w:val="105"/>
                <w:rFonts w:hint="eastAsia" w:ascii="宋体" w:hAnsi="宋体" w:cs="宋体"/>
                <w:color w:val="auto"/>
                <w:sz w:val="21"/>
                <w:szCs w:val="21"/>
                <w:highlight w:val="none"/>
              </w:rPr>
              <w:t>中标人提供的履约保证金为中标价款的10%。</w:t>
            </w:r>
          </w:p>
          <w:p>
            <w:pPr>
              <w:pStyle w:val="8"/>
              <w:topLinePunct/>
              <w:adjustRightInd w:val="0"/>
              <w:spacing w:line="300" w:lineRule="auto"/>
              <w:rPr>
                <w:rFonts w:hint="eastAsia" w:ascii="宋体" w:hAnsi="宋体" w:cs="宋体"/>
                <w:color w:val="auto"/>
                <w:szCs w:val="21"/>
                <w:highlight w:val="none"/>
              </w:rPr>
            </w:pPr>
            <w:r>
              <w:rPr>
                <w:rFonts w:hint="eastAsia" w:ascii="宋体" w:hAnsi="宋体" w:cs="宋体"/>
                <w:color w:val="auto"/>
                <w:sz w:val="21"/>
                <w:szCs w:val="21"/>
                <w:highlight w:val="none"/>
                <w:u w:val="single"/>
              </w:rPr>
              <w:t>履约保证金的形式：转账、现金或银行保函、保证保险、担保保函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21</w:t>
            </w:r>
          </w:p>
        </w:tc>
        <w:tc>
          <w:tcPr>
            <w:tcW w:w="944" w:type="dxa"/>
            <w:vAlign w:val="center"/>
          </w:tcPr>
          <w:p>
            <w:pPr>
              <w:spacing w:line="300" w:lineRule="auto"/>
              <w:jc w:val="center"/>
              <w:rPr>
                <w:rStyle w:val="105"/>
                <w:rFonts w:hint="eastAsia" w:ascii="宋体" w:hAnsi="宋体" w:cs="宋体"/>
                <w:color w:val="auto"/>
                <w:szCs w:val="21"/>
                <w:highlight w:val="none"/>
              </w:rPr>
            </w:pP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最高投标限价</w:t>
            </w:r>
          </w:p>
        </w:tc>
        <w:tc>
          <w:tcPr>
            <w:tcW w:w="5689" w:type="dxa"/>
            <w:vAlign w:val="center"/>
          </w:tcPr>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本项目最高投标限价为人民币</w:t>
            </w:r>
            <w:r>
              <w:rPr>
                <w:rFonts w:hint="eastAsia" w:ascii="宋体" w:hAnsi="宋体" w:cs="宋体"/>
                <w:color w:val="auto"/>
                <w:szCs w:val="21"/>
                <w:highlight w:val="none"/>
                <w:u w:val="single"/>
              </w:rPr>
              <w:t>4,564,372.93</w:t>
            </w:r>
            <w:r>
              <w:rPr>
                <w:rStyle w:val="105"/>
                <w:rFonts w:hint="eastAsia" w:ascii="宋体" w:hAnsi="宋体" w:cs="宋体"/>
                <w:color w:val="auto"/>
                <w:szCs w:val="21"/>
                <w:highlight w:val="none"/>
              </w:rPr>
              <w:t>元</w:t>
            </w:r>
            <w:r>
              <w:rPr>
                <w:rFonts w:hint="eastAsia" w:ascii="宋体" w:hAnsi="宋体" w:cs="宋体"/>
                <w:color w:val="auto"/>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22</w:t>
            </w:r>
          </w:p>
        </w:tc>
        <w:tc>
          <w:tcPr>
            <w:tcW w:w="944" w:type="dxa"/>
            <w:vAlign w:val="center"/>
          </w:tcPr>
          <w:p>
            <w:pPr>
              <w:spacing w:line="300" w:lineRule="auto"/>
              <w:jc w:val="center"/>
              <w:rPr>
                <w:rStyle w:val="105"/>
                <w:rFonts w:hint="eastAsia" w:ascii="宋体" w:hAnsi="宋体" w:cs="宋体"/>
                <w:color w:val="auto"/>
                <w:szCs w:val="21"/>
                <w:highlight w:val="none"/>
              </w:rPr>
            </w:pP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非竞争费用</w:t>
            </w:r>
          </w:p>
        </w:tc>
        <w:tc>
          <w:tcPr>
            <w:tcW w:w="5689" w:type="dxa"/>
            <w:vAlign w:val="center"/>
          </w:tcPr>
          <w:p>
            <w:pPr>
              <w:spacing w:line="300" w:lineRule="auto"/>
              <w:rPr>
                <w:rStyle w:val="105"/>
                <w:rFonts w:hint="eastAsia" w:ascii="宋体" w:hAnsi="宋体" w:cs="宋体"/>
                <w:color w:val="auto"/>
                <w:szCs w:val="21"/>
                <w:highlight w:val="none"/>
              </w:rPr>
            </w:pPr>
            <w:r>
              <w:rPr>
                <w:rFonts w:hint="eastAsia" w:ascii="宋体" w:hAnsi="宋体" w:cs="宋体"/>
                <w:color w:val="auto"/>
                <w:szCs w:val="21"/>
                <w:highlight w:val="none"/>
              </w:rPr>
              <w:t>本项目绿色施工安全防护措施费为</w:t>
            </w:r>
            <w:r>
              <w:rPr>
                <w:rFonts w:hint="eastAsia" w:ascii="宋体" w:hAnsi="宋体" w:cs="宋体"/>
                <w:color w:val="auto"/>
                <w:szCs w:val="21"/>
                <w:highlight w:val="none"/>
                <w:u w:val="single"/>
                <w:lang w:val="en-US" w:eastAsia="zh-CN"/>
              </w:rPr>
              <w:t>166,629.68</w:t>
            </w:r>
            <w:r>
              <w:rPr>
                <w:rFonts w:hint="eastAsia" w:ascii="宋体" w:hAnsi="宋体" w:cs="宋体"/>
                <w:color w:val="auto"/>
                <w:szCs w:val="21"/>
                <w:highlight w:val="none"/>
              </w:rPr>
              <w:t>元，暂列金额为</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rPr>
              <w:t>元，暂估价为</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rPr>
              <w:t>元。（未按招标文件规定的金额填写的，由评标委员会按照招标文件规定的金额进行修正）</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23</w:t>
            </w:r>
          </w:p>
        </w:tc>
        <w:tc>
          <w:tcPr>
            <w:tcW w:w="944" w:type="dxa"/>
            <w:vAlign w:val="center"/>
          </w:tcPr>
          <w:p>
            <w:pPr>
              <w:spacing w:line="300" w:lineRule="auto"/>
              <w:jc w:val="center"/>
              <w:rPr>
                <w:rStyle w:val="105"/>
                <w:rFonts w:hint="eastAsia" w:ascii="宋体" w:hAnsi="宋体" w:cs="宋体"/>
                <w:color w:val="auto"/>
                <w:szCs w:val="21"/>
                <w:highlight w:val="none"/>
              </w:rPr>
            </w:pPr>
          </w:p>
        </w:tc>
        <w:tc>
          <w:tcPr>
            <w:tcW w:w="1494" w:type="dxa"/>
            <w:vAlign w:val="center"/>
          </w:tcPr>
          <w:p>
            <w:pPr>
              <w:pStyle w:val="83"/>
              <w:spacing w:after="0" w:line="300" w:lineRule="auto"/>
              <w:ind w:firstLine="0"/>
              <w:jc w:val="center"/>
              <w:rPr>
                <w:rStyle w:val="105"/>
                <w:rFonts w:hint="eastAsia" w:ascii="宋体" w:hAnsi="宋体" w:cs="宋体"/>
                <w:color w:val="auto"/>
                <w:kern w:val="2"/>
                <w:sz w:val="21"/>
                <w:szCs w:val="21"/>
                <w:highlight w:val="none"/>
              </w:rPr>
            </w:pPr>
            <w:r>
              <w:rPr>
                <w:rStyle w:val="105"/>
                <w:rFonts w:hint="eastAsia" w:ascii="宋体" w:hAnsi="宋体" w:cs="宋体"/>
                <w:color w:val="auto"/>
                <w:kern w:val="2"/>
                <w:sz w:val="21"/>
                <w:szCs w:val="21"/>
                <w:highlight w:val="none"/>
              </w:rPr>
              <w:t>保修期</w:t>
            </w:r>
          </w:p>
        </w:tc>
        <w:tc>
          <w:tcPr>
            <w:tcW w:w="5689" w:type="dxa"/>
            <w:vAlign w:val="center"/>
          </w:tcPr>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按照《建设工程质量管理条例》规定。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24</w:t>
            </w:r>
          </w:p>
        </w:tc>
        <w:tc>
          <w:tcPr>
            <w:tcW w:w="944" w:type="dxa"/>
            <w:vAlign w:val="center"/>
          </w:tcPr>
          <w:p>
            <w:pPr>
              <w:spacing w:line="300" w:lineRule="auto"/>
              <w:jc w:val="center"/>
              <w:rPr>
                <w:rStyle w:val="105"/>
                <w:rFonts w:hint="eastAsia" w:ascii="宋体" w:hAnsi="宋体" w:cs="宋体"/>
                <w:color w:val="auto"/>
                <w:szCs w:val="21"/>
                <w:highlight w:val="none"/>
              </w:rPr>
            </w:pP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计算评标参考价的等分点值</w:t>
            </w:r>
          </w:p>
        </w:tc>
        <w:tc>
          <w:tcPr>
            <w:tcW w:w="5689" w:type="dxa"/>
            <w:vAlign w:val="center"/>
          </w:tcPr>
          <w:p>
            <w:pPr>
              <w:spacing w:line="300" w:lineRule="auto"/>
              <w:rPr>
                <w:rStyle w:val="105"/>
                <w:rFonts w:hint="eastAsia" w:ascii="宋体" w:hAnsi="宋体" w:cs="宋体"/>
                <w:color w:val="auto"/>
                <w:szCs w:val="21"/>
                <w:highlight w:val="none"/>
              </w:rPr>
            </w:pPr>
            <w:r>
              <w:rPr>
                <w:rFonts w:hint="eastAsia" w:ascii="宋体" w:hAnsi="宋体" w:cs="宋体"/>
                <w:color w:val="auto"/>
                <w:szCs w:val="21"/>
                <w:highlight w:val="none"/>
              </w:rPr>
              <w:t>本款不适用。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25</w:t>
            </w:r>
          </w:p>
        </w:tc>
        <w:tc>
          <w:tcPr>
            <w:tcW w:w="944" w:type="dxa"/>
            <w:vAlign w:val="center"/>
          </w:tcPr>
          <w:p>
            <w:pPr>
              <w:spacing w:line="300" w:lineRule="auto"/>
              <w:ind w:firstLine="458"/>
              <w:jc w:val="center"/>
              <w:rPr>
                <w:rStyle w:val="105"/>
                <w:rFonts w:hint="eastAsia" w:ascii="宋体" w:hAnsi="宋体" w:cs="宋体"/>
                <w:color w:val="auto"/>
                <w:szCs w:val="21"/>
                <w:highlight w:val="none"/>
              </w:rPr>
            </w:pP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进入第二阶段评审的家数</w:t>
            </w:r>
          </w:p>
        </w:tc>
        <w:tc>
          <w:tcPr>
            <w:tcW w:w="5689" w:type="dxa"/>
            <w:vAlign w:val="center"/>
          </w:tcPr>
          <w:p>
            <w:pPr>
              <w:spacing w:line="300" w:lineRule="auto"/>
              <w:rPr>
                <w:rStyle w:val="105"/>
                <w:rFonts w:hint="eastAsia" w:ascii="宋体" w:hAnsi="宋体" w:cs="宋体"/>
                <w:color w:val="auto"/>
                <w:szCs w:val="21"/>
                <w:highlight w:val="none"/>
              </w:rPr>
            </w:pPr>
            <w:r>
              <w:rPr>
                <w:rFonts w:hint="eastAsia" w:ascii="宋体" w:hAnsi="宋体" w:cs="宋体"/>
                <w:color w:val="auto"/>
                <w:szCs w:val="21"/>
                <w:highlight w:val="none"/>
              </w:rPr>
              <w:t>本款不适用。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26</w:t>
            </w:r>
          </w:p>
        </w:tc>
        <w:tc>
          <w:tcPr>
            <w:tcW w:w="944" w:type="dxa"/>
            <w:vAlign w:val="center"/>
          </w:tcPr>
          <w:p>
            <w:pPr>
              <w:spacing w:line="300" w:lineRule="auto"/>
              <w:jc w:val="center"/>
              <w:rPr>
                <w:rStyle w:val="105"/>
                <w:rFonts w:hint="eastAsia" w:ascii="宋体" w:hAnsi="宋体" w:cs="宋体"/>
                <w:color w:val="auto"/>
                <w:szCs w:val="21"/>
                <w:highlight w:val="none"/>
              </w:rPr>
            </w:pP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工程成本警戒价</w:t>
            </w:r>
          </w:p>
        </w:tc>
        <w:tc>
          <w:tcPr>
            <w:tcW w:w="5689" w:type="dxa"/>
            <w:vAlign w:val="center"/>
          </w:tcPr>
          <w:p>
            <w:pPr>
              <w:spacing w:line="300" w:lineRule="auto"/>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工程成本警戒价为</w:t>
            </w:r>
            <w:r>
              <w:rPr>
                <w:rFonts w:hint="eastAsia" w:ascii="宋体" w:hAnsi="宋体" w:cs="宋体"/>
                <w:b w:val="0"/>
                <w:bCs/>
                <w:color w:val="auto"/>
                <w:szCs w:val="21"/>
                <w:highlight w:val="none"/>
                <w:u w:val="single"/>
                <w:lang w:val="en-US" w:eastAsia="zh-CN"/>
              </w:rPr>
              <w:t>4,107,935.64</w:t>
            </w:r>
            <w:r>
              <w:rPr>
                <w:rFonts w:hint="eastAsia" w:ascii="宋体" w:hAnsi="宋体" w:cs="宋体"/>
                <w:color w:val="auto"/>
                <w:szCs w:val="21"/>
                <w:highlight w:val="none"/>
                <w:u w:val="single"/>
              </w:rPr>
              <w:t>（招标控制价的9</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w:t>
            </w:r>
            <w:r>
              <w:rPr>
                <w:rFonts w:hint="eastAsia" w:ascii="宋体" w:hAnsi="宋体" w:cs="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pacing w:line="300" w:lineRule="auto"/>
              <w:rPr>
                <w:rStyle w:val="105"/>
                <w:rFonts w:hint="eastAsia" w:ascii="宋体" w:hAnsi="宋体" w:cs="宋体"/>
                <w:color w:val="auto"/>
                <w:szCs w:val="21"/>
                <w:highlight w:val="none"/>
                <w:u w:val="single"/>
              </w:rPr>
            </w:pPr>
            <w:r>
              <w:rPr>
                <w:rFonts w:hint="eastAsia" w:ascii="宋体" w:hAnsi="宋体" w:cs="宋体"/>
                <w:color w:val="auto"/>
                <w:szCs w:val="21"/>
                <w:highlight w:val="none"/>
              </w:rPr>
              <w:t>注：为充分体现招标人意愿及落实项目招标人负责制，警戒价由招标人决定。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27</w:t>
            </w:r>
          </w:p>
        </w:tc>
        <w:tc>
          <w:tcPr>
            <w:tcW w:w="944" w:type="dxa"/>
            <w:vAlign w:val="center"/>
          </w:tcPr>
          <w:p>
            <w:pPr>
              <w:spacing w:line="300" w:lineRule="auto"/>
              <w:jc w:val="center"/>
              <w:rPr>
                <w:rStyle w:val="105"/>
                <w:rFonts w:hint="eastAsia" w:ascii="宋体" w:hAnsi="宋体" w:cs="宋体"/>
                <w:color w:val="auto"/>
                <w:szCs w:val="21"/>
                <w:highlight w:val="none"/>
              </w:rPr>
            </w:pP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第一阶段各分值的权重</w:t>
            </w:r>
          </w:p>
        </w:tc>
        <w:tc>
          <w:tcPr>
            <w:tcW w:w="5689" w:type="dxa"/>
            <w:vAlign w:val="center"/>
          </w:tcPr>
          <w:p>
            <w:pPr>
              <w:spacing w:line="300" w:lineRule="auto"/>
              <w:rPr>
                <w:rStyle w:val="105"/>
                <w:rFonts w:hint="eastAsia" w:ascii="宋体" w:hAnsi="宋体" w:cs="宋体"/>
                <w:color w:val="auto"/>
                <w:szCs w:val="21"/>
                <w:highlight w:val="none"/>
              </w:rPr>
            </w:pPr>
            <w:r>
              <w:rPr>
                <w:rFonts w:hint="eastAsia" w:ascii="宋体" w:hAnsi="宋体" w:cs="宋体"/>
                <w:color w:val="auto"/>
                <w:szCs w:val="21"/>
                <w:highlight w:val="none"/>
              </w:rPr>
              <w:t>本款不适用。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28</w:t>
            </w:r>
          </w:p>
        </w:tc>
        <w:tc>
          <w:tcPr>
            <w:tcW w:w="944" w:type="dxa"/>
            <w:vAlign w:val="center"/>
          </w:tcPr>
          <w:p>
            <w:pPr>
              <w:spacing w:line="300" w:lineRule="auto"/>
              <w:jc w:val="center"/>
              <w:rPr>
                <w:rStyle w:val="105"/>
                <w:rFonts w:hint="eastAsia" w:ascii="宋体" w:hAnsi="宋体" w:cs="宋体"/>
                <w:color w:val="auto"/>
                <w:szCs w:val="21"/>
                <w:highlight w:val="none"/>
              </w:rPr>
            </w:pP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评标委员会人数</w:t>
            </w:r>
          </w:p>
        </w:tc>
        <w:tc>
          <w:tcPr>
            <w:tcW w:w="5689" w:type="dxa"/>
            <w:vAlign w:val="center"/>
          </w:tcPr>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评标委员会由招标人依法组建。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29</w:t>
            </w:r>
          </w:p>
        </w:tc>
        <w:tc>
          <w:tcPr>
            <w:tcW w:w="944" w:type="dxa"/>
            <w:vAlign w:val="center"/>
          </w:tcPr>
          <w:p>
            <w:pPr>
              <w:spacing w:line="300" w:lineRule="auto"/>
              <w:jc w:val="center"/>
              <w:rPr>
                <w:rStyle w:val="105"/>
                <w:rFonts w:hint="eastAsia" w:ascii="宋体" w:hAnsi="宋体" w:cs="宋体"/>
                <w:color w:val="auto"/>
                <w:szCs w:val="21"/>
                <w:highlight w:val="none"/>
              </w:rPr>
            </w:pP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企业综合诚信评价分数</w:t>
            </w:r>
          </w:p>
        </w:tc>
        <w:tc>
          <w:tcPr>
            <w:tcW w:w="5689" w:type="dxa"/>
            <w:vAlign w:val="center"/>
          </w:tcPr>
          <w:p>
            <w:pPr>
              <w:pStyle w:val="15"/>
              <w:spacing w:line="300" w:lineRule="auto"/>
              <w:rPr>
                <w:rFonts w:hint="eastAsia" w:ascii="宋体" w:hAnsi="宋体" w:cs="宋体"/>
                <w:color w:val="auto"/>
                <w:highlight w:val="none"/>
              </w:rPr>
            </w:pPr>
            <w:r>
              <w:rPr>
                <w:rStyle w:val="105"/>
                <w:rFonts w:hint="eastAsia" w:ascii="宋体" w:hAnsi="宋体" w:cs="宋体"/>
                <w:color w:val="auto"/>
                <w:sz w:val="21"/>
                <w:szCs w:val="21"/>
                <w:highlight w:val="none"/>
              </w:rPr>
              <w:t>本款不适用。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30</w:t>
            </w:r>
          </w:p>
        </w:tc>
        <w:tc>
          <w:tcPr>
            <w:tcW w:w="944" w:type="dxa"/>
            <w:vAlign w:val="center"/>
          </w:tcPr>
          <w:p>
            <w:pPr>
              <w:spacing w:line="300" w:lineRule="auto"/>
              <w:ind w:firstLine="458"/>
              <w:jc w:val="center"/>
              <w:rPr>
                <w:rStyle w:val="105"/>
                <w:rFonts w:hint="eastAsia" w:ascii="宋体" w:hAnsi="宋体" w:cs="宋体"/>
                <w:strike/>
                <w:color w:val="auto"/>
                <w:szCs w:val="21"/>
                <w:highlight w:val="none"/>
              </w:rPr>
            </w:pP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第二阶段投标人名次的排序方法（适用于办法一、办法二）</w:t>
            </w:r>
          </w:p>
        </w:tc>
        <w:tc>
          <w:tcPr>
            <w:tcW w:w="5689" w:type="dxa"/>
            <w:vAlign w:val="center"/>
          </w:tcPr>
          <w:p>
            <w:pPr>
              <w:spacing w:line="300" w:lineRule="auto"/>
              <w:rPr>
                <w:rStyle w:val="105"/>
                <w:rFonts w:hint="eastAsia" w:ascii="宋体" w:hAnsi="宋体" w:cs="宋体"/>
                <w:color w:val="auto"/>
                <w:szCs w:val="21"/>
                <w:highlight w:val="none"/>
              </w:rPr>
            </w:pPr>
            <w:r>
              <w:rPr>
                <w:rFonts w:hint="eastAsia" w:ascii="宋体" w:hAnsi="宋体" w:cs="宋体"/>
                <w:color w:val="auto"/>
                <w:szCs w:val="21"/>
                <w:highlight w:val="none"/>
              </w:rPr>
              <w:t>本款不适用。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31</w:t>
            </w:r>
          </w:p>
        </w:tc>
        <w:tc>
          <w:tcPr>
            <w:tcW w:w="944" w:type="dxa"/>
            <w:vAlign w:val="center"/>
          </w:tcPr>
          <w:p>
            <w:pPr>
              <w:spacing w:line="300" w:lineRule="auto"/>
              <w:ind w:firstLine="458"/>
              <w:jc w:val="center"/>
              <w:rPr>
                <w:rStyle w:val="105"/>
                <w:rFonts w:hint="eastAsia" w:ascii="宋体" w:hAnsi="宋体" w:cs="宋体"/>
                <w:strike/>
                <w:color w:val="auto"/>
                <w:szCs w:val="21"/>
                <w:highlight w:val="none"/>
              </w:rPr>
            </w:pP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经济分相同情况下的排序方法（适用于办法三、办法四）</w:t>
            </w:r>
          </w:p>
        </w:tc>
        <w:tc>
          <w:tcPr>
            <w:tcW w:w="5689" w:type="dxa"/>
            <w:vAlign w:val="center"/>
          </w:tcPr>
          <w:p>
            <w:pPr>
              <w:spacing w:line="300" w:lineRule="auto"/>
              <w:rPr>
                <w:rStyle w:val="105"/>
                <w:rFonts w:hint="eastAsia" w:ascii="宋体" w:hAnsi="宋体" w:cs="宋体"/>
                <w:color w:val="auto"/>
                <w:szCs w:val="21"/>
                <w:highlight w:val="none"/>
              </w:rPr>
            </w:pPr>
            <w:r>
              <w:rPr>
                <w:rFonts w:hint="eastAsia" w:ascii="宋体" w:hAnsi="宋体" w:cs="宋体"/>
                <w:color w:val="auto"/>
                <w:szCs w:val="21"/>
                <w:highlight w:val="none"/>
              </w:rPr>
              <w:t>本款不适用。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32</w:t>
            </w:r>
          </w:p>
        </w:tc>
        <w:tc>
          <w:tcPr>
            <w:tcW w:w="944" w:type="dxa"/>
            <w:vAlign w:val="center"/>
          </w:tcPr>
          <w:p>
            <w:pPr>
              <w:spacing w:line="300" w:lineRule="auto"/>
              <w:ind w:firstLine="458"/>
              <w:jc w:val="center"/>
              <w:rPr>
                <w:rStyle w:val="105"/>
                <w:rFonts w:hint="eastAsia" w:ascii="宋体" w:hAnsi="宋体" w:cs="宋体"/>
                <w:color w:val="auto"/>
                <w:szCs w:val="21"/>
                <w:highlight w:val="none"/>
              </w:rPr>
            </w:pP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第二阶段投标人名次的排序方法（适用于办法五、办法六）</w:t>
            </w:r>
          </w:p>
        </w:tc>
        <w:tc>
          <w:tcPr>
            <w:tcW w:w="5689" w:type="dxa"/>
            <w:vAlign w:val="center"/>
          </w:tcPr>
          <w:p>
            <w:pPr>
              <w:spacing w:line="300" w:lineRule="auto"/>
              <w:rPr>
                <w:rStyle w:val="105"/>
                <w:rFonts w:hint="eastAsia" w:ascii="宋体" w:hAnsi="宋体" w:cs="宋体"/>
                <w:color w:val="auto"/>
                <w:szCs w:val="21"/>
                <w:highlight w:val="none"/>
              </w:rPr>
            </w:pPr>
            <w:r>
              <w:rPr>
                <w:rFonts w:hint="eastAsia" w:ascii="宋体" w:hAnsi="宋体" w:cs="宋体"/>
                <w:color w:val="auto"/>
                <w:szCs w:val="21"/>
                <w:highlight w:val="none"/>
              </w:rPr>
              <w:t>本款不适用。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33</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13.4、13.5.2</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合同价款的调整办法</w:t>
            </w:r>
          </w:p>
        </w:tc>
        <w:tc>
          <w:tcPr>
            <w:tcW w:w="5689" w:type="dxa"/>
            <w:vAlign w:val="center"/>
          </w:tcPr>
          <w:p>
            <w:pPr>
              <w:spacing w:line="300" w:lineRule="auto"/>
              <w:rPr>
                <w:rStyle w:val="105"/>
                <w:rFonts w:hint="eastAsia" w:ascii="宋体" w:hAnsi="宋体" w:cs="宋体"/>
                <w:color w:val="auto"/>
                <w:szCs w:val="21"/>
                <w:highlight w:val="none"/>
                <w:u w:val="single"/>
              </w:rPr>
            </w:pPr>
            <w:r>
              <w:rPr>
                <w:rFonts w:hint="eastAsia" w:ascii="宋体" w:hAnsi="宋体" w:cs="宋体"/>
                <w:color w:val="auto"/>
                <w:highlight w:val="none"/>
              </w:rPr>
              <w:t>按合同条款相关约定调整。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34</w:t>
            </w:r>
          </w:p>
        </w:tc>
        <w:tc>
          <w:tcPr>
            <w:tcW w:w="944" w:type="dxa"/>
            <w:vAlign w:val="center"/>
          </w:tcPr>
          <w:p>
            <w:pPr>
              <w:spacing w:line="300" w:lineRule="auto"/>
              <w:jc w:val="center"/>
              <w:rPr>
                <w:rStyle w:val="105"/>
                <w:rFonts w:hint="eastAsia" w:ascii="宋体" w:hAnsi="宋体" w:cs="宋体"/>
                <w:color w:val="auto"/>
                <w:szCs w:val="21"/>
                <w:highlight w:val="none"/>
              </w:rPr>
            </w:pPr>
          </w:p>
        </w:tc>
        <w:tc>
          <w:tcPr>
            <w:tcW w:w="1494" w:type="dxa"/>
            <w:vAlign w:val="center"/>
          </w:tcPr>
          <w:p>
            <w:pPr>
              <w:spacing w:line="300" w:lineRule="auto"/>
              <w:jc w:val="center"/>
              <w:rPr>
                <w:rFonts w:hint="eastAsia" w:ascii="宋体" w:hAnsi="宋体" w:cs="宋体"/>
                <w:color w:val="auto"/>
                <w:szCs w:val="21"/>
                <w:highlight w:val="none"/>
              </w:rPr>
            </w:pPr>
            <w:r>
              <w:rPr>
                <w:rFonts w:hint="eastAsia" w:ascii="宋体" w:hAnsi="宋体" w:cs="宋体"/>
                <w:color w:val="auto"/>
                <w:szCs w:val="21"/>
                <w:highlight w:val="none"/>
              </w:rPr>
              <w:t>建设工程质量检测单位</w:t>
            </w:r>
          </w:p>
        </w:tc>
        <w:tc>
          <w:tcPr>
            <w:tcW w:w="5689" w:type="dxa"/>
            <w:vAlign w:val="center"/>
          </w:tcPr>
          <w:p>
            <w:pPr>
              <w:spacing w:line="300" w:lineRule="auto"/>
              <w:rPr>
                <w:rStyle w:val="105"/>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35</w:t>
            </w:r>
          </w:p>
        </w:tc>
        <w:tc>
          <w:tcPr>
            <w:tcW w:w="944" w:type="dxa"/>
            <w:vAlign w:val="center"/>
          </w:tcPr>
          <w:p>
            <w:pPr>
              <w:spacing w:line="300" w:lineRule="auto"/>
              <w:jc w:val="center"/>
              <w:rPr>
                <w:rStyle w:val="105"/>
                <w:rFonts w:hint="eastAsia" w:ascii="宋体" w:hAnsi="宋体" w:cs="宋体"/>
                <w:color w:val="auto"/>
                <w:szCs w:val="21"/>
                <w:highlight w:val="none"/>
              </w:rPr>
            </w:pPr>
          </w:p>
        </w:tc>
        <w:tc>
          <w:tcPr>
            <w:tcW w:w="1494" w:type="dxa"/>
            <w:vAlign w:val="center"/>
          </w:tcPr>
          <w:p>
            <w:pPr>
              <w:spacing w:line="300" w:lineRule="auto"/>
              <w:jc w:val="center"/>
              <w:rPr>
                <w:rStyle w:val="105"/>
                <w:rFonts w:hint="eastAsia" w:ascii="宋体" w:hAnsi="宋体" w:cs="宋体"/>
                <w:color w:val="auto"/>
                <w:kern w:val="0"/>
                <w:szCs w:val="21"/>
                <w:highlight w:val="none"/>
                <w:lang w:val="zh-CN"/>
              </w:rPr>
            </w:pPr>
            <w:r>
              <w:rPr>
                <w:rStyle w:val="105"/>
                <w:rFonts w:hint="eastAsia" w:ascii="宋体" w:hAnsi="宋体" w:cs="宋体"/>
                <w:color w:val="auto"/>
                <w:kern w:val="0"/>
                <w:szCs w:val="21"/>
                <w:highlight w:val="none"/>
                <w:lang w:val="zh-CN"/>
              </w:rPr>
              <w:t>分包</w:t>
            </w:r>
          </w:p>
        </w:tc>
        <w:tc>
          <w:tcPr>
            <w:tcW w:w="5689" w:type="dxa"/>
            <w:vAlign w:val="center"/>
          </w:tcPr>
          <w:p>
            <w:pPr>
              <w:spacing w:line="300" w:lineRule="auto"/>
              <w:rPr>
                <w:rStyle w:val="105"/>
                <w:rFonts w:hint="eastAsia" w:ascii="宋体" w:hAnsi="宋体" w:cs="宋体"/>
                <w:color w:val="auto"/>
                <w:kern w:val="0"/>
                <w:szCs w:val="21"/>
                <w:highlight w:val="none"/>
                <w:lang w:val="zh-CN"/>
              </w:rPr>
            </w:pPr>
            <w:r>
              <w:rPr>
                <w:rStyle w:val="105"/>
                <w:rFonts w:hint="eastAsia" w:ascii="宋体" w:hAnsi="宋体" w:cs="宋体"/>
                <w:color w:val="auto"/>
                <w:kern w:val="0"/>
                <w:szCs w:val="21"/>
                <w:highlight w:val="none"/>
                <w:lang w:val="zh-CN"/>
              </w:rPr>
              <w:t>■不允许；</w:t>
            </w:r>
          </w:p>
          <w:p>
            <w:pPr>
              <w:spacing w:line="300" w:lineRule="auto"/>
              <w:rPr>
                <w:rStyle w:val="105"/>
                <w:rFonts w:hint="eastAsia" w:ascii="宋体" w:hAnsi="宋体" w:cs="宋体"/>
                <w:color w:val="auto"/>
                <w:kern w:val="0"/>
                <w:szCs w:val="21"/>
                <w:highlight w:val="none"/>
                <w:lang w:val="zh-CN"/>
              </w:rPr>
            </w:pPr>
            <w:r>
              <w:rPr>
                <w:rStyle w:val="105"/>
                <w:rFonts w:hint="eastAsia" w:ascii="宋体" w:hAnsi="宋体" w:cs="宋体"/>
                <w:color w:val="auto"/>
                <w:kern w:val="0"/>
                <w:szCs w:val="21"/>
                <w:highlight w:val="none"/>
                <w:lang w:val="zh-CN"/>
              </w:rPr>
              <w:t>□允许：分包内容要求：</w:t>
            </w:r>
          </w:p>
          <w:p>
            <w:pPr>
              <w:spacing w:line="300" w:lineRule="auto"/>
              <w:rPr>
                <w:rStyle w:val="105"/>
                <w:rFonts w:hint="eastAsia" w:ascii="宋体" w:hAnsi="宋体" w:cs="宋体"/>
                <w:color w:val="auto"/>
                <w:kern w:val="0"/>
                <w:szCs w:val="21"/>
                <w:highlight w:val="none"/>
                <w:lang w:val="zh-CN"/>
              </w:rPr>
            </w:pPr>
            <w:r>
              <w:rPr>
                <w:rStyle w:val="105"/>
                <w:rFonts w:hint="eastAsia" w:ascii="宋体" w:hAnsi="宋体" w:cs="宋体"/>
                <w:color w:val="auto"/>
                <w:kern w:val="0"/>
                <w:szCs w:val="21"/>
                <w:highlight w:val="none"/>
                <w:lang w:val="zh-CN"/>
              </w:rPr>
              <w:t xml:space="preserve">        分包金额要求：</w:t>
            </w:r>
            <w:r>
              <w:rPr>
                <w:rStyle w:val="105"/>
                <w:rFonts w:hint="eastAsia" w:ascii="宋体" w:hAnsi="宋体" w:cs="宋体"/>
                <w:color w:val="auto"/>
                <w:kern w:val="0"/>
                <w:szCs w:val="21"/>
                <w:highlight w:val="none"/>
                <w:u w:val="single"/>
                <w:lang w:val="zh-CN"/>
              </w:rPr>
              <w:t xml:space="preserve"> </w:t>
            </w:r>
          </w:p>
          <w:p>
            <w:pPr>
              <w:spacing w:line="300" w:lineRule="auto"/>
              <w:rPr>
                <w:rStyle w:val="105"/>
                <w:rFonts w:hint="eastAsia" w:ascii="宋体" w:hAnsi="宋体" w:cs="宋体"/>
                <w:color w:val="auto"/>
                <w:kern w:val="0"/>
                <w:szCs w:val="21"/>
                <w:highlight w:val="none"/>
                <w:lang w:val="zh-CN"/>
              </w:rPr>
            </w:pPr>
            <w:r>
              <w:rPr>
                <w:rStyle w:val="105"/>
                <w:rFonts w:hint="eastAsia" w:ascii="宋体" w:hAnsi="宋体" w:cs="宋体"/>
                <w:color w:val="auto"/>
                <w:kern w:val="0"/>
                <w:szCs w:val="21"/>
                <w:highlight w:val="none"/>
                <w:lang w:val="zh-CN"/>
              </w:rPr>
              <w:t xml:space="preserve">        对分包人的资质要求：</w:t>
            </w:r>
          </w:p>
          <w:p>
            <w:pPr>
              <w:spacing w:line="300" w:lineRule="auto"/>
              <w:rPr>
                <w:rStyle w:val="105"/>
                <w:rFonts w:hint="eastAsia" w:ascii="宋体" w:hAnsi="宋体" w:cs="宋体"/>
                <w:color w:val="auto"/>
                <w:kern w:val="0"/>
                <w:szCs w:val="21"/>
                <w:highlight w:val="none"/>
                <w:lang w:val="zh-CN"/>
              </w:rPr>
            </w:pPr>
            <w:r>
              <w:rPr>
                <w:rStyle w:val="105"/>
                <w:rFonts w:hint="eastAsia" w:ascii="宋体" w:hAnsi="宋体" w:cs="宋体"/>
                <w:color w:val="auto"/>
                <w:kern w:val="0"/>
                <w:szCs w:val="21"/>
                <w:highlight w:val="none"/>
                <w:lang w:val="zh-CN"/>
              </w:rPr>
              <w:t xml:space="preserve">        对分包人的其他要求：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36</w:t>
            </w:r>
          </w:p>
        </w:tc>
        <w:tc>
          <w:tcPr>
            <w:tcW w:w="944" w:type="dxa"/>
            <w:vAlign w:val="center"/>
          </w:tcPr>
          <w:p>
            <w:pPr>
              <w:spacing w:line="300" w:lineRule="auto"/>
              <w:jc w:val="center"/>
              <w:rPr>
                <w:rStyle w:val="105"/>
                <w:rFonts w:hint="eastAsia" w:ascii="宋体" w:hAnsi="宋体" w:cs="宋体"/>
                <w:color w:val="auto"/>
                <w:szCs w:val="21"/>
                <w:highlight w:val="none"/>
              </w:rPr>
            </w:pPr>
          </w:p>
        </w:tc>
        <w:tc>
          <w:tcPr>
            <w:tcW w:w="1494" w:type="dxa"/>
            <w:vAlign w:val="center"/>
          </w:tcPr>
          <w:p>
            <w:pPr>
              <w:spacing w:line="300" w:lineRule="auto"/>
              <w:jc w:val="center"/>
              <w:rPr>
                <w:rStyle w:val="105"/>
                <w:rFonts w:hint="eastAsia" w:ascii="宋体" w:hAnsi="宋体" w:cs="宋体"/>
                <w:color w:val="auto"/>
                <w:kern w:val="0"/>
                <w:szCs w:val="21"/>
                <w:highlight w:val="none"/>
                <w:lang w:val="zh-CN"/>
              </w:rPr>
            </w:pPr>
            <w:r>
              <w:rPr>
                <w:rStyle w:val="105"/>
                <w:rFonts w:hint="eastAsia" w:ascii="宋体" w:hAnsi="宋体" w:cs="宋体"/>
                <w:color w:val="auto"/>
                <w:szCs w:val="21"/>
                <w:highlight w:val="none"/>
              </w:rPr>
              <w:t>电子招标投标解密失败及突发情况的补救</w:t>
            </w:r>
          </w:p>
        </w:tc>
        <w:tc>
          <w:tcPr>
            <w:tcW w:w="5689" w:type="dxa"/>
            <w:vAlign w:val="center"/>
          </w:tcPr>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1.按照</w:t>
            </w:r>
            <w:r>
              <w:rPr>
                <w:rStyle w:val="105"/>
                <w:rFonts w:hint="eastAsia" w:ascii="宋体" w:hAnsi="宋体" w:cs="宋体"/>
                <w:color w:val="auto"/>
                <w:szCs w:val="21"/>
                <w:highlight w:val="none"/>
                <w:u w:val="single"/>
              </w:rPr>
              <w:t>广州交易集团有限公司（广州公共资源交易中心）</w:t>
            </w:r>
            <w:r>
              <w:rPr>
                <w:rStyle w:val="105"/>
                <w:rFonts w:hint="eastAsia" w:ascii="宋体" w:hAnsi="宋体" w:cs="宋体"/>
                <w:color w:val="auto"/>
                <w:szCs w:val="21"/>
                <w:highlight w:val="none"/>
              </w:rPr>
              <w:t>交易平台关于全流程电子化项目的相关指南进行操作。详见：</w:t>
            </w:r>
            <w:r>
              <w:rPr>
                <w:rStyle w:val="105"/>
                <w:rFonts w:hint="eastAsia" w:ascii="宋体" w:hAnsi="宋体" w:cs="宋体"/>
                <w:color w:val="auto"/>
                <w:szCs w:val="21"/>
                <w:highlight w:val="none"/>
                <w:u w:val="single"/>
              </w:rPr>
              <w:t>广州交易集团有限公司（广州公共资源交易中心）网站最新指引</w:t>
            </w:r>
            <w:r>
              <w:rPr>
                <w:rStyle w:val="105"/>
                <w:rFonts w:hint="eastAsia" w:ascii="宋体" w:hAnsi="宋体" w:cs="宋体"/>
                <w:color w:val="auto"/>
                <w:szCs w:val="21"/>
                <w:highlight w:val="none"/>
              </w:rPr>
              <w:t>。</w:t>
            </w:r>
          </w:p>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2.提交投标文件光盘备用</w:t>
            </w:r>
          </w:p>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3.补救方案</w:t>
            </w:r>
          </w:p>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（1）投标文件解密失败的补救方案：</w:t>
            </w:r>
          </w:p>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（2）评标时突发情况的补救方案</w:t>
            </w:r>
          </w:p>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若遇不可抗力发生（指网络瘫痪、服务器损坏、交易系统故障短期无法恢复等因素），由评标委员会开启投标人递交的全部投标文件光盘，并按光盘内容进行评审。</w:t>
            </w:r>
          </w:p>
          <w:p>
            <w:pPr>
              <w:spacing w:line="300" w:lineRule="auto"/>
              <w:rPr>
                <w:rStyle w:val="105"/>
                <w:rFonts w:hint="eastAsia" w:ascii="宋体" w:hAnsi="宋体" w:cs="宋体"/>
                <w:color w:val="auto"/>
                <w:kern w:val="0"/>
                <w:szCs w:val="21"/>
                <w:highlight w:val="none"/>
                <w:lang w:val="zh-CN"/>
              </w:rPr>
            </w:pPr>
            <w:r>
              <w:rPr>
                <w:rStyle w:val="105"/>
                <w:rFonts w:hint="eastAsia" w:ascii="宋体" w:hAnsi="宋体" w:cs="宋体"/>
                <w:color w:val="auto"/>
                <w:szCs w:val="21"/>
                <w:highlight w:val="none"/>
              </w:rPr>
              <w:t>（3）除发生上述情况外，开标评标均以投标人通过交易平台网上递交的电子投标文件为准。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ascii="宋体" w:hAnsi="宋体" w:cs="宋体"/>
                <w:color w:val="auto"/>
                <w:szCs w:val="21"/>
                <w:highlight w:val="none"/>
              </w:rPr>
            </w:pPr>
            <w:r>
              <w:rPr>
                <w:rStyle w:val="105"/>
                <w:rFonts w:hint="eastAsia" w:ascii="宋体" w:hAnsi="宋体" w:cs="宋体"/>
                <w:color w:val="auto"/>
                <w:szCs w:val="21"/>
                <w:highlight w:val="none"/>
              </w:rPr>
              <w:t>37</w:t>
            </w:r>
          </w:p>
        </w:tc>
        <w:tc>
          <w:tcPr>
            <w:tcW w:w="944" w:type="dxa"/>
            <w:vAlign w:val="center"/>
          </w:tcPr>
          <w:p>
            <w:pPr>
              <w:spacing w:line="300" w:lineRule="auto"/>
              <w:jc w:val="center"/>
              <w:rPr>
                <w:rStyle w:val="105"/>
                <w:rFonts w:hint="eastAsia" w:ascii="宋体" w:hAnsi="宋体" w:cs="宋体"/>
                <w:color w:val="auto"/>
                <w:szCs w:val="21"/>
                <w:highlight w:val="none"/>
              </w:rPr>
            </w:pPr>
          </w:p>
        </w:tc>
        <w:tc>
          <w:tcPr>
            <w:tcW w:w="1494" w:type="dxa"/>
            <w:vAlign w:val="center"/>
          </w:tcPr>
          <w:p>
            <w:pPr>
              <w:spacing w:line="300" w:lineRule="auto"/>
              <w:jc w:val="center"/>
              <w:rPr>
                <w:rStyle w:val="105"/>
                <w:rFonts w:hint="eastAsia" w:ascii="宋体" w:hAnsi="宋体" w:cs="宋体"/>
                <w:color w:val="auto"/>
                <w:szCs w:val="21"/>
                <w:highlight w:val="none"/>
              </w:rPr>
            </w:pPr>
            <w:r>
              <w:rPr>
                <w:rFonts w:hint="eastAsia" w:ascii="宋体" w:hAnsi="宋体" w:cs="宋体"/>
                <w:color w:val="auto"/>
                <w:highlight w:val="none"/>
              </w:rPr>
              <w:t>费用承担</w:t>
            </w:r>
          </w:p>
        </w:tc>
        <w:tc>
          <w:tcPr>
            <w:tcW w:w="5689" w:type="dxa"/>
            <w:vAlign w:val="center"/>
          </w:tcPr>
          <w:p>
            <w:pPr>
              <w:spacing w:line="300" w:lineRule="auto"/>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交易服务费：中标人向广州交易集团有限公司（广州公共资源交易中心）缴纳交易服务费，其费用包含在中标人投标报价中，招标人不另行支付。</w:t>
            </w:r>
          </w:p>
          <w:p>
            <w:pPr>
              <w:spacing w:line="300" w:lineRule="auto"/>
              <w:rPr>
                <w:rStyle w:val="105"/>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中标服务费：本次招标向中标人收取中标服务费，中标服务费按招标代理服务委托协议相关条款约定的标准收取，中标服务费包含在中标人投标报价中，中标服务费不在投标报价中单列，招标人不另行支付，由中标人在领取《中标通知书》时一次性向招标代理单位支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38</w:t>
            </w:r>
          </w:p>
        </w:tc>
        <w:tc>
          <w:tcPr>
            <w:tcW w:w="944" w:type="dxa"/>
            <w:vAlign w:val="center"/>
          </w:tcPr>
          <w:p>
            <w:pPr>
              <w:spacing w:line="300" w:lineRule="auto"/>
              <w:jc w:val="center"/>
              <w:rPr>
                <w:rStyle w:val="105"/>
                <w:rFonts w:hint="eastAsia" w:ascii="宋体" w:hAnsi="宋体" w:cs="宋体"/>
                <w:color w:val="auto"/>
                <w:szCs w:val="21"/>
                <w:highlight w:val="none"/>
              </w:rPr>
            </w:pPr>
          </w:p>
        </w:tc>
        <w:tc>
          <w:tcPr>
            <w:tcW w:w="1494" w:type="dxa"/>
            <w:vAlign w:val="center"/>
          </w:tcPr>
          <w:p>
            <w:pPr>
              <w:spacing w:line="300" w:lineRule="auto"/>
              <w:jc w:val="center"/>
              <w:rPr>
                <w:rStyle w:val="105"/>
                <w:rFonts w:hint="eastAsia" w:ascii="宋体" w:hAnsi="宋体" w:cs="宋体"/>
                <w:color w:val="auto"/>
                <w:szCs w:val="21"/>
                <w:highlight w:val="none"/>
              </w:rPr>
            </w:pPr>
            <w:r>
              <w:rPr>
                <w:rFonts w:hint="eastAsia" w:ascii="宋体" w:hAnsi="宋体" w:cs="宋体"/>
                <w:color w:val="auto"/>
                <w:highlight w:val="none"/>
              </w:rPr>
              <w:t>其他</w:t>
            </w:r>
          </w:p>
        </w:tc>
        <w:tc>
          <w:tcPr>
            <w:tcW w:w="5689" w:type="dxa"/>
            <w:vAlign w:val="center"/>
          </w:tcPr>
          <w:p>
            <w:pPr>
              <w:spacing w:line="300" w:lineRule="auto"/>
              <w:rPr>
                <w:rStyle w:val="105"/>
                <w:rFonts w:hint="eastAsia" w:ascii="宋体" w:hAnsi="宋体" w:cs="宋体"/>
                <w:color w:val="auto"/>
                <w:szCs w:val="21"/>
                <w:highlight w:val="none"/>
              </w:rPr>
            </w:pPr>
            <w:r>
              <w:rPr>
                <w:rFonts w:hint="eastAsia" w:ascii="宋体" w:hAnsi="宋体" w:cs="宋体"/>
                <w:color w:val="auto"/>
                <w:szCs w:val="21"/>
                <w:highlight w:val="none"/>
              </w:rPr>
              <w:t>中标人在本项目中标候选人公示结束后3天内，须提供与递交投标文件电子标书内容一致且每页加盖单位公章的纸质文件四套（一正三副）及电子文件一套；包括用Microsoft Excel软件、广联达软件、广州交易集团有限公司（广州公共资源交易中心）提供的投标书制作软件制作的工程量清单报价表和单价分析表。电子文件介质使用CD-R光盘，所有电子文件不能采用压缩处理。</w:t>
            </w:r>
          </w:p>
        </w:tc>
      </w:tr>
    </w:tbl>
    <w:p>
      <w:pPr>
        <w:pStyle w:val="148"/>
        <w:spacing w:line="360" w:lineRule="auto"/>
        <w:ind w:left="0"/>
        <w:outlineLvl w:val="1"/>
        <w:rPr>
          <w:rStyle w:val="105"/>
          <w:rFonts w:hint="eastAsia" w:ascii="宋体" w:hAnsi="宋体" w:cs="宋体"/>
          <w:b/>
          <w:color w:val="auto"/>
          <w:highlight w:val="none"/>
        </w:rPr>
      </w:pPr>
      <w:bookmarkStart w:id="4" w:name="_Toc105014621"/>
      <w:bookmarkStart w:id="5" w:name="_Toc105005587"/>
      <w:r>
        <w:rPr>
          <w:rFonts w:hint="eastAsia" w:ascii="宋体" w:hAnsi="宋体" w:cs="宋体"/>
          <w:strike/>
          <w:color w:val="auto"/>
          <w:sz w:val="21"/>
          <w:szCs w:val="21"/>
          <w:highlight w:val="none"/>
        </w:rPr>
        <w:t>注:企业综合诚信评价得分即企业综合诚信评价60日诚信分，以下同。</w:t>
      </w:r>
      <w:bookmarkEnd w:id="4"/>
      <w:bookmarkEnd w:id="5"/>
      <w:r>
        <w:rPr>
          <w:rStyle w:val="105"/>
          <w:rFonts w:hint="eastAsia" w:ascii="宋体" w:hAnsi="宋体" w:cs="宋体"/>
          <w:b/>
          <w:color w:val="auto"/>
          <w:highlight w:val="none"/>
        </w:rPr>
        <w:br w:type="page"/>
      </w:r>
      <w:bookmarkStart w:id="6" w:name="_Toc105014622"/>
      <w:r>
        <w:rPr>
          <w:rStyle w:val="105"/>
          <w:rFonts w:hint="eastAsia" w:ascii="宋体" w:hAnsi="宋体" w:cs="宋体"/>
          <w:b/>
          <w:color w:val="auto"/>
          <w:highlight w:val="none"/>
        </w:rPr>
        <w:t>二、投标须知修改表</w:t>
      </w:r>
    </w:p>
    <w:p>
      <w:pPr>
        <w:pStyle w:val="83"/>
        <w:spacing w:line="360" w:lineRule="auto"/>
        <w:rPr>
          <w:rStyle w:val="105"/>
          <w:rFonts w:hint="eastAsia" w:ascii="宋体" w:hAnsi="宋体" w:cs="宋体"/>
          <w:b/>
          <w:color w:val="auto"/>
          <w:sz w:val="21"/>
          <w:szCs w:val="21"/>
          <w:highlight w:val="none"/>
        </w:rPr>
      </w:pPr>
      <w:r>
        <w:rPr>
          <w:rStyle w:val="105"/>
          <w:rFonts w:hint="eastAsia" w:ascii="宋体" w:hAnsi="宋体" w:cs="宋体"/>
          <w:b/>
          <w:color w:val="auto"/>
          <w:sz w:val="21"/>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rFonts w:hint="eastAsia" w:ascii="宋体" w:hAnsi="宋体" w:cs="宋体"/>
          <w:b/>
          <w:bCs/>
          <w:color w:val="auto"/>
          <w:sz w:val="22"/>
          <w:highlight w:val="none"/>
        </w:rPr>
        <w:t>http://zfcj.gz.gov.cn/</w:t>
      </w:r>
      <w:r>
        <w:rPr>
          <w:rStyle w:val="105"/>
          <w:rFonts w:hint="eastAsia" w:ascii="宋体" w:hAnsi="宋体" w:cs="宋体"/>
          <w:b/>
          <w:color w:val="auto"/>
          <w:sz w:val="21"/>
          <w:szCs w:val="21"/>
          <w:highlight w:val="none"/>
        </w:rPr>
        <w:t>）下载查阅。</w:t>
      </w:r>
    </w:p>
    <w:p>
      <w:pPr>
        <w:pStyle w:val="4"/>
        <w:tabs>
          <w:tab w:val="left" w:pos="5245"/>
        </w:tabs>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条款号：5.1</w:t>
      </w:r>
      <w:r>
        <w:rPr>
          <w:rFonts w:hint="eastAsia" w:ascii="宋体" w:hAnsi="宋体" w:cs="宋体"/>
          <w:b/>
          <w:color w:val="auto"/>
          <w:highlight w:val="none"/>
        </w:rPr>
        <w:tab/>
      </w:r>
      <w:r>
        <w:rPr>
          <w:rFonts w:hint="eastAsia" w:ascii="宋体" w:hAnsi="宋体" w:cs="宋体"/>
          <w:b/>
          <w:color w:val="auto"/>
          <w:highlight w:val="none"/>
        </w:rPr>
        <w:t>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6" w:space="1"/>
        </w:pBdr>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color w:val="auto"/>
          <w:szCs w:val="21"/>
          <w:highlight w:val="none"/>
          <w:u w:val="single"/>
        </w:rPr>
        <w:t>投标人不进行踏勘的，视为已熟知现场条件，自行承担相关风险。</w:t>
      </w:r>
      <w:r>
        <w:rPr>
          <w:rFonts w:hint="eastAsia" w:ascii="宋体" w:hAnsi="宋体" w:cs="宋体"/>
          <w:color w:val="auto"/>
          <w:szCs w:val="21"/>
          <w:highlight w:val="none"/>
        </w:rPr>
        <w:t>一旦中标，这种考察即被认为其结果已在中标文件中得到充分反映。</w:t>
      </w:r>
      <w:r>
        <w:rPr>
          <w:rFonts w:hint="eastAsia" w:ascii="宋体" w:hAnsi="宋体" w:cs="宋体"/>
          <w:color w:val="auto"/>
          <w:szCs w:val="21"/>
          <w:highlight w:val="none"/>
          <w:u w:val="single"/>
        </w:rPr>
        <w:t>招标人不受理因投标人缺乏对现场条件的了解或掌握而提出的任何索赔。</w:t>
      </w:r>
      <w:r>
        <w:rPr>
          <w:rFonts w:hint="eastAsia" w:ascii="宋体" w:hAnsi="宋体" w:cs="宋体"/>
          <w:color w:val="auto"/>
          <w:szCs w:val="21"/>
          <w:highlight w:val="none"/>
        </w:rPr>
        <w:t>考察现场的费用由投标人自己承担。</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条款号：8.1          修改类型：修改</w:t>
      </w:r>
    </w:p>
    <w:p>
      <w:pPr>
        <w:spacing w:line="360" w:lineRule="auto"/>
        <w:ind w:right="-508" w:rightChars="-242"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8.1投标人若对招标文件（包括招标图纸）中有疑问，可以书面形式通过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交易平台提交给招标人或招标代理人，提交形式见本须知前附表第16项。</w:t>
      </w:r>
    </w:p>
    <w:p>
      <w:pPr>
        <w:pBdr>
          <w:bottom w:val="single" w:color="000000" w:sz="6" w:space="1"/>
        </w:pBdr>
        <w:spacing w:line="360" w:lineRule="auto"/>
        <w:ind w:firstLine="422" w:firstLineChars="200"/>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8.1</w:t>
      </w:r>
      <w:r>
        <w:rPr>
          <w:rFonts w:hint="eastAsia" w:ascii="宋体" w:hAnsi="宋体" w:cs="宋体"/>
          <w:bCs/>
          <w:color w:val="auto"/>
          <w:szCs w:val="21"/>
          <w:highlight w:val="none"/>
          <w:u w:val="single"/>
        </w:rPr>
        <w:t>投标人若对招标文件（包括招标图纸、清单、最高投标限价）中有疑问，采用网上答疑方式进行，详见本须知前附表第16项。招标人或招标代理机构将于本须知前附表第16项指定的地点（交易平台）和时间对疑问进行答复。</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条款号：8.2          修改类型：修改</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8.2招标答疑会会议纪要将在提交投标文件截止时间15日前在</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交易平台 “项目答疑纪要”专区公开发布。答疑纪要一经在</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交易平台发布，视作已发放给所有投标人。</w:t>
      </w:r>
    </w:p>
    <w:p>
      <w:pPr>
        <w:pBdr>
          <w:bottom w:val="single" w:color="000000" w:sz="6" w:space="1"/>
        </w:pBdr>
        <w:spacing w:line="360" w:lineRule="auto"/>
        <w:ind w:firstLine="422" w:firstLineChars="200"/>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8.2招标答疑会会议纪要将在提交投标文件截止时间15日前在</w:t>
      </w:r>
      <w:r>
        <w:rPr>
          <w:rStyle w:val="105"/>
          <w:rFonts w:hint="eastAsia" w:ascii="宋体" w:hAnsi="宋体" w:cs="宋体"/>
          <w:color w:val="auto"/>
          <w:szCs w:val="21"/>
          <w:highlight w:val="none"/>
          <w:u w:val="single"/>
        </w:rPr>
        <w:t>广州交易集团有限公司（广州公共资源交易中心）</w:t>
      </w:r>
      <w:r>
        <w:rPr>
          <w:rStyle w:val="105"/>
          <w:rFonts w:hint="eastAsia" w:ascii="宋体" w:hAnsi="宋体" w:cs="宋体"/>
          <w:color w:val="auto"/>
          <w:szCs w:val="21"/>
          <w:highlight w:val="none"/>
        </w:rPr>
        <w:t>交易平台“</w:t>
      </w:r>
      <w:r>
        <w:rPr>
          <w:color w:val="auto"/>
          <w:highlight w:val="none"/>
        </w:rPr>
        <w:fldChar w:fldCharType="begin"/>
      </w:r>
      <w:r>
        <w:rPr>
          <w:color w:val="auto"/>
          <w:highlight w:val="none"/>
        </w:rPr>
        <w:instrText xml:space="preserve"> HYPERLINK "http://ggzy.gz.gov.cn/xmcxjsgc/index.jhtml" </w:instrText>
      </w:r>
      <w:r>
        <w:rPr>
          <w:color w:val="auto"/>
          <w:highlight w:val="none"/>
        </w:rPr>
        <w:fldChar w:fldCharType="separate"/>
      </w:r>
      <w:r>
        <w:rPr>
          <w:rFonts w:hint="eastAsia" w:ascii="宋体" w:hAnsi="宋体" w:cs="宋体"/>
          <w:color w:val="auto"/>
          <w:szCs w:val="21"/>
          <w:highlight w:val="none"/>
          <w:u w:val="single"/>
        </w:rPr>
        <w:t>项目查询(日程安排、答疑纪要)</w:t>
      </w:r>
      <w:r>
        <w:rPr>
          <w:rFonts w:hint="eastAsia" w:ascii="宋体" w:hAnsi="宋体" w:cs="宋体"/>
          <w:color w:val="auto"/>
          <w:szCs w:val="21"/>
          <w:highlight w:val="none"/>
          <w:u w:val="single"/>
        </w:rPr>
        <w:fldChar w:fldCharType="end"/>
      </w:r>
      <w:r>
        <w:rPr>
          <w:rStyle w:val="105"/>
          <w:rFonts w:hint="eastAsia" w:ascii="宋体" w:hAnsi="宋体" w:cs="宋体"/>
          <w:color w:val="auto"/>
          <w:szCs w:val="21"/>
          <w:highlight w:val="none"/>
        </w:rPr>
        <w:t>”专区公开发布。答疑纪要一经在</w:t>
      </w:r>
      <w:r>
        <w:rPr>
          <w:rStyle w:val="105"/>
          <w:rFonts w:hint="eastAsia" w:ascii="宋体" w:hAnsi="宋体" w:cs="宋体"/>
          <w:color w:val="auto"/>
          <w:szCs w:val="21"/>
          <w:highlight w:val="none"/>
          <w:u w:val="single"/>
        </w:rPr>
        <w:t>广州交易集团有限公司（广州公共资源交易中心）</w:t>
      </w:r>
      <w:r>
        <w:rPr>
          <w:rStyle w:val="105"/>
          <w:rFonts w:hint="eastAsia" w:ascii="宋体" w:hAnsi="宋体" w:cs="宋体"/>
          <w:color w:val="auto"/>
          <w:szCs w:val="21"/>
          <w:highlight w:val="none"/>
        </w:rPr>
        <w:t>交易平台发布，视作已发放给所有投标人。</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条款号：9.2          修改类型：修改</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9.2招标文件的澄清或修改将在</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交易平台“项目答疑纪要”专区公开发布。答疑纪要一经在</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交易平台发布，视作已发放给所有投标人，以</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交易平台上网发布时间作为送达时间。</w:t>
      </w:r>
    </w:p>
    <w:p>
      <w:pPr>
        <w:pBdr>
          <w:bottom w:val="single" w:color="000000" w:sz="6" w:space="1"/>
        </w:pBdr>
        <w:spacing w:line="360" w:lineRule="auto"/>
        <w:ind w:firstLine="422" w:firstLineChars="200"/>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9.2招标文件的澄清或修改将在</w:t>
      </w:r>
      <w:r>
        <w:rPr>
          <w:rStyle w:val="105"/>
          <w:rFonts w:hint="eastAsia" w:ascii="宋体" w:hAnsi="宋体" w:cs="宋体"/>
          <w:color w:val="auto"/>
          <w:szCs w:val="21"/>
          <w:highlight w:val="none"/>
          <w:u w:val="single"/>
        </w:rPr>
        <w:t>广州交易集团有限公司（广州公共资源交易中心）</w:t>
      </w:r>
      <w:r>
        <w:rPr>
          <w:rStyle w:val="105"/>
          <w:rFonts w:hint="eastAsia" w:ascii="宋体" w:hAnsi="宋体" w:cs="宋体"/>
          <w:color w:val="auto"/>
          <w:szCs w:val="21"/>
          <w:highlight w:val="none"/>
        </w:rPr>
        <w:t>交易平台“</w:t>
      </w:r>
      <w:r>
        <w:rPr>
          <w:color w:val="auto"/>
          <w:highlight w:val="none"/>
        </w:rPr>
        <w:fldChar w:fldCharType="begin"/>
      </w:r>
      <w:r>
        <w:rPr>
          <w:color w:val="auto"/>
          <w:highlight w:val="none"/>
        </w:rPr>
        <w:instrText xml:space="preserve"> HYPERLINK "http://ggzy.gz.gov.cn/xmcxjsgc/index.jhtml" </w:instrText>
      </w:r>
      <w:r>
        <w:rPr>
          <w:color w:val="auto"/>
          <w:highlight w:val="none"/>
        </w:rPr>
        <w:fldChar w:fldCharType="separate"/>
      </w:r>
      <w:r>
        <w:rPr>
          <w:rFonts w:hint="eastAsia" w:ascii="宋体" w:hAnsi="宋体" w:cs="宋体"/>
          <w:color w:val="auto"/>
          <w:szCs w:val="21"/>
          <w:highlight w:val="none"/>
          <w:u w:val="single"/>
        </w:rPr>
        <w:t>项目查询(日程安排、答疑纪要)</w:t>
      </w:r>
      <w:r>
        <w:rPr>
          <w:rFonts w:hint="eastAsia" w:ascii="宋体" w:hAnsi="宋体" w:cs="宋体"/>
          <w:color w:val="auto"/>
          <w:szCs w:val="21"/>
          <w:highlight w:val="none"/>
          <w:u w:val="single"/>
        </w:rPr>
        <w:fldChar w:fldCharType="end"/>
      </w:r>
      <w:r>
        <w:rPr>
          <w:rStyle w:val="105"/>
          <w:rFonts w:hint="eastAsia" w:ascii="宋体" w:hAnsi="宋体" w:cs="宋体"/>
          <w:color w:val="auto"/>
          <w:szCs w:val="21"/>
          <w:highlight w:val="none"/>
        </w:rPr>
        <w:t>”专区公开发布。答疑纪要一经在</w:t>
      </w:r>
      <w:r>
        <w:rPr>
          <w:rStyle w:val="105"/>
          <w:rFonts w:hint="eastAsia" w:ascii="宋体" w:hAnsi="宋体" w:cs="宋体"/>
          <w:color w:val="auto"/>
          <w:szCs w:val="21"/>
          <w:highlight w:val="none"/>
          <w:u w:val="single"/>
        </w:rPr>
        <w:t>广州交易集团有限公司（广州公共资源交易中心）</w:t>
      </w:r>
      <w:r>
        <w:rPr>
          <w:rStyle w:val="105"/>
          <w:rFonts w:hint="eastAsia" w:ascii="宋体" w:hAnsi="宋体" w:cs="宋体"/>
          <w:color w:val="auto"/>
          <w:szCs w:val="21"/>
          <w:highlight w:val="none"/>
        </w:rPr>
        <w:t>交易平台发布，视作已发放给所有投标人，以</w:t>
      </w:r>
      <w:r>
        <w:rPr>
          <w:rStyle w:val="105"/>
          <w:rFonts w:hint="eastAsia" w:ascii="宋体" w:hAnsi="宋体" w:cs="宋体"/>
          <w:color w:val="auto"/>
          <w:szCs w:val="21"/>
          <w:highlight w:val="none"/>
          <w:u w:val="single"/>
        </w:rPr>
        <w:t>广州交易集团有限公司（广州公共资源交易中心）</w:t>
      </w:r>
      <w:r>
        <w:rPr>
          <w:rStyle w:val="105"/>
          <w:rFonts w:hint="eastAsia" w:ascii="宋体" w:hAnsi="宋体" w:cs="宋体"/>
          <w:color w:val="auto"/>
          <w:szCs w:val="21"/>
          <w:highlight w:val="none"/>
        </w:rPr>
        <w:t>交易平台上网发布时间作为送达时间。</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条款号：9.4          修改类型：修改</w:t>
      </w:r>
    </w:p>
    <w:p>
      <w:pPr>
        <w:spacing w:line="360" w:lineRule="auto"/>
        <w:ind w:firstLine="422" w:firstLineChars="200"/>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9.4招标文件的澄清或修改均以书面形式明确的内容为准。当招标文件的澄清、修改、补充等在同一内容的表述不一致时，以最后发出的书面形式的文件为准。</w:t>
      </w:r>
    </w:p>
    <w:p>
      <w:pPr>
        <w:pBdr>
          <w:bottom w:val="single" w:color="000000" w:sz="6" w:space="1"/>
        </w:pBdr>
        <w:spacing w:line="360" w:lineRule="auto"/>
        <w:ind w:firstLine="422" w:firstLineChars="200"/>
        <w:rPr>
          <w:rStyle w:val="105"/>
          <w:rFonts w:hint="eastAsia" w:ascii="宋体" w:hAnsi="宋体" w:cs="宋体"/>
          <w:color w:val="auto"/>
          <w:szCs w:val="21"/>
          <w:highlight w:val="none"/>
        </w:rPr>
      </w:pPr>
      <w:r>
        <w:rPr>
          <w:rStyle w:val="105"/>
          <w:rFonts w:hint="eastAsia" w:ascii="宋体" w:hAnsi="宋体" w:cs="宋体"/>
          <w:b/>
          <w:bCs/>
          <w:color w:val="auto"/>
          <w:szCs w:val="21"/>
          <w:highlight w:val="none"/>
        </w:rPr>
        <w:t>现文：</w:t>
      </w:r>
      <w:r>
        <w:rPr>
          <w:rStyle w:val="105"/>
          <w:rFonts w:hint="eastAsia" w:ascii="宋体" w:hAnsi="宋体" w:cs="宋体"/>
          <w:color w:val="auto"/>
          <w:szCs w:val="21"/>
          <w:highlight w:val="none"/>
        </w:rPr>
        <w:t>9.4</w:t>
      </w:r>
      <w:r>
        <w:rPr>
          <w:rFonts w:hint="eastAsia" w:ascii="宋体" w:hAnsi="宋体" w:cs="宋体"/>
          <w:color w:val="auto"/>
          <w:szCs w:val="21"/>
          <w:highlight w:val="none"/>
        </w:rPr>
        <w:t>招标文件的澄清或修改均以</w:t>
      </w:r>
      <w:r>
        <w:rPr>
          <w:rFonts w:hint="eastAsia" w:ascii="宋体" w:hAnsi="宋体" w:cs="宋体"/>
          <w:color w:val="auto"/>
          <w:szCs w:val="21"/>
          <w:highlight w:val="none"/>
          <w:u w:val="single"/>
        </w:rPr>
        <w:t>广州交易集团有限公司（广州公共资源交易中心）网上答疑公布</w:t>
      </w:r>
      <w:r>
        <w:rPr>
          <w:rFonts w:hint="eastAsia" w:ascii="宋体" w:hAnsi="宋体" w:cs="宋体"/>
          <w:color w:val="auto"/>
          <w:szCs w:val="21"/>
          <w:highlight w:val="none"/>
        </w:rPr>
        <w:t>的内容为准</w:t>
      </w:r>
      <w:r>
        <w:rPr>
          <w:rStyle w:val="105"/>
          <w:rFonts w:hint="eastAsia" w:ascii="宋体" w:hAnsi="宋体" w:cs="宋体"/>
          <w:color w:val="auto"/>
          <w:szCs w:val="21"/>
          <w:highlight w:val="none"/>
        </w:rPr>
        <w:t>。当招标文件的澄清、修改、补充等在同一内容的表述不一致时，以</w:t>
      </w:r>
      <w:r>
        <w:rPr>
          <w:rFonts w:hint="eastAsia" w:ascii="宋体" w:hAnsi="宋体" w:cs="宋体"/>
          <w:color w:val="auto"/>
          <w:szCs w:val="21"/>
          <w:highlight w:val="none"/>
          <w:u w:val="single"/>
        </w:rPr>
        <w:t>广州交易集团有限公司（广州公共资源交易中心）网站</w:t>
      </w:r>
      <w:r>
        <w:rPr>
          <w:rStyle w:val="105"/>
          <w:rFonts w:hint="eastAsia" w:ascii="宋体" w:hAnsi="宋体" w:cs="宋体"/>
          <w:color w:val="auto"/>
          <w:szCs w:val="21"/>
          <w:highlight w:val="none"/>
        </w:rPr>
        <w:t>最后发出的文件为准。</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条款号：11.2          修改类型：修改</w:t>
      </w:r>
    </w:p>
    <w:p>
      <w:pPr>
        <w:spacing w:line="360" w:lineRule="auto"/>
        <w:ind w:firstLine="422" w:firstLineChars="200"/>
        <w:rPr>
          <w:rStyle w:val="105"/>
          <w:rFonts w:hint="eastAsia" w:ascii="宋体" w:hAnsi="宋体" w:cs="宋体"/>
          <w:bCs/>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bCs/>
          <w:color w:val="auto"/>
          <w:szCs w:val="21"/>
          <w:highlight w:val="none"/>
        </w:rPr>
        <w:t>11.2投标文件技术标部分主要包括下列内容：</w:t>
      </w:r>
    </w:p>
    <w:p>
      <w:pPr>
        <w:spacing w:line="360" w:lineRule="auto"/>
        <w:ind w:firstLine="420" w:firstLineChars="200"/>
        <w:rPr>
          <w:rStyle w:val="105"/>
          <w:rFonts w:hint="eastAsia" w:ascii="宋体" w:hAnsi="宋体" w:cs="宋体"/>
          <w:bCs/>
          <w:color w:val="auto"/>
          <w:szCs w:val="21"/>
          <w:highlight w:val="none"/>
        </w:rPr>
      </w:pPr>
      <w:r>
        <w:rPr>
          <w:rStyle w:val="105"/>
          <w:rFonts w:hint="eastAsia" w:ascii="宋体" w:hAnsi="宋体" w:cs="宋体"/>
          <w:bCs/>
          <w:color w:val="auto"/>
          <w:szCs w:val="21"/>
          <w:highlight w:val="none"/>
        </w:rPr>
        <w:t>11.2.1 技术投标文件</w:t>
      </w:r>
      <w:r>
        <w:rPr>
          <w:rStyle w:val="105"/>
          <w:rFonts w:hint="eastAsia" w:ascii="宋体" w:hAnsi="宋体" w:cs="宋体"/>
          <w:color w:val="auto"/>
          <w:szCs w:val="21"/>
          <w:highlight w:val="none"/>
        </w:rPr>
        <w:t>(按招标文件的要求填写)</w:t>
      </w:r>
      <w:r>
        <w:rPr>
          <w:rStyle w:val="105"/>
          <w:rFonts w:hint="eastAsia" w:ascii="宋体" w:hAnsi="宋体" w:cs="宋体"/>
          <w:bCs/>
          <w:color w:val="auto"/>
          <w:szCs w:val="21"/>
          <w:highlight w:val="none"/>
        </w:rPr>
        <w:t>；</w:t>
      </w:r>
    </w:p>
    <w:p>
      <w:pPr>
        <w:spacing w:line="360" w:lineRule="auto"/>
        <w:ind w:firstLine="420" w:firstLineChars="200"/>
        <w:rPr>
          <w:rStyle w:val="105"/>
          <w:rFonts w:hint="eastAsia" w:ascii="宋体" w:hAnsi="宋体" w:cs="宋体"/>
          <w:bCs/>
          <w:color w:val="auto"/>
          <w:szCs w:val="21"/>
          <w:highlight w:val="none"/>
        </w:rPr>
      </w:pPr>
      <w:r>
        <w:rPr>
          <w:rStyle w:val="105"/>
          <w:rFonts w:hint="eastAsia" w:ascii="宋体" w:hAnsi="宋体" w:cs="宋体"/>
          <w:bCs/>
          <w:color w:val="auto"/>
          <w:szCs w:val="21"/>
          <w:highlight w:val="none"/>
        </w:rPr>
        <w:t>11.2.2 资格审查文件：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（1）投标人声明；</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（3）企业营业执照（取自平台内上传件）；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（4）企业资质证书（取自平台内上传件）；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（5）建筑施工企业安全生产许可证（取自平台内上传件）；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（8）拟委托技术负责人的相关证书、资料（具体要求由招标人明确）；</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（9）拟委派项目负责人的建造师注册证书或小型项目负责人相关证明（取自平台内上传件）； </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（10）项目负责人安全培训考核合格证明或在有效期内的安全考核合格证书（B类）或建筑施工企业项目负责人安全生产考核合格证书（取自平台内上传件）；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w:t>
      </w:r>
      <w:r>
        <w:rPr>
          <w:rFonts w:hint="eastAsia" w:ascii="宋体" w:hAnsi="宋体" w:cs="宋体"/>
          <w:color w:val="auto"/>
          <w:szCs w:val="21"/>
          <w:highlight w:val="none"/>
        </w:rPr>
        <w:t>须提供类似工程业绩的项目名称及项目编号，具体格式由招标人自定</w:t>
      </w:r>
      <w:r>
        <w:rPr>
          <w:rFonts w:hint="eastAsia" w:ascii="宋体" w:hAnsi="宋体" w:cs="宋体"/>
          <w:bCs/>
          <w:color w:val="auto"/>
          <w:szCs w:val="21"/>
          <w:highlight w:val="none"/>
        </w:rPr>
        <w:t>）；</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（14）列明主办单位的联合体工作协议（采用联合体投标时需递交，投标人拟任本工程项目负责人应为联合体主办方信用档案中的在册人员，</w:t>
      </w:r>
      <w:r>
        <w:rPr>
          <w:rFonts w:hint="eastAsia" w:ascii="宋体" w:hAnsi="宋体" w:cs="宋体"/>
          <w:color w:val="auto"/>
          <w:szCs w:val="21"/>
          <w:highlight w:val="none"/>
        </w:rPr>
        <w:t>联合体工作协议应明确约定各方拟承担的工作和责任</w:t>
      </w:r>
      <w:r>
        <w:rPr>
          <w:rFonts w:hint="eastAsia" w:ascii="宋体" w:hAnsi="宋体" w:cs="宋体"/>
          <w:bCs/>
          <w:color w:val="auto"/>
          <w:szCs w:val="21"/>
          <w:highlight w:val="none"/>
        </w:rPr>
        <w:t xml:space="preserve">）； </w:t>
      </w:r>
    </w:p>
    <w:p>
      <w:pPr>
        <w:spacing w:line="360" w:lineRule="auto"/>
        <w:ind w:firstLine="420" w:firstLineChars="200"/>
        <w:rPr>
          <w:rStyle w:val="105"/>
          <w:rFonts w:hint="eastAsia" w:ascii="宋体" w:hAnsi="宋体" w:cs="宋体"/>
          <w:bCs/>
          <w:color w:val="auto"/>
          <w:szCs w:val="21"/>
          <w:highlight w:val="none"/>
        </w:rPr>
      </w:pPr>
      <w:r>
        <w:rPr>
          <w:rFonts w:hint="eastAsia" w:ascii="宋体" w:hAnsi="宋体" w:cs="宋体"/>
          <w:bCs/>
          <w:color w:val="auto"/>
          <w:szCs w:val="21"/>
          <w:highlight w:val="none"/>
        </w:rPr>
        <w:t>（15）</w:t>
      </w:r>
      <w:r>
        <w:rPr>
          <w:rFonts w:hint="eastAsia" w:ascii="宋体" w:hAnsi="宋体" w:cs="宋体"/>
          <w:color w:val="auto"/>
          <w:szCs w:val="21"/>
          <w:highlight w:val="none"/>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Style w:val="105"/>
          <w:rFonts w:hint="eastAsia" w:ascii="宋体" w:hAnsi="宋体" w:cs="宋体"/>
          <w:bCs/>
          <w:color w:val="auto"/>
          <w:szCs w:val="21"/>
          <w:highlight w:val="none"/>
        </w:rPr>
      </w:pPr>
      <w:r>
        <w:rPr>
          <w:rStyle w:val="105"/>
          <w:rFonts w:hint="eastAsia" w:ascii="宋体" w:hAnsi="宋体" w:cs="宋体"/>
          <w:color w:val="auto"/>
          <w:szCs w:val="21"/>
          <w:highlight w:val="none"/>
        </w:rPr>
        <w:t>11.2.3项目管理机构配备。</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pPr>
        <w:spacing w:line="360" w:lineRule="auto"/>
        <w:ind w:firstLine="420" w:firstLineChars="200"/>
        <w:rPr>
          <w:rStyle w:val="105"/>
          <w:rFonts w:hint="eastAsia" w:ascii="宋体" w:hAnsi="宋体" w:cs="宋体"/>
          <w:bCs/>
          <w:color w:val="auto"/>
          <w:szCs w:val="21"/>
          <w:highlight w:val="none"/>
        </w:rPr>
      </w:pPr>
      <w:r>
        <w:rPr>
          <w:rFonts w:hint="eastAsia" w:ascii="宋体" w:hAnsi="宋体" w:cs="宋体"/>
          <w:color w:val="auto"/>
          <w:szCs w:val="21"/>
          <w:highlight w:val="none"/>
        </w:rPr>
        <w:t>（3）其他辅助说明资料。</w:t>
      </w:r>
    </w:p>
    <w:p>
      <w:pPr>
        <w:spacing w:line="360" w:lineRule="auto"/>
        <w:ind w:firstLine="420" w:firstLineChars="200"/>
        <w:rPr>
          <w:rStyle w:val="105"/>
          <w:rFonts w:hint="eastAsia" w:ascii="宋体" w:hAnsi="宋体" w:cs="宋体"/>
          <w:bCs/>
          <w:color w:val="auto"/>
          <w:szCs w:val="21"/>
          <w:highlight w:val="none"/>
        </w:rPr>
      </w:pPr>
      <w:r>
        <w:rPr>
          <w:rStyle w:val="105"/>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pPr>
        <w:spacing w:line="360" w:lineRule="auto"/>
        <w:ind w:firstLine="420" w:firstLineChars="200"/>
        <w:rPr>
          <w:rStyle w:val="105"/>
          <w:rFonts w:hint="eastAsia" w:ascii="宋体" w:hAnsi="宋体" w:cs="宋体"/>
          <w:bCs/>
          <w:color w:val="auto"/>
          <w:szCs w:val="21"/>
          <w:highlight w:val="none"/>
        </w:rPr>
      </w:pPr>
      <w:r>
        <w:rPr>
          <w:rStyle w:val="105"/>
          <w:rFonts w:hint="eastAsia" w:ascii="宋体" w:hAnsi="宋体" w:cs="宋体"/>
          <w:color w:val="auto"/>
          <w:szCs w:val="21"/>
          <w:highlight w:val="none"/>
        </w:rPr>
        <w:t>11.2.5施工组织设计或施工方案（投标人在编制施工组织设计或施工方案时应按照招标人提出的施工现场建筑垃圾源头减量的具体要求以及建筑垃圾综合利用产品的使用要求提供相应措施。）。</w:t>
      </w:r>
    </w:p>
    <w:p>
      <w:pPr>
        <w:spacing w:line="360" w:lineRule="auto"/>
        <w:ind w:firstLine="420" w:firstLineChars="200"/>
        <w:rPr>
          <w:rStyle w:val="105"/>
          <w:rFonts w:hint="eastAsia" w:ascii="宋体" w:hAnsi="宋体" w:cs="宋体"/>
          <w:bCs/>
          <w:color w:val="auto"/>
          <w:szCs w:val="21"/>
          <w:highlight w:val="none"/>
        </w:rPr>
      </w:pPr>
      <w:r>
        <w:rPr>
          <w:rStyle w:val="105"/>
          <w:rFonts w:hint="eastAsia" w:ascii="宋体" w:hAnsi="宋体" w:cs="宋体"/>
          <w:color w:val="auto"/>
          <w:szCs w:val="21"/>
          <w:highlight w:val="none"/>
        </w:rPr>
        <w:t>11.2.6按照</w:t>
      </w:r>
      <w:r>
        <w:rPr>
          <w:rStyle w:val="105"/>
          <w:rFonts w:hint="eastAsia" w:ascii="宋体" w:hAnsi="宋体" w:cs="宋体"/>
          <w:bCs/>
          <w:color w:val="auto"/>
          <w:szCs w:val="21"/>
          <w:highlight w:val="none"/>
        </w:rPr>
        <w:t>招标文件要求</w:t>
      </w:r>
      <w:r>
        <w:rPr>
          <w:rStyle w:val="105"/>
          <w:rFonts w:hint="eastAsia" w:ascii="宋体" w:hAnsi="宋体" w:cs="宋体"/>
          <w:color w:val="auto"/>
          <w:szCs w:val="21"/>
          <w:highlight w:val="none"/>
        </w:rPr>
        <w:t>填写的《参与编制技术标投标文件人员名单》。</w:t>
      </w:r>
    </w:p>
    <w:p>
      <w:pPr>
        <w:spacing w:line="360" w:lineRule="auto"/>
        <w:ind w:firstLine="422" w:firstLineChars="200"/>
        <w:rPr>
          <w:rStyle w:val="105"/>
          <w:rFonts w:hint="eastAsia" w:ascii="宋体" w:hAnsi="宋体" w:cs="宋体"/>
          <w:bCs/>
          <w:color w:val="auto"/>
          <w:szCs w:val="21"/>
          <w:highlight w:val="none"/>
        </w:rPr>
      </w:pPr>
      <w:r>
        <w:rPr>
          <w:rStyle w:val="105"/>
          <w:rFonts w:hint="eastAsia" w:ascii="宋体" w:hAnsi="宋体" w:cs="宋体"/>
          <w:b/>
          <w:color w:val="auto"/>
          <w:szCs w:val="21"/>
          <w:highlight w:val="none"/>
        </w:rPr>
        <w:t>现文：</w:t>
      </w:r>
      <w:r>
        <w:rPr>
          <w:rStyle w:val="105"/>
          <w:rFonts w:hint="eastAsia" w:ascii="宋体" w:hAnsi="宋体" w:cs="宋体"/>
          <w:bCs/>
          <w:color w:val="auto"/>
          <w:szCs w:val="21"/>
          <w:highlight w:val="none"/>
        </w:rPr>
        <w:t>11.2投标文件技术标部分主要包括下列内容:</w:t>
      </w:r>
    </w:p>
    <w:p>
      <w:pPr>
        <w:spacing w:line="360" w:lineRule="auto"/>
        <w:ind w:firstLine="420" w:firstLineChars="200"/>
        <w:rPr>
          <w:rStyle w:val="105"/>
          <w:rFonts w:hint="eastAsia" w:ascii="宋体" w:hAnsi="宋体" w:cs="宋体"/>
          <w:bCs/>
          <w:color w:val="auto"/>
          <w:szCs w:val="21"/>
          <w:highlight w:val="none"/>
        </w:rPr>
      </w:pPr>
      <w:r>
        <w:rPr>
          <w:rStyle w:val="105"/>
          <w:rFonts w:hint="eastAsia" w:ascii="宋体" w:hAnsi="宋体" w:cs="宋体"/>
          <w:bCs/>
          <w:color w:val="auto"/>
          <w:szCs w:val="21"/>
          <w:highlight w:val="none"/>
        </w:rPr>
        <w:t>11.2.1 技术投标文件</w:t>
      </w:r>
      <w:r>
        <w:rPr>
          <w:rStyle w:val="105"/>
          <w:rFonts w:hint="eastAsia" w:ascii="宋体" w:hAnsi="宋体" w:cs="宋体"/>
          <w:color w:val="auto"/>
          <w:szCs w:val="21"/>
          <w:highlight w:val="none"/>
        </w:rPr>
        <w:t>(按招标文件的要求填写)</w:t>
      </w:r>
      <w:r>
        <w:rPr>
          <w:rStyle w:val="105"/>
          <w:rFonts w:hint="eastAsia" w:ascii="宋体" w:hAnsi="宋体" w:cs="宋体"/>
          <w:bCs/>
          <w:color w:val="auto"/>
          <w:szCs w:val="21"/>
          <w:highlight w:val="none"/>
        </w:rPr>
        <w:t>；</w:t>
      </w:r>
    </w:p>
    <w:p>
      <w:pPr>
        <w:spacing w:line="360" w:lineRule="auto"/>
        <w:ind w:firstLine="420" w:firstLineChars="200"/>
        <w:rPr>
          <w:rStyle w:val="105"/>
          <w:rFonts w:hint="eastAsia" w:ascii="宋体" w:hAnsi="宋体" w:cs="宋体"/>
          <w:bCs/>
          <w:color w:val="auto"/>
          <w:szCs w:val="21"/>
          <w:highlight w:val="none"/>
          <w:u w:val="single"/>
        </w:rPr>
      </w:pPr>
      <w:r>
        <w:rPr>
          <w:rStyle w:val="105"/>
          <w:rFonts w:hint="eastAsia" w:ascii="宋体" w:hAnsi="宋体" w:cs="宋体"/>
          <w:bCs/>
          <w:color w:val="auto"/>
          <w:szCs w:val="21"/>
          <w:highlight w:val="none"/>
          <w:u w:val="single"/>
        </w:rPr>
        <w:t>（1）广州建设工程施工招标投标书（技术标）</w:t>
      </w:r>
      <w:r>
        <w:rPr>
          <w:rStyle w:val="105"/>
          <w:rFonts w:hint="eastAsia" w:ascii="宋体" w:hAnsi="宋体" w:cs="宋体"/>
          <w:color w:val="auto"/>
          <w:highlight w:val="none"/>
          <w:u w:val="single"/>
        </w:rPr>
        <w:t>（按招标文件第四章技术标投标文件格式）</w:t>
      </w:r>
      <w:r>
        <w:rPr>
          <w:rStyle w:val="105"/>
          <w:rFonts w:hint="eastAsia" w:ascii="宋体" w:hAnsi="宋体" w:cs="宋体"/>
          <w:bCs/>
          <w:color w:val="auto"/>
          <w:szCs w:val="21"/>
          <w:highlight w:val="none"/>
          <w:u w:val="single"/>
        </w:rPr>
        <w:t>；</w:t>
      </w:r>
    </w:p>
    <w:p>
      <w:pPr>
        <w:spacing w:line="360" w:lineRule="auto"/>
        <w:ind w:firstLine="420" w:firstLineChars="200"/>
        <w:rPr>
          <w:rStyle w:val="105"/>
          <w:rFonts w:hint="eastAsia" w:ascii="宋体" w:hAnsi="宋体" w:cs="宋体"/>
          <w:bCs/>
          <w:color w:val="auto"/>
          <w:szCs w:val="21"/>
          <w:highlight w:val="none"/>
        </w:rPr>
      </w:pPr>
      <w:r>
        <w:rPr>
          <w:rStyle w:val="105"/>
          <w:rFonts w:hint="eastAsia" w:ascii="宋体" w:hAnsi="宋体" w:cs="宋体"/>
          <w:bCs/>
          <w:color w:val="auto"/>
          <w:szCs w:val="21"/>
          <w:highlight w:val="none"/>
        </w:rPr>
        <w:t>11.2.2 资格审查文件：</w:t>
      </w:r>
    </w:p>
    <w:p>
      <w:pPr>
        <w:spacing w:line="360" w:lineRule="auto"/>
        <w:ind w:firstLine="420" w:firstLineChars="200"/>
        <w:rPr>
          <w:rStyle w:val="105"/>
          <w:rFonts w:hint="eastAsia" w:ascii="宋体" w:hAnsi="宋体" w:cs="宋体"/>
          <w:color w:val="auto"/>
          <w:highlight w:val="none"/>
        </w:rPr>
      </w:pPr>
      <w:r>
        <w:rPr>
          <w:rStyle w:val="105"/>
          <w:rFonts w:hint="eastAsia" w:ascii="宋体" w:hAnsi="宋体" w:cs="宋体"/>
          <w:bCs/>
          <w:color w:val="auto"/>
          <w:szCs w:val="21"/>
          <w:highlight w:val="none"/>
        </w:rPr>
        <w:t>（1）投标人声</w:t>
      </w:r>
      <w:r>
        <w:rPr>
          <w:rStyle w:val="105"/>
          <w:rFonts w:hint="eastAsia" w:ascii="宋体" w:hAnsi="宋体" w:cs="宋体"/>
          <w:color w:val="auto"/>
          <w:highlight w:val="none"/>
        </w:rPr>
        <w:t>明</w:t>
      </w:r>
      <w:r>
        <w:rPr>
          <w:rStyle w:val="105"/>
          <w:rFonts w:hint="eastAsia" w:ascii="宋体" w:hAnsi="宋体" w:cs="宋体"/>
          <w:color w:val="auto"/>
          <w:highlight w:val="none"/>
          <w:u w:val="single"/>
        </w:rPr>
        <w:t>（按招标公告附件一的格式及内容提交）；</w:t>
      </w:r>
      <w:r>
        <w:rPr>
          <w:rStyle w:val="105"/>
          <w:rFonts w:hint="eastAsia" w:ascii="宋体" w:hAnsi="宋体" w:cs="宋体"/>
          <w:color w:val="auto"/>
          <w:highlight w:val="none"/>
        </w:rPr>
        <w:t xml:space="preserve"> </w:t>
      </w:r>
    </w:p>
    <w:p>
      <w:pPr>
        <w:spacing w:line="360" w:lineRule="auto"/>
        <w:ind w:firstLine="420" w:firstLineChars="200"/>
        <w:rPr>
          <w:rStyle w:val="105"/>
          <w:rFonts w:hint="eastAsia" w:ascii="宋体" w:hAnsi="宋体" w:cs="宋体"/>
          <w:color w:val="auto"/>
          <w:highlight w:val="none"/>
        </w:rPr>
      </w:pPr>
      <w:r>
        <w:rPr>
          <w:rStyle w:val="105"/>
          <w:rFonts w:hint="eastAsia" w:ascii="宋体" w:hAnsi="宋体" w:cs="宋体"/>
          <w:color w:val="auto"/>
          <w:highlight w:val="none"/>
        </w:rPr>
        <w:t>（2）法定代表人证明书、法定代表人签字或盖章的本投标文件授权委托证明书；</w:t>
      </w:r>
    </w:p>
    <w:p>
      <w:pPr>
        <w:spacing w:line="360" w:lineRule="auto"/>
        <w:ind w:firstLine="420" w:firstLineChars="200"/>
        <w:rPr>
          <w:rStyle w:val="105"/>
          <w:rFonts w:hint="eastAsia" w:ascii="宋体" w:hAnsi="宋体" w:cs="宋体"/>
          <w:color w:val="auto"/>
          <w:highlight w:val="none"/>
        </w:rPr>
      </w:pPr>
      <w:r>
        <w:rPr>
          <w:rStyle w:val="105"/>
          <w:rFonts w:hint="eastAsia" w:ascii="宋体" w:hAnsi="宋体" w:cs="宋体"/>
          <w:color w:val="auto"/>
          <w:highlight w:val="none"/>
        </w:rPr>
        <w:t>（3）企业营业执照（取自平台内上传件）；</w:t>
      </w:r>
    </w:p>
    <w:p>
      <w:pPr>
        <w:spacing w:line="360" w:lineRule="auto"/>
        <w:ind w:firstLine="420" w:firstLineChars="200"/>
        <w:rPr>
          <w:rStyle w:val="105"/>
          <w:rFonts w:hint="eastAsia" w:ascii="宋体" w:hAnsi="宋体" w:cs="宋体"/>
          <w:color w:val="auto"/>
          <w:highlight w:val="none"/>
        </w:rPr>
      </w:pPr>
      <w:r>
        <w:rPr>
          <w:rStyle w:val="105"/>
          <w:rFonts w:hint="eastAsia" w:ascii="宋体" w:hAnsi="宋体" w:cs="宋体"/>
          <w:color w:val="auto"/>
          <w:highlight w:val="none"/>
        </w:rPr>
        <w:t>（4）企业资质证书（取自平台内上传件）；</w:t>
      </w:r>
    </w:p>
    <w:p>
      <w:pPr>
        <w:spacing w:line="360" w:lineRule="auto"/>
        <w:ind w:firstLine="420" w:firstLineChars="200"/>
        <w:rPr>
          <w:rStyle w:val="105"/>
          <w:rFonts w:hint="eastAsia" w:ascii="宋体" w:hAnsi="宋体" w:cs="宋体"/>
          <w:color w:val="auto"/>
          <w:highlight w:val="none"/>
        </w:rPr>
      </w:pPr>
      <w:r>
        <w:rPr>
          <w:rStyle w:val="105"/>
          <w:rFonts w:hint="eastAsia" w:ascii="宋体" w:hAnsi="宋体" w:cs="宋体"/>
          <w:color w:val="auto"/>
          <w:highlight w:val="none"/>
        </w:rPr>
        <w:t>（5）建筑施工企业安全生产许可证（取自平台内上传件）；</w:t>
      </w:r>
    </w:p>
    <w:p>
      <w:pPr>
        <w:spacing w:line="360" w:lineRule="auto"/>
        <w:ind w:firstLine="420" w:firstLineChars="200"/>
        <w:rPr>
          <w:rStyle w:val="105"/>
          <w:rFonts w:hint="eastAsia" w:ascii="宋体" w:hAnsi="宋体" w:cs="宋体"/>
          <w:color w:val="auto"/>
          <w:highlight w:val="none"/>
        </w:rPr>
      </w:pPr>
      <w:r>
        <w:rPr>
          <w:rStyle w:val="105"/>
          <w:rFonts w:hint="eastAsia" w:ascii="宋体" w:hAnsi="宋体" w:cs="宋体"/>
          <w:color w:val="auto"/>
          <w:highlight w:val="none"/>
        </w:rPr>
        <w:t>（6）项目负责人（按网上投标登记时选择拟投标的项目负责人）；</w:t>
      </w:r>
    </w:p>
    <w:p>
      <w:pPr>
        <w:spacing w:line="360" w:lineRule="auto"/>
        <w:ind w:firstLine="420" w:firstLineChars="200"/>
        <w:rPr>
          <w:rStyle w:val="105"/>
          <w:rFonts w:hint="eastAsia" w:ascii="宋体" w:hAnsi="宋体" w:cs="宋体"/>
          <w:color w:val="auto"/>
          <w:highlight w:val="none"/>
        </w:rPr>
      </w:pPr>
      <w:r>
        <w:rPr>
          <w:rStyle w:val="105"/>
          <w:rFonts w:hint="eastAsia" w:ascii="宋体" w:hAnsi="宋体" w:cs="宋体"/>
          <w:color w:val="auto"/>
          <w:highlight w:val="none"/>
        </w:rPr>
        <w:t>（7）专职安全员（按网上投标登记时选择拟投标的专职安全员）；</w:t>
      </w:r>
    </w:p>
    <w:p>
      <w:pPr>
        <w:spacing w:line="360" w:lineRule="auto"/>
        <w:ind w:firstLine="420" w:firstLineChars="200"/>
        <w:rPr>
          <w:rStyle w:val="105"/>
          <w:rFonts w:hint="eastAsia" w:ascii="宋体" w:hAnsi="宋体" w:cs="宋体"/>
          <w:color w:val="auto"/>
          <w:highlight w:val="none"/>
        </w:rPr>
      </w:pPr>
      <w:r>
        <w:rPr>
          <w:rStyle w:val="105"/>
          <w:rFonts w:hint="eastAsia" w:ascii="宋体" w:hAnsi="宋体" w:cs="宋体"/>
          <w:color w:val="auto"/>
          <w:highlight w:val="none"/>
        </w:rPr>
        <w:t>（8）拟委托技术负责人的职称资料</w:t>
      </w:r>
      <w:r>
        <w:rPr>
          <w:rStyle w:val="105"/>
          <w:rFonts w:hint="eastAsia" w:ascii="宋体" w:hAnsi="宋体" w:cs="宋体"/>
          <w:color w:val="auto"/>
          <w:highlight w:val="none"/>
          <w:u w:val="single"/>
        </w:rPr>
        <w:t>（按招标公告要求，原件扫描件）</w:t>
      </w:r>
      <w:r>
        <w:rPr>
          <w:rStyle w:val="105"/>
          <w:rFonts w:hint="eastAsia" w:ascii="宋体" w:hAnsi="宋体" w:cs="宋体"/>
          <w:color w:val="auto"/>
          <w:highlight w:val="none"/>
        </w:rPr>
        <w:t>；</w:t>
      </w:r>
    </w:p>
    <w:p>
      <w:pPr>
        <w:spacing w:line="360" w:lineRule="auto"/>
        <w:ind w:firstLine="420" w:firstLineChars="200"/>
        <w:rPr>
          <w:rStyle w:val="105"/>
          <w:rFonts w:hint="eastAsia" w:ascii="宋体" w:hAnsi="宋体" w:cs="宋体"/>
          <w:bCs/>
          <w:color w:val="auto"/>
          <w:szCs w:val="21"/>
          <w:highlight w:val="none"/>
        </w:rPr>
      </w:pPr>
      <w:r>
        <w:rPr>
          <w:rStyle w:val="105"/>
          <w:rFonts w:hint="eastAsia" w:ascii="宋体" w:hAnsi="宋体" w:cs="宋体"/>
          <w:bCs/>
          <w:color w:val="auto"/>
          <w:szCs w:val="21"/>
          <w:highlight w:val="none"/>
        </w:rPr>
        <w:t>（9）拟委派项目负责人的</w:t>
      </w:r>
      <w:r>
        <w:rPr>
          <w:rFonts w:hint="eastAsia" w:ascii="宋体" w:hAnsi="宋体" w:cs="宋体"/>
          <w:color w:val="auto"/>
          <w:highlight w:val="none"/>
          <w:u w:val="single"/>
          <w:shd w:val="clear" w:color="auto" w:fill="FFFFFF"/>
        </w:rPr>
        <w:t>建造师注册证书</w:t>
      </w:r>
      <w:r>
        <w:rPr>
          <w:rStyle w:val="105"/>
          <w:rFonts w:hint="eastAsia" w:ascii="宋体" w:hAnsi="宋体" w:cs="宋体"/>
          <w:bCs/>
          <w:color w:val="auto"/>
          <w:szCs w:val="21"/>
          <w:highlight w:val="none"/>
          <w:u w:val="single"/>
        </w:rPr>
        <w:t>（取自平台内上传件）</w:t>
      </w:r>
      <w:r>
        <w:rPr>
          <w:rStyle w:val="105"/>
          <w:rFonts w:hint="eastAsia" w:ascii="宋体" w:hAnsi="宋体" w:cs="宋体"/>
          <w:bCs/>
          <w:color w:val="auto"/>
          <w:szCs w:val="21"/>
          <w:highlight w:val="none"/>
        </w:rPr>
        <w:t xml:space="preserve">； </w:t>
      </w:r>
    </w:p>
    <w:p>
      <w:pPr>
        <w:spacing w:line="360" w:lineRule="auto"/>
        <w:ind w:firstLine="420" w:firstLineChars="200"/>
        <w:rPr>
          <w:rStyle w:val="105"/>
          <w:rFonts w:hint="eastAsia" w:ascii="宋体" w:hAnsi="宋体" w:cs="宋体"/>
          <w:bCs/>
          <w:color w:val="auto"/>
          <w:szCs w:val="21"/>
          <w:highlight w:val="none"/>
        </w:rPr>
      </w:pPr>
      <w:r>
        <w:rPr>
          <w:rStyle w:val="105"/>
          <w:rFonts w:hint="eastAsia" w:ascii="宋体" w:hAnsi="宋体" w:cs="宋体"/>
          <w:bCs/>
          <w:color w:val="auto"/>
          <w:szCs w:val="21"/>
          <w:highlight w:val="none"/>
        </w:rPr>
        <w:t>（10）</w:t>
      </w:r>
      <w:r>
        <w:rPr>
          <w:rFonts w:hint="eastAsia" w:ascii="宋体" w:hAnsi="宋体"/>
          <w:bCs/>
          <w:color w:val="auto"/>
          <w:szCs w:val="21"/>
          <w:highlight w:val="none"/>
          <w:u w:val="single"/>
        </w:rPr>
        <w:t>项目负责人在有效期内的安全生产考核合格证（B类）或建筑施工企业项目负责人安全生产考核合格证书</w:t>
      </w:r>
      <w:r>
        <w:rPr>
          <w:rStyle w:val="105"/>
          <w:rFonts w:hint="eastAsia" w:ascii="宋体" w:hAnsi="宋体" w:cs="宋体"/>
          <w:bCs/>
          <w:color w:val="auto"/>
          <w:szCs w:val="21"/>
          <w:highlight w:val="none"/>
        </w:rPr>
        <w:t>（取自平台内上传件）；</w:t>
      </w:r>
    </w:p>
    <w:p>
      <w:pPr>
        <w:spacing w:line="360" w:lineRule="auto"/>
        <w:ind w:firstLine="420" w:firstLineChars="200"/>
        <w:rPr>
          <w:rStyle w:val="105"/>
          <w:rFonts w:hint="eastAsia" w:ascii="宋体" w:hAnsi="宋体" w:cs="宋体"/>
          <w:bCs/>
          <w:color w:val="auto"/>
          <w:szCs w:val="21"/>
          <w:highlight w:val="none"/>
          <w:u w:val="single"/>
        </w:rPr>
      </w:pPr>
      <w:r>
        <w:rPr>
          <w:rStyle w:val="105"/>
          <w:rFonts w:hint="eastAsia" w:ascii="宋体" w:hAnsi="宋体" w:cs="宋体"/>
          <w:bCs/>
          <w:color w:val="auto"/>
          <w:szCs w:val="21"/>
          <w:highlight w:val="none"/>
        </w:rPr>
        <w:t>（11）</w:t>
      </w:r>
      <w:r>
        <w:rPr>
          <w:rStyle w:val="105"/>
          <w:rFonts w:hint="eastAsia" w:ascii="宋体" w:hAnsi="宋体" w:cs="宋体"/>
          <w:bCs/>
          <w:color w:val="auto"/>
          <w:szCs w:val="21"/>
          <w:highlight w:val="none"/>
          <w:u w:val="single"/>
        </w:rPr>
        <w:t>专职安全员须具有在有效期内的安全生产考核合格证书（C类）或建筑施工企业专职安全生产管理人员安全生产考核合格证书（C3）（取自平台内上传件）；</w:t>
      </w:r>
      <w:r>
        <w:rPr>
          <w:rStyle w:val="105"/>
          <w:rFonts w:hint="eastAsia" w:ascii="宋体" w:hAnsi="宋体" w:cs="宋体"/>
          <w:b/>
          <w:color w:val="auto"/>
          <w:szCs w:val="21"/>
          <w:highlight w:val="none"/>
          <w:u w:val="single"/>
        </w:rPr>
        <w:t>项目负责人和安全员不为同一人；</w:t>
      </w:r>
    </w:p>
    <w:p>
      <w:pPr>
        <w:spacing w:line="360" w:lineRule="auto"/>
        <w:ind w:firstLine="420" w:firstLineChars="200"/>
        <w:rPr>
          <w:rStyle w:val="105"/>
          <w:rFonts w:hint="eastAsia" w:ascii="宋体" w:hAnsi="宋体" w:cs="宋体"/>
          <w:bCs/>
          <w:color w:val="auto"/>
          <w:szCs w:val="21"/>
          <w:highlight w:val="none"/>
        </w:rPr>
      </w:pPr>
      <w:r>
        <w:rPr>
          <w:rStyle w:val="105"/>
          <w:rFonts w:hint="eastAsia" w:ascii="宋体" w:hAnsi="宋体" w:cs="宋体"/>
          <w:bCs/>
          <w:color w:val="auto"/>
          <w:szCs w:val="21"/>
          <w:highlight w:val="none"/>
        </w:rPr>
        <w:t>（12）资格审查前，投标人须在广州市住房和城乡建设局建立企业信用档案，拟担任本工程项目负责人、专职安全员须是本企业信用档案中的在册人员；</w:t>
      </w:r>
    </w:p>
    <w:p>
      <w:pPr>
        <w:spacing w:line="360" w:lineRule="auto"/>
        <w:ind w:firstLine="420" w:firstLineChars="200"/>
        <w:rPr>
          <w:rStyle w:val="105"/>
          <w:rFonts w:hint="eastAsia" w:ascii="宋体" w:hAnsi="宋体" w:cs="宋体"/>
          <w:bCs/>
          <w:color w:val="auto"/>
          <w:szCs w:val="21"/>
          <w:highlight w:val="none"/>
        </w:rPr>
      </w:pPr>
      <w:r>
        <w:rPr>
          <w:rStyle w:val="105"/>
          <w:rFonts w:hint="eastAsia" w:ascii="宋体" w:hAnsi="宋体" w:cs="宋体"/>
          <w:bCs/>
          <w:color w:val="auto"/>
          <w:szCs w:val="21"/>
          <w:highlight w:val="none"/>
        </w:rPr>
        <w:t>（13）投标人认为应提供的其他资料。</w:t>
      </w:r>
    </w:p>
    <w:p>
      <w:pPr>
        <w:spacing w:line="360" w:lineRule="auto"/>
        <w:ind w:firstLine="420" w:firstLineChars="200"/>
        <w:rPr>
          <w:rStyle w:val="105"/>
          <w:rFonts w:hint="eastAsia" w:ascii="宋体" w:hAnsi="宋体" w:cs="宋体"/>
          <w:color w:val="auto"/>
          <w:szCs w:val="21"/>
          <w:highlight w:val="none"/>
          <w:u w:val="single"/>
        </w:rPr>
      </w:pPr>
      <w:r>
        <w:rPr>
          <w:rStyle w:val="105"/>
          <w:rFonts w:hint="eastAsia" w:ascii="宋体" w:hAnsi="宋体" w:cs="宋体"/>
          <w:color w:val="auto"/>
          <w:szCs w:val="21"/>
          <w:highlight w:val="none"/>
          <w:u w:val="single"/>
        </w:rPr>
        <w:t>11.2.3按照招标文件要求填写的《参与编制技术标投标文件人员名单》（格式按招标文件第四章技术标投标文件格式）；</w:t>
      </w:r>
    </w:p>
    <w:p>
      <w:pPr>
        <w:spacing w:line="360" w:lineRule="auto"/>
        <w:ind w:firstLine="420" w:firstLineChars="200"/>
        <w:rPr>
          <w:rStyle w:val="105"/>
          <w:rFonts w:hint="eastAsia" w:ascii="宋体" w:hAnsi="宋体" w:cs="宋体"/>
          <w:color w:val="auto"/>
          <w:szCs w:val="21"/>
          <w:highlight w:val="none"/>
          <w:u w:val="single"/>
        </w:rPr>
      </w:pPr>
      <w:r>
        <w:rPr>
          <w:rStyle w:val="105"/>
          <w:rFonts w:hint="eastAsia" w:ascii="宋体" w:hAnsi="宋体" w:cs="宋体"/>
          <w:color w:val="auto"/>
          <w:szCs w:val="21"/>
          <w:highlight w:val="none"/>
          <w:u w:val="single"/>
        </w:rPr>
        <w:t>11.2.4《项目管理机构人员配备表》；</w:t>
      </w:r>
    </w:p>
    <w:p>
      <w:pPr>
        <w:spacing w:line="360" w:lineRule="auto"/>
        <w:ind w:firstLine="420" w:firstLineChars="200"/>
        <w:rPr>
          <w:rStyle w:val="105"/>
          <w:rFonts w:hint="eastAsia" w:ascii="宋体" w:hAnsi="宋体" w:cs="宋体"/>
          <w:color w:val="auto"/>
          <w:szCs w:val="21"/>
          <w:highlight w:val="none"/>
          <w:u w:val="single"/>
        </w:rPr>
      </w:pPr>
      <w:r>
        <w:rPr>
          <w:rStyle w:val="105"/>
          <w:rFonts w:hint="eastAsia" w:ascii="宋体" w:hAnsi="宋体" w:cs="宋体"/>
          <w:color w:val="auto"/>
          <w:szCs w:val="21"/>
          <w:highlight w:val="none"/>
          <w:u w:val="single"/>
        </w:rPr>
        <w:t>11.2.5按照招标文件要求提供《施工工期承诺书》（格式按招标文件第四章技术标投标文件格式）</w:t>
      </w:r>
    </w:p>
    <w:p>
      <w:pPr>
        <w:spacing w:line="360" w:lineRule="auto"/>
        <w:ind w:firstLine="420" w:firstLineChars="200"/>
        <w:rPr>
          <w:rFonts w:hint="eastAsia" w:ascii="宋体" w:hAnsi="宋体" w:cs="宋体"/>
          <w:color w:val="auto"/>
          <w:highlight w:val="none"/>
          <w:u w:val="single"/>
        </w:rPr>
      </w:pPr>
      <w:r>
        <w:rPr>
          <w:rStyle w:val="105"/>
          <w:rFonts w:hint="eastAsia" w:ascii="宋体" w:hAnsi="宋体" w:cs="宋体"/>
          <w:color w:val="auto"/>
          <w:szCs w:val="21"/>
          <w:highlight w:val="none"/>
          <w:u w:val="single"/>
        </w:rPr>
        <w:t>11.2.6</w:t>
      </w:r>
      <w:r>
        <w:rPr>
          <w:rFonts w:hint="eastAsia" w:ascii="宋体" w:hAnsi="宋体" w:cs="宋体"/>
          <w:color w:val="auto"/>
          <w:highlight w:val="none"/>
          <w:u w:val="single"/>
        </w:rPr>
        <w:t>按照招标文件《技术标详细审查评分标准》提供的企业资信证明材料；</w:t>
      </w:r>
    </w:p>
    <w:p>
      <w:pPr>
        <w:spacing w:line="360" w:lineRule="auto"/>
        <w:ind w:firstLine="420" w:firstLineChars="200"/>
        <w:rPr>
          <w:rStyle w:val="105"/>
          <w:rFonts w:hint="eastAsia" w:ascii="宋体" w:hAnsi="宋体" w:cs="宋体"/>
          <w:color w:val="auto"/>
          <w:szCs w:val="21"/>
          <w:highlight w:val="none"/>
          <w:u w:val="single"/>
        </w:rPr>
      </w:pPr>
      <w:r>
        <w:rPr>
          <w:rStyle w:val="105"/>
          <w:rFonts w:hint="eastAsia" w:ascii="宋体" w:hAnsi="宋体" w:cs="宋体"/>
          <w:color w:val="auto"/>
          <w:szCs w:val="21"/>
          <w:highlight w:val="none"/>
          <w:u w:val="single"/>
        </w:rPr>
        <w:t>11.2.7《投标函》（须按招标文件第四章格式）。</w:t>
      </w:r>
    </w:p>
    <w:p>
      <w:pPr>
        <w:pBdr>
          <w:bottom w:val="single" w:color="000000" w:sz="6" w:space="1"/>
        </w:pBdr>
        <w:spacing w:line="360" w:lineRule="auto"/>
        <w:ind w:firstLine="420" w:firstLineChars="200"/>
        <w:rPr>
          <w:rStyle w:val="105"/>
          <w:rFonts w:hint="eastAsia" w:ascii="宋体" w:hAnsi="宋体" w:cs="宋体"/>
          <w:color w:val="auto"/>
          <w:szCs w:val="21"/>
          <w:highlight w:val="none"/>
          <w:u w:val="single"/>
        </w:rPr>
      </w:pPr>
      <w:r>
        <w:rPr>
          <w:rStyle w:val="105"/>
          <w:rFonts w:hint="eastAsia" w:ascii="宋体" w:hAnsi="宋体" w:cs="宋体"/>
          <w:color w:val="auto"/>
          <w:szCs w:val="21"/>
          <w:highlight w:val="none"/>
          <w:u w:val="single"/>
        </w:rPr>
        <w:t>11.2.8投标保证金缴纳证明资料（若由广州交易集团有限公司（广州公共资源交易中心）代收的，以开标时查询的数据为准，可不需提供证明资料）。</w:t>
      </w:r>
    </w:p>
    <w:p>
      <w:pPr>
        <w:pBdr>
          <w:bottom w:val="single" w:color="000000" w:sz="6" w:space="1"/>
        </w:pBdr>
        <w:spacing w:line="360" w:lineRule="auto"/>
        <w:ind w:firstLine="420" w:firstLineChars="200"/>
        <w:rPr>
          <w:rFonts w:hint="eastAsia" w:ascii="宋体" w:hAnsi="宋体" w:cs="宋体"/>
          <w:color w:val="auto"/>
          <w:highlight w:val="none"/>
          <w:u w:val="single"/>
        </w:rPr>
      </w:pPr>
      <w:r>
        <w:rPr>
          <w:rStyle w:val="105"/>
          <w:rFonts w:hint="eastAsia" w:ascii="宋体" w:hAnsi="宋体" w:cs="宋体"/>
          <w:color w:val="auto"/>
          <w:szCs w:val="21"/>
          <w:highlight w:val="none"/>
          <w:u w:val="single"/>
        </w:rPr>
        <w:t>11.2.9其他投</w:t>
      </w:r>
      <w:r>
        <w:rPr>
          <w:rFonts w:hint="eastAsia" w:ascii="宋体" w:hAnsi="宋体" w:cs="宋体"/>
          <w:color w:val="auto"/>
          <w:highlight w:val="none"/>
          <w:u w:val="single"/>
        </w:rPr>
        <w:t>标人认为应该提供的资料。</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条款号：11.3.          修改类型：修改</w:t>
      </w:r>
    </w:p>
    <w:p>
      <w:pPr>
        <w:spacing w:line="276" w:lineRule="auto"/>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11.3 经济部分投标文件主要包括下列内容：</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11.3.1 经济投标文件(按招标文件的要求填写)。</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（1）投标总价封面、扉页；</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（2）总说明；</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（3）工程项目投标报价汇总表；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（4）单项工程投标报价汇总表；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（5）单位工程投标报价汇总表；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（6）分部分项工程清单与计价表；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（7）单价措施项目清单与计价表；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（8）总价措施项目清单与计价表；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（9）综合单价分析表；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（10）其他项目清单与计价汇总表；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（11）暂列金额明细表；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（12）材料（工程设备）暂估价明细表；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（13）专业工程暂估价明细表；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（14）计日工表；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（15）总承包服务计价表；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（16）规费和税金项目计价表；</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（17）人工、主要材料和设备一览表。</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11.3.3按照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填写的《参与编制经济标投标文件人员名单》。</w:t>
      </w:r>
    </w:p>
    <w:p>
      <w:pPr>
        <w:pBdr>
          <w:bottom w:val="single" w:color="auto" w:sz="6" w:space="1"/>
        </w:pBdr>
        <w:tabs>
          <w:tab w:val="left" w:pos="6329"/>
        </w:tabs>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spacing w:line="276" w:lineRule="auto"/>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11.3 经济部分投标文件主要包括下列内容：</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11.3.1 </w:t>
      </w:r>
      <w:r>
        <w:rPr>
          <w:rFonts w:hint="eastAsia" w:ascii="宋体" w:hAnsi="宋体" w:cs="宋体"/>
          <w:color w:val="auto"/>
          <w:highlight w:val="none"/>
          <w:u w:val="single"/>
        </w:rPr>
        <w:t>《广州建设工程施工招标投标书》（经济标）</w:t>
      </w:r>
      <w:r>
        <w:rPr>
          <w:rFonts w:hint="eastAsia" w:ascii="宋体" w:hAnsi="宋体" w:cs="宋体"/>
          <w:bCs/>
          <w:color w:val="auto"/>
          <w:szCs w:val="21"/>
          <w:highlight w:val="none"/>
          <w:u w:val="single"/>
        </w:rPr>
        <w:t>（按招标文件第四章经济标投标文件格式）</w:t>
      </w:r>
      <w:r>
        <w:rPr>
          <w:rFonts w:hint="eastAsia" w:ascii="宋体" w:hAnsi="宋体" w:cs="宋体"/>
          <w:color w:val="auto"/>
          <w:szCs w:val="21"/>
          <w:highlight w:val="none"/>
        </w:rPr>
        <w:t>。</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bCs/>
          <w:color w:val="auto"/>
          <w:szCs w:val="21"/>
          <w:highlight w:val="none"/>
          <w:u w:val="single"/>
        </w:rPr>
        <w:t>（投标报价的工程量清单的组成、格式等按广州交易集团有限公司（广州公共资源交易中心）的投标文件管理软件自动生成）</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11.3.3按照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填写的《参与编制经济标投标文件人员名单》。</w:t>
      </w:r>
    </w:p>
    <w:p>
      <w:pPr>
        <w:pBdr>
          <w:bottom w:val="single" w:color="auto" w:sz="6" w:space="1"/>
        </w:pBdr>
        <w:tabs>
          <w:tab w:val="left" w:pos="6329"/>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tabs>
          <w:tab w:val="left" w:pos="6329"/>
        </w:tabs>
        <w:spacing w:line="360" w:lineRule="auto"/>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11.3.5</w:t>
      </w:r>
      <w:r>
        <w:rPr>
          <w:rFonts w:hint="eastAsia" w:ascii="宋体" w:hAnsi="宋体" w:cs="宋体"/>
          <w:bCs/>
          <w:color w:val="auto"/>
          <w:szCs w:val="21"/>
          <w:highlight w:val="none"/>
          <w:u w:val="single"/>
        </w:rPr>
        <w:t>《对投标文件编制的承诺》。</w:t>
      </w:r>
      <w:r>
        <w:rPr>
          <w:rFonts w:hint="eastAsia" w:ascii="宋体" w:hAnsi="宋体" w:cs="宋体"/>
          <w:color w:val="auto"/>
          <w:szCs w:val="21"/>
          <w:highlight w:val="none"/>
        </w:rPr>
        <w:t xml:space="preserve"> </w:t>
      </w:r>
    </w:p>
    <w:p>
      <w:pPr>
        <w:pBdr>
          <w:bottom w:val="single" w:color="auto" w:sz="6" w:space="1"/>
        </w:pBdr>
        <w:tabs>
          <w:tab w:val="left" w:pos="6329"/>
        </w:tabs>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11.3.6其他投标人认为应该提供的资料。</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条款号：12.2          修改类型：</w:t>
      </w:r>
      <w:r>
        <w:rPr>
          <w:rStyle w:val="105"/>
          <w:rFonts w:hint="eastAsia" w:ascii="宋体" w:hAnsi="宋体" w:cs="宋体"/>
          <w:b/>
          <w:color w:val="auto"/>
          <w:szCs w:val="21"/>
          <w:highlight w:val="none"/>
        </w:rPr>
        <w:t>修改</w:t>
      </w:r>
    </w:p>
    <w:p>
      <w:pPr>
        <w:pBdr>
          <w:bottom w:val="single" w:color="auto" w:sz="6" w:space="1"/>
        </w:pBdr>
        <w:tabs>
          <w:tab w:val="left" w:pos="6329"/>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 xml:space="preserve">12.2 </w:t>
      </w:r>
      <w:r>
        <w:rPr>
          <w:rFonts w:hint="eastAsia" w:ascii="宋体" w:hAnsi="宋体" w:cs="宋体"/>
          <w:color w:val="auto"/>
          <w:szCs w:val="21"/>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bCs/>
          <w:color w:val="auto"/>
          <w:szCs w:val="21"/>
          <w:highlight w:val="none"/>
        </w:rPr>
        <w:t>。</w:t>
      </w:r>
    </w:p>
    <w:p>
      <w:pPr>
        <w:pBdr>
          <w:bottom w:val="single" w:color="auto" w:sz="6" w:space="1"/>
        </w:pBdr>
        <w:tabs>
          <w:tab w:val="left" w:pos="6329"/>
        </w:tabs>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12.2 投标文件全部采用电子文档，投标文件所附证书证件均为原件</w:t>
      </w:r>
      <w:r>
        <w:rPr>
          <w:rFonts w:hint="eastAsia" w:ascii="宋体" w:hAnsi="宋体" w:cs="宋体"/>
          <w:color w:val="auto"/>
          <w:szCs w:val="21"/>
          <w:highlight w:val="none"/>
          <w:u w:val="single"/>
        </w:rPr>
        <w:t>清晰</w:t>
      </w:r>
      <w:r>
        <w:rPr>
          <w:rFonts w:hint="eastAsia" w:ascii="宋体" w:hAnsi="宋体" w:cs="宋体"/>
          <w:color w:val="auto"/>
          <w:szCs w:val="21"/>
          <w:highlight w:val="none"/>
        </w:rPr>
        <w:t>扫描件，并采用单位数字证书，按招标文件要求在相应位置加盖电子印章。投标文件中需个人签字或盖章的，应加盖个人电子印章或在线下完成后扫描上传。由广州投标文件管理软件系统生成的“工程量清单主表--工程量清单报价表”封面页和扉页可以仅采用单位数字证书加盖电子印章处理。按照广州交易集团有限公司（广州公共资源交易中心）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广州交易集团有限公司（广州公共资源交易中心）网站最新指引。</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条款号：12.3          修改类型：修改</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12.3</w:t>
      </w:r>
      <w:r>
        <w:rPr>
          <w:rStyle w:val="105"/>
          <w:rFonts w:hint="eastAsia" w:ascii="宋体" w:hAnsi="宋体" w:cs="宋体"/>
          <w:bCs/>
          <w:color w:val="auto"/>
          <w:szCs w:val="21"/>
          <w:highlight w:val="none"/>
        </w:rPr>
        <w:t>投标文件应按</w:t>
      </w:r>
      <w:r>
        <w:rPr>
          <w:rStyle w:val="105"/>
          <w:rFonts w:hint="eastAsia" w:ascii="宋体" w:hAnsi="宋体" w:cs="宋体"/>
          <w:color w:val="auto"/>
          <w:szCs w:val="21"/>
          <w:highlight w:val="none"/>
        </w:rPr>
        <w:t>照交易平台关于全流程电子化项目的相关指南进行编制，详见：</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w:t>
      </w:r>
    </w:p>
    <w:p>
      <w:pPr>
        <w:pBdr>
          <w:bottom w:val="single" w:color="000000" w:sz="6" w:space="1"/>
        </w:pBdr>
        <w:spacing w:line="360" w:lineRule="auto"/>
        <w:ind w:firstLine="422" w:firstLineChars="200"/>
        <w:rPr>
          <w:rFonts w:hint="eastAsia" w:ascii="宋体" w:hAnsi="宋体" w:cs="宋体"/>
          <w:color w:val="auto"/>
          <w:highlight w:val="non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 xml:space="preserve">12.3 </w:t>
      </w:r>
      <w:r>
        <w:rPr>
          <w:rStyle w:val="105"/>
          <w:rFonts w:hint="eastAsia" w:ascii="宋体" w:hAnsi="宋体" w:cs="宋体"/>
          <w:bCs/>
          <w:color w:val="auto"/>
          <w:szCs w:val="21"/>
          <w:highlight w:val="none"/>
        </w:rPr>
        <w:t>投标文件应按</w:t>
      </w:r>
      <w:r>
        <w:rPr>
          <w:rStyle w:val="105"/>
          <w:rFonts w:hint="eastAsia" w:ascii="宋体" w:hAnsi="宋体" w:cs="宋体"/>
          <w:color w:val="auto"/>
          <w:szCs w:val="21"/>
          <w:highlight w:val="none"/>
        </w:rPr>
        <w:t>照</w:t>
      </w:r>
      <w:r>
        <w:rPr>
          <w:rFonts w:hint="eastAsia" w:ascii="宋体" w:hAnsi="宋体" w:cs="宋体"/>
          <w:color w:val="auto"/>
          <w:highlight w:val="none"/>
          <w:u w:val="single"/>
        </w:rPr>
        <w:t>广州交易集团有限公司（广州公共资源交易中心）</w:t>
      </w:r>
      <w:r>
        <w:rPr>
          <w:rStyle w:val="105"/>
          <w:rFonts w:hint="eastAsia" w:ascii="宋体" w:hAnsi="宋体" w:cs="宋体"/>
          <w:color w:val="auto"/>
          <w:szCs w:val="21"/>
          <w:highlight w:val="none"/>
        </w:rPr>
        <w:t>交易平台关于全流程电子化项目的相关指南进</w:t>
      </w:r>
      <w:r>
        <w:rPr>
          <w:rFonts w:hint="eastAsia" w:ascii="宋体" w:hAnsi="宋体" w:cs="宋体"/>
          <w:color w:val="auto"/>
          <w:highlight w:val="none"/>
        </w:rPr>
        <w:t>行编制，详见：</w:t>
      </w:r>
      <w:r>
        <w:rPr>
          <w:rFonts w:hint="eastAsia" w:ascii="宋体" w:hAnsi="宋体" w:cs="宋体"/>
          <w:color w:val="auto"/>
          <w:highlight w:val="none"/>
          <w:u w:val="single"/>
        </w:rPr>
        <w:t>广州交易集团有限公司（广州公共资源交易中心）网站最新指引。</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条款号：13.1          修改类型：修改</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13.1本工程的投标报价采用投标须知前附表第12项所规定的方式。投标报价（含单价及总价）精确到“分”。</w:t>
      </w:r>
    </w:p>
    <w:p>
      <w:pPr>
        <w:pBdr>
          <w:bottom w:val="single" w:color="000000" w:sz="6" w:space="1"/>
        </w:pBdr>
        <w:spacing w:line="360" w:lineRule="auto"/>
        <w:ind w:firstLine="422" w:firstLineChars="200"/>
        <w:rPr>
          <w:rStyle w:val="105"/>
          <w:rFonts w:hint="eastAsia" w:ascii="宋体" w:hAnsi="宋体" w:cs="宋体"/>
          <w:color w:val="auto"/>
          <w:szCs w:val="21"/>
          <w:highlight w:val="none"/>
          <w:u w:val="singl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13.1本工程的投标报价采用投标须知前附表第12项所规定的方式。投标报价（含单价及总价）精确到“分”。</w:t>
      </w:r>
      <w:r>
        <w:rPr>
          <w:rStyle w:val="105"/>
          <w:rFonts w:hint="eastAsia" w:ascii="宋体" w:hAnsi="宋体" w:cs="宋体"/>
          <w:color w:val="auto"/>
          <w:szCs w:val="21"/>
          <w:highlight w:val="none"/>
          <w:u w:val="single"/>
        </w:rPr>
        <w:t>投标文件中的大写金额和小写金额不一致的，以大写金额为准。</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条款号：13.3          修改类型：修改</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Bdr>
          <w:bottom w:val="single" w:color="000000" w:sz="6" w:space="1"/>
        </w:pBdr>
        <w:spacing w:line="360" w:lineRule="auto"/>
        <w:ind w:firstLine="422" w:firstLineChars="200"/>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13.3</w:t>
      </w:r>
      <w:r>
        <w:rPr>
          <w:rFonts w:hint="eastAsia" w:ascii="宋体" w:hAnsi="宋体" w:cs="宋体"/>
          <w:color w:val="auto"/>
          <w:szCs w:val="21"/>
          <w:highlight w:val="none"/>
        </w:rPr>
        <w:t>投标人的投标报价，应是按照投标须知前附表第8项的工期要求，在投标须知前附表第3项的建设地点，完成投标须知前附表第7项的招标范围内已由招标</w:t>
      </w:r>
      <w:r>
        <w:rPr>
          <w:rStyle w:val="105"/>
          <w:rFonts w:hint="eastAsia" w:ascii="宋体" w:hAnsi="宋体" w:cs="宋体"/>
          <w:color w:val="auto"/>
          <w:highlight w:val="none"/>
        </w:rPr>
        <w:t>人</w:t>
      </w:r>
      <w:r>
        <w:rPr>
          <w:rStyle w:val="105"/>
          <w:rFonts w:hint="eastAsia" w:ascii="宋体" w:hAnsi="宋体" w:cs="宋体"/>
          <w:color w:val="auto"/>
          <w:highlight w:val="none"/>
          <w:u w:val="single"/>
        </w:rPr>
        <w:t>提供的招标图纸（包括有关于本项目招标的相关资料）及制定的工程量清单列明工作的全部费用</w:t>
      </w:r>
      <w:r>
        <w:rPr>
          <w:rStyle w:val="105"/>
          <w:rFonts w:hint="eastAsia" w:ascii="宋体" w:hAnsi="宋体" w:cs="宋体"/>
          <w:color w:val="auto"/>
          <w:highlight w:val="none"/>
        </w:rPr>
        <w:t>，包括但不限于完成工作的成本、利润、税金、技术措施费、大型机械进出场费、风险费以及政策性</w:t>
      </w:r>
      <w:r>
        <w:rPr>
          <w:rFonts w:hint="eastAsia" w:ascii="宋体" w:hAnsi="宋体" w:cs="宋体"/>
          <w:color w:val="auto"/>
          <w:szCs w:val="21"/>
          <w:highlight w:val="none"/>
        </w:rPr>
        <w:t>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条款号：13.4          修改类型：修改</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527" w:firstLineChars="25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rPr>
        <w:t>13.4</w:t>
      </w:r>
      <w:r>
        <w:rPr>
          <w:rFonts w:hint="eastAsia" w:ascii="宋体" w:hAnsi="宋体" w:cs="宋体"/>
          <w:color w:val="auto"/>
          <w:szCs w:val="21"/>
          <w:highlight w:val="none"/>
          <w:u w:val="single"/>
        </w:rPr>
        <w:t>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人的投标文件列出的综合单价和措施项目费也不发生改变。</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条款号：13.5          修改类型：修改</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bCs/>
          <w:color w:val="auto"/>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spacing w:line="360" w:lineRule="auto"/>
        <w:ind w:firstLine="420" w:firstLineChars="200"/>
        <w:rPr>
          <w:rStyle w:val="105"/>
          <w:rFonts w:hint="eastAsia" w:ascii="宋体" w:hAnsi="宋体" w:cs="宋体"/>
          <w:b/>
          <w:color w:val="auto"/>
          <w:szCs w:val="21"/>
          <w:highlight w:val="none"/>
        </w:rPr>
      </w:pPr>
      <w:r>
        <w:rPr>
          <w:rStyle w:val="105"/>
          <w:rFonts w:hint="eastAsia" w:ascii="宋体" w:hAnsi="宋体" w:cs="宋体"/>
          <w:bCs/>
          <w:color w:val="auto"/>
          <w:szCs w:val="21"/>
          <w:highlight w:val="none"/>
        </w:rPr>
        <w:t>13.5.1中标的投标文件工程量清单中已有相同项目的适用综合单价，则沿用；</w:t>
      </w:r>
    </w:p>
    <w:p>
      <w:pPr>
        <w:spacing w:line="360" w:lineRule="auto"/>
        <w:ind w:firstLine="420" w:firstLineChars="200"/>
        <w:rPr>
          <w:rStyle w:val="105"/>
          <w:rFonts w:hint="eastAsia" w:ascii="宋体" w:hAnsi="宋体" w:cs="宋体"/>
          <w:b/>
          <w:color w:val="auto"/>
          <w:szCs w:val="21"/>
          <w:highlight w:val="none"/>
        </w:rPr>
      </w:pPr>
      <w:r>
        <w:rPr>
          <w:rStyle w:val="105"/>
          <w:rFonts w:hint="eastAsia" w:ascii="宋体" w:hAnsi="宋体" w:cs="宋体"/>
          <w:bCs/>
          <w:color w:val="auto"/>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spacing w:line="360" w:lineRule="auto"/>
        <w:ind w:firstLine="420" w:firstLineChars="200"/>
        <w:rPr>
          <w:rStyle w:val="105"/>
          <w:rFonts w:hint="eastAsia" w:ascii="宋体" w:hAnsi="宋体" w:cs="宋体"/>
          <w:bCs/>
          <w:color w:val="auto"/>
          <w:szCs w:val="21"/>
          <w:highlight w:val="none"/>
        </w:rPr>
      </w:pPr>
      <w:r>
        <w:rPr>
          <w:rStyle w:val="105"/>
          <w:rFonts w:hint="eastAsia" w:ascii="宋体" w:hAnsi="宋体" w:cs="宋体"/>
          <w:bCs/>
          <w:color w:val="auto"/>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pPr>
        <w:spacing w:line="360" w:lineRule="auto"/>
        <w:ind w:firstLine="420" w:firstLineChars="200"/>
        <w:rPr>
          <w:rStyle w:val="105"/>
          <w:rFonts w:hint="eastAsia" w:ascii="宋体" w:hAnsi="宋体" w:cs="宋体"/>
          <w:b/>
          <w:color w:val="auto"/>
          <w:szCs w:val="21"/>
          <w:highlight w:val="none"/>
        </w:rPr>
      </w:pPr>
      <w:r>
        <w:rPr>
          <w:rStyle w:val="105"/>
          <w:rFonts w:hint="eastAsia" w:ascii="宋体" w:hAnsi="宋体" w:cs="宋体"/>
          <w:bCs/>
          <w:color w:val="auto"/>
          <w:szCs w:val="21"/>
          <w:highlight w:val="none"/>
        </w:rPr>
        <w:t>13.5.4 如相关定额没有相应子目的，其计价方式由招标人在本招标文件第三章中另行规定。未规定的，中标后双方协商约定。</w:t>
      </w:r>
    </w:p>
    <w:p>
      <w:pPr>
        <w:pBdr>
          <w:bottom w:val="single" w:color="000000" w:sz="6" w:space="1"/>
        </w:pBdr>
        <w:spacing w:line="360" w:lineRule="auto"/>
        <w:ind w:firstLine="422" w:firstLineChars="200"/>
        <w:rPr>
          <w:rStyle w:val="105"/>
          <w:rFonts w:hint="eastAsia" w:ascii="宋体" w:hAnsi="宋体" w:cs="宋体"/>
          <w:bCs/>
          <w:color w:val="auto"/>
          <w:szCs w:val="21"/>
          <w:highlight w:val="none"/>
          <w:u w:val="single"/>
        </w:rPr>
      </w:pPr>
      <w:r>
        <w:rPr>
          <w:rStyle w:val="105"/>
          <w:rFonts w:hint="eastAsia" w:ascii="宋体" w:hAnsi="宋体" w:cs="宋体"/>
          <w:b/>
          <w:color w:val="auto"/>
          <w:szCs w:val="21"/>
          <w:highlight w:val="none"/>
        </w:rPr>
        <w:t>现文：</w:t>
      </w:r>
      <w:r>
        <w:rPr>
          <w:rStyle w:val="105"/>
          <w:rFonts w:hint="eastAsia" w:ascii="宋体" w:hAnsi="宋体" w:cs="宋体"/>
          <w:bCs/>
          <w:color w:val="auto"/>
          <w:szCs w:val="21"/>
          <w:highlight w:val="none"/>
          <w:u w:val="single"/>
        </w:rPr>
        <w:t>13.5 变更结算方式按招标文件及施工合同相关规定执行。</w:t>
      </w:r>
    </w:p>
    <w:p>
      <w:pPr>
        <w:pStyle w:val="4"/>
        <w:tabs>
          <w:tab w:val="left" w:pos="5245"/>
        </w:tabs>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条款号：16.1</w:t>
      </w:r>
      <w:r>
        <w:rPr>
          <w:rFonts w:hint="eastAsia" w:ascii="宋体" w:hAnsi="宋体" w:cs="宋体"/>
          <w:b/>
          <w:color w:val="auto"/>
          <w:highlight w:val="none"/>
        </w:rPr>
        <w:tab/>
      </w:r>
      <w:r>
        <w:rPr>
          <w:rFonts w:hint="eastAsia" w:ascii="宋体" w:hAnsi="宋体" w:cs="宋体"/>
          <w:b/>
          <w:color w:val="auto"/>
          <w:highlight w:val="none"/>
        </w:rPr>
        <w:t>修改类型：修改</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16.1投标人应按投标须知前附表第14项所述金额和时间递交投标保证金。投标保证金以现金或者支票形式提交的，必须由投标人的银行基本账户转出。</w:t>
      </w:r>
    </w:p>
    <w:p>
      <w:pPr>
        <w:pBdr>
          <w:bottom w:val="single" w:color="auto" w:sz="6" w:space="1"/>
        </w:pBdr>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
          <w:color w:val="auto"/>
          <w:highlight w:val="none"/>
        </w:rPr>
        <w:t>16.1</w:t>
      </w:r>
      <w:r>
        <w:rPr>
          <w:rFonts w:hint="eastAsia" w:ascii="宋体" w:hAnsi="宋体" w:cs="宋体"/>
          <w:b/>
          <w:bCs/>
          <w:color w:val="auto"/>
          <w:szCs w:val="21"/>
          <w:highlight w:val="none"/>
        </w:rPr>
        <w:t>本项目无须递交投标保证金。所有关于投标保证金内容不适用本项目</w:t>
      </w:r>
      <w:r>
        <w:rPr>
          <w:rFonts w:hint="eastAsia" w:ascii="宋体" w:hAnsi="宋体" w:cs="宋体"/>
          <w:color w:val="auto"/>
          <w:szCs w:val="21"/>
          <w:highlight w:val="none"/>
        </w:rPr>
        <w:t>。</w:t>
      </w:r>
    </w:p>
    <w:p>
      <w:pPr>
        <w:pStyle w:val="4"/>
        <w:tabs>
          <w:tab w:val="left" w:pos="5245"/>
        </w:tabs>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条款号：16.2</w:t>
      </w:r>
      <w:r>
        <w:rPr>
          <w:rFonts w:hint="eastAsia" w:ascii="宋体" w:hAnsi="宋体" w:cs="宋体"/>
          <w:b/>
          <w:color w:val="auto"/>
          <w:highlight w:val="none"/>
        </w:rPr>
        <w:tab/>
      </w:r>
      <w:r>
        <w:rPr>
          <w:rFonts w:hint="eastAsia" w:ascii="宋体" w:hAnsi="宋体" w:cs="宋体"/>
          <w:b/>
          <w:color w:val="auto"/>
          <w:highlight w:val="none"/>
        </w:rPr>
        <w:t>修改类型：修改</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16.2招标人可委托交易平台具体实施保证金的收取和退还工作。通过交易平台递交投标保证金的相关事宜，请自行咨询交易平台。</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color w:val="auto"/>
          <w:highlight w:val="none"/>
        </w:rPr>
        <w:t>16.2</w:t>
      </w:r>
      <w:r>
        <w:rPr>
          <w:rFonts w:hint="eastAsia" w:ascii="宋体" w:hAnsi="宋体" w:cs="宋体"/>
          <w:b/>
          <w:bCs/>
          <w:color w:val="auto"/>
          <w:szCs w:val="21"/>
          <w:highlight w:val="none"/>
        </w:rPr>
        <w:t>本项目无须递交投标保证金。所有关于投标保证金内容不适用本项目</w:t>
      </w:r>
      <w:r>
        <w:rPr>
          <w:rFonts w:hint="eastAsia" w:ascii="宋体" w:hAnsi="宋体" w:cs="宋体"/>
          <w:color w:val="auto"/>
          <w:szCs w:val="21"/>
          <w:highlight w:val="none"/>
        </w:rPr>
        <w:t>。</w:t>
      </w:r>
    </w:p>
    <w:p>
      <w:pPr>
        <w:pStyle w:val="4"/>
        <w:tabs>
          <w:tab w:val="left" w:pos="5245"/>
        </w:tabs>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条款号：16.3</w:t>
      </w:r>
      <w:r>
        <w:rPr>
          <w:rFonts w:hint="eastAsia" w:ascii="宋体" w:hAnsi="宋体" w:cs="宋体"/>
          <w:b/>
          <w:color w:val="auto"/>
          <w:highlight w:val="none"/>
        </w:rPr>
        <w:tab/>
      </w:r>
      <w:r>
        <w:rPr>
          <w:rFonts w:hint="eastAsia" w:ascii="宋体" w:hAnsi="宋体" w:cs="宋体"/>
          <w:b/>
          <w:color w:val="auto"/>
          <w:highlight w:val="none"/>
        </w:rPr>
        <w:t>修改类型：修改</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16.3交易平台代收投标保证金的，其缴纳情况以交易平台数据库记录的信息为准。</w:t>
      </w:r>
    </w:p>
    <w:p>
      <w:pPr>
        <w:pBdr>
          <w:bottom w:val="single" w:color="auto" w:sz="4" w:space="1"/>
        </w:pBd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b/>
          <w:color w:val="auto"/>
          <w:highlight w:val="none"/>
        </w:rPr>
        <w:t>16.3</w:t>
      </w:r>
      <w:r>
        <w:rPr>
          <w:rFonts w:hint="eastAsia" w:ascii="宋体" w:hAnsi="宋体" w:cs="宋体"/>
          <w:b/>
          <w:bCs/>
          <w:color w:val="auto"/>
          <w:szCs w:val="21"/>
          <w:highlight w:val="none"/>
        </w:rPr>
        <w:t>本项目无须递交投标保证金。所有关于投标保证金内容不适用本项目</w:t>
      </w:r>
      <w:r>
        <w:rPr>
          <w:rFonts w:hint="eastAsia" w:ascii="宋体" w:hAnsi="宋体" w:cs="宋体"/>
          <w:color w:val="auto"/>
          <w:szCs w:val="21"/>
          <w:highlight w:val="none"/>
        </w:rPr>
        <w:t>。</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条款号：16.4          修改类型：修改</w:t>
      </w:r>
    </w:p>
    <w:p>
      <w:pPr>
        <w:spacing w:line="360" w:lineRule="auto"/>
        <w:ind w:firstLine="422" w:firstLineChars="200"/>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16.4如有下列情况之一的，招标人可以不予退还投标保证金（是否退还投标保证金由招标人在招标文件中规定）：</w:t>
      </w:r>
    </w:p>
    <w:p>
      <w:pPr>
        <w:spacing w:line="360" w:lineRule="auto"/>
        <w:ind w:firstLine="420" w:firstLineChars="200"/>
        <w:rPr>
          <w:rStyle w:val="105"/>
          <w:rFonts w:hint="eastAsia" w:ascii="宋体" w:hAnsi="宋体" w:cs="宋体"/>
          <w:color w:val="auto"/>
          <w:szCs w:val="21"/>
          <w:highlight w:val="none"/>
        </w:rPr>
      </w:pPr>
      <w:r>
        <w:rPr>
          <w:rStyle w:val="105"/>
          <w:rFonts w:hint="eastAsia" w:ascii="宋体" w:hAnsi="宋体" w:cs="宋体"/>
          <w:color w:val="auto"/>
          <w:szCs w:val="21"/>
          <w:highlight w:val="none"/>
        </w:rPr>
        <w:t>16.4.1因投标人原因造成投标文件未解密的；</w:t>
      </w:r>
    </w:p>
    <w:p>
      <w:pPr>
        <w:spacing w:line="360" w:lineRule="auto"/>
        <w:ind w:firstLine="420" w:firstLineChars="200"/>
        <w:rPr>
          <w:rStyle w:val="105"/>
          <w:rFonts w:hint="eastAsia" w:ascii="宋体" w:hAnsi="宋体" w:cs="宋体"/>
          <w:color w:val="auto"/>
          <w:szCs w:val="21"/>
          <w:highlight w:val="none"/>
        </w:rPr>
      </w:pPr>
      <w:r>
        <w:rPr>
          <w:rStyle w:val="105"/>
          <w:rFonts w:hint="eastAsia" w:ascii="宋体" w:hAnsi="宋体" w:cs="宋体"/>
          <w:color w:val="auto"/>
          <w:szCs w:val="21"/>
          <w:highlight w:val="none"/>
        </w:rPr>
        <w:t>16.4.2投标人在投标有效期内撤销投标文件；</w:t>
      </w:r>
    </w:p>
    <w:p>
      <w:pPr>
        <w:spacing w:line="360" w:lineRule="auto"/>
        <w:ind w:firstLine="420" w:firstLineChars="200"/>
        <w:rPr>
          <w:rStyle w:val="105"/>
          <w:rFonts w:hint="eastAsia" w:ascii="宋体" w:hAnsi="宋体" w:cs="宋体"/>
          <w:color w:val="auto"/>
          <w:szCs w:val="21"/>
          <w:highlight w:val="none"/>
        </w:rPr>
      </w:pPr>
      <w:r>
        <w:rPr>
          <w:rStyle w:val="105"/>
          <w:rFonts w:hint="eastAsia" w:ascii="宋体" w:hAnsi="宋体" w:cs="宋体"/>
          <w:color w:val="auto"/>
          <w:szCs w:val="21"/>
          <w:highlight w:val="none"/>
        </w:rPr>
        <w:t>16.4.3中标人未能在规定期限内按要求提交履约担保；</w:t>
      </w:r>
    </w:p>
    <w:p>
      <w:pPr>
        <w:spacing w:line="360" w:lineRule="auto"/>
        <w:ind w:firstLine="420" w:firstLineChars="200"/>
        <w:rPr>
          <w:rStyle w:val="105"/>
          <w:rFonts w:hint="eastAsia" w:ascii="宋体" w:hAnsi="宋体" w:cs="宋体"/>
          <w:color w:val="auto"/>
          <w:szCs w:val="21"/>
          <w:highlight w:val="none"/>
        </w:rPr>
      </w:pPr>
      <w:r>
        <w:rPr>
          <w:rStyle w:val="105"/>
          <w:rFonts w:hint="eastAsia" w:ascii="宋体" w:hAnsi="宋体" w:cs="宋体"/>
          <w:color w:val="auto"/>
          <w:szCs w:val="21"/>
          <w:highlight w:val="none"/>
        </w:rPr>
        <w:t>16.4.4中标人未能在规定期限内签署合同协议。</w:t>
      </w:r>
    </w:p>
    <w:p>
      <w:pPr>
        <w:pBdr>
          <w:bottom w:val="single" w:color="000000" w:sz="6" w:space="1"/>
        </w:pBdr>
        <w:spacing w:line="360" w:lineRule="auto"/>
        <w:ind w:firstLine="422" w:firstLineChars="200"/>
        <w:rPr>
          <w:rFonts w:hint="eastAsia" w:ascii="宋体" w:hAnsi="宋体" w:cs="宋体"/>
          <w:bCs/>
          <w:color w:val="auto"/>
          <w:szCs w:val="21"/>
          <w:highlight w:val="none"/>
          <w:u w:val="single"/>
        </w:rPr>
      </w:pPr>
      <w:r>
        <w:rPr>
          <w:rStyle w:val="105"/>
          <w:rFonts w:hint="eastAsia" w:ascii="宋体" w:hAnsi="宋体" w:cs="宋体"/>
          <w:b/>
          <w:color w:val="auto"/>
          <w:szCs w:val="21"/>
          <w:highlight w:val="none"/>
        </w:rPr>
        <w:t>现文：</w:t>
      </w:r>
      <w:r>
        <w:rPr>
          <w:rFonts w:hint="eastAsia" w:ascii="宋体" w:hAnsi="宋体" w:cs="宋体"/>
          <w:bCs/>
          <w:color w:val="auto"/>
          <w:szCs w:val="21"/>
          <w:highlight w:val="none"/>
          <w:u w:val="single"/>
        </w:rPr>
        <w:t>16.4如有下列情况之一的，招标人可以不予退还投标保证金：</w:t>
      </w:r>
    </w:p>
    <w:p>
      <w:pPr>
        <w:pBdr>
          <w:bottom w:val="single" w:color="000000" w:sz="6" w:space="1"/>
        </w:pBd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16.4.1因投标人原因造成投标文件未解密的；</w:t>
      </w:r>
    </w:p>
    <w:p>
      <w:pPr>
        <w:pBdr>
          <w:bottom w:val="single" w:color="000000" w:sz="6" w:space="1"/>
        </w:pBd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16.4.2投标人在投标有效期内撤销投标文件</w:t>
      </w:r>
      <w:r>
        <w:rPr>
          <w:rFonts w:hint="eastAsia" w:ascii="宋体" w:hAnsi="宋体" w:cs="宋体"/>
          <w:bCs/>
          <w:color w:val="auto"/>
          <w:szCs w:val="21"/>
          <w:highlight w:val="none"/>
          <w:u w:val="single"/>
        </w:rPr>
        <w:t>或放弃中标资格的；</w:t>
      </w:r>
    </w:p>
    <w:p>
      <w:pPr>
        <w:pBdr>
          <w:bottom w:val="single" w:color="000000" w:sz="6" w:space="1"/>
        </w:pBd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16.4.3中标人未能在规定期限内按要求提交履约担保；</w:t>
      </w:r>
    </w:p>
    <w:p>
      <w:pPr>
        <w:pBdr>
          <w:bottom w:val="single" w:color="000000" w:sz="6" w:space="1"/>
        </w:pBd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16.4.4中标人未能在规定期限内签署合同协议；</w:t>
      </w:r>
    </w:p>
    <w:p>
      <w:pPr>
        <w:pBdr>
          <w:bottom w:val="single" w:color="000000" w:sz="6" w:space="1"/>
        </w:pBdr>
        <w:spacing w:line="360" w:lineRule="auto"/>
        <w:ind w:firstLine="420" w:firstLineChars="200"/>
        <w:rPr>
          <w:rStyle w:val="105"/>
          <w:rFonts w:hint="eastAsia" w:ascii="宋体" w:hAnsi="宋体" w:cs="宋体"/>
          <w:bCs/>
          <w:color w:val="auto"/>
          <w:szCs w:val="21"/>
          <w:highlight w:val="none"/>
          <w:u w:val="single"/>
        </w:rPr>
      </w:pPr>
      <w:r>
        <w:rPr>
          <w:rFonts w:hint="eastAsia" w:ascii="宋体" w:hAnsi="宋体" w:cs="宋体"/>
          <w:bCs/>
          <w:color w:val="auto"/>
          <w:szCs w:val="21"/>
          <w:highlight w:val="none"/>
          <w:u w:val="single"/>
        </w:rPr>
        <w:t>16.4.5投标人弄虚作假骗取中标的。</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条款号：16.5          修改类型：修改</w:t>
      </w:r>
    </w:p>
    <w:p>
      <w:pPr>
        <w:spacing w:line="360" w:lineRule="auto"/>
        <w:ind w:firstLine="422" w:firstLineChars="200"/>
        <w:rPr>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Fonts w:hint="eastAsia" w:ascii="宋体" w:hAnsi="宋体" w:cs="宋体"/>
          <w:color w:val="auto"/>
          <w:szCs w:val="21"/>
          <w:highlight w:val="none"/>
        </w:rPr>
        <w:t>16.5投标人如存在下列情况之一的，将被拒绝在一定时期内参与招标人后续工程投标（拒绝时限需在招标文件中明确）：</w:t>
      </w:r>
    </w:p>
    <w:p>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16.5.1投标人存在16.4条款所列情形且投标人提交的保函、担保或保证保险无法兑付的；</w:t>
      </w:r>
    </w:p>
    <w:p>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16.5.3按招标文件要求免于提供投标保证金的投标人存在16.4条款所列情形，且未按招标人要求补交投标保证金的；</w:t>
      </w:r>
    </w:p>
    <w:p>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16.5.3按招标文件要求免于提供投标保证金的投标人存在16.4条款所列情形的。</w:t>
      </w:r>
    </w:p>
    <w:p>
      <w:pPr>
        <w:spacing w:line="360" w:lineRule="auto"/>
        <w:ind w:firstLine="420" w:firstLineChars="200"/>
        <w:rPr>
          <w:rStyle w:val="105"/>
          <w:rFonts w:hint="eastAsia" w:ascii="宋体" w:hAnsi="宋体" w:cs="宋体"/>
          <w:b/>
          <w:color w:val="auto"/>
          <w:szCs w:val="21"/>
          <w:highlight w:val="none"/>
        </w:rPr>
      </w:pPr>
      <w:r>
        <w:rPr>
          <w:rFonts w:hint="eastAsia" w:ascii="宋体" w:hAnsi="宋体" w:cs="宋体"/>
          <w:color w:val="auto"/>
          <w:szCs w:val="21"/>
          <w:highlight w:val="none"/>
        </w:rPr>
        <w:t>注：16.5.3款由招标人二选一，需在招标文件中明确。</w:t>
      </w:r>
    </w:p>
    <w:p>
      <w:pPr>
        <w:spacing w:line="360" w:lineRule="auto"/>
        <w:ind w:firstLine="422" w:firstLineChars="200"/>
        <w:rPr>
          <w:rFonts w:hint="eastAsia" w:ascii="宋体" w:hAnsi="宋体" w:cs="宋体"/>
          <w:color w:val="auto"/>
          <w:szCs w:val="21"/>
          <w:highlight w:val="none"/>
        </w:rPr>
      </w:pPr>
      <w:r>
        <w:rPr>
          <w:rStyle w:val="105"/>
          <w:rFonts w:hint="eastAsia" w:ascii="宋体" w:hAnsi="宋体" w:cs="宋体"/>
          <w:b/>
          <w:color w:val="auto"/>
          <w:szCs w:val="21"/>
          <w:highlight w:val="none"/>
        </w:rPr>
        <w:t>现文：</w:t>
      </w:r>
      <w:r>
        <w:rPr>
          <w:rFonts w:hint="eastAsia" w:ascii="宋体" w:hAnsi="宋体" w:cs="宋体"/>
          <w:bCs/>
          <w:color w:val="auto"/>
          <w:szCs w:val="21"/>
          <w:highlight w:val="none"/>
          <w:u w:val="single"/>
        </w:rPr>
        <w:t>16.5投标人如存在下列情况之一的，将被</w:t>
      </w:r>
      <w:r>
        <w:rPr>
          <w:rFonts w:hint="eastAsia" w:ascii="宋体" w:hAnsi="宋体" w:cs="宋体"/>
          <w:color w:val="auto"/>
          <w:szCs w:val="21"/>
          <w:highlight w:val="none"/>
          <w:u w:val="single"/>
        </w:rPr>
        <w:t>拒绝在一年内参与招标人后续工程投标：</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16.5.1投标人存在16.4条款所列情形且投标人提交的保函、担保或保证保险无法兑付的；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16.5.2采用非电子形式提交投标保证金的投标人存在16.4条款所列情形，且未按招标人要求补交银行保函、专业工程担保公司担保或保证保险原件的；</w:t>
      </w:r>
    </w:p>
    <w:p>
      <w:pPr>
        <w:pBdr>
          <w:bottom w:val="single" w:color="000000" w:sz="6"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16.5.3按招标文件要求免于提供投标保证金的投标人存在16.4条款所列情形，且未按招标人要求，</w:t>
      </w:r>
      <w:r>
        <w:rPr>
          <w:rFonts w:hint="eastAsia" w:ascii="宋体" w:hAnsi="宋体" w:cs="宋体"/>
          <w:color w:val="auto"/>
          <w:szCs w:val="21"/>
          <w:highlight w:val="none"/>
          <w:u w:val="single"/>
        </w:rPr>
        <w:t>在规定的时间内向招标人足额补交投标保证金的。</w:t>
      </w:r>
    </w:p>
    <w:p>
      <w:pPr>
        <w:pBdr>
          <w:bottom w:val="single" w:color="000000" w:sz="6" w:space="1"/>
        </w:pBdr>
        <w:spacing w:line="360" w:lineRule="auto"/>
        <w:ind w:firstLine="420" w:firstLineChars="200"/>
        <w:rPr>
          <w:rFonts w:hint="eastAsia" w:ascii="宋体" w:hAnsi="宋体" w:cs="宋体"/>
          <w:color w:val="auto"/>
          <w:szCs w:val="21"/>
          <w:highlight w:val="none"/>
          <w:u w:val="single"/>
        </w:rPr>
      </w:pP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条款号：17.1          修改类型：修改</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Fonts w:hint="eastAsia" w:ascii="宋体" w:hAnsi="宋体" w:cs="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pBdr>
          <w:bottom w:val="single" w:color="000000" w:sz="6" w:space="1"/>
        </w:pBdr>
        <w:spacing w:line="360" w:lineRule="auto"/>
        <w:ind w:firstLine="422" w:firstLineChars="200"/>
        <w:rPr>
          <w:rStyle w:val="105"/>
          <w:rFonts w:hint="eastAsia" w:ascii="宋体" w:hAnsi="宋体" w:cs="宋体"/>
          <w:color w:val="auto"/>
          <w:szCs w:val="21"/>
          <w:highlight w:val="none"/>
          <w:u w:val="singl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17.1投标人应采用单位数字证书，按招标文件要求在相应位置加盖电子印章。投标文件中需个人签字或盖章的，应加盖个人电子印章或在线下完成后扫描上传。按照</w:t>
      </w:r>
      <w:r>
        <w:rPr>
          <w:rStyle w:val="105"/>
          <w:rFonts w:hint="eastAsia" w:ascii="宋体" w:hAnsi="宋体" w:cs="宋体"/>
          <w:color w:val="auto"/>
          <w:highlight w:val="none"/>
          <w:u w:val="single"/>
        </w:rPr>
        <w:t>广州交易集团有限公司（广州公共资源交易中心）</w:t>
      </w:r>
      <w:r>
        <w:rPr>
          <w:rStyle w:val="105"/>
          <w:rFonts w:hint="eastAsia" w:ascii="宋体" w:hAnsi="宋体" w:cs="宋体"/>
          <w:color w:val="auto"/>
          <w:szCs w:val="21"/>
          <w:highlight w:val="none"/>
        </w:rPr>
        <w:t>交易平台关于全流程电子化项目的相关指南进行操作。详见：</w:t>
      </w:r>
      <w:r>
        <w:rPr>
          <w:rStyle w:val="105"/>
          <w:rFonts w:hint="eastAsia" w:ascii="宋体" w:hAnsi="宋体" w:cs="宋体"/>
          <w:color w:val="auto"/>
          <w:highlight w:val="none"/>
          <w:u w:val="single"/>
        </w:rPr>
        <w:t>广州交易集团有限公司（广州公共资源交易中心）网站最新指引</w:t>
      </w:r>
      <w:r>
        <w:rPr>
          <w:rStyle w:val="105"/>
          <w:rFonts w:hint="eastAsia" w:ascii="宋体" w:hAnsi="宋体" w:cs="宋体"/>
          <w:color w:val="auto"/>
          <w:szCs w:val="21"/>
          <w:highlight w:val="none"/>
          <w:u w:val="single"/>
        </w:rPr>
        <w:t>。</w:t>
      </w:r>
    </w:p>
    <w:p>
      <w:pPr>
        <w:tabs>
          <w:tab w:val="left" w:pos="7380"/>
        </w:tabs>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条款号：18.1          修改类型：修改</w:t>
      </w:r>
      <w:r>
        <w:rPr>
          <w:rStyle w:val="105"/>
          <w:rFonts w:hint="eastAsia" w:ascii="宋体" w:hAnsi="宋体" w:cs="宋体"/>
          <w:b/>
          <w:color w:val="auto"/>
          <w:szCs w:val="21"/>
          <w:highlight w:val="none"/>
        </w:rPr>
        <w:tab/>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18.1</w:t>
      </w:r>
      <w:r>
        <w:rPr>
          <w:rStyle w:val="105"/>
          <w:rFonts w:hint="eastAsia" w:ascii="宋体" w:hAnsi="宋体" w:cs="宋体"/>
          <w:bCs/>
          <w:color w:val="auto"/>
          <w:szCs w:val="21"/>
          <w:highlight w:val="none"/>
        </w:rPr>
        <w:t>递交的电子投标文件（不含备用光盘）必须进行加密。按照交易平台关于</w:t>
      </w:r>
      <w:r>
        <w:rPr>
          <w:rStyle w:val="105"/>
          <w:rFonts w:hint="eastAsia" w:ascii="宋体" w:hAnsi="宋体" w:cs="宋体"/>
          <w:color w:val="auto"/>
          <w:szCs w:val="21"/>
          <w:highlight w:val="none"/>
        </w:rPr>
        <w:t>全流程电子化项目的相关指南进行操作。详见：</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 xml:space="preserve"> 。</w:t>
      </w:r>
    </w:p>
    <w:p>
      <w:pPr>
        <w:pBdr>
          <w:bottom w:val="single" w:color="000000" w:sz="6" w:space="1"/>
        </w:pBdr>
        <w:spacing w:line="360" w:lineRule="auto"/>
        <w:ind w:firstLine="422" w:firstLineChars="200"/>
        <w:rPr>
          <w:rStyle w:val="105"/>
          <w:rFonts w:hint="eastAsia" w:ascii="宋体" w:hAnsi="宋体" w:cs="宋体"/>
          <w:color w:val="auto"/>
          <w:szCs w:val="21"/>
          <w:highlight w:val="none"/>
          <w:u w:val="singl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18.1</w:t>
      </w:r>
      <w:r>
        <w:rPr>
          <w:rStyle w:val="105"/>
          <w:rFonts w:hint="eastAsia" w:ascii="宋体" w:hAnsi="宋体" w:cs="宋体"/>
          <w:bCs/>
          <w:color w:val="auto"/>
          <w:szCs w:val="21"/>
          <w:highlight w:val="none"/>
        </w:rPr>
        <w:t>递交的电子投标文件（不含备用光盘）必须进行加密。按照</w:t>
      </w:r>
      <w:r>
        <w:rPr>
          <w:rStyle w:val="105"/>
          <w:rFonts w:hint="eastAsia" w:ascii="宋体" w:hAnsi="宋体" w:cs="宋体"/>
          <w:color w:val="auto"/>
          <w:highlight w:val="none"/>
          <w:u w:val="single"/>
        </w:rPr>
        <w:t>广州交易集团有限公司（广州公共资源交易中心）</w:t>
      </w:r>
      <w:r>
        <w:rPr>
          <w:rStyle w:val="105"/>
          <w:rFonts w:hint="eastAsia" w:ascii="宋体" w:hAnsi="宋体" w:cs="宋体"/>
          <w:bCs/>
          <w:color w:val="auto"/>
          <w:szCs w:val="21"/>
          <w:highlight w:val="none"/>
        </w:rPr>
        <w:t>交易平台关于</w:t>
      </w:r>
      <w:r>
        <w:rPr>
          <w:rStyle w:val="105"/>
          <w:rFonts w:hint="eastAsia" w:ascii="宋体" w:hAnsi="宋体" w:cs="宋体"/>
          <w:color w:val="auto"/>
          <w:szCs w:val="21"/>
          <w:highlight w:val="none"/>
        </w:rPr>
        <w:t>全流程电子化项目的相关指南进行操作。详见：</w:t>
      </w:r>
      <w:r>
        <w:rPr>
          <w:rStyle w:val="105"/>
          <w:rFonts w:hint="eastAsia" w:ascii="宋体" w:hAnsi="宋体" w:cs="宋体"/>
          <w:color w:val="auto"/>
          <w:highlight w:val="none"/>
          <w:u w:val="single"/>
        </w:rPr>
        <w:t>广州交易集团有限公司（广州公共资源交易中心）网站最新指引</w:t>
      </w:r>
      <w:r>
        <w:rPr>
          <w:rStyle w:val="105"/>
          <w:rFonts w:hint="eastAsia" w:ascii="宋体" w:hAnsi="宋体" w:cs="宋体"/>
          <w:color w:val="auto"/>
          <w:szCs w:val="21"/>
          <w:highlight w:val="none"/>
          <w:u w:val="single"/>
        </w:rPr>
        <w:t>。</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条款号：18.2          修改类型：修改</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18.2</w:t>
      </w:r>
      <w:r>
        <w:rPr>
          <w:rStyle w:val="105"/>
          <w:rFonts w:hint="eastAsia" w:ascii="宋体" w:hAnsi="宋体" w:cs="宋体"/>
          <w:bCs/>
          <w:color w:val="auto"/>
          <w:szCs w:val="21"/>
          <w:highlight w:val="none"/>
        </w:rPr>
        <w:t>未按要求加密的投标文件，</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交易平台</w:t>
      </w:r>
      <w:r>
        <w:rPr>
          <w:rStyle w:val="105"/>
          <w:rFonts w:hint="eastAsia" w:ascii="宋体" w:hAnsi="宋体" w:cs="宋体"/>
          <w:bCs/>
          <w:color w:val="auto"/>
          <w:szCs w:val="21"/>
          <w:highlight w:val="none"/>
        </w:rPr>
        <w:t>将予以拒收。</w:t>
      </w:r>
    </w:p>
    <w:p>
      <w:pPr>
        <w:pBdr>
          <w:bottom w:val="single" w:color="000000" w:sz="6" w:space="1"/>
        </w:pBdr>
        <w:spacing w:line="360" w:lineRule="auto"/>
        <w:ind w:firstLine="422" w:firstLineChars="200"/>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18.2</w:t>
      </w:r>
      <w:r>
        <w:rPr>
          <w:rStyle w:val="105"/>
          <w:rFonts w:hint="eastAsia" w:ascii="宋体" w:hAnsi="宋体" w:cs="宋体"/>
          <w:bCs/>
          <w:color w:val="auto"/>
          <w:szCs w:val="21"/>
          <w:highlight w:val="none"/>
        </w:rPr>
        <w:t>未按要求加密的投标文件，</w:t>
      </w:r>
      <w:r>
        <w:rPr>
          <w:rStyle w:val="105"/>
          <w:rFonts w:hint="eastAsia" w:ascii="宋体" w:hAnsi="宋体" w:cs="宋体"/>
          <w:bCs/>
          <w:color w:val="auto"/>
          <w:szCs w:val="21"/>
          <w:highlight w:val="none"/>
          <w:u w:val="single"/>
        </w:rPr>
        <w:t>广州交易集团有限公司（广州公共资源交易中心）</w:t>
      </w:r>
      <w:r>
        <w:rPr>
          <w:rStyle w:val="105"/>
          <w:rFonts w:hint="eastAsia" w:ascii="宋体" w:hAnsi="宋体" w:cs="宋体"/>
          <w:bCs/>
          <w:color w:val="auto"/>
          <w:szCs w:val="21"/>
          <w:highlight w:val="none"/>
        </w:rPr>
        <w:t>交易平</w:t>
      </w:r>
      <w:r>
        <w:rPr>
          <w:rStyle w:val="105"/>
          <w:rFonts w:hint="eastAsia" w:ascii="宋体" w:hAnsi="宋体" w:cs="宋体"/>
          <w:color w:val="auto"/>
          <w:szCs w:val="21"/>
          <w:highlight w:val="none"/>
        </w:rPr>
        <w:t>台</w:t>
      </w:r>
      <w:r>
        <w:rPr>
          <w:rStyle w:val="105"/>
          <w:rFonts w:hint="eastAsia" w:ascii="宋体" w:hAnsi="宋体" w:cs="宋体"/>
          <w:bCs/>
          <w:color w:val="auto"/>
          <w:szCs w:val="21"/>
          <w:highlight w:val="none"/>
        </w:rPr>
        <w:t>将予以拒收。</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条款号：19.1          修改类型：修改</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19.1</w:t>
      </w:r>
      <w:r>
        <w:rPr>
          <w:rStyle w:val="105"/>
          <w:rFonts w:hint="eastAsia" w:ascii="宋体" w:hAnsi="宋体" w:cs="宋体"/>
          <w:bCs/>
          <w:color w:val="auto"/>
          <w:szCs w:val="21"/>
          <w:highlight w:val="none"/>
        </w:rPr>
        <w:t>投标人通过</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交易平台递交电子投标文件。</w:t>
      </w:r>
    </w:p>
    <w:p>
      <w:pPr>
        <w:pBdr>
          <w:bottom w:val="single" w:color="000000" w:sz="6" w:space="1"/>
        </w:pBdr>
        <w:spacing w:line="360" w:lineRule="auto"/>
        <w:ind w:firstLine="422" w:firstLineChars="200"/>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19.1</w:t>
      </w:r>
      <w:r>
        <w:rPr>
          <w:rStyle w:val="105"/>
          <w:rFonts w:hint="eastAsia" w:ascii="宋体" w:hAnsi="宋体" w:cs="宋体"/>
          <w:bCs/>
          <w:color w:val="auto"/>
          <w:szCs w:val="21"/>
          <w:highlight w:val="none"/>
        </w:rPr>
        <w:t>投标人通过</w:t>
      </w:r>
      <w:r>
        <w:rPr>
          <w:rStyle w:val="105"/>
          <w:rFonts w:hint="eastAsia" w:ascii="宋体" w:hAnsi="宋体" w:cs="宋体"/>
          <w:bCs/>
          <w:color w:val="auto"/>
          <w:szCs w:val="21"/>
          <w:highlight w:val="none"/>
          <w:u w:val="single"/>
        </w:rPr>
        <w:t>广州交易集团有限公司（广州公共资源交易中心）</w:t>
      </w:r>
      <w:r>
        <w:rPr>
          <w:rStyle w:val="105"/>
          <w:rFonts w:hint="eastAsia" w:ascii="宋体" w:hAnsi="宋体" w:cs="宋体"/>
          <w:bCs/>
          <w:color w:val="auto"/>
          <w:szCs w:val="21"/>
          <w:highlight w:val="none"/>
        </w:rPr>
        <w:t>交易平</w:t>
      </w:r>
      <w:r>
        <w:rPr>
          <w:rStyle w:val="105"/>
          <w:rFonts w:hint="eastAsia" w:ascii="宋体" w:hAnsi="宋体" w:cs="宋体"/>
          <w:color w:val="auto"/>
          <w:szCs w:val="21"/>
          <w:highlight w:val="none"/>
        </w:rPr>
        <w:t>台递交电子投标文件。</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条款号：19.2          修改类型：修改</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19.2</w:t>
      </w:r>
      <w:r>
        <w:rPr>
          <w:rStyle w:val="105"/>
          <w:rFonts w:hint="eastAsia" w:ascii="宋体" w:hAnsi="宋体" w:cs="宋体"/>
          <w:bCs/>
          <w:color w:val="auto"/>
          <w:szCs w:val="21"/>
          <w:highlight w:val="none"/>
        </w:rPr>
        <w:t>投标人完成电子</w:t>
      </w:r>
      <w:r>
        <w:rPr>
          <w:rStyle w:val="105"/>
          <w:rFonts w:hint="eastAsia" w:ascii="宋体" w:hAnsi="宋体" w:cs="宋体"/>
          <w:color w:val="auto"/>
          <w:szCs w:val="21"/>
          <w:highlight w:val="none"/>
        </w:rPr>
        <w:t>投标文件</w:t>
      </w:r>
      <w:r>
        <w:rPr>
          <w:rStyle w:val="105"/>
          <w:rFonts w:hint="eastAsia" w:ascii="宋体" w:hAnsi="宋体" w:cs="宋体"/>
          <w:bCs/>
          <w:color w:val="auto"/>
          <w:szCs w:val="21"/>
          <w:highlight w:val="none"/>
        </w:rPr>
        <w:t>上传后，</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交易平台即时向投标人发出递交回执通知。递交时间以递交回执通知载明的传输完成时间为准。</w:t>
      </w:r>
    </w:p>
    <w:p>
      <w:pPr>
        <w:pBdr>
          <w:bottom w:val="single" w:color="000000" w:sz="6" w:space="1"/>
        </w:pBdr>
        <w:spacing w:line="360" w:lineRule="auto"/>
        <w:ind w:firstLine="422" w:firstLineChars="200"/>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19.2</w:t>
      </w:r>
      <w:r>
        <w:rPr>
          <w:rStyle w:val="105"/>
          <w:rFonts w:hint="eastAsia" w:ascii="宋体" w:hAnsi="宋体" w:cs="宋体"/>
          <w:bCs/>
          <w:color w:val="auto"/>
          <w:szCs w:val="21"/>
          <w:highlight w:val="none"/>
        </w:rPr>
        <w:t>投标人完成电子</w:t>
      </w:r>
      <w:r>
        <w:rPr>
          <w:rStyle w:val="105"/>
          <w:rFonts w:hint="eastAsia" w:ascii="宋体" w:hAnsi="宋体" w:cs="宋体"/>
          <w:color w:val="auto"/>
          <w:szCs w:val="21"/>
          <w:highlight w:val="none"/>
        </w:rPr>
        <w:t>投标文件</w:t>
      </w:r>
      <w:r>
        <w:rPr>
          <w:rStyle w:val="105"/>
          <w:rFonts w:hint="eastAsia" w:ascii="宋体" w:hAnsi="宋体" w:cs="宋体"/>
          <w:bCs/>
          <w:color w:val="auto"/>
          <w:szCs w:val="21"/>
          <w:highlight w:val="none"/>
        </w:rPr>
        <w:t>上传后，</w:t>
      </w:r>
      <w:r>
        <w:rPr>
          <w:rStyle w:val="105"/>
          <w:rFonts w:hint="eastAsia" w:ascii="宋体" w:hAnsi="宋体" w:cs="宋体"/>
          <w:color w:val="auto"/>
          <w:szCs w:val="21"/>
          <w:highlight w:val="none"/>
          <w:u w:val="single"/>
        </w:rPr>
        <w:t>广州交易集团有限公司（广州公共资源交易中心）</w:t>
      </w:r>
      <w:r>
        <w:rPr>
          <w:rStyle w:val="105"/>
          <w:rFonts w:hint="eastAsia" w:ascii="宋体" w:hAnsi="宋体" w:cs="宋体"/>
          <w:color w:val="auto"/>
          <w:szCs w:val="21"/>
          <w:highlight w:val="none"/>
        </w:rPr>
        <w:t>交易平台即时向投标人发出递交回执通知。递交时间以递交回执通知载明的传输完成时间为准。</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条款号：19.3          修改类型：修改</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bCs/>
          <w:color w:val="auto"/>
          <w:szCs w:val="21"/>
          <w:highlight w:val="none"/>
        </w:rPr>
        <w:t>逾期送达的电子投标文件，</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交易平台将予以拒收。</w:t>
      </w:r>
    </w:p>
    <w:p>
      <w:pPr>
        <w:pBdr>
          <w:bottom w:val="single" w:color="000000" w:sz="6" w:space="1"/>
        </w:pBdr>
        <w:spacing w:line="360" w:lineRule="auto"/>
        <w:ind w:firstLine="422" w:firstLineChars="200"/>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现文：</w:t>
      </w:r>
      <w:r>
        <w:rPr>
          <w:rStyle w:val="105"/>
          <w:rFonts w:hint="eastAsia" w:ascii="宋体" w:hAnsi="宋体" w:cs="宋体"/>
          <w:bCs/>
          <w:color w:val="auto"/>
          <w:szCs w:val="21"/>
          <w:highlight w:val="none"/>
        </w:rPr>
        <w:t>逾期送达的电子投标文件，</w:t>
      </w:r>
      <w:r>
        <w:rPr>
          <w:rStyle w:val="105"/>
          <w:rFonts w:hint="eastAsia" w:ascii="宋体" w:hAnsi="宋体" w:cs="宋体"/>
          <w:color w:val="auto"/>
          <w:szCs w:val="21"/>
          <w:highlight w:val="none"/>
          <w:u w:val="single"/>
        </w:rPr>
        <w:t>广州交易集团有限公司（广州公共资源交易中心）</w:t>
      </w:r>
      <w:r>
        <w:rPr>
          <w:rStyle w:val="105"/>
          <w:rFonts w:hint="eastAsia" w:ascii="宋体" w:hAnsi="宋体" w:cs="宋体"/>
          <w:color w:val="auto"/>
          <w:szCs w:val="21"/>
          <w:highlight w:val="none"/>
        </w:rPr>
        <w:t>交易平台将予以拒收。</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条款号：19.5          修改类型：修改</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19.5如技术标和经济标先后分别开启，</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交易平台将按招标文件规定的时间分别开启技术标和经济标。</w:t>
      </w:r>
    </w:p>
    <w:p>
      <w:pPr>
        <w:pBdr>
          <w:bottom w:val="single" w:color="000000" w:sz="6" w:space="1"/>
        </w:pBdr>
        <w:spacing w:line="360" w:lineRule="auto"/>
        <w:ind w:firstLine="422" w:firstLineChars="200"/>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19.5</w:t>
      </w:r>
      <w:r>
        <w:rPr>
          <w:rFonts w:hint="eastAsia" w:ascii="宋体" w:hAnsi="宋体" w:cs="宋体"/>
          <w:color w:val="auto"/>
          <w:szCs w:val="21"/>
          <w:highlight w:val="none"/>
          <w:u w:val="single"/>
        </w:rPr>
        <w:t>广州交易集团有限公司（广州公共资源交易中心）交易平台将按招标文件规定的时间同时</w:t>
      </w:r>
      <w:r>
        <w:rPr>
          <w:rStyle w:val="105"/>
          <w:rFonts w:hint="eastAsia" w:ascii="宋体" w:hAnsi="宋体" w:cs="宋体"/>
          <w:color w:val="auto"/>
          <w:szCs w:val="21"/>
          <w:highlight w:val="none"/>
          <w:u w:val="single"/>
        </w:rPr>
        <w:t>开启技术标和经济标</w:t>
      </w:r>
      <w:r>
        <w:rPr>
          <w:rStyle w:val="105"/>
          <w:rFonts w:hint="eastAsia" w:ascii="宋体" w:hAnsi="宋体" w:cs="宋体"/>
          <w:color w:val="auto"/>
          <w:szCs w:val="21"/>
          <w:highlight w:val="none"/>
        </w:rPr>
        <w:t>。</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条款号：19.6          修改类型：删除</w:t>
      </w:r>
    </w:p>
    <w:p>
      <w:pPr>
        <w:pBdr>
          <w:bottom w:val="single" w:color="000000" w:sz="6" w:space="1"/>
        </w:pBdr>
        <w:spacing w:line="360" w:lineRule="auto"/>
        <w:ind w:firstLine="422" w:firstLineChars="200"/>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条款号：21.1          修改类型：修改</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21.1本须知前附表第17项规定的投标截止时间</w:t>
      </w:r>
      <w:r>
        <w:rPr>
          <w:rStyle w:val="105"/>
          <w:rFonts w:hint="eastAsia" w:ascii="宋体" w:hAnsi="宋体" w:cs="宋体"/>
          <w:bCs/>
          <w:color w:val="auto"/>
          <w:szCs w:val="21"/>
          <w:highlight w:val="none"/>
        </w:rPr>
        <w:t>后送达的电子投标文件，</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交易平台将予以拒收。</w:t>
      </w:r>
    </w:p>
    <w:p>
      <w:pPr>
        <w:pBdr>
          <w:bottom w:val="single" w:color="000000" w:sz="6" w:space="1"/>
        </w:pBdr>
        <w:spacing w:line="360" w:lineRule="auto"/>
        <w:ind w:firstLine="422" w:firstLineChars="200"/>
        <w:rPr>
          <w:rStyle w:val="105"/>
          <w:rFonts w:hint="eastAsia" w:ascii="宋体" w:hAnsi="宋体" w:cs="宋体"/>
          <w:bCs/>
          <w:color w:val="auto"/>
          <w:szCs w:val="21"/>
          <w:highlight w:val="non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21.1本须知前附表第17项规定的投标截止时间</w:t>
      </w:r>
      <w:r>
        <w:rPr>
          <w:rStyle w:val="105"/>
          <w:rFonts w:hint="eastAsia" w:ascii="宋体" w:hAnsi="宋体" w:cs="宋体"/>
          <w:bCs/>
          <w:color w:val="auto"/>
          <w:szCs w:val="21"/>
          <w:highlight w:val="none"/>
        </w:rPr>
        <w:t>后送达的电子投标文件，</w:t>
      </w:r>
      <w:r>
        <w:rPr>
          <w:rStyle w:val="105"/>
          <w:rFonts w:hint="eastAsia" w:ascii="宋体" w:hAnsi="宋体" w:cs="宋体"/>
          <w:bCs/>
          <w:color w:val="auto"/>
          <w:szCs w:val="21"/>
          <w:highlight w:val="none"/>
          <w:u w:val="single"/>
        </w:rPr>
        <w:t>广州交易集团有限公司（广州公共资源交易中心）</w:t>
      </w:r>
      <w:r>
        <w:rPr>
          <w:rStyle w:val="105"/>
          <w:rFonts w:hint="eastAsia" w:ascii="宋体" w:hAnsi="宋体" w:cs="宋体"/>
          <w:bCs/>
          <w:color w:val="auto"/>
          <w:szCs w:val="21"/>
          <w:highlight w:val="none"/>
        </w:rPr>
        <w:t>交易平台将予以拒收。</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条款号：27.1          修改类型：修改</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27.1招标人将在</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交易平台、广东省招标投标监管网和中国招标投标公共服务平台公示中标候选人，公示期为三天。</w:t>
      </w:r>
    </w:p>
    <w:p>
      <w:pPr>
        <w:pBdr>
          <w:bottom w:val="single" w:color="000000" w:sz="6" w:space="1"/>
        </w:pBdr>
        <w:spacing w:line="360" w:lineRule="auto"/>
        <w:ind w:firstLine="422" w:firstLineChars="200"/>
        <w:rPr>
          <w:rStyle w:val="105"/>
          <w:rFonts w:hint="eastAsia" w:ascii="宋体" w:hAnsi="宋体" w:cs="宋体"/>
          <w:color w:val="auto"/>
          <w:szCs w:val="21"/>
          <w:highlight w:val="none"/>
          <w:u w:val="singl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27.1招标人将在</w:t>
      </w:r>
      <w:r>
        <w:rPr>
          <w:rStyle w:val="105"/>
          <w:rFonts w:hint="eastAsia" w:ascii="宋体" w:hAnsi="宋体" w:cs="宋体"/>
          <w:color w:val="auto"/>
          <w:szCs w:val="21"/>
          <w:highlight w:val="none"/>
          <w:u w:val="single"/>
        </w:rPr>
        <w:t>广州交易集团有限公司（广州公共资源交易中心）</w:t>
      </w:r>
      <w:r>
        <w:rPr>
          <w:rStyle w:val="105"/>
          <w:rFonts w:hint="eastAsia" w:ascii="宋体" w:hAnsi="宋体" w:cs="宋体"/>
          <w:color w:val="auto"/>
          <w:szCs w:val="21"/>
          <w:highlight w:val="none"/>
        </w:rPr>
        <w:t>交易平台、广东省招标投标监管网和中国招标投标公共服务平台公示中标候选人，公示期为三天。</w:t>
      </w:r>
      <w:r>
        <w:rPr>
          <w:rStyle w:val="105"/>
          <w:rFonts w:hint="eastAsia" w:ascii="宋体" w:hAnsi="宋体" w:cs="宋体"/>
          <w:color w:val="auto"/>
          <w:szCs w:val="21"/>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条款号：27.4          修改类型：修改</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27.4招在产生中标候选人后，招标人将中标候选人的投标文件商务部分文件的所有内容（包括报价清单、人员、业绩、奖项等资料）在</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交易平台和广东省招标投标监管网公开。</w:t>
      </w:r>
    </w:p>
    <w:p>
      <w:pPr>
        <w:pBdr>
          <w:bottom w:val="single" w:color="000000" w:sz="6" w:space="1"/>
        </w:pBdr>
        <w:spacing w:line="360" w:lineRule="auto"/>
        <w:ind w:firstLine="422" w:firstLineChars="200"/>
        <w:rPr>
          <w:rFonts w:hint="eastAsia" w:ascii="宋体" w:hAnsi="宋体" w:cs="宋体"/>
          <w:color w:val="auto"/>
          <w:szCs w:val="21"/>
          <w:highlight w:val="non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27.4</w:t>
      </w:r>
      <w:r>
        <w:rPr>
          <w:rFonts w:hint="eastAsia" w:ascii="宋体" w:hAnsi="宋体" w:cs="宋体"/>
          <w:color w:val="auto"/>
          <w:szCs w:val="21"/>
          <w:highlight w:val="none"/>
        </w:rPr>
        <w:t>在产生中标候选</w:t>
      </w:r>
      <w:r>
        <w:rPr>
          <w:rFonts w:hint="eastAsia" w:ascii="宋体" w:hAnsi="宋体" w:cs="宋体"/>
          <w:color w:val="auto"/>
          <w:kern w:val="0"/>
          <w:szCs w:val="21"/>
          <w:highlight w:val="none"/>
        </w:rPr>
        <w:t>人后，招标人将中标候</w:t>
      </w:r>
      <w:r>
        <w:rPr>
          <w:rFonts w:hint="eastAsia" w:ascii="宋体" w:hAnsi="宋体" w:cs="宋体"/>
          <w:color w:val="auto"/>
          <w:szCs w:val="21"/>
          <w:highlight w:val="none"/>
        </w:rPr>
        <w:t>选人的投标文件商务部分文件的</w:t>
      </w:r>
      <w:r>
        <w:rPr>
          <w:rFonts w:hint="eastAsia" w:ascii="宋体" w:hAnsi="宋体" w:cs="宋体"/>
          <w:color w:val="auto"/>
          <w:szCs w:val="21"/>
          <w:highlight w:val="none"/>
          <w:u w:val="single"/>
        </w:rPr>
        <w:t>人员、业绩、奖项等资料</w:t>
      </w:r>
      <w:r>
        <w:rPr>
          <w:rFonts w:hint="eastAsia" w:ascii="宋体" w:hAnsi="宋体" w:cs="宋体"/>
          <w:color w:val="auto"/>
          <w:szCs w:val="21"/>
          <w:highlight w:val="none"/>
        </w:rPr>
        <w:t>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交易平台和广东省招标投标监管网公开。</w:t>
      </w:r>
    </w:p>
    <w:p>
      <w:pPr>
        <w:pStyle w:val="13"/>
        <w:rPr>
          <w:rFonts w:hint="eastAsia" w:hAnsi="宋体" w:eastAsia="宋体" w:cs="宋体"/>
          <w:color w:val="auto"/>
          <w:highlight w:val="none"/>
        </w:rPr>
      </w:pP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条款号：31.1          修改类型：增加</w:t>
      </w:r>
    </w:p>
    <w:p>
      <w:pPr>
        <w:pBdr>
          <w:bottom w:val="single" w:color="000000" w:sz="6" w:space="1"/>
        </w:pBdr>
        <w:spacing w:line="360" w:lineRule="auto"/>
        <w:ind w:firstLine="422" w:firstLineChars="200"/>
        <w:rPr>
          <w:rStyle w:val="105"/>
          <w:rFonts w:hint="eastAsia" w:ascii="宋体" w:hAnsi="宋体" w:cs="宋体"/>
          <w:color w:val="auto"/>
          <w:szCs w:val="21"/>
          <w:highlight w:val="none"/>
          <w:u w:val="singl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u w:val="single"/>
        </w:rPr>
        <w:t>中标人向广州交易集团有限公司（广州公共资源交易中心）交纳交易服务费，及时向招标代理机构支付招标代理服务费。</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条款号：32.3         修改类型：修改</w:t>
      </w:r>
    </w:p>
    <w:p>
      <w:pPr>
        <w:pStyle w:val="25"/>
        <w:spacing w:line="276" w:lineRule="auto"/>
        <w:ind w:firstLine="40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Fonts w:hint="eastAsia" w:ascii="宋体" w:hAnsi="宋体" w:cs="宋体"/>
          <w:color w:val="auto"/>
          <w:sz w:val="21"/>
          <w:szCs w:val="21"/>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pPr>
        <w:pBdr>
          <w:bottom w:val="single" w:color="000000" w:sz="6" w:space="1"/>
        </w:pBdr>
        <w:spacing w:line="360" w:lineRule="auto"/>
        <w:ind w:firstLine="422" w:firstLineChars="200"/>
        <w:rPr>
          <w:rFonts w:hint="eastAsia" w:ascii="宋体" w:hAnsi="宋体" w:cs="宋体"/>
          <w:color w:val="auto"/>
          <w:kern w:val="0"/>
          <w:szCs w:val="21"/>
          <w:highlight w:val="none"/>
        </w:rPr>
      </w:pPr>
      <w:r>
        <w:rPr>
          <w:rStyle w:val="105"/>
          <w:rFonts w:hint="eastAsia" w:ascii="宋体" w:hAnsi="宋体" w:cs="宋体"/>
          <w:b/>
          <w:color w:val="auto"/>
          <w:szCs w:val="21"/>
          <w:highlight w:val="none"/>
        </w:rPr>
        <w:t>现文：</w:t>
      </w:r>
      <w:r>
        <w:rPr>
          <w:rFonts w:hint="eastAsia" w:ascii="宋体" w:hAnsi="宋体" w:cs="宋体"/>
          <w:color w:val="auto"/>
          <w:kern w:val="0"/>
          <w:szCs w:val="21"/>
          <w:highlight w:val="none"/>
        </w:rPr>
        <w:t>32.3投标人如在本项目中存在串通投标、弄虚作假</w:t>
      </w:r>
      <w:r>
        <w:rPr>
          <w:rFonts w:hint="eastAsia" w:ascii="宋体" w:hAnsi="宋体" w:cs="宋体"/>
          <w:color w:val="auto"/>
          <w:kern w:val="0"/>
          <w:szCs w:val="21"/>
          <w:highlight w:val="none"/>
          <w:u w:val="single"/>
        </w:rPr>
        <w:t>骗取中标</w:t>
      </w:r>
      <w:r>
        <w:rPr>
          <w:rFonts w:hint="eastAsia" w:ascii="宋体" w:hAnsi="宋体" w:cs="宋体"/>
          <w:color w:val="auto"/>
          <w:kern w:val="0"/>
          <w:szCs w:val="21"/>
          <w:highlight w:val="none"/>
        </w:rPr>
        <w:t>、行贿情形的，中标无效，行政监督部门将对其违法行为进行政处罚。该投标人将被招标人列入黑名单并限制其参与招标人后续项目的投标。</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条款号：33         修改类型：删除</w:t>
      </w:r>
    </w:p>
    <w:p>
      <w:pPr>
        <w:spacing w:line="276" w:lineRule="auto"/>
        <w:ind w:firstLine="472" w:firstLineChars="224"/>
        <w:rPr>
          <w:rFonts w:hint="eastAsia" w:ascii="宋体" w:hAnsi="宋体" w:cs="宋体"/>
          <w:b/>
          <w:color w:val="auto"/>
          <w:szCs w:val="21"/>
          <w:highlight w:val="none"/>
        </w:rPr>
      </w:pPr>
      <w:r>
        <w:rPr>
          <w:rStyle w:val="105"/>
          <w:rFonts w:hint="eastAsia" w:ascii="宋体" w:hAnsi="宋体" w:cs="宋体"/>
          <w:b/>
          <w:color w:val="auto"/>
          <w:szCs w:val="21"/>
          <w:highlight w:val="none"/>
        </w:rPr>
        <w:t>原文：33.</w:t>
      </w:r>
      <w:r>
        <w:rPr>
          <w:rFonts w:hint="eastAsia" w:ascii="宋体" w:hAnsi="宋体" w:cs="宋体"/>
          <w:b/>
          <w:color w:val="auto"/>
          <w:szCs w:val="21"/>
          <w:highlight w:val="none"/>
        </w:rPr>
        <w:t>投标人信誉的要求</w:t>
      </w:r>
    </w:p>
    <w:p>
      <w:pPr>
        <w:spacing w:line="276" w:lineRule="auto"/>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存在下列情形之一的，招标人可以限制其投标（需在招标文件中明确评定方法）</w:t>
      </w:r>
    </w:p>
    <w:p>
      <w:pPr>
        <w:spacing w:line="276" w:lineRule="auto"/>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（1）被住房城乡建设行政主管部门在全国建筑市场监管一体化工作平台列入建筑市场主体“黑名单”；</w:t>
      </w:r>
    </w:p>
    <w:p>
      <w:pPr>
        <w:pBdr>
          <w:bottom w:val="single" w:color="000000" w:sz="6" w:space="1"/>
        </w:pBd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（2）被发改委、人力资源社会保障、质检总局等有关部门、单位在“信用中国”网站中列入联合惩戒失信黑名单。</w:t>
      </w:r>
    </w:p>
    <w:p>
      <w:pPr>
        <w:spacing w:line="440" w:lineRule="exact"/>
        <w:ind w:firstLine="472" w:firstLineChars="224"/>
        <w:rPr>
          <w:rFonts w:hint="eastAsia" w:ascii="宋体" w:hAnsi="宋体" w:cs="宋体"/>
          <w:b/>
          <w:color w:val="auto"/>
          <w:highlight w:val="none"/>
        </w:rPr>
      </w:pPr>
      <w:r>
        <w:rPr>
          <w:rFonts w:hint="eastAsia" w:ascii="宋体" w:hAnsi="宋体" w:cs="宋体"/>
          <w:b/>
          <w:color w:val="auto"/>
          <w:highlight w:val="none"/>
        </w:rPr>
        <w:t>条款号：34                 修改类型：增加</w:t>
      </w:r>
    </w:p>
    <w:p>
      <w:pPr>
        <w:pBdr>
          <w:bottom w:val="single" w:color="auto" w:sz="6" w:space="1"/>
        </w:pBdr>
        <w:spacing w:line="360" w:lineRule="auto"/>
        <w:ind w:firstLine="422" w:firstLineChars="200"/>
        <w:jc w:val="left"/>
        <w:rPr>
          <w:rFonts w:hint="eastAsia" w:ascii="宋体" w:hAnsi="宋体" w:cs="宋体"/>
          <w:color w:val="auto"/>
          <w:szCs w:val="21"/>
          <w:highlight w:val="none"/>
          <w:u w:val="single"/>
        </w:rPr>
      </w:pPr>
      <w:r>
        <w:rPr>
          <w:rFonts w:hint="eastAsia" w:ascii="宋体" w:hAnsi="宋体" w:cs="宋体"/>
          <w:b/>
          <w:color w:val="auto"/>
          <w:highlight w:val="none"/>
        </w:rPr>
        <w:t>现文：</w:t>
      </w:r>
      <w:r>
        <w:rPr>
          <w:rFonts w:hint="eastAsia" w:ascii="宋体" w:hAnsi="宋体" w:cs="宋体"/>
          <w:b/>
          <w:color w:val="auto"/>
          <w:highlight w:val="none"/>
          <w:u w:val="single"/>
        </w:rPr>
        <w:t>34.</w:t>
      </w:r>
      <w:r>
        <w:rPr>
          <w:rFonts w:hint="eastAsia" w:ascii="宋体" w:hAnsi="宋体" w:cs="宋体"/>
          <w:color w:val="auto"/>
          <w:szCs w:val="24"/>
          <w:highlight w:val="none"/>
          <w:u w:val="single"/>
        </w:rPr>
        <w:t>中标人在中标公示后，签订合同前，须按招标人要求提供与所递交投标电子标书内容一致且加盖单位公章的纸质文件（3份）及电子文件（不用生成投标书；包括用Microsoft Excel 软件或广州交易集团有限公司（广州公共资源交易中心）提供的投标书制作软件制作的工程量清单报价表和单价分析表，用Microsoft Word软件或广州交易集团有限公司（广州公共资源交易中心）提供的投标书制作软件制作的经济投标文件其他部分；以及与所递交投标电子标书内容一致的投标版计价软件及XML投标版cos文件；补齐遗漏表格及相关内容或者无条件接受招标人给出的表格及相关内容。电子文件介质使用CD-R光盘，所有电子文件不能采用压缩处理）给招标人。</w:t>
      </w:r>
    </w:p>
    <w:p>
      <w:pPr>
        <w:pStyle w:val="13"/>
        <w:rPr>
          <w:rFonts w:hint="eastAsia" w:hAnsi="宋体" w:eastAsia="宋体" w:cs="宋体"/>
          <w:color w:val="auto"/>
          <w:highlight w:val="none"/>
        </w:rPr>
      </w:pPr>
    </w:p>
    <w:p>
      <w:pPr>
        <w:spacing w:line="360" w:lineRule="auto"/>
        <w:ind w:firstLine="211" w:firstLineChars="1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注：以上修改，仅限于本范本中有可供选择条款的情形。</w:t>
      </w:r>
    </w:p>
    <w:p>
      <w:pPr>
        <w:spacing w:line="360" w:lineRule="auto"/>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（以下无正文）</w:t>
      </w:r>
    </w:p>
    <w:bookmarkEnd w:id="6"/>
    <w:p>
      <w:pPr>
        <w:spacing w:line="360" w:lineRule="auto"/>
        <w:rPr>
          <w:rStyle w:val="105"/>
          <w:rFonts w:hint="eastAsia" w:ascii="宋体" w:hAnsi="宋体" w:cs="宋体"/>
          <w:b/>
          <w:color w:val="auto"/>
          <w:szCs w:val="21"/>
          <w:highlight w:val="none"/>
        </w:rPr>
      </w:pPr>
    </w:p>
    <w:p>
      <w:pPr>
        <w:spacing w:line="360" w:lineRule="auto"/>
        <w:rPr>
          <w:rStyle w:val="105"/>
          <w:rFonts w:hint="eastAsia" w:ascii="宋体" w:hAnsi="宋体" w:cs="宋体"/>
          <w:b/>
          <w:color w:val="auto"/>
          <w:szCs w:val="21"/>
          <w:highlight w:val="none"/>
        </w:rPr>
      </w:pPr>
    </w:p>
    <w:p>
      <w:pPr>
        <w:pStyle w:val="148"/>
        <w:spacing w:line="276" w:lineRule="auto"/>
        <w:outlineLvl w:val="1"/>
        <w:rPr>
          <w:rStyle w:val="105"/>
          <w:rFonts w:hint="eastAsia" w:ascii="宋体" w:hAnsi="宋体" w:cs="宋体"/>
          <w:b/>
          <w:color w:val="auto"/>
          <w:highlight w:val="none"/>
        </w:rPr>
      </w:pPr>
      <w:r>
        <w:rPr>
          <w:rStyle w:val="105"/>
          <w:rFonts w:hint="eastAsia" w:ascii="宋体" w:hAnsi="宋体" w:cs="宋体"/>
          <w:b/>
          <w:color w:val="auto"/>
          <w:highlight w:val="none"/>
        </w:rPr>
        <w:br w:type="page"/>
      </w:r>
      <w:bookmarkStart w:id="7" w:name="_Toc105014623"/>
      <w:r>
        <w:rPr>
          <w:rStyle w:val="105"/>
          <w:rFonts w:hint="eastAsia" w:ascii="宋体" w:hAnsi="宋体" w:cs="宋体"/>
          <w:b/>
          <w:color w:val="auto"/>
          <w:highlight w:val="none"/>
        </w:rPr>
        <w:t>三、投标须知通用条款</w:t>
      </w:r>
      <w:bookmarkEnd w:id="7"/>
    </w:p>
    <w:p>
      <w:pPr>
        <w:pStyle w:val="5"/>
        <w:spacing w:before="156" w:beforeAutospacing="0" w:after="156" w:afterAutospacing="0" w:line="276" w:lineRule="auto"/>
        <w:rPr>
          <w:rFonts w:hint="eastAsia" w:cs="宋体"/>
          <w:b/>
          <w:bCs/>
          <w:color w:val="auto"/>
          <w:sz w:val="21"/>
          <w:szCs w:val="21"/>
          <w:highlight w:val="none"/>
        </w:rPr>
      </w:pPr>
      <w:bookmarkStart w:id="8" w:name="_Toc105014624"/>
      <w:r>
        <w:rPr>
          <w:rFonts w:hint="eastAsia" w:cs="宋体"/>
          <w:b/>
          <w:bCs/>
          <w:color w:val="auto"/>
          <w:sz w:val="21"/>
          <w:szCs w:val="21"/>
          <w:highlight w:val="none"/>
        </w:rPr>
        <w:t>（一）总则</w:t>
      </w:r>
      <w:bookmarkEnd w:id="8"/>
    </w:p>
    <w:p>
      <w:pPr>
        <w:pStyle w:val="25"/>
        <w:spacing w:after="0" w:line="276"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 定义</w:t>
      </w:r>
    </w:p>
    <w:p>
      <w:pPr>
        <w:pStyle w:val="25"/>
        <w:spacing w:after="0" w:line="276" w:lineRule="auto"/>
        <w:ind w:firstLineChars="200"/>
        <w:rPr>
          <w:rFonts w:hint="eastAsia" w:ascii="宋体" w:hAnsi="宋体" w:cs="宋体"/>
          <w:b/>
          <w:bCs/>
          <w:color w:val="auto"/>
          <w:sz w:val="21"/>
          <w:szCs w:val="21"/>
          <w:highlight w:val="none"/>
        </w:rPr>
      </w:pPr>
      <w:r>
        <w:rPr>
          <w:rFonts w:hint="eastAsia" w:ascii="宋体" w:hAnsi="宋体" w:cs="宋体"/>
          <w:color w:val="auto"/>
          <w:sz w:val="21"/>
          <w:szCs w:val="21"/>
          <w:highlight w:val="none"/>
        </w:rPr>
        <w:t>本招标文件使用的下列词语具有如下规定的意义：</w:t>
      </w:r>
    </w:p>
    <w:p>
      <w:pPr>
        <w:pStyle w:val="25"/>
        <w:spacing w:after="0" w:line="276" w:lineRule="auto"/>
        <w:ind w:firstLineChars="200"/>
        <w:rPr>
          <w:rFonts w:hint="eastAsia" w:ascii="宋体" w:hAnsi="宋体" w:cs="宋体"/>
          <w:b/>
          <w:bCs/>
          <w:color w:val="auto"/>
          <w:sz w:val="21"/>
          <w:szCs w:val="21"/>
          <w:highlight w:val="none"/>
          <w:u w:val="single"/>
        </w:rPr>
      </w:pPr>
      <w:r>
        <w:rPr>
          <w:rFonts w:hint="eastAsia" w:ascii="宋体" w:hAnsi="宋体" w:cs="宋体"/>
          <w:color w:val="auto"/>
          <w:sz w:val="21"/>
          <w:szCs w:val="21"/>
          <w:highlight w:val="none"/>
        </w:rPr>
        <w:t>（1）“招标人”（即发包人）、“项目建设管理单位”（或称“项目代建单位”）、“招标代理”、“设计单位”、“监理单位”均已在投标须知前附表中列明。</w:t>
      </w:r>
    </w:p>
    <w:p>
      <w:pPr>
        <w:pStyle w:val="25"/>
        <w:spacing w:after="0" w:line="276" w:lineRule="auto"/>
        <w:ind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 xml:space="preserve">（2）“投标人”指向招标人提交投标文件的当事人。   </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（3）“承包人”指其投标被招标人接受并与其签订承包合同的当事人。</w:t>
      </w:r>
    </w:p>
    <w:p>
      <w:pPr>
        <w:pStyle w:val="25"/>
        <w:spacing w:after="0" w:line="276" w:lineRule="auto"/>
        <w:ind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（4）“招标文件”指由招标代理发出的本文件（包括全部章节、附件）及招标答疑会会议纪要和</w:t>
      </w:r>
      <w:r>
        <w:rPr>
          <w:rFonts w:hint="eastAsia" w:ascii="宋体" w:hAnsi="宋体" w:cs="宋体"/>
          <w:bCs/>
          <w:color w:val="auto"/>
          <w:sz w:val="21"/>
          <w:szCs w:val="21"/>
          <w:highlight w:val="none"/>
        </w:rPr>
        <w:t>招标文件的澄清与修改</w:t>
      </w:r>
      <w:r>
        <w:rPr>
          <w:rFonts w:hint="eastAsia" w:ascii="宋体" w:hAnsi="宋体" w:cs="宋体"/>
          <w:color w:val="auto"/>
          <w:sz w:val="21"/>
          <w:szCs w:val="21"/>
          <w:highlight w:val="none"/>
        </w:rPr>
        <w:t>文件。</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（5）“投标文件”指投标人根据本项目招标文件向招标人提交的全部文件。</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（6）“书面形式”指打字或印刷的文件和数据电文（包括电报、电传、传真、电子数据交换和电子邮件）。</w:t>
      </w:r>
    </w:p>
    <w:p>
      <w:pPr>
        <w:spacing w:line="276"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 招标说明</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2.1本招标工程项目按照《中华人民共和国招标投标法》等有关法律、行政法规、规章和规范性文件，通过招标方式选定承包人。</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2.2工程名称、建设地点、建设规模、承包方式、质量标准、招标范围、工期要求等均在投标须知前附表中列明。</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2.3设计说明：详见招标图纸。</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2.4工程施工特点：详见招标图纸。</w:t>
      </w:r>
    </w:p>
    <w:p>
      <w:pPr>
        <w:spacing w:line="276"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 资金来源</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3.1本招标工程项目资金来源见投标须知前附表第9项。</w:t>
      </w:r>
    </w:p>
    <w:p>
      <w:pPr>
        <w:spacing w:line="276"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 合格投标人的条件</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4.1详见本项目招标公告</w:t>
      </w:r>
    </w:p>
    <w:p>
      <w:pPr>
        <w:spacing w:line="276"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5．踏勘现场</w:t>
      </w:r>
    </w:p>
    <w:p>
      <w:pPr>
        <w:spacing w:line="276" w:lineRule="auto"/>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5.1 投标人应按本投标须知前附表第15项所述时间和要求对工程现场及周围环境进行踏勘，</w:t>
      </w:r>
      <w:r>
        <w:rPr>
          <w:rFonts w:hint="eastAsia" w:ascii="宋体" w:hAnsi="宋体" w:cs="宋体"/>
          <w:color w:val="auto"/>
          <w:szCs w:val="21"/>
          <w:highlight w:val="none"/>
        </w:rPr>
        <w:t>投标人应充分重视和仔细地进行这种考察，</w:t>
      </w:r>
      <w:r>
        <w:rPr>
          <w:rFonts w:hint="eastAsia" w:ascii="宋体" w:hAnsi="宋体" w:cs="宋体"/>
          <w:bCs/>
          <w:color w:val="auto"/>
          <w:szCs w:val="21"/>
          <w:highlight w:val="none"/>
        </w:rPr>
        <w:t>以便投标人获取</w:t>
      </w:r>
      <w:r>
        <w:rPr>
          <w:rFonts w:hint="eastAsia" w:ascii="宋体" w:hAnsi="宋体" w:cs="宋体"/>
          <w:color w:val="auto"/>
          <w:szCs w:val="21"/>
          <w:highlight w:val="none"/>
        </w:rPr>
        <w:t>那些须投标人自己负责的</w:t>
      </w:r>
      <w:r>
        <w:rPr>
          <w:rFonts w:hint="eastAsia" w:ascii="宋体" w:hAnsi="宋体" w:cs="宋体"/>
          <w:bCs/>
          <w:color w:val="auto"/>
          <w:szCs w:val="21"/>
          <w:highlight w:val="none"/>
        </w:rPr>
        <w:t>有关编制投标文件和签署合同所涉及现场所有的资料。</w:t>
      </w:r>
      <w:r>
        <w:rPr>
          <w:rFonts w:hint="eastAsia" w:ascii="宋体" w:hAnsi="宋体" w:cs="宋体"/>
          <w:color w:val="auto"/>
          <w:szCs w:val="21"/>
          <w:highlight w:val="none"/>
        </w:rPr>
        <w:t>一旦中标，这种考察即被认为其结果已在中标文件中得到充分反映。考察现场的费用由投标人自己承担。</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5.2 招标人向投标人提供的有关现场的数据和资料，是招标人现有的能被投标人利用的资料，招标人对投标人做出的任何推论、理解和结论均不负责任。</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5.3 经招标人允许，投标人可为踏勘目的进入招标人的项目现场。</w:t>
      </w:r>
      <w:r>
        <w:rPr>
          <w:rFonts w:hint="eastAsia" w:ascii="宋体" w:hAnsi="宋体" w:cs="宋体"/>
          <w:color w:val="auto"/>
          <w:szCs w:val="21"/>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cs="宋体"/>
          <w:bCs/>
          <w:color w:val="auto"/>
          <w:szCs w:val="21"/>
          <w:highlight w:val="none"/>
        </w:rPr>
        <w:t>投标人不得因此使招标人承担有关的责任和蒙受损失。</w:t>
      </w:r>
    </w:p>
    <w:p>
      <w:pPr>
        <w:spacing w:line="276"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6．投标费用</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6.1</w:t>
      </w:r>
      <w:r>
        <w:rPr>
          <w:rFonts w:hint="eastAsia" w:ascii="宋体" w:hAnsi="宋体" w:cs="宋体"/>
          <w:color w:val="auto"/>
          <w:szCs w:val="21"/>
          <w:highlight w:val="none"/>
        </w:rPr>
        <w:t>不论投标结果如何，投标人应承担</w:t>
      </w:r>
      <w:r>
        <w:rPr>
          <w:rFonts w:hint="eastAsia" w:ascii="宋体" w:hAnsi="宋体" w:cs="宋体"/>
          <w:bCs/>
          <w:color w:val="auto"/>
          <w:szCs w:val="21"/>
          <w:highlight w:val="none"/>
        </w:rPr>
        <w:t>自身</w:t>
      </w:r>
      <w:r>
        <w:rPr>
          <w:rFonts w:hint="eastAsia" w:ascii="宋体" w:hAnsi="宋体" w:cs="宋体"/>
          <w:color w:val="auto"/>
          <w:szCs w:val="21"/>
          <w:highlight w:val="none"/>
        </w:rPr>
        <w:t>因投标文件编制、递交及其他</w:t>
      </w:r>
      <w:r>
        <w:rPr>
          <w:rFonts w:hint="eastAsia" w:ascii="宋体" w:hAnsi="宋体" w:cs="宋体"/>
          <w:bCs/>
          <w:color w:val="auto"/>
          <w:szCs w:val="21"/>
          <w:highlight w:val="none"/>
        </w:rPr>
        <w:t>参加本招标活动</w:t>
      </w:r>
      <w:r>
        <w:rPr>
          <w:rFonts w:hint="eastAsia" w:ascii="宋体" w:hAnsi="宋体" w:cs="宋体"/>
          <w:color w:val="auto"/>
          <w:szCs w:val="21"/>
          <w:highlight w:val="none"/>
        </w:rPr>
        <w:t>所涉及的一切费用，招标人对上述费用不负任何责任。</w:t>
      </w:r>
    </w:p>
    <w:p>
      <w:pPr>
        <w:pStyle w:val="5"/>
        <w:spacing w:before="156" w:beforeAutospacing="0" w:after="156" w:afterAutospacing="0" w:line="276" w:lineRule="auto"/>
        <w:rPr>
          <w:rFonts w:hint="eastAsia" w:cs="宋体"/>
          <w:b/>
          <w:bCs/>
          <w:color w:val="auto"/>
          <w:sz w:val="21"/>
          <w:szCs w:val="21"/>
          <w:highlight w:val="none"/>
        </w:rPr>
      </w:pPr>
      <w:bookmarkStart w:id="9" w:name="_Toc105014625"/>
      <w:r>
        <w:rPr>
          <w:rFonts w:hint="eastAsia" w:cs="宋体"/>
          <w:b/>
          <w:bCs/>
          <w:color w:val="auto"/>
          <w:sz w:val="21"/>
          <w:szCs w:val="21"/>
          <w:highlight w:val="none"/>
        </w:rPr>
        <w:t>（二）招标文件</w:t>
      </w:r>
      <w:bookmarkEnd w:id="9"/>
    </w:p>
    <w:p>
      <w:pPr>
        <w:spacing w:line="276"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 招标文件的组成</w:t>
      </w:r>
    </w:p>
    <w:p>
      <w:pPr>
        <w:spacing w:line="276"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pPr>
        <w:pStyle w:val="25"/>
        <w:spacing w:after="0" w:line="276"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第一章  </w:t>
      </w:r>
      <w:r>
        <w:rPr>
          <w:rFonts w:hint="eastAsia" w:ascii="宋体" w:hAnsi="宋体" w:cs="宋体"/>
          <w:color w:val="auto"/>
          <w:sz w:val="21"/>
          <w:szCs w:val="21"/>
          <w:highlight w:val="none"/>
        </w:rPr>
        <w:t>投标须知</w:t>
      </w:r>
    </w:p>
    <w:p>
      <w:pPr>
        <w:pStyle w:val="25"/>
        <w:spacing w:after="0" w:line="276"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第二章  </w:t>
      </w:r>
      <w:r>
        <w:rPr>
          <w:rFonts w:hint="eastAsia" w:ascii="宋体" w:hAnsi="宋体" w:cs="宋体"/>
          <w:color w:val="auto"/>
          <w:sz w:val="21"/>
          <w:szCs w:val="21"/>
          <w:highlight w:val="none"/>
        </w:rPr>
        <w:t>开标、评标及定标办法</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第三章  合同条款</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第四章  </w:t>
      </w:r>
      <w:r>
        <w:rPr>
          <w:rFonts w:hint="eastAsia" w:ascii="宋体" w:hAnsi="宋体" w:cs="宋体"/>
          <w:color w:val="auto"/>
          <w:sz w:val="21"/>
          <w:szCs w:val="21"/>
          <w:highlight w:val="none"/>
        </w:rPr>
        <w:t>投标文件格式</w:t>
      </w:r>
    </w:p>
    <w:p>
      <w:pPr>
        <w:pStyle w:val="25"/>
        <w:spacing w:after="0" w:line="276"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第五章  </w:t>
      </w:r>
      <w:r>
        <w:rPr>
          <w:rFonts w:hint="eastAsia" w:ascii="宋体" w:hAnsi="宋体" w:cs="宋体"/>
          <w:color w:val="auto"/>
          <w:sz w:val="21"/>
          <w:szCs w:val="21"/>
          <w:highlight w:val="none"/>
        </w:rPr>
        <w:t>技术条件（工程建设标准）（另册）</w:t>
      </w:r>
    </w:p>
    <w:p>
      <w:pPr>
        <w:pStyle w:val="25"/>
        <w:spacing w:after="0" w:line="276"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第六章  </w:t>
      </w:r>
      <w:r>
        <w:rPr>
          <w:rFonts w:hint="eastAsia" w:ascii="宋体" w:hAnsi="宋体" w:cs="宋体"/>
          <w:color w:val="auto"/>
          <w:sz w:val="21"/>
          <w:szCs w:val="21"/>
          <w:highlight w:val="none"/>
        </w:rPr>
        <w:t>图纸及勘察资料（另册）</w:t>
      </w:r>
    </w:p>
    <w:p>
      <w:pPr>
        <w:pStyle w:val="25"/>
        <w:spacing w:after="0" w:line="276"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第七章  招标</w:t>
      </w:r>
      <w:r>
        <w:rPr>
          <w:rFonts w:hint="eastAsia" w:ascii="宋体" w:hAnsi="宋体" w:cs="宋体"/>
          <w:color w:val="auto"/>
          <w:sz w:val="21"/>
          <w:szCs w:val="21"/>
          <w:highlight w:val="none"/>
        </w:rPr>
        <w:t>工程量清单（另册）</w:t>
      </w:r>
    </w:p>
    <w:p>
      <w:pPr>
        <w:pStyle w:val="25"/>
        <w:spacing w:after="0" w:line="276" w:lineRule="auto"/>
        <w:ind w:left="-2"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第八章  最高投标限价</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注：招标人应在技术条件（工程建设标准）中明确施工现场建筑垃圾源头减量的具体要求和建筑垃圾综合利用产品的使用要求。</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7.3 投标人一旦中标，招标文件的内容对招标人和中标人双方均有约束力。</w:t>
      </w:r>
    </w:p>
    <w:p>
      <w:pPr>
        <w:pStyle w:val="25"/>
        <w:spacing w:after="0" w:line="276"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8．招标答疑</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8.1 投标人若对招标文件（包括招标图纸）中有疑问，可以书面形式通过</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交易平台提交给招标人或招标代理人，提交形式见本须知前附表第16项。</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8.2招标答疑会会议纪要将在提交投标文件截止时间15日前在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 “项目答疑纪要”专区公开发布。答疑纪要一经在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交易平台发布，视作已发放给所有投标人。</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8.3答疑会会议纪要为招标文件的一部分。</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8.4若招标答疑会会议纪要与招标文件有矛盾，以答疑会议纪要最后发出的书面形式的文件为准。</w:t>
      </w:r>
    </w:p>
    <w:p>
      <w:pPr>
        <w:pStyle w:val="25"/>
        <w:spacing w:after="0" w:line="276"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9. 招标文件的澄清与修改</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9.1招标文件发出后,在提交投标文件截止时间15日前，招标人可对招标文件进行必要的澄清或修改。</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9.2招标文件的澄清或修改将在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交易平台“项目答疑纪要”专区公开发布。答疑纪要一经在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交易平台发布，视作已发放给所有投标人，以</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交易平台上网发布时间作为送达时间。</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9.3招标文件的修改内容为招标文件的组成部分。</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9.4招标文件的澄清或修改均以书面形式明确的内容为准。当招标文件的澄清、修改、补充等在同一内容的表述不一致时，以最后发出的书面形式的文件为准。</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5"/>
        <w:spacing w:before="156" w:beforeAutospacing="0" w:after="156" w:afterAutospacing="0" w:line="276" w:lineRule="auto"/>
        <w:rPr>
          <w:rFonts w:hint="eastAsia" w:cs="宋体"/>
          <w:b/>
          <w:bCs/>
          <w:color w:val="auto"/>
          <w:sz w:val="21"/>
          <w:szCs w:val="21"/>
          <w:highlight w:val="none"/>
        </w:rPr>
      </w:pPr>
      <w:bookmarkStart w:id="10" w:name="_Toc105014626"/>
      <w:r>
        <w:rPr>
          <w:rFonts w:hint="eastAsia" w:cs="宋体"/>
          <w:b/>
          <w:bCs/>
          <w:color w:val="auto"/>
          <w:sz w:val="21"/>
          <w:szCs w:val="21"/>
          <w:highlight w:val="none"/>
        </w:rPr>
        <w:t>（三）投标文件的编制</w:t>
      </w:r>
      <w:bookmarkEnd w:id="10"/>
    </w:p>
    <w:p>
      <w:pPr>
        <w:pStyle w:val="25"/>
        <w:spacing w:after="0" w:line="276"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10．投标文件的语言及度量衡单位</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10.1 投标文件和与投标有关的所有文件均应使用中文。</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10.2 除工程规范另有规定外，投标文件使用的度量衡单位，均采用中华人民共和国法定计量单位。</w:t>
      </w:r>
    </w:p>
    <w:p>
      <w:pPr>
        <w:pStyle w:val="25"/>
        <w:spacing w:after="0" w:line="276"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11．投标文件的组成</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11.1 投标文件由技术部分（含资格审查文件）和经济部分两部分投标文件组成。</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11.2投标文件技术标部分主要包括下列内容：</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11.2.1 技术投标文件</w:t>
      </w:r>
      <w:r>
        <w:rPr>
          <w:rFonts w:hint="eastAsia" w:ascii="宋体" w:hAnsi="宋体" w:cs="宋体"/>
          <w:color w:val="auto"/>
          <w:szCs w:val="21"/>
          <w:highlight w:val="none"/>
        </w:rPr>
        <w:t>(按招标文件的要求填写)</w:t>
      </w:r>
      <w:r>
        <w:rPr>
          <w:rFonts w:hint="eastAsia" w:ascii="宋体" w:hAnsi="宋体" w:cs="宋体"/>
          <w:bCs/>
          <w:color w:val="auto"/>
          <w:szCs w:val="21"/>
          <w:highlight w:val="none"/>
        </w:rPr>
        <w:t>；</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11.2.2 资格审查文件：</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（1）投标人声明； </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（3）企业营业执照（取自平台内上传件）；</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（4）企业资质证书（取自平台内上传件）；</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（5）建筑施工企业安全生产许可证（取自平台内上传件）；</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（8）拟委托技术负责人的相关证书、资料（具体要求由招标人明确）；</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（9）拟委派项目负责人的建造师注册证书或小型项目负责人相关证明（取自平台内上传件）； </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（10）项目负责人安全培训考核合格证明或在有效期内的安全考核合格证书（B类）或建筑施工企业项目负责人安全生产考核合格证书（取自平台内上传件）；</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（11）专职安全员须具有在有效期内的安全考核合格证书（C类）或建筑施工企业专职安全生产管理人员安全生产考核合格证书（取自平台内上传件）；</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w:t>
      </w:r>
      <w:r>
        <w:rPr>
          <w:rFonts w:hint="eastAsia" w:ascii="宋体" w:hAnsi="宋体" w:cs="宋体"/>
          <w:color w:val="auto"/>
          <w:szCs w:val="21"/>
          <w:highlight w:val="none"/>
        </w:rPr>
        <w:t>须提供类似工程业绩的项目名称及项目编号，具体格式由招标人自定</w:t>
      </w:r>
      <w:r>
        <w:rPr>
          <w:rFonts w:hint="eastAsia" w:ascii="宋体" w:hAnsi="宋体" w:cs="宋体"/>
          <w:bCs/>
          <w:color w:val="auto"/>
          <w:szCs w:val="21"/>
          <w:highlight w:val="none"/>
        </w:rPr>
        <w:t>）；</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（13）资格审查前，投标人须在广州市住房和城乡建设局建立企业信用档案，拟担任本工程项目负责人、专职安全员须是本企业信用档案中的在册人员；</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（14）列明主办单位的联合体工作协议（采用联合体投标时需递交，投标人拟任本工程项目负责人应为联合体主办方信用档案中的在册人员，</w:t>
      </w:r>
      <w:r>
        <w:rPr>
          <w:rFonts w:hint="eastAsia" w:ascii="宋体" w:hAnsi="宋体" w:cs="宋体"/>
          <w:color w:val="auto"/>
          <w:szCs w:val="21"/>
          <w:highlight w:val="none"/>
        </w:rPr>
        <w:t>联合体工作协议应明确约定各方拟承担的工作和责任</w:t>
      </w:r>
      <w:r>
        <w:rPr>
          <w:rFonts w:hint="eastAsia" w:ascii="宋体" w:hAnsi="宋体" w:cs="宋体"/>
          <w:bCs/>
          <w:color w:val="auto"/>
          <w:szCs w:val="21"/>
          <w:highlight w:val="none"/>
        </w:rPr>
        <w:t xml:space="preserve">）； </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w:t>
      </w:r>
      <w:r>
        <w:rPr>
          <w:rFonts w:hint="eastAsia" w:ascii="宋体" w:hAnsi="宋体" w:cs="宋体"/>
          <w:color w:val="auto"/>
          <w:szCs w:val="21"/>
          <w:highlight w:val="none"/>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11.2.3项目管理机构配备。</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（3）其他辅助说明资料。</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11.2.5施工组织设计或施工方案。（投标人在编制施工组织设计或施工方案时应按照招标人提出的施工现场建筑垃圾源头减量的具体要求以及建筑垃圾综合利用产品的使用要求提供相应措施。）</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11.2.6按照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填写的《参与编制技术标投标文件人员名单》。</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11.3 经济部分投标文件主要包括下列内容：</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11.3.1 经济投标文件(按招标文件的要求填写)。</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（1）投标总价封面、扉页；</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（2）总说明；</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（3）工程项目投标报价汇总表；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（4）单项工程投标报价汇总表；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（5）单位工程投标报价汇总表；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（6）分部分项工程清单与计价表；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（7）单价措施项目清单与计价表；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（8）总价措施项目清单与计价表；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（9）综合单价分析表；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（10）其他项目清单与计价汇总表；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（11）暂列金额明细表；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（12）材料（工程设备）暂估价明细表；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（13）专业工程暂估价明细表；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（14）计日工表；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（15）总承包服务计价表；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（16）规费和税金项目计价表；</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（17）人工、主要材料和设备一览表。</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11.3.3按照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填写的《参与编制经济标投标文件人员名单》。</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pStyle w:val="25"/>
        <w:spacing w:after="0" w:line="276"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12．投标文件格式</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12.1 投标文件包括本须知第11条中规定的内容，投标人提交的投标文件应当使用招标文件所提供的投标文件全部格式（表格可以按同样格式扩展）。</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12.3 </w:t>
      </w:r>
      <w:r>
        <w:rPr>
          <w:rFonts w:hint="eastAsia" w:ascii="宋体" w:hAnsi="宋体" w:cs="宋体"/>
          <w:bCs/>
          <w:color w:val="auto"/>
          <w:sz w:val="21"/>
          <w:szCs w:val="21"/>
          <w:highlight w:val="none"/>
        </w:rPr>
        <w:t>投标文件应按</w:t>
      </w:r>
      <w:r>
        <w:rPr>
          <w:rFonts w:hint="eastAsia" w:ascii="宋体" w:hAnsi="宋体" w:cs="宋体"/>
          <w:color w:val="auto"/>
          <w:sz w:val="21"/>
          <w:szCs w:val="21"/>
          <w:highlight w:val="none"/>
        </w:rPr>
        <w:t>照交易平台关于全流程电子化项目的相关指南进行编制，详见：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如不按上述要求编制引起系统无法检索、读取相关信息的，其后果由投标人承担。</w:t>
      </w:r>
    </w:p>
    <w:p>
      <w:pPr>
        <w:pStyle w:val="25"/>
        <w:spacing w:after="0" w:line="276"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13．投标报价及造价承包和变更结算方式</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13.1 本工程的投标报价采用投标须知前附表第12项所规定的方式。投标报价（含单价及总价）精确到“分”。</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13.5.1中标的投标文件工程量清单中已有相同项目的适用综合单价，则沿用；</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13.5.4 如相关定额没有相应子目的，其计价方式由招标人在本招标文件第三章中另行规定。未规定的，中标后双方协商约定。</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13.6暂列金额、暂估价</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暂估价是指招标人在工程量清单中提供的用于支付必然发生但暂时不能确定价格的材料的单价以及专业工程的金额。</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13.7投标人可先到工地踏勘以充分了解工地位置、情况、道路、储存空间、装卸限制及任何其他足以影响承包价的情况，任何因忽视或误解工地情况而导致的索赔或工期延长申请将不被批准。</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25"/>
        <w:spacing w:after="0" w:line="276"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14．投标货币</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14.1 本工程投标报价采用的币种为人民币。</w:t>
      </w:r>
    </w:p>
    <w:p>
      <w:pPr>
        <w:pStyle w:val="25"/>
        <w:spacing w:after="0" w:line="276" w:lineRule="auto"/>
        <w:ind w:firstLine="422" w:firstLineChars="200"/>
        <w:rPr>
          <w:rFonts w:hint="eastAsia" w:ascii="宋体" w:hAnsi="宋体" w:cs="宋体"/>
          <w:color w:val="auto"/>
          <w:sz w:val="21"/>
          <w:szCs w:val="21"/>
          <w:highlight w:val="none"/>
        </w:rPr>
      </w:pPr>
      <w:r>
        <w:rPr>
          <w:rFonts w:hint="eastAsia" w:ascii="宋体" w:hAnsi="宋体" w:cs="宋体"/>
          <w:b/>
          <w:bCs/>
          <w:color w:val="auto"/>
          <w:sz w:val="21"/>
          <w:szCs w:val="21"/>
          <w:highlight w:val="none"/>
        </w:rPr>
        <w:t>15．投标有效期</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15.1 投标有效期见投标须知前附表第13项所规定的期限，在此期限内，凡符合本招标文件要求的投标文件均保持有效。</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25"/>
        <w:spacing w:after="0" w:line="276"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16．投标保证金</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16.1投标人应按投标须知前附表第14项所述金额和时间递交</w:t>
      </w:r>
      <w:r>
        <w:rPr>
          <w:rFonts w:hint="eastAsia" w:ascii="宋体" w:hAnsi="宋体" w:cs="宋体"/>
          <w:bCs/>
          <w:color w:val="auto"/>
          <w:szCs w:val="21"/>
          <w:highlight w:val="none"/>
        </w:rPr>
        <w:t>投标保证金</w:t>
      </w:r>
      <w:r>
        <w:rPr>
          <w:rFonts w:hint="eastAsia" w:ascii="宋体" w:hAnsi="宋体" w:cs="宋体"/>
          <w:color w:val="auto"/>
          <w:szCs w:val="21"/>
          <w:highlight w:val="none"/>
        </w:rPr>
        <w:t>。招标人应当允许投标人自主选择现金、银行保函、保证保险、专业工程担保公司担保等方式缴纳投标保证金。</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16.1.1 采用现金或者支票形式提交的，投标保证金须从投标人的银行基本账户转出。</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16.1.3 采用电子形式的保函、担保或保证保险提交投标保证金的，应在招标文件中明确电子递交途径。</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16.3投标保证金应依据法律法规的相关规定退还。</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16.4如有下列情况之一的，招标人可以不予退还投标保证金（是否退还投标保证金由招标人在招标文件中规定）：</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16.4.1因投标人原因造成投标文件未解密的；</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16.4.2投标人在投标有效期内撤销投标文件；</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16.4.3中标人未能在规定期限内按要求提交履约担保；</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16.4.4中标人未能在规定期限内签署合同协议。</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16.5投标人如存在下列情况之一的，将被拒绝在一定时期内参与招标人后续工程投标（拒绝时限需在招标文件中明确）：</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16.5.1投标人存在16.4条款所列情形且投标人提交的保函、担保或保证保险无法兑付的；</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16.5.2采用非电子形式提交投标保证金的投标人存在16.4条款所列情形，且未按招标人要求补交银行保函、专业工程担保公司担保或保证保险原件的；</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16.5.3按招标文件要求免于提供投标保证金的投标人存在16.4条款所列情形，且未按招标人要求补交投标保证金的；</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16.5.3按招标文件要求免于提供投标保证金的投标人存在16.4条款所列情形的。</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注：16.5.3款由招标人二选一，需在招标文件中明确。</w:t>
      </w:r>
    </w:p>
    <w:p>
      <w:pPr>
        <w:pStyle w:val="25"/>
        <w:spacing w:after="0" w:line="276"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17．投标文件的签署</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pStyle w:val="5"/>
        <w:spacing w:before="156" w:beforeAutospacing="0" w:after="156" w:afterAutospacing="0" w:line="276" w:lineRule="auto"/>
        <w:rPr>
          <w:rFonts w:hint="eastAsia" w:cs="宋体"/>
          <w:b/>
          <w:bCs/>
          <w:color w:val="auto"/>
          <w:sz w:val="21"/>
          <w:szCs w:val="21"/>
          <w:highlight w:val="none"/>
        </w:rPr>
      </w:pPr>
      <w:bookmarkStart w:id="11" w:name="_Toc105014627"/>
      <w:r>
        <w:rPr>
          <w:rFonts w:hint="eastAsia" w:cs="宋体"/>
          <w:b/>
          <w:bCs/>
          <w:color w:val="auto"/>
          <w:sz w:val="21"/>
          <w:szCs w:val="21"/>
          <w:highlight w:val="none"/>
        </w:rPr>
        <w:t>（四）投标文件的提交</w:t>
      </w:r>
      <w:bookmarkEnd w:id="11"/>
    </w:p>
    <w:p>
      <w:pPr>
        <w:pStyle w:val="25"/>
        <w:spacing w:after="0" w:line="276"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18．</w:t>
      </w:r>
      <w:r>
        <w:rPr>
          <w:rFonts w:hint="eastAsia" w:ascii="宋体" w:hAnsi="宋体" w:cs="宋体"/>
          <w:b/>
          <w:color w:val="auto"/>
          <w:sz w:val="21"/>
          <w:szCs w:val="21"/>
          <w:highlight w:val="none"/>
        </w:rPr>
        <w:t>投标文件的密封和标记</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18.2 未按要求加密的投标文件，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spacing w:line="276"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19．投标文件的递交和接收</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19.1投标人通过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交易平台递交电子投标文件。</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交易平台即时向投标人发出递交回执通知。递交时间以递交回执通知载明的传输完成时间为准。</w:t>
      </w:r>
    </w:p>
    <w:p>
      <w:pPr>
        <w:spacing w:line="276"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投标截止前，招标人拒绝接收符合条件的投标文件，投标人可向招标投标监督机构投诉。</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19.5如技术标和经济标先后分别开启，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交易平台将按招标文件规定的时间分别开启技术标和经济标。</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276"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20．投标文件提交的截止时间</w:t>
      </w:r>
    </w:p>
    <w:p>
      <w:pPr>
        <w:spacing w:line="276"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20.1投标人应在投标须知前附表第17项所述的时间前提交投标文件。</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20.3 到投标截止时间止，招标人收到的投标文件少于3家的，招标人将重新组织招标（当N个标段同时招标且不允许兼中时，若有效投标人不足N+2家，则重新组织招标）。</w:t>
      </w:r>
    </w:p>
    <w:p>
      <w:pPr>
        <w:spacing w:line="276"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21．迟交的投标文件</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pPr>
        <w:spacing w:line="276"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22．投标文件的修改与撤回</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22.1在规定的投标截止时间前，投标人可以修改或撤回已递交的投标文件，但应以书面形式通知招标人。</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22.2投标人修改或撤回已递交的投标文件，需在交易平台发出修改或撤回通知，并按要求加盖电子印章。</w:t>
      </w:r>
      <w:r>
        <w:rPr>
          <w:rFonts w:hint="eastAsia" w:ascii="宋体" w:hAnsi="宋体" w:cs="宋体"/>
          <w:bCs/>
          <w:iCs/>
          <w:color w:val="auto"/>
          <w:szCs w:val="21"/>
          <w:highlight w:val="none"/>
        </w:rPr>
        <w:t>电子招标投标交易平台收到通知后，</w:t>
      </w:r>
      <w:r>
        <w:rPr>
          <w:rFonts w:hint="eastAsia" w:ascii="宋体" w:hAnsi="宋体" w:cs="宋体"/>
          <w:color w:val="auto"/>
          <w:szCs w:val="21"/>
          <w:highlight w:val="none"/>
        </w:rPr>
        <w:t>即时向投标人发出确认回执通知。</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22.3修改后再次递交的，按19点的规定执行。</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22.4 在投标截止时间之后，投标人不得补充、修改和更换投标文件。</w:t>
      </w:r>
    </w:p>
    <w:p>
      <w:pPr>
        <w:pStyle w:val="5"/>
        <w:spacing w:before="156" w:beforeAutospacing="0" w:after="156" w:afterAutospacing="0" w:line="276" w:lineRule="auto"/>
        <w:rPr>
          <w:rFonts w:hint="eastAsia" w:cs="宋体"/>
          <w:b/>
          <w:bCs/>
          <w:color w:val="auto"/>
          <w:sz w:val="21"/>
          <w:szCs w:val="21"/>
          <w:highlight w:val="none"/>
        </w:rPr>
      </w:pPr>
      <w:bookmarkStart w:id="12" w:name="_Toc105014628"/>
      <w:r>
        <w:rPr>
          <w:rFonts w:hint="eastAsia" w:cs="宋体"/>
          <w:b/>
          <w:bCs/>
          <w:color w:val="auto"/>
          <w:sz w:val="21"/>
          <w:szCs w:val="21"/>
          <w:highlight w:val="none"/>
        </w:rPr>
        <w:t>（五）开标、评标、定标及合同签定</w:t>
      </w:r>
      <w:bookmarkEnd w:id="12"/>
    </w:p>
    <w:p>
      <w:pPr>
        <w:spacing w:line="276"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23. 开标</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详见第二章开标、评标及定标办法。</w:t>
      </w:r>
    </w:p>
    <w:p>
      <w:pPr>
        <w:spacing w:line="276"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24．评标过程的保密</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 开标后，直至中标公示为止，凡属于对投标文件的审查、澄清、评价和比较有关的资料以及中标候选人的推荐情况，与评标有关的其他任何情况均严格保密。</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 在投标文件的评审和比较、中标候选人推荐以及授予合同的过程中，投标人向招标人和评标委员会施加不公正影响的任何行为，都将会导致其投标被拒绝。</w:t>
      </w:r>
    </w:p>
    <w:p>
      <w:pPr>
        <w:spacing w:line="276"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25．投标文件的澄清，计算错误的修正</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详见招标文件第二章开标、评标及定标办法。</w:t>
      </w:r>
    </w:p>
    <w:p>
      <w:pPr>
        <w:spacing w:line="276"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26．投标文件的评审、比较和否决</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详见招标文件第二章开标、评标及定标办法。</w:t>
      </w:r>
    </w:p>
    <w:p>
      <w:pPr>
        <w:spacing w:line="276"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27．中标通知书</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27.1招标人将在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交易平台、广东省招标投标监管网和中国招标投标公共服务平台公示中标候选人，公示期为三天。</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27.2招标人应当自确定中标人后，向招标投标监管机构提交招标投标情况的书面报告；经招投标监管机构备案后，方可发出中标通知书。</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27.3中标人必须在收到中标通知书后24小时之内以书面形式回复招标人，确认收到。</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27.4在产生中标候选人后，招标人将中标候选人的投标文件商务部分文件的所有内容（包括人员、业绩、奖项等资料）在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交易平台和广东省招标投标监管网公开。</w:t>
      </w:r>
    </w:p>
    <w:p>
      <w:pPr>
        <w:spacing w:line="276"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28．合同协议书的签订</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28.1 招标人与中标人将于中标通知书发出之日起30日内，按照招标文件和中标人的投标文件商定和签订合同，招标人和中标人不得再行订立背离合同实质性内容的其他协议。</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28.3非经招标人同意，中标人在投标过程中使用的银行名称及帐号至完成竣工结算不得变更，否则招标人有权停止工程款项的拔付及至解除合同，由此造成的一切责任由中标人承担。</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28.4招标人支付工程款时，中标人应按规定开具发票。</w:t>
      </w:r>
    </w:p>
    <w:p>
      <w:pPr>
        <w:spacing w:line="276"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29．履约担保</w:t>
      </w:r>
    </w:p>
    <w:p>
      <w:pPr>
        <w:snapToGrid w:val="0"/>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29.1 在收到中标通知书后的15日内，中标人应按本须知前附表第20项的规定向招标人提交履约担保。</w:t>
      </w:r>
    </w:p>
    <w:p>
      <w:pPr>
        <w:snapToGrid w:val="0"/>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276"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30．合同生效</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30.1在合同双方全权代表在合同协议书上签字，并分别加盖双方单位的公章后，合同正式生效。</w:t>
      </w:r>
    </w:p>
    <w:p>
      <w:pPr>
        <w:spacing w:line="276"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31．其它费用</w:t>
      </w:r>
    </w:p>
    <w:p>
      <w:pPr>
        <w:pStyle w:val="25"/>
        <w:spacing w:after="0" w:line="276"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32．腐败与欺诈行为</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在招标和合同实施期间，招标人要求投标人和承包人遵守最高的道德标准。</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32．1对本条款的规定，特定义如下词汇：</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1）“腐败行为”是指在招标或合同执行期间，通过提供、给予、接受或索要任何有价值的东西，从而影响招标人有关人员工作的行为；</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32.2 如果投标人被认定在本招标的竞争中有腐败或欺诈行为，则会被取消投标资格。</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pPr>
        <w:spacing w:line="276"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33. 投标人信誉的要求</w:t>
      </w:r>
    </w:p>
    <w:p>
      <w:pPr>
        <w:spacing w:line="276" w:lineRule="auto"/>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存在下列情形之一的，招标人可以限制其投标（需在招标文件中明确评定方法）</w:t>
      </w:r>
    </w:p>
    <w:p>
      <w:pPr>
        <w:spacing w:line="276" w:lineRule="auto"/>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（1）被住房城乡建设行政主管部门在全国建筑市场监管一体化工作平台列入建筑市场主体“黑名单”；</w:t>
      </w:r>
    </w:p>
    <w:p>
      <w:pPr>
        <w:pStyle w:val="25"/>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（2）被发改委、人力资源社会保障、质检总局等有关部门、单位在“信用中国”网站中列入联合惩戒失信黑名单。</w:t>
      </w:r>
    </w:p>
    <w:p>
      <w:pPr>
        <w:pStyle w:val="83"/>
        <w:spacing w:after="0" w:line="276" w:lineRule="auto"/>
        <w:ind w:firstLineChars="200"/>
        <w:rPr>
          <w:rStyle w:val="105"/>
          <w:rFonts w:hint="eastAsia" w:ascii="宋体" w:hAnsi="宋体" w:cs="宋体"/>
          <w:color w:val="auto"/>
          <w:sz w:val="21"/>
          <w:szCs w:val="21"/>
          <w:highlight w:val="none"/>
        </w:rPr>
      </w:pPr>
    </w:p>
    <w:p>
      <w:pPr>
        <w:pStyle w:val="139"/>
        <w:spacing w:line="460" w:lineRule="exact"/>
        <w:outlineLvl w:val="0"/>
        <w:rPr>
          <w:rStyle w:val="105"/>
          <w:rFonts w:hint="eastAsia" w:ascii="宋体" w:hAnsi="宋体" w:cs="宋体"/>
          <w:bCs/>
          <w:color w:val="auto"/>
          <w:highlight w:val="none"/>
        </w:rPr>
      </w:pPr>
      <w:r>
        <w:rPr>
          <w:rStyle w:val="105"/>
          <w:rFonts w:hint="eastAsia" w:ascii="宋体" w:hAnsi="宋体" w:cs="宋体"/>
          <w:b w:val="0"/>
          <w:color w:val="auto"/>
          <w:sz w:val="24"/>
          <w:highlight w:val="none"/>
        </w:rPr>
        <w:br w:type="page"/>
      </w:r>
      <w:bookmarkStart w:id="13" w:name="_Toc105014629"/>
      <w:r>
        <w:rPr>
          <w:rStyle w:val="105"/>
          <w:rFonts w:hint="eastAsia" w:ascii="宋体" w:hAnsi="宋体" w:cs="宋体"/>
          <w:bCs/>
          <w:color w:val="auto"/>
          <w:highlight w:val="none"/>
        </w:rPr>
        <w:t>第二章  开标、评标及定标办法</w:t>
      </w:r>
      <w:bookmarkEnd w:id="13"/>
    </w:p>
    <w:p>
      <w:pPr>
        <w:pStyle w:val="148"/>
        <w:spacing w:line="460" w:lineRule="exact"/>
        <w:outlineLvl w:val="1"/>
        <w:rPr>
          <w:rStyle w:val="105"/>
          <w:rFonts w:hint="eastAsia" w:ascii="宋体" w:hAnsi="宋体" w:cs="宋体"/>
          <w:b/>
          <w:color w:val="auto"/>
          <w:highlight w:val="none"/>
        </w:rPr>
      </w:pPr>
      <w:bookmarkStart w:id="14" w:name="_Toc105014630"/>
      <w:r>
        <w:rPr>
          <w:rStyle w:val="105"/>
          <w:rFonts w:hint="eastAsia" w:ascii="宋体" w:hAnsi="宋体" w:cs="宋体"/>
          <w:b/>
          <w:color w:val="auto"/>
          <w:highlight w:val="none"/>
        </w:rPr>
        <w:t>一、开标、评标及定标办法修改表</w:t>
      </w:r>
    </w:p>
    <w:p>
      <w:pPr>
        <w:pStyle w:val="83"/>
        <w:spacing w:after="0" w:line="460" w:lineRule="exact"/>
        <w:rPr>
          <w:rStyle w:val="105"/>
          <w:rFonts w:hint="eastAsia" w:ascii="宋体" w:hAnsi="宋体" w:cs="宋体"/>
          <w:b/>
          <w:color w:val="auto"/>
          <w:sz w:val="21"/>
          <w:szCs w:val="21"/>
          <w:highlight w:val="none"/>
        </w:rPr>
      </w:pPr>
      <w:r>
        <w:rPr>
          <w:rStyle w:val="105"/>
          <w:rFonts w:hint="eastAsia" w:ascii="宋体" w:hAnsi="宋体" w:cs="宋体"/>
          <w:b/>
          <w:color w:val="auto"/>
          <w:sz w:val="21"/>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rFonts w:hint="eastAsia" w:ascii="宋体" w:hAnsi="宋体" w:cs="宋体"/>
          <w:b/>
          <w:color w:val="auto"/>
          <w:highlight w:val="none"/>
        </w:rPr>
        <w:t>http://zfcj.gz.gov.cn/</w:t>
      </w:r>
      <w:r>
        <w:rPr>
          <w:rFonts w:hint="eastAsia" w:ascii="宋体" w:hAnsi="宋体" w:cs="宋体"/>
          <w:color w:val="auto"/>
          <w:highlight w:val="none"/>
        </w:rPr>
        <w:t>）</w:t>
      </w:r>
      <w:r>
        <w:rPr>
          <w:rStyle w:val="32"/>
          <w:rFonts w:hint="eastAsia" w:ascii="宋体" w:hAnsi="宋体" w:eastAsia="宋体" w:cs="宋体"/>
          <w:b/>
          <w:color w:val="auto"/>
          <w:sz w:val="21"/>
          <w:szCs w:val="21"/>
          <w:highlight w:val="none"/>
        </w:rPr>
        <w:t>下载GZZB2018-3</w:t>
      </w:r>
      <w:r>
        <w:rPr>
          <w:rStyle w:val="105"/>
          <w:rFonts w:hint="eastAsia" w:ascii="宋体" w:hAnsi="宋体" w:cs="宋体"/>
          <w:b/>
          <w:color w:val="auto"/>
          <w:sz w:val="21"/>
          <w:szCs w:val="21"/>
          <w:highlight w:val="none"/>
        </w:rPr>
        <w:t>范本查阅。</w:t>
      </w:r>
    </w:p>
    <w:p>
      <w:pPr>
        <w:spacing w:line="460" w:lineRule="exact"/>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w:t>
      </w:r>
      <w:r>
        <w:rPr>
          <w:rStyle w:val="105"/>
          <w:rFonts w:hint="eastAsia" w:ascii="宋体" w:hAnsi="宋体" w:cs="宋体"/>
          <w:color w:val="auto"/>
          <w:szCs w:val="21"/>
          <w:highlight w:val="none"/>
        </w:rPr>
        <w:t>36.1</w:t>
      </w:r>
      <w:r>
        <w:rPr>
          <w:rStyle w:val="105"/>
          <w:rFonts w:hint="eastAsia" w:ascii="宋体" w:hAnsi="宋体" w:cs="宋体"/>
          <w:b/>
          <w:color w:val="auto"/>
          <w:szCs w:val="21"/>
          <w:highlight w:val="none"/>
        </w:rPr>
        <w:t xml:space="preserve">          修改类型：修改</w:t>
      </w:r>
    </w:p>
    <w:p>
      <w:pPr>
        <w:spacing w:line="460" w:lineRule="exact"/>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000000" w:sz="6" w:space="1"/>
        </w:pBdr>
        <w:spacing w:line="460" w:lineRule="exact"/>
        <w:ind w:firstLine="422" w:firstLineChars="200"/>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Style w:val="105"/>
          <w:rFonts w:hint="eastAsia" w:ascii="宋体" w:hAnsi="宋体"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460" w:lineRule="exact"/>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w:t>
      </w:r>
      <w:r>
        <w:rPr>
          <w:rStyle w:val="105"/>
          <w:rFonts w:hint="eastAsia" w:ascii="宋体" w:hAnsi="宋体" w:cs="宋体"/>
          <w:color w:val="auto"/>
          <w:szCs w:val="21"/>
          <w:highlight w:val="none"/>
        </w:rPr>
        <w:t>36.3</w:t>
      </w:r>
      <w:r>
        <w:rPr>
          <w:rStyle w:val="105"/>
          <w:rFonts w:hint="eastAsia" w:ascii="宋体" w:hAnsi="宋体" w:cs="宋体"/>
          <w:b/>
          <w:color w:val="auto"/>
          <w:szCs w:val="21"/>
          <w:highlight w:val="none"/>
        </w:rPr>
        <w:t xml:space="preserve">          修改类型：删除</w:t>
      </w:r>
    </w:p>
    <w:p>
      <w:pPr>
        <w:pBdr>
          <w:bottom w:val="single" w:color="000000" w:sz="6" w:space="1"/>
        </w:pBdr>
        <w:spacing w:line="460" w:lineRule="exact"/>
        <w:ind w:firstLine="422" w:firstLineChars="200"/>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460" w:lineRule="exact"/>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条款号：36.5.1          修改类型：修改</w:t>
      </w:r>
    </w:p>
    <w:p>
      <w:pPr>
        <w:spacing w:line="460" w:lineRule="exact"/>
        <w:ind w:firstLine="422" w:firstLineChars="200"/>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36.5.1在投标截止时间后半小时内，投标人通过</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000000" w:sz="6" w:space="1"/>
        </w:pBdr>
        <w:spacing w:line="460" w:lineRule="exact"/>
        <w:ind w:firstLine="422" w:firstLineChars="200"/>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36.5.1在投标截止时间后半小时内，投标人通过</w:t>
      </w:r>
      <w:r>
        <w:rPr>
          <w:rStyle w:val="105"/>
          <w:rFonts w:hint="eastAsia" w:ascii="宋体" w:hAnsi="宋体" w:cs="宋体"/>
          <w:color w:val="auto"/>
          <w:szCs w:val="21"/>
          <w:highlight w:val="none"/>
          <w:u w:val="single"/>
        </w:rPr>
        <w:t>广州交易集团有限公司（广州公共资源交易中心）</w:t>
      </w:r>
      <w:r>
        <w:rPr>
          <w:rStyle w:val="105"/>
          <w:rFonts w:hint="eastAsia" w:ascii="宋体" w:hAnsi="宋体" w:cs="宋体"/>
          <w:color w:val="auto"/>
          <w:szCs w:val="21"/>
          <w:highlight w:val="none"/>
        </w:rPr>
        <w:t>交易平台对已递交的电子投标文件进行解密。投标人完成解密后，再由招标人进行解密。解密完成后，公布招标项目名称、投标人名称、投标报价、工期及其他内容；</w:t>
      </w:r>
    </w:p>
    <w:p>
      <w:pPr>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36.5.3</w:t>
      </w:r>
      <w:r>
        <w:rPr>
          <w:rFonts w:hint="eastAsia" w:ascii="宋体" w:hAnsi="宋体" w:cs="宋体"/>
          <w:b/>
          <w:color w:val="auto"/>
          <w:szCs w:val="21"/>
          <w:highlight w:val="none"/>
        </w:rPr>
        <w:t xml:space="preserve">          修改类型：修改</w:t>
      </w:r>
    </w:p>
    <w:p>
      <w:pPr>
        <w:spacing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36.5.3投标人代表、招标人代表、监标人、记录人等有关人员在开标记录上签字确认；若有关人员不签字的，不影响开标程序；</w:t>
      </w:r>
    </w:p>
    <w:p>
      <w:pPr>
        <w:pBdr>
          <w:bottom w:val="single" w:color="auto" w:sz="6" w:space="1"/>
        </w:pBdr>
        <w:spacing w:line="460" w:lineRule="exact"/>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36.5.3投标人代表、招标人代表、监标人、记录人等有关人员在开标记录上签字确认；若有关人员不签字的，不影响开标程序；</w:t>
      </w:r>
      <w:r>
        <w:rPr>
          <w:rFonts w:hint="eastAsia" w:ascii="宋体" w:hAnsi="宋体" w:cs="宋体"/>
          <w:color w:val="auto"/>
          <w:szCs w:val="21"/>
          <w:highlight w:val="none"/>
          <w:u w:val="single"/>
        </w:rPr>
        <w:t>若投标人不参加开标会的，或不签字确认的，视同该投标人认可开标结果。</w:t>
      </w:r>
    </w:p>
    <w:p>
      <w:pPr>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条款号：38.1          修改类型：修改</w:t>
      </w:r>
    </w:p>
    <w:p>
      <w:pPr>
        <w:spacing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38.1为有助于投标文件的审查、评价和比较，评标期间，经评标委员会或评标委员会专业评审组中两人以上（含两人）的成员以书面形式提出动议，评标委员会或评标委员会专业评审组应当书面发出澄清通知，</w:t>
      </w:r>
      <w:r>
        <w:rPr>
          <w:rFonts w:hint="eastAsia" w:ascii="宋体" w:hAnsi="宋体" w:cs="宋体"/>
          <w:color w:val="auto"/>
          <w:szCs w:val="21"/>
          <w:highlight w:val="none"/>
          <w:u w:val="single"/>
        </w:rPr>
        <w:t>要求投标人对投标文件含义不明确、对同类问题表述不一致、有明显文字和计算错误的内容以及细微偏差的内容作出澄清。</w:t>
      </w:r>
    </w:p>
    <w:p>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条款号：</w:t>
      </w:r>
      <w:r>
        <w:rPr>
          <w:rFonts w:hint="eastAsia" w:ascii="宋体" w:hAnsi="宋体" w:cs="宋体"/>
          <w:b/>
          <w:color w:val="auto"/>
          <w:szCs w:val="21"/>
          <w:highlight w:val="none"/>
        </w:rPr>
        <w:t xml:space="preserve">39.3          </w:t>
      </w:r>
      <w:r>
        <w:rPr>
          <w:rFonts w:hint="eastAsia" w:ascii="宋体" w:hAnsi="宋体" w:cs="宋体"/>
          <w:b/>
          <w:bCs/>
          <w:color w:val="auto"/>
          <w:szCs w:val="21"/>
          <w:highlight w:val="none"/>
        </w:rPr>
        <w:t>修改类型：修改</w:t>
      </w:r>
    </w:p>
    <w:p>
      <w:pPr>
        <w:spacing w:line="46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highlight w:val="none"/>
        </w:rPr>
        <w:t>39.3</w:t>
      </w:r>
      <w:r>
        <w:rPr>
          <w:rFonts w:hint="eastAsia" w:ascii="宋体" w:hAnsi="宋体" w:cs="宋体"/>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000000" w:sz="6" w:space="1"/>
        </w:pBdr>
        <w:spacing w:line="460" w:lineRule="exact"/>
        <w:ind w:firstLine="422" w:firstLineChars="200"/>
        <w:rPr>
          <w:rStyle w:val="105"/>
          <w:rFonts w:hint="eastAsia" w:ascii="宋体" w:hAnsi="宋体" w:cs="宋体"/>
          <w:b/>
          <w:color w:val="auto"/>
          <w:szCs w:val="21"/>
          <w:highlight w:val="none"/>
        </w:rPr>
      </w:pPr>
      <w:r>
        <w:rPr>
          <w:rFonts w:hint="eastAsia" w:ascii="宋体" w:hAnsi="宋体" w:cs="宋体"/>
          <w:b/>
          <w:bCs/>
          <w:color w:val="auto"/>
          <w:szCs w:val="21"/>
          <w:highlight w:val="none"/>
        </w:rPr>
        <w:t>现文：</w:t>
      </w:r>
      <w:r>
        <w:rPr>
          <w:rFonts w:hint="eastAsia" w:ascii="宋体" w:hAnsi="宋体" w:cs="宋体"/>
          <w:color w:val="auto"/>
          <w:highlight w:val="none"/>
        </w:rPr>
        <w:t>39.3</w:t>
      </w:r>
      <w:r>
        <w:rPr>
          <w:rFonts w:hint="eastAsia" w:ascii="宋体" w:hAnsi="宋体" w:cs="宋体"/>
          <w:color w:val="auto"/>
          <w:szCs w:val="21"/>
          <w:highlight w:val="none"/>
        </w:rPr>
        <w:t>排名第一的中标候选人放弃中标、或因不可抗力不能履行合同，</w:t>
      </w:r>
      <w:r>
        <w:rPr>
          <w:rFonts w:hint="eastAsia" w:ascii="宋体" w:hAnsi="宋体" w:cs="宋体"/>
          <w:color w:val="auto"/>
          <w:szCs w:val="21"/>
          <w:highlight w:val="none"/>
          <w:u w:val="single"/>
        </w:rPr>
        <w:t>或不按照招标文件要求提交履约担保，或经核查发现委派的项目负责人已在其他在建项目中任职的，或者被查实存在影响中标结果的违法行为等情形，不符合中标条件的，</w:t>
      </w:r>
      <w:r>
        <w:rPr>
          <w:rFonts w:hint="eastAsia" w:ascii="宋体" w:hAnsi="宋体" w:cs="宋体"/>
          <w:color w:val="auto"/>
          <w:szCs w:val="21"/>
          <w:highlight w:val="none"/>
        </w:rPr>
        <w:t>招标人可以确定排名第二的中标候选人为中标人。</w:t>
      </w:r>
    </w:p>
    <w:p>
      <w:pPr>
        <w:spacing w:line="460" w:lineRule="exact"/>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条款号：可选办法一（适合综合评分法一，技术标与经济标先后分别开启）  修改类型：删除</w:t>
      </w:r>
    </w:p>
    <w:p>
      <w:pPr>
        <w:pBdr>
          <w:bottom w:val="single" w:color="000000" w:sz="6" w:space="1"/>
        </w:pBdr>
        <w:spacing w:line="460" w:lineRule="exact"/>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bCs/>
          <w:color w:val="auto"/>
          <w:szCs w:val="21"/>
          <w:highlight w:val="none"/>
        </w:rPr>
        <w:t>详见《广州市建设工程施工公开招标项目招标文件范本GZZB2018-3》</w:t>
      </w:r>
    </w:p>
    <w:p>
      <w:pPr>
        <w:spacing w:line="460" w:lineRule="exact"/>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条款号：可选办法二（适合综合评分法一，技术标与经济标同时开启）  修改类型：删除</w:t>
      </w:r>
    </w:p>
    <w:p>
      <w:pPr>
        <w:pBdr>
          <w:bottom w:val="single" w:color="000000" w:sz="6" w:space="1"/>
        </w:pBdr>
        <w:spacing w:line="460" w:lineRule="exact"/>
        <w:ind w:firstLine="422" w:firstLineChars="200"/>
        <w:rPr>
          <w:rStyle w:val="105"/>
          <w:rFonts w:hint="eastAsia" w:ascii="宋体" w:hAnsi="宋体" w:cs="宋体"/>
          <w:bCs/>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bCs/>
          <w:color w:val="auto"/>
          <w:szCs w:val="21"/>
          <w:highlight w:val="none"/>
        </w:rPr>
        <w:t>详见《广州市建设工程施工公开招标项目招标文件范本GZZB2018-3》</w:t>
      </w:r>
    </w:p>
    <w:p>
      <w:pPr>
        <w:spacing w:line="460" w:lineRule="exact"/>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条款号：可选办法三（适合综合评分法二，技术标与经济标先后分别开启）  修改类型：删除</w:t>
      </w:r>
    </w:p>
    <w:p>
      <w:pPr>
        <w:pBdr>
          <w:bottom w:val="single" w:color="000000" w:sz="6" w:space="1"/>
        </w:pBdr>
        <w:spacing w:line="460" w:lineRule="exact"/>
        <w:ind w:firstLine="422" w:firstLineChars="200"/>
        <w:rPr>
          <w:rStyle w:val="105"/>
          <w:rFonts w:hint="eastAsia" w:ascii="宋体" w:hAnsi="宋体" w:cs="宋体"/>
          <w:bCs/>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bCs/>
          <w:color w:val="auto"/>
          <w:szCs w:val="21"/>
          <w:highlight w:val="none"/>
        </w:rPr>
        <w:t>详见《广州市建设工程施工公开招标项目招标文件范本GZZB2018-3》</w:t>
      </w:r>
    </w:p>
    <w:p>
      <w:pPr>
        <w:spacing w:line="460" w:lineRule="exact"/>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条款号：可选办法四（适合综合评分法二，技术标与经济标同时开启）  修改类型：删除</w:t>
      </w:r>
    </w:p>
    <w:p>
      <w:pPr>
        <w:pBdr>
          <w:bottom w:val="single" w:color="000000" w:sz="6" w:space="1"/>
        </w:pBdr>
        <w:spacing w:line="460" w:lineRule="exact"/>
        <w:ind w:firstLine="422" w:firstLineChars="200"/>
        <w:rPr>
          <w:rStyle w:val="105"/>
          <w:rFonts w:hint="eastAsia" w:ascii="宋体" w:hAnsi="宋体" w:cs="宋体"/>
          <w:bCs/>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bCs/>
          <w:color w:val="auto"/>
          <w:szCs w:val="21"/>
          <w:highlight w:val="none"/>
        </w:rPr>
        <w:t>详见《广州市建设工程施工公开招标项目招标文件范本GZZB2018-3》</w:t>
      </w:r>
    </w:p>
    <w:p>
      <w:pPr>
        <w:spacing w:line="460" w:lineRule="exact"/>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条款号：可选办法五（适合综合评分法三，技术标与经济标先后分别开启）  修改类型：删除</w:t>
      </w:r>
    </w:p>
    <w:p>
      <w:pPr>
        <w:pBdr>
          <w:bottom w:val="single" w:color="000000" w:sz="6" w:space="1"/>
        </w:pBdr>
        <w:spacing w:line="460" w:lineRule="exact"/>
        <w:ind w:firstLine="422" w:firstLineChars="200"/>
        <w:rPr>
          <w:rStyle w:val="105"/>
          <w:rFonts w:hint="eastAsia" w:ascii="宋体" w:hAnsi="宋体" w:cs="宋体"/>
          <w:bCs/>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bCs/>
          <w:color w:val="auto"/>
          <w:szCs w:val="21"/>
          <w:highlight w:val="none"/>
        </w:rPr>
        <w:t>详见《广州市建设工程施工公开招标项目招标文件范本GZZB2018-3》</w:t>
      </w:r>
    </w:p>
    <w:p>
      <w:pPr>
        <w:spacing w:line="460" w:lineRule="exact"/>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条款号：可选办法六（适合综合评分法三，技术标与经济标同时开启）  修改类型：删除</w:t>
      </w:r>
    </w:p>
    <w:p>
      <w:pPr>
        <w:pBdr>
          <w:bottom w:val="single" w:color="000000" w:sz="6" w:space="1"/>
        </w:pBdr>
        <w:spacing w:line="460" w:lineRule="exact"/>
        <w:ind w:firstLine="422" w:firstLineChars="200"/>
        <w:rPr>
          <w:rStyle w:val="105"/>
          <w:rFonts w:hint="eastAsia" w:ascii="宋体" w:hAnsi="宋体" w:cs="宋体"/>
          <w:bCs/>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bCs/>
          <w:color w:val="auto"/>
          <w:szCs w:val="21"/>
          <w:highlight w:val="none"/>
        </w:rPr>
        <w:t>详见《广州市建设工程施工公开招标项目招标文件范本GZZB2018-3》</w:t>
      </w:r>
    </w:p>
    <w:p>
      <w:pPr>
        <w:spacing w:line="460" w:lineRule="exact"/>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条款号：可选办法八（适合经评审的最低投标价法，技术标与经济标同时开启）  修改类型：删除</w:t>
      </w:r>
    </w:p>
    <w:p>
      <w:pPr>
        <w:pBdr>
          <w:bottom w:val="single" w:color="000000" w:sz="6" w:space="1"/>
        </w:pBdr>
        <w:spacing w:line="460" w:lineRule="exact"/>
        <w:ind w:firstLine="422" w:firstLineChars="200"/>
        <w:rPr>
          <w:rStyle w:val="105"/>
          <w:rFonts w:hint="eastAsia" w:ascii="宋体" w:hAnsi="宋体" w:cs="宋体"/>
          <w:bCs/>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bCs/>
          <w:color w:val="auto"/>
          <w:szCs w:val="21"/>
          <w:highlight w:val="none"/>
        </w:rPr>
        <w:t>详见《广州市建设工程施工公开招标项目招标文件范本GZZB2018-3》</w:t>
      </w:r>
    </w:p>
    <w:p>
      <w:pPr>
        <w:spacing w:line="460" w:lineRule="exact"/>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条款号：40.2          修改类型：修改</w:t>
      </w:r>
    </w:p>
    <w:p>
      <w:pPr>
        <w:spacing w:line="460" w:lineRule="exact"/>
        <w:ind w:firstLine="422" w:firstLineChars="200"/>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40.2</w:t>
      </w:r>
      <w:r>
        <w:rPr>
          <w:rFonts w:hint="eastAsia" w:ascii="宋体" w:hAnsi="宋体" w:cs="宋体"/>
          <w:color w:val="auto"/>
          <w:szCs w:val="21"/>
          <w:highlight w:val="none"/>
        </w:rPr>
        <w:t>由评标委员会对所有已公开开标的投标人进行资格审查</w:t>
      </w:r>
      <w:r>
        <w:rPr>
          <w:rStyle w:val="105"/>
          <w:rFonts w:hint="eastAsia" w:ascii="宋体" w:hAnsi="宋体" w:cs="宋体"/>
          <w:color w:val="auto"/>
          <w:szCs w:val="21"/>
          <w:highlight w:val="none"/>
        </w:rPr>
        <w:t>；</w:t>
      </w:r>
    </w:p>
    <w:p>
      <w:pPr>
        <w:pBdr>
          <w:bottom w:val="single" w:color="000000" w:sz="6" w:space="1"/>
        </w:pBdr>
        <w:spacing w:line="460" w:lineRule="exact"/>
        <w:ind w:firstLine="422" w:firstLineChars="200"/>
        <w:rPr>
          <w:rStyle w:val="105"/>
          <w:rFonts w:hint="eastAsia" w:ascii="宋体" w:hAnsi="宋体" w:cs="宋体"/>
          <w:color w:val="auto"/>
          <w:szCs w:val="21"/>
          <w:highlight w:val="none"/>
          <w:u w:val="singl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40.2由评标委员会对所有已公开开标的投标人进行资格审查，</w:t>
      </w:r>
      <w:r>
        <w:rPr>
          <w:rStyle w:val="105"/>
          <w:rFonts w:hint="eastAsia" w:ascii="宋体" w:hAnsi="宋体" w:cs="宋体"/>
          <w:color w:val="auto"/>
          <w:szCs w:val="21"/>
          <w:highlight w:val="none"/>
          <w:u w:val="single"/>
        </w:rPr>
        <w:t>并编写资格审查报告；</w:t>
      </w:r>
    </w:p>
    <w:p>
      <w:pPr>
        <w:spacing w:line="460" w:lineRule="exact"/>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条款号：41.1          修改类型：修改</w:t>
      </w:r>
    </w:p>
    <w:p>
      <w:pPr>
        <w:spacing w:line="460" w:lineRule="exact"/>
        <w:ind w:firstLine="422" w:firstLineChars="200"/>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41.1开标由招标人主持；</w:t>
      </w:r>
    </w:p>
    <w:p>
      <w:pPr>
        <w:pBdr>
          <w:bottom w:val="single" w:color="000000" w:sz="6" w:space="1"/>
        </w:pBdr>
        <w:spacing w:line="460" w:lineRule="exact"/>
        <w:ind w:firstLine="422" w:firstLineChars="200"/>
        <w:rPr>
          <w:rStyle w:val="105"/>
          <w:rFonts w:hint="eastAsia" w:ascii="宋体" w:hAnsi="宋体" w:cs="宋体"/>
          <w:color w:val="auto"/>
          <w:szCs w:val="21"/>
          <w:highlight w:val="none"/>
          <w:u w:val="singl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41.1</w:t>
      </w:r>
      <w:r>
        <w:rPr>
          <w:rStyle w:val="105"/>
          <w:rFonts w:hint="eastAsia" w:ascii="宋体" w:hAnsi="宋体" w:cs="宋体"/>
          <w:color w:val="auto"/>
          <w:szCs w:val="21"/>
          <w:highlight w:val="none"/>
          <w:u w:val="single"/>
        </w:rPr>
        <w:t>开标由招标人或招标代理主持；</w:t>
      </w:r>
    </w:p>
    <w:p>
      <w:pPr>
        <w:spacing w:line="460" w:lineRule="exact"/>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条款号：41.2.1          修改类型：修改</w:t>
      </w:r>
    </w:p>
    <w:p>
      <w:pPr>
        <w:spacing w:line="460" w:lineRule="exact"/>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41.2.1投标截止期前，各投标人递交投标文件（包括技术标投标文件、经济标投标文件）至</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交易平台。有关投标文件提交的事项详见第一章投标须知。</w:t>
      </w:r>
    </w:p>
    <w:p>
      <w:pPr>
        <w:pBdr>
          <w:bottom w:val="single" w:color="000000" w:sz="6" w:space="1"/>
        </w:pBdr>
        <w:spacing w:line="460" w:lineRule="exact"/>
        <w:ind w:firstLine="422" w:firstLineChars="200"/>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41.2.1投标截止期前，各投标人递交投标文件（包括技术标投标文件</w:t>
      </w:r>
      <w:r>
        <w:rPr>
          <w:rStyle w:val="105"/>
          <w:rFonts w:hint="eastAsia" w:ascii="宋体" w:hAnsi="宋体" w:cs="宋体"/>
          <w:color w:val="auto"/>
          <w:szCs w:val="21"/>
          <w:highlight w:val="none"/>
          <w:u w:val="single"/>
        </w:rPr>
        <w:t>（含资格审查文件）、</w:t>
      </w:r>
      <w:r>
        <w:rPr>
          <w:rStyle w:val="105"/>
          <w:rFonts w:hint="eastAsia" w:ascii="宋体" w:hAnsi="宋体" w:cs="宋体"/>
          <w:color w:val="auto"/>
          <w:szCs w:val="21"/>
          <w:highlight w:val="none"/>
        </w:rPr>
        <w:t>经济标投标文件）至</w:t>
      </w:r>
      <w:r>
        <w:rPr>
          <w:rStyle w:val="105"/>
          <w:rFonts w:hint="eastAsia" w:ascii="宋体" w:hAnsi="宋体" w:cs="宋体"/>
          <w:color w:val="auto"/>
          <w:szCs w:val="21"/>
          <w:highlight w:val="none"/>
          <w:u w:val="single"/>
        </w:rPr>
        <w:t>广州交易集团有限公司（广州公共资源交易中心）</w:t>
      </w:r>
      <w:r>
        <w:rPr>
          <w:rStyle w:val="105"/>
          <w:rFonts w:hint="eastAsia" w:ascii="宋体" w:hAnsi="宋体" w:cs="宋体"/>
          <w:color w:val="auto"/>
          <w:szCs w:val="21"/>
          <w:highlight w:val="none"/>
        </w:rPr>
        <w:t>交易平台。有关投标文件提交的事项详见第一章投标须知。</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条款号：41.2.3         修改类型：修改</w:t>
      </w:r>
    </w:p>
    <w:p>
      <w:pPr>
        <w:pStyle w:val="13"/>
        <w:spacing w:line="360" w:lineRule="auto"/>
        <w:ind w:firstLine="422" w:firstLineChars="200"/>
        <w:rPr>
          <w:rFonts w:hint="eastAsia" w:hAnsi="宋体" w:eastAsia="宋体" w:cs="宋体"/>
          <w:color w:val="auto"/>
          <w:szCs w:val="21"/>
          <w:highlight w:val="none"/>
        </w:rPr>
      </w:pPr>
      <w:r>
        <w:rPr>
          <w:rFonts w:hint="eastAsia" w:hAnsi="宋体" w:eastAsia="宋体" w:cs="宋体"/>
          <w:b/>
          <w:color w:val="auto"/>
          <w:szCs w:val="21"/>
          <w:highlight w:val="none"/>
        </w:rPr>
        <w:t>原文：</w:t>
      </w:r>
      <w:r>
        <w:rPr>
          <w:rFonts w:hint="eastAsia" w:hAnsi="宋体" w:eastAsia="宋体" w:cs="宋体"/>
          <w:color w:val="auto"/>
          <w:szCs w:val="21"/>
          <w:highlight w:val="none"/>
        </w:rPr>
        <w:t>41.2.3开标时，投标人代表有权出席开标会，也可以自主决定不参加开标会，若投标人代表对开标过程提出异议，该投标人代表须同时出示本人身份证原件。</w:t>
      </w:r>
    </w:p>
    <w:p>
      <w:pPr>
        <w:pStyle w:val="13"/>
        <w:spacing w:line="360" w:lineRule="auto"/>
        <w:ind w:firstLine="420" w:firstLineChars="200"/>
        <w:rPr>
          <w:rFonts w:hint="eastAsia" w:hAnsi="宋体" w:eastAsia="宋体" w:cs="宋体"/>
          <w:color w:val="auto"/>
          <w:highlight w:val="none"/>
          <w:u w:val="single"/>
        </w:rPr>
      </w:pPr>
      <w:r>
        <w:rPr>
          <w:rFonts w:hint="eastAsia"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-59055</wp:posOffset>
                </wp:positionH>
                <wp:positionV relativeFrom="paragraph">
                  <wp:posOffset>1183640</wp:posOffset>
                </wp:positionV>
                <wp:extent cx="5534660" cy="635"/>
                <wp:effectExtent l="0" t="0" r="0" b="0"/>
                <wp:wrapNone/>
                <wp:docPr id="14" name="直线 16"/>
                <wp:cNvGraphicFramePr/>
                <a:graphic xmlns:a="http://schemas.openxmlformats.org/drawingml/2006/main">
                  <a:graphicData uri="http://schemas.microsoft.com/office/word/2010/wordprocessingShape">
                    <wps:wsp>
                      <wps:cNvCnPr/>
                      <wps:spPr>
                        <a:xfrm>
                          <a:off x="0" y="0"/>
                          <a:ext cx="553466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 o:spid="_x0000_s1026" o:spt="20" style="position:absolute;left:0pt;margin-left:-4.65pt;margin-top:93.2pt;height:0.05pt;width:435.8pt;z-index:251661312;mso-width-relative:page;mso-height-relative:page;" filled="f" stroked="t" coordsize="21600,21600" o:gfxdata="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nDa/q&#10;1gAAAAoBAAAPAAAAAAAAAAEAIAAAACIAAABkcnMvZG93bnJldi54bWxQSwECFAAUAAAACACHTuJA&#10;xP3sFeoBAADfAwAADgAAAAAAAAABACAAAAAlAQAAZHJzL2Uyb0RvYy54bWxQSwUGAAAAAAYABgBZ&#10;AQAAgQUAAAAA&#10;">
                <v:fill on="f" focussize="0,0"/>
                <v:stroke color="#000000" joinstyle="round"/>
                <v:imagedata o:title=""/>
                <o:lock v:ext="edit" aspectratio="f"/>
              </v:line>
            </w:pict>
          </mc:Fallback>
        </mc:AlternateContent>
      </w:r>
      <w:r>
        <w:rPr>
          <w:rFonts w:hint="eastAsia" w:hAnsi="宋体" w:eastAsia="宋体" w:cs="宋体"/>
          <w:b/>
          <w:color w:val="auto"/>
          <w:szCs w:val="21"/>
          <w:highlight w:val="none"/>
        </w:rPr>
        <w:t>现文：</w:t>
      </w:r>
      <w:r>
        <w:rPr>
          <w:rFonts w:hint="eastAsia" w:hAnsi="宋体" w:eastAsia="宋体" w:cs="宋体"/>
          <w:color w:val="auto"/>
          <w:szCs w:val="21"/>
          <w:highlight w:val="none"/>
        </w:rPr>
        <w:t>41.2.3</w:t>
      </w:r>
      <w:r>
        <w:rPr>
          <w:rFonts w:hint="eastAsia" w:hAnsi="宋体" w:eastAsia="宋体" w:cs="宋体"/>
          <w:color w:val="auto"/>
          <w:szCs w:val="21"/>
          <w:highlight w:val="none"/>
          <w:u w:val="singl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条款号：41.3          修改类型：修改</w:t>
      </w:r>
    </w:p>
    <w:p>
      <w:pPr>
        <w:pBdr>
          <w:bottom w:val="single" w:color="000000" w:sz="6" w:space="1"/>
        </w:pBdr>
        <w:spacing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41.3招标人对开标过程进行记录，并存档备查，投标人在技术标开标记录上签字。</w:t>
      </w:r>
    </w:p>
    <w:p>
      <w:pPr>
        <w:pBdr>
          <w:bottom w:val="single" w:color="000000" w:sz="6" w:space="1"/>
        </w:pBdr>
        <w:spacing w:line="460" w:lineRule="exact"/>
        <w:ind w:firstLine="422" w:firstLineChars="200"/>
        <w:rPr>
          <w:rFonts w:hint="eastAsia" w:ascii="宋体" w:hAnsi="宋体" w:cs="宋体"/>
          <w:color w:val="auto"/>
          <w:szCs w:val="21"/>
          <w:highlight w:val="none"/>
          <w:u w:val="single"/>
        </w:rPr>
      </w:pPr>
      <w:r>
        <w:rPr>
          <w:rFonts w:hint="eastAsia" w:ascii="宋体" w:hAnsi="宋体" w:cs="宋体"/>
          <w:b/>
          <w:bCs/>
          <w:color w:val="auto"/>
          <w:szCs w:val="21"/>
          <w:highlight w:val="none"/>
        </w:rPr>
        <w:t>现文：</w:t>
      </w:r>
      <w:r>
        <w:rPr>
          <w:rFonts w:hint="eastAsia" w:ascii="宋体" w:hAnsi="宋体" w:cs="宋体"/>
          <w:color w:val="auto"/>
          <w:szCs w:val="21"/>
          <w:highlight w:val="none"/>
        </w:rPr>
        <w:t>41.3招标人或招标代理机构</w:t>
      </w:r>
      <w:r>
        <w:rPr>
          <w:rFonts w:hint="eastAsia" w:ascii="宋体" w:hAnsi="宋体" w:cs="宋体"/>
          <w:color w:val="auto"/>
          <w:szCs w:val="21"/>
          <w:highlight w:val="none"/>
          <w:u w:val="single"/>
        </w:rPr>
        <w:t>对开标过程进行记录，并存档备查，参加开标会的投标人在开标记录上签字。</w:t>
      </w:r>
    </w:p>
    <w:p>
      <w:pPr>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条款号：42.2          修改类型：修改</w:t>
      </w:r>
    </w:p>
    <w:p>
      <w:pPr>
        <w:spacing w:line="460" w:lineRule="exact"/>
        <w:ind w:firstLine="424" w:firstLineChars="201"/>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460" w:lineRule="exact"/>
        <w:ind w:firstLine="422" w:firstLineChars="201"/>
        <w:rPr>
          <w:rFonts w:hint="eastAsia"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spacing w:line="460" w:lineRule="exact"/>
        <w:ind w:firstLine="422" w:firstLineChars="201"/>
        <w:rPr>
          <w:rFonts w:hint="eastAsia"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方式二：评标委员会由技术评审组和经济评审组组成。其中：资格审查及技术评审由技术评标组负责，经济评审由经济评审组负责。</w:t>
      </w:r>
    </w:p>
    <w:p>
      <w:pPr>
        <w:pBdr>
          <w:bottom w:val="single" w:color="000000" w:sz="6" w:space="1"/>
        </w:pBdr>
        <w:spacing w:line="460" w:lineRule="exact"/>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42.2评标委员会的组成：方式一：评标委员会为综合评标委员会，负责资格审查及评标工作。</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条款号：43.1        修改类型：修改</w:t>
      </w:r>
    </w:p>
    <w:p>
      <w:pPr>
        <w:pStyle w:val="13"/>
        <w:spacing w:line="360" w:lineRule="auto"/>
        <w:ind w:firstLine="422" w:firstLineChars="200"/>
        <w:rPr>
          <w:rFonts w:hint="eastAsia" w:hAnsi="宋体" w:eastAsia="宋体" w:cs="宋体"/>
          <w:color w:val="auto"/>
          <w:szCs w:val="21"/>
          <w:highlight w:val="none"/>
        </w:rPr>
      </w:pPr>
      <w:r>
        <w:rPr>
          <w:rFonts w:hint="eastAsia" w:hAnsi="宋体" w:eastAsia="宋体" w:cs="宋体"/>
          <w:b/>
          <w:color w:val="auto"/>
          <w:szCs w:val="21"/>
          <w:highlight w:val="none"/>
        </w:rPr>
        <w:t>原文：</w:t>
      </w:r>
      <w:r>
        <w:rPr>
          <w:rFonts w:hint="eastAsia" w:hAnsi="宋体" w:eastAsia="宋体" w:cs="宋体"/>
          <w:color w:val="auto"/>
          <w:szCs w:val="21"/>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Bdr>
          <w:bottom w:val="single" w:color="000000" w:sz="6" w:space="1"/>
        </w:pBdr>
        <w:spacing w:line="460" w:lineRule="exact"/>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hAnsi="宋体" w:cs="宋体"/>
          <w:color w:val="auto"/>
          <w:szCs w:val="21"/>
          <w:highlight w:val="none"/>
          <w:u w:val="single"/>
        </w:rPr>
        <w:t>评委发现资格审查文件中含义不明确、对同类问题表述不一致、有明显文字和计算错误的，应当要求投标人作必要的澄清、说明后再判定投标人是否通过资格审查，不得直接认定其不通过资格审查。</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条款号：44.1          修改类型：修改</w:t>
      </w:r>
    </w:p>
    <w:p>
      <w:pPr>
        <w:pBdr>
          <w:bottom w:val="single" w:color="auto" w:sz="6" w:space="1"/>
        </w:pBdr>
        <w:spacing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spacing w:line="460" w:lineRule="exact"/>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rPr>
        <w:t>44.1</w:t>
      </w:r>
      <w:r>
        <w:rPr>
          <w:rFonts w:hint="eastAsia" w:ascii="宋体" w:hAnsi="宋体" w:cs="宋体"/>
          <w:color w:val="auto"/>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w:t>
      </w:r>
      <w:r>
        <w:rPr>
          <w:rFonts w:hint="eastAsia" w:ascii="宋体" w:hAnsi="宋体" w:cs="宋体"/>
          <w:color w:val="auto"/>
          <w:szCs w:val="21"/>
          <w:highlight w:val="none"/>
          <w:u w:val="single"/>
        </w:rPr>
        <w:t>若通过技术标有效性审查的投标人不足三家，则重新招标。评委发现投标文件中含义不明确、对同类问题表述不一致、有明显文字和计算错误的，应当要求投标人作必要的澄清、说明后再判定投标人是否通过有效性审查，不得直接否决投标。</w:t>
      </w:r>
    </w:p>
    <w:p>
      <w:pPr>
        <w:widowControl w:val="0"/>
        <w:spacing w:line="46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条款号：45.1          修改类型：修改</w:t>
      </w:r>
    </w:p>
    <w:p>
      <w:pPr>
        <w:widowControl w:val="0"/>
        <w:spacing w:line="46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45.1若通过技术标有效性审查的投标人中所有投标报价均大于等于最高投标限价*D%（D的取值范围为[94，100]，由招标人自主确定）的（具体金额为：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元），则本项目招标失败，由招标人依法重新招标。</w:t>
      </w:r>
    </w:p>
    <w:p>
      <w:pPr>
        <w:widowControl w:val="0"/>
        <w:pBdr>
          <w:bottom w:val="single" w:color="auto" w:sz="6" w:space="1"/>
        </w:pBdr>
        <w:spacing w:line="460" w:lineRule="exact"/>
        <w:ind w:firstLine="422" w:firstLineChars="200"/>
        <w:textAlignment w:val="auto"/>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45.1若通过技术标有效性审查的投标人中所有投标报价均大于等于最高投标限价</w:t>
      </w:r>
      <w:r>
        <w:rPr>
          <w:rFonts w:hint="eastAsia" w:ascii="宋体" w:hAnsi="宋体" w:cs="宋体"/>
          <w:color w:val="auto"/>
          <w:szCs w:val="21"/>
          <w:highlight w:val="none"/>
          <w:u w:val="single"/>
        </w:rPr>
        <w:t>*100%的（具体金额为：</w:t>
      </w:r>
      <w:r>
        <w:rPr>
          <w:rFonts w:hint="eastAsia" w:ascii="宋体" w:hAnsi="宋体"/>
          <w:color w:val="auto"/>
          <w:sz w:val="24"/>
          <w:szCs w:val="24"/>
          <w:highlight w:val="none"/>
          <w:u w:val="single"/>
        </w:rPr>
        <w:t>4,564,372.93</w:t>
      </w:r>
      <w:r>
        <w:rPr>
          <w:rFonts w:hint="eastAsia" w:ascii="宋体" w:hAnsi="宋体" w:cs="宋体"/>
          <w:color w:val="auto"/>
          <w:szCs w:val="21"/>
          <w:highlight w:val="none"/>
          <w:u w:val="single"/>
        </w:rPr>
        <w:t>元）</w:t>
      </w:r>
      <w:r>
        <w:rPr>
          <w:rFonts w:hint="eastAsia" w:ascii="宋体" w:hAnsi="宋体" w:cs="宋体"/>
          <w:color w:val="auto"/>
          <w:szCs w:val="21"/>
          <w:highlight w:val="none"/>
        </w:rPr>
        <w:t>，则本项目招标失败，由招标人依法重新招标。</w:t>
      </w:r>
    </w:p>
    <w:p>
      <w:pPr>
        <w:widowControl w:val="0"/>
        <w:spacing w:line="46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条款号：45.2          修改类型：修改</w:t>
      </w:r>
    </w:p>
    <w:p>
      <w:pPr>
        <w:widowControl w:val="0"/>
        <w:spacing w:line="460" w:lineRule="exact"/>
        <w:ind w:firstLine="424" w:firstLineChars="201"/>
        <w:textAlignment w:val="auto"/>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45.2按方法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计算评标参考价：</w:t>
      </w:r>
    </w:p>
    <w:p>
      <w:pPr>
        <w:widowControl w:val="0"/>
        <w:spacing w:line="460" w:lineRule="exact"/>
        <w:ind w:firstLine="422" w:firstLineChars="201"/>
        <w:textAlignment w:val="auto"/>
        <w:rPr>
          <w:rFonts w:hint="eastAsia" w:ascii="宋体" w:hAnsi="宋体" w:cs="宋体"/>
          <w:color w:val="auto"/>
          <w:szCs w:val="21"/>
          <w:highlight w:val="none"/>
        </w:rPr>
      </w:pPr>
      <w:r>
        <w:rPr>
          <w:rFonts w:hint="eastAsia" w:ascii="宋体" w:hAnsi="宋体" w:cs="宋体"/>
          <w:color w:val="auto"/>
          <w:szCs w:val="21"/>
          <w:highlight w:val="none"/>
        </w:rPr>
        <w:t>方法一：加权平均法</w:t>
      </w:r>
    </w:p>
    <w:p>
      <w:pPr>
        <w:widowControl w:val="0"/>
        <w:spacing w:line="460" w:lineRule="exact"/>
        <w:ind w:firstLine="422" w:firstLineChars="201"/>
        <w:textAlignment w:val="auto"/>
        <w:rPr>
          <w:rFonts w:hint="eastAsia" w:ascii="宋体" w:hAnsi="宋体" w:cs="宋体"/>
          <w:color w:val="auto"/>
          <w:szCs w:val="21"/>
          <w:highlight w:val="none"/>
        </w:rPr>
      </w:pPr>
      <w:r>
        <w:rPr>
          <w:rFonts w:hint="eastAsia" w:ascii="宋体" w:hAnsi="宋体" w:cs="宋体"/>
          <w:color w:val="auto"/>
          <w:szCs w:val="21"/>
          <w:highlight w:val="none"/>
        </w:rPr>
        <w:t>技术标或技术标加诚信得分（具体由招标人自定）前N名（N≥5，具体由招标人自定）的经济报价加权平均，计算评标参考价。公式如下：</w:t>
      </w:r>
    </w:p>
    <w:p>
      <w:pPr>
        <w:widowControl w:val="0"/>
        <w:spacing w:line="460" w:lineRule="exact"/>
        <w:ind w:firstLine="422" w:firstLineChars="201"/>
        <w:textAlignment w:val="auto"/>
        <w:rPr>
          <w:rFonts w:hint="eastAsia"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widowControl w:val="0"/>
        <w:spacing w:line="276" w:lineRule="auto"/>
        <w:ind w:firstLine="422" w:firstLineChars="201"/>
        <w:textAlignment w:val="auto"/>
        <w:rPr>
          <w:rFonts w:hint="eastAsia"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drawing>
          <wp:inline distT="0" distB="0" distL="0" distR="0">
            <wp:extent cx="381635" cy="445135"/>
            <wp:effectExtent l="19050" t="0" r="0" b="0"/>
            <wp:docPr id="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pic:cNvPicPr>
                      <a:picLocks noChangeAspect="1" noChangeArrowheads="1"/>
                    </pic:cNvPicPr>
                  </pic:nvPicPr>
                  <pic:blipFill>
                    <a:blip r:embed="rId19"/>
                    <a:srcRect/>
                    <a:stretch>
                      <a:fillRect/>
                    </a:stretch>
                  </pic:blipFill>
                  <pic:spPr>
                    <a:xfrm>
                      <a:off x="0" y="0"/>
                      <a:ext cx="381635" cy="445135"/>
                    </a:xfrm>
                    <a:prstGeom prst="rect">
                      <a:avLst/>
                    </a:prstGeom>
                    <a:noFill/>
                    <a:ln w="9525" cmpd="sng">
                      <a:noFill/>
                      <a:miter lim="800000"/>
                      <a:headEnd/>
                      <a:tailEnd/>
                    </a:ln>
                  </pic:spPr>
                </pic:pic>
              </a:graphicData>
            </a:graphic>
          </wp:inline>
        </w:drawing>
      </w:r>
      <w:r>
        <w:rPr>
          <w:rFonts w:hint="eastAsia" w:ascii="宋体" w:hAnsi="宋体" w:cs="宋体"/>
          <w:color w:val="auto"/>
          <w:szCs w:val="21"/>
          <w:highlight w:val="none"/>
        </w:rPr>
        <w:t>），第二名投标人的权重为（</w:t>
      </w:r>
      <w:r>
        <w:rPr>
          <w:rFonts w:hint="eastAsia" w:ascii="宋体" w:hAnsi="宋体" w:cs="宋体"/>
          <w:color w:val="auto"/>
          <w:position w:val="-23"/>
          <w:szCs w:val="21"/>
          <w:highlight w:val="none"/>
        </w:rPr>
        <w:drawing>
          <wp:inline distT="0" distB="0" distL="0" distR="0">
            <wp:extent cx="325755" cy="397510"/>
            <wp:effectExtent l="19050" t="0" r="0" b="0"/>
            <wp:docPr id="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6"/>
                    <pic:cNvPicPr>
                      <a:picLocks noChangeAspect="1" noChangeArrowheads="1"/>
                    </pic:cNvPicPr>
                  </pic:nvPicPr>
                  <pic:blipFill>
                    <a:blip r:embed="rId20"/>
                    <a:srcRect/>
                    <a:stretch>
                      <a:fillRect/>
                    </a:stretch>
                  </pic:blipFill>
                  <pic:spPr>
                    <a:xfrm>
                      <a:off x="0" y="0"/>
                      <a:ext cx="325755" cy="397510"/>
                    </a:xfrm>
                    <a:prstGeom prst="rect">
                      <a:avLst/>
                    </a:prstGeom>
                    <a:noFill/>
                    <a:ln w="9525" cmpd="sng">
                      <a:noFill/>
                      <a:miter lim="800000"/>
                      <a:headEnd/>
                      <a:tailEnd/>
                    </a:ln>
                  </pic:spPr>
                </pic:pic>
              </a:graphicData>
            </a:graphic>
          </wp:inline>
        </w:drawing>
      </w:r>
      <w:r>
        <w:rPr>
          <w:rFonts w:hint="eastAsia" w:ascii="宋体" w:hAnsi="宋体" w:cs="宋体"/>
          <w:color w:val="auto"/>
          <w:szCs w:val="21"/>
          <w:highlight w:val="none"/>
        </w:rPr>
        <w:t>），以此类推，最后一名投标人的权重为（</w:t>
      </w:r>
      <w:r>
        <w:rPr>
          <w:rFonts w:hint="eastAsia" w:ascii="宋体" w:hAnsi="宋体" w:cs="宋体"/>
          <w:color w:val="auto"/>
          <w:position w:val="-23"/>
          <w:szCs w:val="21"/>
          <w:highlight w:val="none"/>
        </w:rPr>
        <w:drawing>
          <wp:inline distT="0" distB="0" distL="0" distR="0">
            <wp:extent cx="325755" cy="397510"/>
            <wp:effectExtent l="19050" t="0" r="0" b="0"/>
            <wp:docPr id="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7"/>
                    <pic:cNvPicPr>
                      <a:picLocks noChangeAspect="1" noChangeArrowheads="1"/>
                    </pic:cNvPicPr>
                  </pic:nvPicPr>
                  <pic:blipFill>
                    <a:blip r:embed="rId21"/>
                    <a:srcRect/>
                    <a:stretch>
                      <a:fillRect/>
                    </a:stretch>
                  </pic:blipFill>
                  <pic:spPr>
                    <a:xfrm>
                      <a:off x="0" y="0"/>
                      <a:ext cx="325755" cy="397510"/>
                    </a:xfrm>
                    <a:prstGeom prst="rect">
                      <a:avLst/>
                    </a:prstGeom>
                    <a:noFill/>
                    <a:ln w="9525" cmpd="sng">
                      <a:noFill/>
                      <a:miter lim="800000"/>
                      <a:headEnd/>
                      <a:tailEnd/>
                    </a:ln>
                  </pic:spPr>
                </pic:pic>
              </a:graphicData>
            </a:graphic>
          </wp:inline>
        </w:drawing>
      </w:r>
      <w:r>
        <w:rPr>
          <w:rFonts w:hint="eastAsia" w:ascii="宋体" w:hAnsi="宋体" w:cs="宋体"/>
          <w:color w:val="auto"/>
          <w:szCs w:val="21"/>
          <w:highlight w:val="none"/>
        </w:rPr>
        <w:t>）。</w:t>
      </w:r>
    </w:p>
    <w:p>
      <w:pPr>
        <w:widowControl w:val="0"/>
        <w:spacing w:line="460" w:lineRule="exact"/>
        <w:ind w:firstLine="424" w:firstLineChars="201"/>
        <w:textAlignment w:val="auto"/>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45.2按</w:t>
      </w:r>
      <w:r>
        <w:rPr>
          <w:rFonts w:hint="eastAsia" w:ascii="宋体" w:hAnsi="宋体" w:cs="宋体"/>
          <w:color w:val="auto"/>
          <w:szCs w:val="21"/>
          <w:highlight w:val="none"/>
          <w:u w:val="single"/>
        </w:rPr>
        <w:t>方法一</w:t>
      </w:r>
      <w:r>
        <w:rPr>
          <w:rFonts w:hint="eastAsia" w:ascii="宋体" w:hAnsi="宋体" w:cs="宋体"/>
          <w:color w:val="auto"/>
          <w:szCs w:val="21"/>
          <w:highlight w:val="none"/>
        </w:rPr>
        <w:t>计算评标参考价：</w:t>
      </w:r>
    </w:p>
    <w:p>
      <w:pPr>
        <w:widowControl w:val="0"/>
        <w:spacing w:line="460" w:lineRule="exact"/>
        <w:ind w:firstLine="422" w:firstLineChars="201"/>
        <w:textAlignment w:val="auto"/>
        <w:rPr>
          <w:rFonts w:hint="eastAsia" w:ascii="宋体" w:hAnsi="宋体" w:cs="宋体"/>
          <w:color w:val="auto"/>
          <w:szCs w:val="21"/>
          <w:highlight w:val="none"/>
        </w:rPr>
      </w:pPr>
      <w:r>
        <w:rPr>
          <w:rFonts w:hint="eastAsia" w:ascii="宋体" w:hAnsi="宋体" w:cs="宋体"/>
          <w:color w:val="auto"/>
          <w:szCs w:val="21"/>
          <w:highlight w:val="none"/>
        </w:rPr>
        <w:t>方法一：加权平均法</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u w:val="single"/>
        </w:rPr>
        <w:t>技术标得分前N名（若通过技术标有效性审查的家数大于等于5家时，N=5；若小于5家时，N=通过技术标有效性审查的家数；技术标得分相同的，以投标报价较低的排前；如仍有相同情况，则由评标会对出现该情况的投标人进行编号，然后通过投票方式依次确定投标人的排序。）</w:t>
      </w:r>
      <w:r>
        <w:rPr>
          <w:rFonts w:hint="eastAsia" w:ascii="宋体" w:hAnsi="宋体" w:cs="宋体"/>
          <w:color w:val="auto"/>
          <w:szCs w:val="21"/>
          <w:highlight w:val="none"/>
        </w:rPr>
        <w:t>的经济报价加权平均，计算评标参考价。公式如下：</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pacing w:val="-4"/>
          <w:szCs w:val="21"/>
          <w:highlight w:val="none"/>
        </w:rPr>
        <w:drawing>
          <wp:inline distT="0" distB="0" distL="0" distR="0">
            <wp:extent cx="238760" cy="286385"/>
            <wp:effectExtent l="19050" t="0" r="8890" b="0"/>
            <wp:docPr id="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8"/>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a:xfrm>
                      <a:off x="0" y="0"/>
                      <a:ext cx="238760" cy="286385"/>
                    </a:xfrm>
                    <a:prstGeom prst="rect">
                      <a:avLst/>
                    </a:prstGeom>
                    <a:noFill/>
                    <a:ln w="9525" cmpd="sng">
                      <a:noFill/>
                      <a:miter lim="800000"/>
                      <a:headEnd/>
                      <a:tailEnd/>
                    </a:ln>
                  </pic:spPr>
                </pic:pic>
              </a:graphicData>
            </a:graphic>
          </wp:inline>
        </w:drawing>
      </w:r>
      <w:r>
        <w:rPr>
          <w:rFonts w:hint="eastAsia" w:ascii="宋体" w:hAnsi="宋体" w:cs="宋体"/>
          <w:color w:val="auto"/>
          <w:szCs w:val="21"/>
          <w:highlight w:val="none"/>
        </w:rPr>
        <w:t>），第二名投标人的权重为（</w:t>
      </w:r>
      <w:r>
        <w:rPr>
          <w:rFonts w:hint="eastAsia" w:ascii="宋体" w:hAnsi="宋体" w:cs="宋体"/>
          <w:color w:val="auto"/>
          <w:spacing w:val="-4"/>
          <w:szCs w:val="21"/>
          <w:highlight w:val="none"/>
        </w:rPr>
        <w:drawing>
          <wp:inline distT="0" distB="0" distL="0" distR="0">
            <wp:extent cx="238760" cy="286385"/>
            <wp:effectExtent l="19050" t="0" r="8890" b="0"/>
            <wp:docPr id="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9"/>
                    <pic:cNvPicPr>
                      <a:picLocks noChangeAspect="1" noChangeArrowheads="1"/>
                    </pic:cNvPicPr>
                  </pic:nvPicPr>
                  <pic:blipFill>
                    <a:blip r:embed="rId20">
                      <a:clrChange>
                        <a:clrFrom>
                          <a:srgbClr val="FFFFFF"/>
                        </a:clrFrom>
                        <a:clrTo>
                          <a:srgbClr val="FFFFFF">
                            <a:alpha val="0"/>
                          </a:srgbClr>
                        </a:clrTo>
                      </a:clrChange>
                    </a:blip>
                    <a:srcRect/>
                    <a:stretch>
                      <a:fillRect/>
                    </a:stretch>
                  </pic:blipFill>
                  <pic:spPr>
                    <a:xfrm>
                      <a:off x="0" y="0"/>
                      <a:ext cx="238760" cy="286385"/>
                    </a:xfrm>
                    <a:prstGeom prst="rect">
                      <a:avLst/>
                    </a:prstGeom>
                    <a:noFill/>
                    <a:ln w="9525" cmpd="sng">
                      <a:noFill/>
                      <a:miter lim="800000"/>
                      <a:headEnd/>
                      <a:tailEnd/>
                    </a:ln>
                  </pic:spPr>
                </pic:pic>
              </a:graphicData>
            </a:graphic>
          </wp:inline>
        </w:drawing>
      </w:r>
      <w:r>
        <w:rPr>
          <w:rFonts w:hint="eastAsia" w:ascii="宋体" w:hAnsi="宋体" w:cs="宋体"/>
          <w:color w:val="auto"/>
          <w:szCs w:val="21"/>
          <w:highlight w:val="none"/>
        </w:rPr>
        <w:t>），以此类推，最后一名投标人的权重为（</w:t>
      </w:r>
      <w:r>
        <w:rPr>
          <w:rFonts w:hint="eastAsia" w:ascii="宋体" w:hAnsi="宋体" w:cs="宋体"/>
          <w:color w:val="auto"/>
          <w:spacing w:val="-4"/>
          <w:szCs w:val="21"/>
          <w:highlight w:val="none"/>
        </w:rPr>
        <w:drawing>
          <wp:inline distT="0" distB="0" distL="0" distR="0">
            <wp:extent cx="238760" cy="286385"/>
            <wp:effectExtent l="19050" t="0" r="8890" b="0"/>
            <wp:docPr id="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0"/>
                    <pic:cNvPicPr>
                      <a:picLocks noChangeAspect="1" noChangeArrowheads="1"/>
                    </pic:cNvPicPr>
                  </pic:nvPicPr>
                  <pic:blipFill>
                    <a:blip r:embed="rId21">
                      <a:clrChange>
                        <a:clrFrom>
                          <a:srgbClr val="FFFFFF"/>
                        </a:clrFrom>
                        <a:clrTo>
                          <a:srgbClr val="FFFFFF">
                            <a:alpha val="0"/>
                          </a:srgbClr>
                        </a:clrTo>
                      </a:clrChange>
                    </a:blip>
                    <a:srcRect/>
                    <a:stretch>
                      <a:fillRect/>
                    </a:stretch>
                  </pic:blipFill>
                  <pic:spPr>
                    <a:xfrm>
                      <a:off x="0" y="0"/>
                      <a:ext cx="238760" cy="286385"/>
                    </a:xfrm>
                    <a:prstGeom prst="rect">
                      <a:avLst/>
                    </a:prstGeom>
                    <a:noFill/>
                    <a:ln w="9525" cmpd="sng">
                      <a:noFill/>
                      <a:miter lim="800000"/>
                      <a:headEnd/>
                      <a:tailEnd/>
                    </a:ln>
                  </pic:spPr>
                </pic:pic>
              </a:graphicData>
            </a:graphic>
          </wp:inline>
        </w:drawing>
      </w:r>
      <w:r>
        <w:rPr>
          <w:rFonts w:hint="eastAsia" w:ascii="宋体" w:hAnsi="宋体" w:cs="宋体"/>
          <w:color w:val="auto"/>
          <w:szCs w:val="21"/>
          <w:highlight w:val="none"/>
        </w:rPr>
        <w:t>）。</w:t>
      </w:r>
    </w:p>
    <w:p>
      <w:pPr>
        <w:widowControl w:val="0"/>
        <w:spacing w:line="46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color w:val="auto"/>
          <w:kern w:val="0"/>
          <w:szCs w:val="21"/>
          <w:highlight w:val="none"/>
        </w:rPr>
        <w:t>45.3</w:t>
      </w:r>
      <w:r>
        <w:rPr>
          <w:rFonts w:hint="eastAsia" w:ascii="宋体" w:hAnsi="宋体" w:cs="宋体"/>
          <w:b/>
          <w:color w:val="auto"/>
          <w:szCs w:val="21"/>
          <w:highlight w:val="none"/>
        </w:rPr>
        <w:t xml:space="preserve">          修改类型：修改</w:t>
      </w:r>
    </w:p>
    <w:p>
      <w:pPr>
        <w:widowControl w:val="0"/>
        <w:spacing w:line="46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kern w:val="0"/>
          <w:szCs w:val="21"/>
          <w:highlight w:val="none"/>
        </w:rPr>
        <w:t>45.3当标价等于评标参考价时得100分，标价每高于评标参考价1%，扣1.5分，每低于评标参考价1%，扣1分，扣至0分为止，得出经济分，精确到小数点后两位。</w:t>
      </w:r>
    </w:p>
    <w:p>
      <w:pPr>
        <w:pBdr>
          <w:bottom w:val="single" w:color="auto" w:sz="6" w:space="1"/>
        </w:pBdr>
        <w:spacing w:line="460" w:lineRule="exact"/>
        <w:ind w:firstLine="422" w:firstLineChars="200"/>
        <w:rPr>
          <w:rFonts w:hint="eastAsia" w:ascii="宋体" w:hAnsi="宋体" w:cs="宋体"/>
          <w:color w:val="auto"/>
          <w:kern w:val="0"/>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w:t>
      </w:r>
      <w:r>
        <w:rPr>
          <w:rFonts w:hint="eastAsia" w:ascii="宋体" w:hAnsi="宋体" w:cs="宋体"/>
          <w:color w:val="auto"/>
          <w:kern w:val="0"/>
          <w:szCs w:val="21"/>
          <w:highlight w:val="none"/>
          <w:u w:val="single"/>
        </w:rPr>
        <w:t>45.3当</w:t>
      </w:r>
      <w:r>
        <w:rPr>
          <w:rFonts w:hint="eastAsia" w:ascii="宋体" w:hAnsi="宋体" w:cs="宋体"/>
          <w:color w:val="auto"/>
          <w:szCs w:val="21"/>
          <w:highlight w:val="none"/>
          <w:u w:val="single"/>
        </w:rPr>
        <w:t>投标总报价</w:t>
      </w:r>
      <w:r>
        <w:rPr>
          <w:rFonts w:hint="eastAsia" w:ascii="宋体" w:hAnsi="宋体" w:cs="宋体"/>
          <w:color w:val="auto"/>
          <w:kern w:val="0"/>
          <w:szCs w:val="21"/>
          <w:highlight w:val="none"/>
          <w:u w:val="single"/>
        </w:rPr>
        <w:t>等于评标参考价时得100分，</w:t>
      </w:r>
      <w:r>
        <w:rPr>
          <w:rFonts w:hint="eastAsia" w:ascii="宋体" w:hAnsi="宋体" w:cs="宋体"/>
          <w:color w:val="auto"/>
          <w:szCs w:val="21"/>
          <w:highlight w:val="none"/>
          <w:u w:val="single"/>
        </w:rPr>
        <w:t>投标总报价</w:t>
      </w:r>
      <w:r>
        <w:rPr>
          <w:rFonts w:hint="eastAsia" w:ascii="宋体" w:hAnsi="宋体" w:cs="宋体"/>
          <w:color w:val="auto"/>
          <w:kern w:val="0"/>
          <w:szCs w:val="21"/>
          <w:highlight w:val="none"/>
          <w:u w:val="single"/>
        </w:rPr>
        <w:t>每高于评标参考价1%，扣</w:t>
      </w:r>
      <w:r>
        <w:rPr>
          <w:rFonts w:hint="eastAsia" w:ascii="宋体" w:hAnsi="宋体" w:cs="宋体"/>
          <w:color w:val="auto"/>
          <w:kern w:val="0"/>
          <w:szCs w:val="21"/>
          <w:highlight w:val="none"/>
          <w:u w:val="single"/>
          <w:lang w:val="en-US" w:eastAsia="zh-CN"/>
        </w:rPr>
        <w:t>1</w:t>
      </w:r>
      <w:r>
        <w:rPr>
          <w:rFonts w:hint="eastAsia" w:ascii="宋体" w:hAnsi="宋体" w:cs="宋体"/>
          <w:color w:val="auto"/>
          <w:kern w:val="0"/>
          <w:szCs w:val="21"/>
          <w:highlight w:val="none"/>
          <w:u w:val="single"/>
        </w:rPr>
        <w:t>分，每低于评标参考价1%，扣</w:t>
      </w:r>
      <w:r>
        <w:rPr>
          <w:rFonts w:hint="eastAsia" w:ascii="宋体" w:hAnsi="宋体" w:cs="宋体"/>
          <w:color w:val="auto"/>
          <w:kern w:val="0"/>
          <w:szCs w:val="21"/>
          <w:highlight w:val="none"/>
          <w:u w:val="single"/>
          <w:lang w:val="en-US" w:eastAsia="zh-CN"/>
        </w:rPr>
        <w:t>0.5</w:t>
      </w:r>
      <w:r>
        <w:rPr>
          <w:rFonts w:hint="eastAsia" w:ascii="宋体" w:hAnsi="宋体" w:cs="宋体"/>
          <w:color w:val="auto"/>
          <w:kern w:val="0"/>
          <w:szCs w:val="21"/>
          <w:highlight w:val="none"/>
          <w:u w:val="single"/>
        </w:rPr>
        <w:t>分，扣至0分为止，得出经济分，精确到小数点后两位。</w:t>
      </w:r>
    </w:p>
    <w:p>
      <w:pPr>
        <w:widowControl w:val="0"/>
        <w:spacing w:line="46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color w:val="auto"/>
          <w:kern w:val="0"/>
          <w:szCs w:val="21"/>
          <w:highlight w:val="none"/>
        </w:rPr>
        <w:t>45.4</w:t>
      </w:r>
      <w:r>
        <w:rPr>
          <w:rFonts w:hint="eastAsia" w:ascii="宋体" w:hAnsi="宋体" w:cs="宋体"/>
          <w:b/>
          <w:color w:val="auto"/>
          <w:szCs w:val="21"/>
          <w:highlight w:val="none"/>
        </w:rPr>
        <w:t xml:space="preserve">          修改类型：修改</w:t>
      </w:r>
    </w:p>
    <w:p>
      <w:pPr>
        <w:widowControl w:val="0"/>
        <w:spacing w:line="46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kern w:val="0"/>
          <w:szCs w:val="21"/>
          <w:highlight w:val="none"/>
        </w:rPr>
        <w:t>45.4计算通过技术标有效性审查的投标人总得分。投标人总得分=（技术得分×技术得分权重＋经济得分×经济得分权重）×（1-诚信综合评价分数权重）＋诚信综合评价排名得分×诚信综合评价分数权重）。技术、经济得分权重按投标须知前附表的规定执行。总得分四舍五入保留两位小数。</w:t>
      </w:r>
    </w:p>
    <w:p>
      <w:pPr>
        <w:pBdr>
          <w:bottom w:val="single" w:color="auto" w:sz="6" w:space="1"/>
        </w:pBdr>
        <w:spacing w:line="460" w:lineRule="exact"/>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w:t>
      </w:r>
      <w:r>
        <w:rPr>
          <w:rFonts w:hint="eastAsia" w:ascii="宋体" w:hAnsi="宋体" w:cs="宋体"/>
          <w:color w:val="auto"/>
          <w:kern w:val="0"/>
          <w:szCs w:val="21"/>
          <w:highlight w:val="none"/>
        </w:rPr>
        <w:t>45.4计算通过技术标有效性审查的投标人总得分。</w:t>
      </w:r>
      <w:r>
        <w:rPr>
          <w:rFonts w:hint="eastAsia" w:ascii="宋体" w:hAnsi="宋体" w:cs="宋体"/>
          <w:color w:val="auto"/>
          <w:kern w:val="0"/>
          <w:szCs w:val="21"/>
          <w:highlight w:val="none"/>
          <w:u w:val="single"/>
        </w:rPr>
        <w:t>投标人总得分=技术得分＋经济得分（100分）×经济得分权重（80%）</w:t>
      </w:r>
      <w:r>
        <w:rPr>
          <w:rFonts w:hint="eastAsia" w:ascii="宋体" w:hAnsi="宋体" w:cs="宋体"/>
          <w:color w:val="auto"/>
          <w:kern w:val="0"/>
          <w:szCs w:val="21"/>
          <w:highlight w:val="none"/>
        </w:rPr>
        <w:t>。总得分四舍五入保留两位小数。</w:t>
      </w:r>
      <w:r>
        <w:rPr>
          <w:rFonts w:hint="eastAsia" w:ascii="宋体" w:hAnsi="宋体" w:cs="宋体"/>
          <w:color w:val="auto"/>
          <w:szCs w:val="21"/>
          <w:highlight w:val="none"/>
        </w:rPr>
        <w:t>总得分相同情况下的排序方法：总得分相同的投标文件，以技术分高的排前；如仍存在相同情况，则对具有相同情况的投标人，由评标委员会采用记名投票方式，以得票多的排前。注：投票方式确定排序的具体操作步骤为：由评标会对出现该情况的投标人进行编号，然后通过投票方式依次确定投标人的排序。</w:t>
      </w:r>
    </w:p>
    <w:p>
      <w:pPr>
        <w:widowControl w:val="0"/>
        <w:spacing w:line="46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color w:val="auto"/>
          <w:kern w:val="0"/>
          <w:szCs w:val="21"/>
          <w:highlight w:val="none"/>
        </w:rPr>
        <w:t>46.1</w:t>
      </w:r>
      <w:r>
        <w:rPr>
          <w:rFonts w:hint="eastAsia" w:ascii="宋体" w:hAnsi="宋体" w:cs="宋体"/>
          <w:b/>
          <w:color w:val="auto"/>
          <w:szCs w:val="21"/>
          <w:highlight w:val="none"/>
        </w:rPr>
        <w:t xml:space="preserve">          修改类型：修改</w:t>
      </w:r>
    </w:p>
    <w:p>
      <w:pPr>
        <w:widowControl w:val="0"/>
        <w:spacing w:line="46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pacing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cs="宋体"/>
          <w:color w:val="auto"/>
          <w:szCs w:val="21"/>
          <w:highlight w:val="none"/>
          <w:u w:val="singl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widowControl w:val="0"/>
        <w:spacing w:line="46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条款号：48          修改类型：修改</w:t>
      </w:r>
    </w:p>
    <w:p>
      <w:pPr>
        <w:widowControl w:val="0"/>
        <w:spacing w:line="46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kern w:val="0"/>
          <w:szCs w:val="21"/>
          <w:highlight w:val="none"/>
        </w:rPr>
        <w:t>48评标委员会应在通过投标文件经济标有效性审查的投标人中，按步骤45.4确定的投标人第二阶段排序，推荐前3名依次为第一中标候选人至第三中标候选人，并编制评标报告。</w:t>
      </w:r>
    </w:p>
    <w:p>
      <w:pPr>
        <w:pBdr>
          <w:bottom w:val="single" w:color="auto" w:sz="6" w:space="1"/>
        </w:pBdr>
        <w:spacing w:line="460" w:lineRule="exact"/>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w:t>
      </w:r>
      <w:r>
        <w:rPr>
          <w:rFonts w:hint="eastAsia" w:ascii="宋体" w:hAnsi="宋体" w:cs="宋体"/>
          <w:color w:val="auto"/>
          <w:kern w:val="0"/>
          <w:szCs w:val="21"/>
          <w:highlight w:val="none"/>
        </w:rPr>
        <w:t>48评标委员会应在通过投标文件经济标有效性审查的投标人中，</w:t>
      </w:r>
      <w:r>
        <w:rPr>
          <w:rFonts w:hint="eastAsia" w:ascii="宋体" w:hAnsi="宋体" w:cs="宋体"/>
          <w:color w:val="auto"/>
          <w:kern w:val="0"/>
          <w:szCs w:val="21"/>
          <w:highlight w:val="none"/>
          <w:u w:val="single"/>
        </w:rPr>
        <w:t>按步骤45.4确定的投标人总得分排序</w:t>
      </w:r>
      <w:r>
        <w:rPr>
          <w:rFonts w:hint="eastAsia" w:ascii="宋体" w:hAnsi="宋体" w:cs="宋体"/>
          <w:color w:val="auto"/>
          <w:kern w:val="0"/>
          <w:szCs w:val="21"/>
          <w:highlight w:val="none"/>
        </w:rPr>
        <w:t>，推荐前3名依次为第一中标候选人至第三中标候选人，并编制评标报告。</w:t>
      </w:r>
    </w:p>
    <w:p>
      <w:pPr>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条款号：附表一          修改类型：修改</w:t>
      </w:r>
    </w:p>
    <w:p>
      <w:pPr>
        <w:pBdr>
          <w:bottom w:val="single" w:color="auto" w:sz="6" w:space="1"/>
        </w:pBdr>
        <w:spacing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原范本GZZB2018-3《资格审查表》</w:t>
      </w:r>
    </w:p>
    <w:p>
      <w:pPr>
        <w:pBdr>
          <w:bottom w:val="single" w:color="auto" w:sz="6" w:space="1"/>
        </w:pBdr>
        <w:spacing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本招标文件《资格审查表》</w:t>
      </w:r>
    </w:p>
    <w:p>
      <w:pPr>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条款号：附表二          修改类型：修改</w:t>
      </w:r>
    </w:p>
    <w:p>
      <w:pPr>
        <w:pBdr>
          <w:bottom w:val="single" w:color="auto" w:sz="6" w:space="1"/>
        </w:pBdr>
        <w:spacing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原范本GZZB2018-3《技术标有效性审查表》</w:t>
      </w:r>
    </w:p>
    <w:p>
      <w:pPr>
        <w:pBdr>
          <w:bottom w:val="single" w:color="auto" w:sz="6" w:space="1"/>
        </w:pBdr>
        <w:spacing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本招标文件《技术标有效性审查表》</w:t>
      </w:r>
    </w:p>
    <w:p>
      <w:pPr>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条款号：附表三          修改类型：修改</w:t>
      </w:r>
    </w:p>
    <w:p>
      <w:pPr>
        <w:pBdr>
          <w:bottom w:val="single" w:color="auto" w:sz="6" w:space="1"/>
        </w:pBdr>
        <w:spacing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原范本GZZB2018-3《经济标有效性审查表》</w:t>
      </w:r>
    </w:p>
    <w:p>
      <w:pPr>
        <w:pBdr>
          <w:bottom w:val="single" w:color="auto" w:sz="6" w:space="1"/>
        </w:pBdr>
        <w:spacing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本招标文件《经济标有效性审查表》</w:t>
      </w:r>
    </w:p>
    <w:p>
      <w:pPr>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条款号：附表四          修改类型：修改</w:t>
      </w:r>
    </w:p>
    <w:p>
      <w:pPr>
        <w:pBdr>
          <w:bottom w:val="single" w:color="auto" w:sz="6" w:space="1"/>
        </w:pBdr>
        <w:spacing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原范本GZZB2018-3《技术标详细审查评分表》</w:t>
      </w:r>
    </w:p>
    <w:p>
      <w:pPr>
        <w:pBdr>
          <w:bottom w:val="single" w:color="auto" w:sz="6" w:space="1"/>
        </w:pBdr>
        <w:spacing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本招标文件《技术标详细审查评分表》</w:t>
      </w:r>
    </w:p>
    <w:p>
      <w:pPr>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条款号：附表五（适用于区间抽取法）          修改类型：删除</w:t>
      </w:r>
    </w:p>
    <w:p>
      <w:pPr>
        <w:pBdr>
          <w:bottom w:val="single" w:color="auto" w:sz="6" w:space="1"/>
        </w:pBdr>
        <w:spacing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原范本GZZB2018-3《经济标评分表》</w:t>
      </w:r>
    </w:p>
    <w:p>
      <w:pPr>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条款号：第四章  投标文件格式          修改类型：修改</w:t>
      </w:r>
    </w:p>
    <w:p>
      <w:pPr>
        <w:pBdr>
          <w:bottom w:val="single" w:color="auto" w:sz="6" w:space="1"/>
        </w:pBdr>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原范本GZZB2018-3 第四章 投标文件格式</w:t>
      </w:r>
    </w:p>
    <w:p>
      <w:pPr>
        <w:pBdr>
          <w:bottom w:val="single" w:color="auto" w:sz="6" w:space="1"/>
        </w:pBdr>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本招标文件 第四章 投标文件格式</w:t>
      </w:r>
    </w:p>
    <w:p>
      <w:pPr>
        <w:spacing w:line="276"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注：以上修改，仅限于本范本中有可供选择条款的情形。</w:t>
      </w:r>
    </w:p>
    <w:p>
      <w:pPr>
        <w:spacing w:line="276"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（以下无正文）</w:t>
      </w:r>
    </w:p>
    <w:p>
      <w:pPr>
        <w:pStyle w:val="13"/>
        <w:ind w:firstLine="420"/>
        <w:rPr>
          <w:rFonts w:hint="eastAsia" w:hAnsi="宋体" w:eastAsia="宋体" w:cs="宋体"/>
          <w:color w:val="auto"/>
          <w:highlight w:val="none"/>
        </w:rPr>
      </w:pPr>
    </w:p>
    <w:p>
      <w:pPr>
        <w:ind w:firstLine="420"/>
        <w:rPr>
          <w:rFonts w:hint="eastAsia" w:ascii="宋体" w:hAnsi="宋体" w:cs="宋体"/>
          <w:color w:val="auto"/>
          <w:highlight w:val="none"/>
        </w:rPr>
      </w:pPr>
    </w:p>
    <w:bookmarkEnd w:id="14"/>
    <w:p>
      <w:pPr>
        <w:ind w:firstLine="420"/>
        <w:rPr>
          <w:rFonts w:hint="eastAsia" w:ascii="宋体" w:hAnsi="宋体" w:cs="宋体"/>
          <w:color w:val="auto"/>
          <w:highlight w:val="none"/>
        </w:rPr>
      </w:pPr>
    </w:p>
    <w:p>
      <w:pPr>
        <w:pStyle w:val="148"/>
        <w:spacing w:line="460" w:lineRule="exact"/>
        <w:outlineLvl w:val="1"/>
        <w:rPr>
          <w:rStyle w:val="105"/>
          <w:rFonts w:hint="eastAsia" w:ascii="宋体" w:hAnsi="宋体" w:cs="宋体"/>
          <w:b/>
          <w:color w:val="auto"/>
          <w:highlight w:val="none"/>
        </w:rPr>
      </w:pPr>
      <w:bookmarkStart w:id="15" w:name="_Toc105014631"/>
      <w:r>
        <w:rPr>
          <w:rStyle w:val="105"/>
          <w:rFonts w:hint="eastAsia" w:ascii="宋体" w:hAnsi="宋体" w:cs="宋体"/>
          <w:b/>
          <w:color w:val="auto"/>
          <w:highlight w:val="none"/>
        </w:rPr>
        <w:br w:type="page"/>
      </w:r>
      <w:r>
        <w:rPr>
          <w:rStyle w:val="105"/>
          <w:rFonts w:hint="eastAsia" w:ascii="宋体" w:hAnsi="宋体" w:cs="宋体"/>
          <w:b/>
          <w:color w:val="auto"/>
          <w:highlight w:val="none"/>
        </w:rPr>
        <w:t>二、开标、评标及定标办法通用条款</w:t>
      </w:r>
      <w:bookmarkEnd w:id="15"/>
    </w:p>
    <w:p>
      <w:pPr>
        <w:pStyle w:val="5"/>
        <w:spacing w:before="156" w:beforeAutospacing="0" w:after="156" w:afterAutospacing="0" w:line="460" w:lineRule="exact"/>
        <w:ind w:firstLine="422" w:firstLineChars="200"/>
        <w:rPr>
          <w:rFonts w:hint="eastAsia" w:cs="宋体"/>
          <w:b/>
          <w:bCs/>
          <w:color w:val="auto"/>
          <w:sz w:val="21"/>
          <w:szCs w:val="21"/>
          <w:highlight w:val="none"/>
        </w:rPr>
      </w:pPr>
      <w:bookmarkStart w:id="16" w:name="_Toc21525501"/>
      <w:bookmarkEnd w:id="16"/>
      <w:bookmarkStart w:id="17" w:name="_Toc105014632"/>
      <w:bookmarkStart w:id="18" w:name="_Toc2272557"/>
      <w:r>
        <w:rPr>
          <w:rFonts w:hint="eastAsia" w:cs="宋体"/>
          <w:b/>
          <w:bCs/>
          <w:color w:val="auto"/>
          <w:sz w:val="21"/>
          <w:szCs w:val="21"/>
          <w:highlight w:val="none"/>
        </w:rPr>
        <w:t>（一）总则</w:t>
      </w:r>
      <w:bookmarkEnd w:id="17"/>
      <w:bookmarkEnd w:id="18"/>
    </w:p>
    <w:p>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35.开标、评标及定标所依据的规则</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35.1《中华人民共和国招标投标法》；</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35.2《中华人民共和国招标投标法实施条例》；</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35.3《评标委员会和评标方法暂行规定》（七部委第12号令）；</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35.4《工程建设项目施工招标投标办法》（七部委2003年第30号令）；</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35.5《广东省实施〈中华人民共和国招标投标法〉办法》；</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35.6《房屋建筑和市政基础设施工程施工招标投标管理办法》（建设部令第89号）；</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35.7《广东省加强建设工程招标投标监督管理的若干规定》（粤发[2004]4号）；</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35.8《广州市工程建设项目招标投标管理办法》（穗府办规〔2017〕5号）。</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35.9本项目招标文件。</w:t>
      </w:r>
    </w:p>
    <w:p>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36.开标</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36.2 招标人在招标文件要求提交投标文件的截止时间前收到的投标文件，开标时都当众予以解密、公布。</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36.4若递交投标文件的投标人不足3家，则重新组织招标。（当N个标段同时招标且不允许兼中时，若有效投标人不足N+2家，则重新组织招标）</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36.5按下列程序进行开标：</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36.5.1在投标截止时间后半小时内，投标人通过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36.5.2备用光盘的读取按投标须知前附表第36项的规定执行；</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36.5.3投标人代表、招标人代表、监标人、记录人等有关人员在开标记录上签字确认；若有关人员不签字的，不影响开标程序；</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36.5.4开标结束。</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36.7开标时，两个（含两个）以上的投标人加密打包投标文件电脑机器特征码一致的，不参与下一程序，并由评标委员会否决其投标。</w:t>
      </w:r>
    </w:p>
    <w:p>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37．评标</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37.1评标委员会由招标人依法组建。</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37.2评标委员会的职责及守则：</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37.2.1根据评标细则，对投标文件进行认真评审，完成评审报告；</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37.2.2向招标人报告评审意见，推荐合格的中标候选人。</w:t>
      </w:r>
    </w:p>
    <w:p>
      <w:pPr>
        <w:spacing w:line="46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37.2.3</w:t>
      </w:r>
      <w:r>
        <w:rPr>
          <w:rFonts w:hint="eastAsia" w:ascii="宋体" w:hAnsi="宋体" w:cs="宋体"/>
          <w:b/>
          <w:bCs/>
          <w:color w:val="auto"/>
          <w:szCs w:val="21"/>
          <w:highlight w:val="none"/>
        </w:rPr>
        <w:t xml:space="preserve"> </w:t>
      </w:r>
      <w:r>
        <w:rPr>
          <w:rFonts w:hint="eastAsia" w:ascii="宋体" w:hAnsi="宋体" w:cs="宋体"/>
          <w:color w:val="auto"/>
          <w:szCs w:val="21"/>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37.2.4全体参与评标人员：</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37.2.4.1 必须遵守评标纪律、不得泄密；</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37.2.4.2 必须公正、不得循私；</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37.2.4.3 必须科学、不得草率；</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37.2.4.4 必须客观、不得带有成见；</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37.2.4.5 必须平等、不得强加于人；</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37.2.4.6 必须严谨、不得随意马虎。</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37.3 评标结束后，评标委员会递交评标报告并依法推荐中标候选人。 </w:t>
      </w:r>
    </w:p>
    <w:p>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38．投标文件的澄清</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38.3 评标委员会或评标委员会专业评审组成员均应当阅读投标人的澄清，但应独立参考澄清对投标文件进行评审。</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38.4如果投标文件实质上不响应招标文件的各项要求，评标委员会将按照符合性审查标准予以拒绝，不接受投标人通过修改或撤销其不符合要求的差异或保留，使之成为具有响应性的投标。</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39．定标</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39.1 招标人根据评标委员会递交的评标报告，最终审定中标人。</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39.2 依法必须进行公开招标的项目，招标人应当确定排名第一的中标候选人为中标人。</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39.5 重新评标的，评标信息（含业绩、奖项等）仍以投标截止时投标人的信息为准。因特殊原因需要延长投标有效期，投标人拒绝延长投标有效期的，仍参与评标，但不被推荐为中标候选人。</w:t>
      </w:r>
      <w:bookmarkStart w:id="19" w:name="_Toc2272558"/>
      <w:bookmarkEnd w:id="19"/>
      <w:bookmarkStart w:id="20" w:name="_Toc105014633"/>
      <w:bookmarkStart w:id="21" w:name="_Toc21525502"/>
    </w:p>
    <w:p>
      <w:pPr>
        <w:spacing w:line="46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（二）开标评标办法程序和细则</w:t>
      </w:r>
      <w:bookmarkEnd w:id="20"/>
      <w:bookmarkEnd w:id="21"/>
    </w:p>
    <w:p>
      <w:pPr>
        <w:spacing w:line="460" w:lineRule="exact"/>
        <w:ind w:firstLine="420" w:firstLineChars="200"/>
        <w:rPr>
          <w:rFonts w:hint="eastAsia" w:ascii="宋体" w:hAnsi="宋体" w:cs="宋体"/>
          <w:color w:val="auto"/>
          <w:szCs w:val="21"/>
          <w:highlight w:val="none"/>
        </w:rPr>
      </w:pPr>
      <w:r>
        <w:rPr>
          <w:rFonts w:hint="eastAsia" w:ascii="宋体" w:hAnsi="宋体" w:cs="宋体"/>
          <w:strike/>
          <w:color w:val="auto"/>
          <w:szCs w:val="21"/>
          <w:highlight w:val="none"/>
        </w:rPr>
        <w:t>注：以下八种评标办法所述企业综合诚信评价分数即投标截止当日广州市工程招标代理行业协会网站上公布的企业综合诚信评价60日诚信分。</w:t>
      </w:r>
      <w:bookmarkStart w:id="22" w:name="_Toc2272563"/>
      <w:bookmarkEnd w:id="22"/>
      <w:bookmarkStart w:id="23" w:name="_Toc2272559"/>
      <w:bookmarkEnd w:id="23"/>
      <w:bookmarkStart w:id="24" w:name="_Toc71617140"/>
      <w:bookmarkStart w:id="25" w:name="_Toc100130481"/>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可选办法七（适合综合评分法四，技术标与经济标同时开启）</w:t>
      </w:r>
      <w:bookmarkEnd w:id="24"/>
      <w:bookmarkEnd w:id="25"/>
    </w:p>
    <w:p>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40．开标和评标程序</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40.1技术标（含资格审查文件）与经济标投标文件同时公开开标；</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40.2由评标委员会对所有已公开开标的投标人进行资格审查；</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40.3技术标投标文件有效性审查；</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40.4技术标详细审查评分；</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40.5经济标详细审查评分； </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40.6评标委员会按照投标人总得分由高至低排序；</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40.7经济标投标文件有效性审查；</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40.8评标委员会按排序向招标人推荐中标候选人名单，并递交资格审查报告及评标报告。</w:t>
      </w:r>
    </w:p>
    <w:p>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41．开标细则</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41.1开标由招标人主持；</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 细则</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交易平台。有关投标文件提交的事项详见第一章投标须知。 </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41.2.2开标前，首先由招标人随机抽取确定该工程计算评标参考价的等分点值X。</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41.2.3开标时，投标人代表有权出席开标会，也可以自主决定不参加开标会，若投标人代表对开标过程提出异议，该投标人代表须同时出示本人身份证原件。</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41.2.4按36.5.1的规定完成解密后，公布下列内容，并予以记录，记录提交评标委员会评审：</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41.3招标人对开标过程进行记录，并存档备查，投标人在技术标开标记录上签字。</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41.4 招标人将上述符合要求的投标文件，送至评标委员会进行评审。</w:t>
      </w:r>
    </w:p>
    <w:p>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42. 资格审查及评标细则</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42.1资格审查及评标均由招标人依法组建的评标委员会负责。</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方式二：评标委员会由技术评审组和经济评审组组成。其中：资格审查及技术评审由技术评标组负责，经济评审由经济评审组负责。</w:t>
      </w:r>
    </w:p>
    <w:p>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43．投标人资格审查</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43.2汇总资格审查情况，编写资格审查报告。</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43.3资格审查不合格的投标文件不参加下一阶段的评标，不参与评标参考价的计算。</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43.5资审合格后，投标人的资格发生变化而不满足投标人合格条件，在发出中标通知书前，资格问题仍未解决的，招标人将取消其中标资格。</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43.6资格审查合格的投标人少于3名的（当N个标段同时招标且不允许兼中时，资格审查合格的投标人少于N+2名），则本项目招标失败。</w:t>
      </w:r>
    </w:p>
    <w:p>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44．技术标评审</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45．经济标评审和得分汇总</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45.1若通过技术标有效性审查的投标人中所有投标报价均大于等于最高投标限价*D%（D的取值范围为[94,100],由招标人自主确定）的（具体金额为：</w:t>
      </w:r>
      <w:r>
        <w:rPr>
          <w:rFonts w:hint="eastAsia" w:ascii="宋体" w:hAnsi="宋体"/>
          <w:color w:val="auto"/>
          <w:szCs w:val="21"/>
          <w:highlight w:val="none"/>
          <w:u w:val="single"/>
        </w:rPr>
        <w:t xml:space="preserve">      </w:t>
      </w:r>
      <w:r>
        <w:rPr>
          <w:rFonts w:hint="eastAsia" w:ascii="宋体" w:hAnsi="宋体"/>
          <w:color w:val="auto"/>
          <w:szCs w:val="21"/>
          <w:highlight w:val="none"/>
        </w:rPr>
        <w:t>元），则本项目招标失败，由招标人依法重新招标。</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45.2按方法</w:t>
      </w:r>
      <w:r>
        <w:rPr>
          <w:rFonts w:hint="eastAsia" w:ascii="宋体" w:hAnsi="宋体"/>
          <w:color w:val="auto"/>
          <w:szCs w:val="21"/>
          <w:highlight w:val="none"/>
          <w:u w:val="single"/>
        </w:rPr>
        <w:t xml:space="preserve">    </w:t>
      </w:r>
      <w:r>
        <w:rPr>
          <w:rFonts w:hint="eastAsia" w:ascii="宋体" w:hAnsi="宋体"/>
          <w:color w:val="auto"/>
          <w:szCs w:val="21"/>
          <w:highlight w:val="none"/>
        </w:rPr>
        <w:t>计算评标参考价：</w:t>
      </w:r>
    </w:p>
    <w:p>
      <w:pPr>
        <w:spacing w:line="460" w:lineRule="exact"/>
        <w:ind w:firstLine="422" w:firstLineChars="200"/>
        <w:rPr>
          <w:rFonts w:hint="eastAsia" w:ascii="宋体" w:hAnsi="宋体" w:cs="宋体"/>
          <w:color w:val="auto"/>
          <w:szCs w:val="21"/>
          <w:highlight w:val="none"/>
        </w:rPr>
      </w:pPr>
      <w:r>
        <w:rPr>
          <w:rFonts w:hint="eastAsia" w:ascii="宋体" w:hAnsi="宋体" w:cs="宋体"/>
          <w:b/>
          <w:bCs/>
          <w:color w:val="auto"/>
          <w:kern w:val="0"/>
          <w:szCs w:val="21"/>
          <w:highlight w:val="none"/>
        </w:rPr>
        <w:t>方法一：加权平均法</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技术标或技术标加诚信得分（具体由招标人自定）前N名（N≥5，具体由招标人自定）的经济报价加权平均，计算评标参考价。公式如下：</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0" distR="0">
            <wp:extent cx="381635" cy="445135"/>
            <wp:effectExtent l="19050" t="0" r="0" b="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a:xfrm>
                      <a:off x="0" y="0"/>
                      <a:ext cx="381635" cy="445135"/>
                    </a:xfrm>
                    <a:prstGeom prst="rect">
                      <a:avLst/>
                    </a:prstGeom>
                    <a:noFill/>
                    <a:ln w="9525" cmpd="sng">
                      <a:noFill/>
                      <a:miter lim="800000"/>
                      <a:headEnd/>
                      <a:tailEnd/>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0" distR="0">
            <wp:extent cx="381635" cy="445135"/>
            <wp:effectExtent l="19050" t="0" r="0" b="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a:xfrm>
                      <a:off x="0" y="0"/>
                      <a:ext cx="381635" cy="445135"/>
                    </a:xfrm>
                    <a:prstGeom prst="rect">
                      <a:avLst/>
                    </a:prstGeom>
                    <a:noFill/>
                    <a:ln w="9525" cmpd="sng">
                      <a:noFill/>
                      <a:miter lim="800000"/>
                      <a:headEnd/>
                      <a:tailEnd/>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0" distR="0">
            <wp:extent cx="318135" cy="405765"/>
            <wp:effectExtent l="19050" t="0" r="5715" b="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noChangeArrowheads="1"/>
                    </pic:cNvPicPr>
                  </pic:nvPicPr>
                  <pic:blipFill>
                    <a:blip r:embed="rId20">
                      <a:clrChange>
                        <a:clrFrom>
                          <a:srgbClr val="FFFFFF"/>
                        </a:clrFrom>
                        <a:clrTo>
                          <a:srgbClr val="FFFFFF">
                            <a:alpha val="0"/>
                          </a:srgbClr>
                        </a:clrTo>
                      </a:clrChange>
                    </a:blip>
                    <a:srcRect/>
                    <a:stretch>
                      <a:fillRect/>
                    </a:stretch>
                  </pic:blipFill>
                  <pic:spPr>
                    <a:xfrm>
                      <a:off x="0" y="0"/>
                      <a:ext cx="318135" cy="405765"/>
                    </a:xfrm>
                    <a:prstGeom prst="rect">
                      <a:avLst/>
                    </a:prstGeom>
                    <a:noFill/>
                    <a:ln w="9525" cmpd="sng">
                      <a:noFill/>
                      <a:miter lim="800000"/>
                      <a:headEnd/>
                      <a:tailEnd/>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0" distR="0">
            <wp:extent cx="318135" cy="405765"/>
            <wp:effectExtent l="19050" t="0" r="5715" b="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0">
                      <a:clrChange>
                        <a:clrFrom>
                          <a:srgbClr val="FFFFFF"/>
                        </a:clrFrom>
                        <a:clrTo>
                          <a:srgbClr val="FFFFFF">
                            <a:alpha val="0"/>
                          </a:srgbClr>
                        </a:clrTo>
                      </a:clrChange>
                    </a:blip>
                    <a:srcRect/>
                    <a:stretch>
                      <a:fillRect/>
                    </a:stretch>
                  </pic:blipFill>
                  <pic:spPr>
                    <a:xfrm>
                      <a:off x="0" y="0"/>
                      <a:ext cx="318135" cy="405765"/>
                    </a:xfrm>
                    <a:prstGeom prst="rect">
                      <a:avLst/>
                    </a:prstGeom>
                    <a:noFill/>
                    <a:ln w="9525" cmpd="sng">
                      <a:noFill/>
                      <a:miter lim="800000"/>
                      <a:headEnd/>
                      <a:tailEnd/>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0" distR="0">
            <wp:extent cx="318135" cy="405765"/>
            <wp:effectExtent l="19050" t="0" r="5715"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noChangeArrowheads="1"/>
                    </pic:cNvPicPr>
                  </pic:nvPicPr>
                  <pic:blipFill>
                    <a:blip r:embed="rId21">
                      <a:clrChange>
                        <a:clrFrom>
                          <a:srgbClr val="FFFFFF"/>
                        </a:clrFrom>
                        <a:clrTo>
                          <a:srgbClr val="FFFFFF">
                            <a:alpha val="0"/>
                          </a:srgbClr>
                        </a:clrTo>
                      </a:clrChange>
                    </a:blip>
                    <a:srcRect/>
                    <a:stretch>
                      <a:fillRect/>
                    </a:stretch>
                  </pic:blipFill>
                  <pic:spPr>
                    <a:xfrm>
                      <a:off x="0" y="0"/>
                      <a:ext cx="318135" cy="405765"/>
                    </a:xfrm>
                    <a:prstGeom prst="rect">
                      <a:avLst/>
                    </a:prstGeom>
                    <a:noFill/>
                    <a:ln w="9525" cmpd="sng">
                      <a:noFill/>
                      <a:miter lim="800000"/>
                      <a:headEnd/>
                      <a:tailEnd/>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0" distR="0">
            <wp:extent cx="318135" cy="405765"/>
            <wp:effectExtent l="19050" t="0" r="5715"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noChangeArrowheads="1"/>
                    </pic:cNvPicPr>
                  </pic:nvPicPr>
                  <pic:blipFill>
                    <a:blip r:embed="rId21">
                      <a:clrChange>
                        <a:clrFrom>
                          <a:srgbClr val="FFFFFF"/>
                        </a:clrFrom>
                        <a:clrTo>
                          <a:srgbClr val="FFFFFF">
                            <a:alpha val="0"/>
                          </a:srgbClr>
                        </a:clrTo>
                      </a:clrChange>
                    </a:blip>
                    <a:srcRect/>
                    <a:stretch>
                      <a:fillRect/>
                    </a:stretch>
                  </pic:blipFill>
                  <pic:spPr>
                    <a:xfrm>
                      <a:off x="0" y="0"/>
                      <a:ext cx="318135" cy="405765"/>
                    </a:xfrm>
                    <a:prstGeom prst="rect">
                      <a:avLst/>
                    </a:prstGeom>
                    <a:noFill/>
                    <a:ln w="9525" cmpd="sng">
                      <a:noFill/>
                      <a:miter lim="800000"/>
                      <a:headEnd/>
                      <a:tailEnd/>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spacing w:line="460" w:lineRule="exact"/>
        <w:ind w:firstLine="422" w:firstLineChars="200"/>
        <w:rPr>
          <w:rFonts w:hint="eastAsia" w:ascii="宋体" w:hAnsi="宋体" w:cs="宋体"/>
          <w:color w:val="auto"/>
          <w:szCs w:val="21"/>
          <w:highlight w:val="none"/>
        </w:rPr>
      </w:pPr>
      <w:r>
        <w:rPr>
          <w:rFonts w:hint="eastAsia" w:ascii="宋体" w:hAnsi="宋体" w:cs="宋体"/>
          <w:b/>
          <w:bCs/>
          <w:color w:val="auto"/>
          <w:kern w:val="0"/>
          <w:szCs w:val="21"/>
          <w:highlight w:val="none"/>
        </w:rPr>
        <w:t>方法二：区间抽取法</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评标参考价=（Q</w:t>
      </w:r>
      <w:r>
        <w:rPr>
          <w:rFonts w:hint="eastAsia" w:ascii="宋体" w:hAnsi="宋体" w:cs="宋体"/>
          <w:color w:val="auto"/>
          <w:kern w:val="0"/>
          <w:szCs w:val="21"/>
          <w:highlight w:val="none"/>
          <w:vertAlign w:val="subscript"/>
        </w:rPr>
        <w:t>高</w:t>
      </w: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低</w:t>
      </w:r>
      <w:r>
        <w:rPr>
          <w:rFonts w:hint="eastAsia" w:ascii="宋体" w:hAnsi="宋体" w:cs="宋体"/>
          <w:color w:val="auto"/>
          <w:kern w:val="0"/>
          <w:szCs w:val="21"/>
          <w:highlight w:val="none"/>
        </w:rPr>
        <w:t>）/100*Ｘ+Q</w:t>
      </w:r>
      <w:r>
        <w:rPr>
          <w:rFonts w:hint="eastAsia" w:ascii="宋体" w:hAnsi="宋体" w:cs="宋体"/>
          <w:color w:val="auto"/>
          <w:kern w:val="0"/>
          <w:szCs w:val="21"/>
          <w:highlight w:val="none"/>
          <w:vertAlign w:val="subscript"/>
        </w:rPr>
        <w:t>低</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Q</w:t>
      </w:r>
      <w:r>
        <w:rPr>
          <w:rFonts w:hint="eastAsia" w:ascii="宋体" w:hAnsi="宋体" w:cs="宋体"/>
          <w:color w:val="auto"/>
          <w:szCs w:val="21"/>
          <w:highlight w:val="none"/>
          <w:vertAlign w:val="subscript"/>
        </w:rPr>
        <w:t>低</w:t>
      </w:r>
      <w:r>
        <w:rPr>
          <w:rFonts w:hint="eastAsia" w:ascii="宋体" w:hAnsi="宋体" w:cs="宋体"/>
          <w:color w:val="auto"/>
          <w:szCs w:val="21"/>
          <w:highlight w:val="none"/>
        </w:rPr>
        <w:t>：为达到或超过技术标及格分数线的投标人最低报价与工程成本警示价两者中的较高值；</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高</w:t>
      </w:r>
      <w:r>
        <w:rPr>
          <w:rFonts w:hint="eastAsia" w:ascii="宋体" w:hAnsi="宋体" w:cs="宋体"/>
          <w:color w:val="auto"/>
          <w:szCs w:val="21"/>
          <w:highlight w:val="none"/>
        </w:rPr>
        <w:t>：为（最高投标限价*D%）（D的取值范围为[94,100],由招标人自定）</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X:为等分点值，在开标前从[0,100]整数中随机抽取。</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45.3</w:t>
      </w:r>
      <w:r>
        <w:rPr>
          <w:rFonts w:hint="eastAsia" w:ascii="宋体" w:hAnsi="宋体" w:cs="宋体"/>
          <w:color w:val="auto"/>
          <w:szCs w:val="21"/>
          <w:highlight w:val="none"/>
        </w:rPr>
        <w:t>当标价等于评标参考价时得100分，标价每高于评标参考价1%，扣1.5分，每低于评标参考价1%，扣1分，扣至0分为止，得出经济分，精确到小数点后两位。</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45.4计算通过技术标有效性审查的投标人总得分。投标人总得分=（技术得分×技术得分权重＋经济得分×经济得分权重）×（1-诚信综合评价分数权重）＋诚信综合评价排名得分×诚信综合评价分数权重）。技术、经济得分权重按投标须知前附表的规定执行。总得分四舍五入保留两位小数。</w:t>
      </w:r>
    </w:p>
    <w:p>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46.经济标的有效性审查</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46.2经济标的算术校核。评标委员会对进行经济标有效性审查的投标文件投标报价按照就低不就高的原则进行算术校核，具体标准如下：</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46.2.1如果数字表示的金额和用文字表示的金额不一致时，应以文字表示的金额为准；</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46.2.2经算术复核的投标人报价与其投标报价不一致时，按就低不就高原则确定其最终报价；</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46.2.4当合价、金额累加错误时，按就低不就高原则，如果累加修正值小于原累加值，则按累加修正值；如果累加修正值大于原累加值，则按原累加值；</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46.2.5如果投标人的有关规费、暂列金额、暂估价、绿色施工安全防护措施费等未按招标文件规定的金额填写的，由评标委员会按照招标文件规定的金额进行修正；</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46.2.7按就低不就高原则，当修正后报价小于原报价，总价按修正后报价；当修正后报价大于原报价，总价按原报价，并在签订合同时载明在结算价中扣除修正报价与原报价的差额。</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48.评标委员会应在通过投标文件经济标有效性审查的投标人中，按步骤45.4确定的投标人第二阶段排序，推荐前3名依次为第一中标候选人至第三中标候选人,并编制评标报告。</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49.若通过经济标有效性审查的投标人不足三家，应当依法重新招标。（当N个标段同时招标且不允许兼中时，若有效投标人不足N+2家，应当依法重新招标）</w:t>
      </w:r>
    </w:p>
    <w:p>
      <w:pPr>
        <w:spacing w:line="276" w:lineRule="auto"/>
        <w:rPr>
          <w:rStyle w:val="105"/>
          <w:rFonts w:hint="eastAsia" w:ascii="宋体" w:hAnsi="宋体" w:cs="宋体"/>
          <w:b/>
          <w:bCs/>
          <w:color w:val="auto"/>
          <w:szCs w:val="21"/>
          <w:highlight w:val="none"/>
        </w:rPr>
      </w:pPr>
    </w:p>
    <w:p>
      <w:pPr>
        <w:spacing w:line="276" w:lineRule="auto"/>
        <w:rPr>
          <w:rStyle w:val="105"/>
          <w:rFonts w:hint="eastAsia" w:ascii="宋体" w:hAnsi="宋体" w:cs="宋体"/>
          <w:b/>
          <w:bCs/>
          <w:color w:val="auto"/>
          <w:szCs w:val="21"/>
          <w:highlight w:val="none"/>
        </w:rPr>
      </w:pPr>
    </w:p>
    <w:p>
      <w:pPr>
        <w:spacing w:line="276" w:lineRule="auto"/>
        <w:rPr>
          <w:rStyle w:val="105"/>
          <w:rFonts w:hint="eastAsia" w:ascii="宋体" w:hAnsi="宋体" w:cs="宋体"/>
          <w:b/>
          <w:bCs/>
          <w:color w:val="auto"/>
          <w:szCs w:val="21"/>
          <w:highlight w:val="none"/>
        </w:rPr>
      </w:pPr>
    </w:p>
    <w:p>
      <w:pPr>
        <w:spacing w:line="276" w:lineRule="auto"/>
        <w:rPr>
          <w:rStyle w:val="105"/>
          <w:rFonts w:hint="eastAsia" w:ascii="宋体" w:hAnsi="宋体" w:cs="宋体"/>
          <w:b/>
          <w:bCs/>
          <w:color w:val="auto"/>
          <w:sz w:val="24"/>
          <w:szCs w:val="24"/>
          <w:highlight w:val="none"/>
        </w:rPr>
      </w:pPr>
      <w:r>
        <w:rPr>
          <w:rStyle w:val="105"/>
          <w:rFonts w:hint="eastAsia" w:ascii="宋体" w:hAnsi="宋体" w:cs="宋体"/>
          <w:b/>
          <w:bCs/>
          <w:color w:val="auto"/>
          <w:szCs w:val="21"/>
          <w:highlight w:val="none"/>
        </w:rPr>
        <w:t>附表一：</w:t>
      </w:r>
    </w:p>
    <w:p>
      <w:pPr>
        <w:spacing w:line="276" w:lineRule="auto"/>
        <w:jc w:val="center"/>
        <w:rPr>
          <w:rStyle w:val="105"/>
          <w:rFonts w:hint="eastAsia" w:ascii="宋体" w:hAnsi="宋体" w:cs="宋体"/>
          <w:b/>
          <w:color w:val="auto"/>
          <w:sz w:val="32"/>
          <w:szCs w:val="32"/>
          <w:highlight w:val="none"/>
        </w:rPr>
      </w:pPr>
      <w:r>
        <w:rPr>
          <w:rStyle w:val="105"/>
          <w:rFonts w:hint="eastAsia" w:ascii="宋体" w:hAnsi="宋体" w:cs="宋体"/>
          <w:b/>
          <w:color w:val="auto"/>
          <w:sz w:val="32"/>
          <w:szCs w:val="32"/>
          <w:highlight w:val="none"/>
        </w:rPr>
        <w:t>资格审查表</w:t>
      </w:r>
    </w:p>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工程名称：</w:t>
      </w:r>
    </w:p>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投标人名称：</w:t>
      </w:r>
    </w:p>
    <w:tbl>
      <w:tblPr>
        <w:tblStyle w:val="27"/>
        <w:tblW w:w="87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3"/>
        <w:gridCol w:w="3548"/>
        <w:gridCol w:w="3752"/>
        <w:gridCol w:w="8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序号</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审查项目</w:t>
            </w:r>
          </w:p>
        </w:tc>
        <w:tc>
          <w:tcPr>
            <w:tcW w:w="3748"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须审查的资料</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审查</w:t>
            </w:r>
          </w:p>
          <w:p>
            <w:pPr>
              <w:spacing w:before="120" w:after="60" w:line="276" w:lineRule="auto"/>
              <w:jc w:val="center"/>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投标人参加投标的意思表达清楚，投标人代表被授权有效</w:t>
            </w:r>
          </w:p>
        </w:tc>
        <w:tc>
          <w:tcPr>
            <w:tcW w:w="3748"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投标人声明、法定代表人证明书；委托投标的还应提供法人授权委托证明书</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投标人均具有独立法人资格，按国家法律经营</w:t>
            </w:r>
          </w:p>
        </w:tc>
        <w:tc>
          <w:tcPr>
            <w:tcW w:w="3748"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营业执照在广州市住建行业信用管理平台内上传件</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1"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3</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投标人均持有建设行政主管部门颁发的企业资质证书及安全生产许可证；投标人资质符合公告要求</w:t>
            </w:r>
          </w:p>
        </w:tc>
        <w:tc>
          <w:tcPr>
            <w:tcW w:w="3748"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资质证书及安全生产许可证在广州市住建行业信用管理平台内上传件</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4</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投标人拟担任本工程项目负责人符合公告要求</w:t>
            </w:r>
          </w:p>
        </w:tc>
        <w:tc>
          <w:tcPr>
            <w:tcW w:w="3748"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highlight w:val="none"/>
              </w:rPr>
            </w:pPr>
            <w:r>
              <w:rPr>
                <w:rStyle w:val="105"/>
                <w:rFonts w:hint="eastAsia" w:ascii="宋体" w:hAnsi="宋体" w:cs="宋体"/>
                <w:color w:val="auto"/>
                <w:highlight w:val="none"/>
              </w:rPr>
              <w:t>使用有效期内的注册建造师注册证书在广州市住建行业信用平台内上传件。</w:t>
            </w:r>
          </w:p>
          <w:p>
            <w:pPr>
              <w:spacing w:before="120" w:after="60" w:line="276" w:lineRule="auto"/>
              <w:jc w:val="left"/>
              <w:rPr>
                <w:rStyle w:val="105"/>
                <w:rFonts w:hint="eastAsia" w:ascii="宋体" w:hAnsi="宋体" w:cs="宋体"/>
                <w:color w:val="auto"/>
                <w:szCs w:val="21"/>
                <w:highlight w:val="none"/>
                <w:u w:val="single"/>
              </w:rPr>
            </w:pPr>
            <w:r>
              <w:rPr>
                <w:rStyle w:val="105"/>
                <w:rFonts w:hint="eastAsia" w:ascii="宋体" w:hAnsi="宋体" w:cs="宋体"/>
                <w:color w:val="auto"/>
                <w:highlight w:val="none"/>
              </w:rPr>
              <w:t>（注：打印建造师电子证书后，应在个人签名处手写本人签名再上传广州市住建行业信用平台，上传件未手写签名或与签名图像笔迹不一致的，该电子证书无效）</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4</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持有项目负责人安全生产考核合格证（B类）或建筑施工企业项目负责人安全生产考核合格证</w:t>
            </w:r>
          </w:p>
        </w:tc>
        <w:tc>
          <w:tcPr>
            <w:tcW w:w="3748"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项目负责人安全生产考核合格证（B类）或建筑施工企业项目负责人安全生产考核合格证在广州市住建行业信用管理平台内上传件</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6</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投标人拟担任本工程技术负责人符合公告要求</w:t>
            </w:r>
          </w:p>
        </w:tc>
        <w:tc>
          <w:tcPr>
            <w:tcW w:w="3748"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拟委托技术负责人的职称证书扫描件</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7</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专职安全员须具有在有效期内的安全生产考核合格证（C类）或建筑施工企业专职安全生产管理人员安全生产考核合格证（C3）</w:t>
            </w:r>
          </w:p>
        </w:tc>
        <w:tc>
          <w:tcPr>
            <w:tcW w:w="3748"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highlight w:val="none"/>
              </w:rPr>
              <w:t>专职安全员的安全生产考核合格证（C类）或建筑施工企业专职安全生产管理人员安全生产考核合格证（C3）在广州市住建行业信用管理平台内上传件</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8</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投标人提供的投标人声明符合公告要求</w:t>
            </w:r>
          </w:p>
        </w:tc>
        <w:tc>
          <w:tcPr>
            <w:tcW w:w="3748"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投标人声明</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9</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投标人声明中签字的项目负责人和技术负责人与本项目拟派的项目负责人和技术负责人一致</w:t>
            </w:r>
          </w:p>
        </w:tc>
        <w:tc>
          <w:tcPr>
            <w:tcW w:w="3748"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网上投标时选择拟投标的项目负责人、资格审查文件中拟委派的技术负责人及投标人声明</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ascii="宋体" w:hAnsi="宋体" w:cs="宋体"/>
                <w:color w:val="auto"/>
                <w:szCs w:val="21"/>
                <w:highlight w:val="none"/>
              </w:rPr>
            </w:pPr>
            <w:r>
              <w:rPr>
                <w:rStyle w:val="105"/>
                <w:rFonts w:hint="eastAsia" w:ascii="宋体" w:hAnsi="宋体" w:cs="宋体"/>
                <w:color w:val="auto"/>
                <w:szCs w:val="21"/>
                <w:highlight w:val="none"/>
              </w:rPr>
              <w:t>10</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before="120" w:after="60"/>
              <w:jc w:val="left"/>
              <w:rPr>
                <w:rStyle w:val="105"/>
                <w:rFonts w:hint="eastAsia" w:ascii="宋体" w:hAnsi="宋体" w:cs="宋体"/>
                <w:color w:val="auto"/>
                <w:szCs w:val="21"/>
                <w:highlight w:val="none"/>
              </w:rPr>
            </w:pPr>
            <w:r>
              <w:rPr>
                <w:rFonts w:hint="eastAsia" w:ascii="宋体" w:hAnsi="宋体" w:cs="宋体"/>
                <w:color w:val="auto"/>
                <w:szCs w:val="21"/>
                <w:highlight w:val="none"/>
              </w:rPr>
              <w:t>关于联合体投标</w:t>
            </w:r>
            <w:r>
              <w:rPr>
                <w:rFonts w:hint="eastAsia" w:ascii="宋体" w:hAnsi="宋体" w:cs="宋体"/>
                <w:color w:val="auto"/>
                <w:spacing w:val="-2"/>
                <w:szCs w:val="21"/>
                <w:highlight w:val="none"/>
              </w:rPr>
              <w:t>。</w:t>
            </w:r>
          </w:p>
        </w:tc>
        <w:tc>
          <w:tcPr>
            <w:tcW w:w="3748" w:type="dxa"/>
            <w:tcBorders>
              <w:top w:val="single" w:color="000000" w:sz="4" w:space="0"/>
              <w:left w:val="single" w:color="000000" w:sz="4" w:space="0"/>
              <w:bottom w:val="single" w:color="000000" w:sz="4" w:space="0"/>
              <w:right w:val="single" w:color="000000" w:sz="4" w:space="0"/>
            </w:tcBorders>
            <w:vAlign w:val="center"/>
          </w:tcPr>
          <w:p>
            <w:pPr>
              <w:spacing w:before="120" w:after="60"/>
              <w:jc w:val="left"/>
              <w:rPr>
                <w:rStyle w:val="105"/>
                <w:rFonts w:hint="eastAsia" w:ascii="宋体" w:hAnsi="宋体" w:cs="宋体"/>
                <w:color w:val="auto"/>
                <w:szCs w:val="21"/>
                <w:highlight w:val="none"/>
              </w:rPr>
            </w:pPr>
            <w:r>
              <w:rPr>
                <w:rFonts w:hint="eastAsia" w:ascii="宋体" w:hAnsi="宋体"/>
                <w:color w:val="auto"/>
                <w:szCs w:val="21"/>
                <w:highlight w:val="none"/>
              </w:rPr>
              <w:t>本项目不接受联合体投标</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ascii="宋体" w:hAnsi="宋体" w:cs="宋体"/>
                <w:color w:val="auto"/>
                <w:szCs w:val="21"/>
                <w:highlight w:val="none"/>
              </w:rPr>
            </w:pPr>
            <w:r>
              <w:rPr>
                <w:rStyle w:val="105"/>
                <w:rFonts w:hint="eastAsia" w:ascii="宋体" w:hAnsi="宋体" w:cs="宋体"/>
                <w:color w:val="auto"/>
                <w:szCs w:val="21"/>
                <w:highlight w:val="none"/>
              </w:rPr>
              <w:t>11</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资格审查前，投标人须在广州市住房和城乡建设局建立企业信用档案及拟担任本工程项目负责人、专职安全员须是本企业中的在册人员</w:t>
            </w:r>
          </w:p>
        </w:tc>
        <w:tc>
          <w:tcPr>
            <w:tcW w:w="3748"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投标人在广州市住建行业信用管理平台内企业信用档案的企业和人员信息</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7"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ascii="宋体" w:hAnsi="宋体" w:cs="宋体"/>
                <w:color w:val="auto"/>
                <w:szCs w:val="21"/>
                <w:highlight w:val="none"/>
              </w:rPr>
            </w:pPr>
            <w:r>
              <w:rPr>
                <w:rStyle w:val="105"/>
                <w:rFonts w:hint="eastAsia" w:ascii="宋体" w:hAnsi="宋体" w:cs="宋体"/>
                <w:color w:val="auto"/>
                <w:szCs w:val="21"/>
                <w:highlight w:val="none"/>
              </w:rPr>
              <w:t>12</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105"/>
                <w:rFonts w:hint="eastAsia" w:ascii="宋体" w:hAnsi="宋体" w:cs="宋体"/>
                <w:color w:val="auto"/>
                <w:highlight w:val="none"/>
              </w:rPr>
            </w:pPr>
            <w:r>
              <w:rPr>
                <w:rFonts w:hint="eastAsia" w:ascii="宋体" w:hAnsi="宋体" w:cs="宋体"/>
                <w:color w:val="auto"/>
                <w:highlight w:val="none"/>
              </w:rPr>
              <w:t>投标人未出现以下情形：与其它投标人的单位负责人为同一人或者存在控股、管理关系的（按投标人提供的《投标人声明》第八条内容进行评审）。</w:t>
            </w:r>
          </w:p>
        </w:tc>
        <w:tc>
          <w:tcPr>
            <w:tcW w:w="3748"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投标人声明</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ascii="宋体" w:hAnsi="宋体" w:cs="宋体"/>
                <w:color w:val="auto"/>
                <w:szCs w:val="21"/>
                <w:highlight w:val="none"/>
              </w:rPr>
            </w:pPr>
            <w:r>
              <w:rPr>
                <w:rStyle w:val="105"/>
                <w:rFonts w:hint="eastAsia" w:ascii="宋体" w:hAnsi="宋体" w:cs="宋体"/>
                <w:color w:val="auto"/>
                <w:szCs w:val="21"/>
                <w:highlight w:val="none"/>
              </w:rPr>
              <w:t>13</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Fonts w:hint="eastAsia" w:ascii="宋体" w:hAnsi="宋体" w:cs="宋体"/>
                <w:color w:val="auto"/>
                <w:szCs w:val="21"/>
                <w:highlight w:val="none"/>
              </w:rPr>
              <w:t>未被列入拖欠农民工工资失信联合惩戒对象名单。</w:t>
            </w:r>
          </w:p>
        </w:tc>
        <w:tc>
          <w:tcPr>
            <w:tcW w:w="3748"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Fonts w:hint="eastAsia" w:ascii="宋体" w:hAnsi="宋体" w:cs="宋体"/>
                <w:color w:val="auto"/>
                <w:szCs w:val="21"/>
                <w:highlight w:val="none"/>
              </w:rPr>
              <w:t>投标人无需提供资料，按交易系统比对的结果进行评审</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p>
        </w:tc>
      </w:tr>
    </w:tbl>
    <w:p>
      <w:pPr>
        <w:spacing w:line="360" w:lineRule="auto"/>
        <w:ind w:firstLine="420" w:firstLineChars="200"/>
        <w:rPr>
          <w:rStyle w:val="105"/>
          <w:rFonts w:hint="eastAsia" w:ascii="宋体" w:hAnsi="宋体" w:cs="宋体"/>
          <w:color w:val="auto"/>
          <w:szCs w:val="21"/>
          <w:highlight w:val="none"/>
        </w:rPr>
      </w:pPr>
      <w:r>
        <w:rPr>
          <w:rStyle w:val="105"/>
          <w:rFonts w:hint="eastAsia" w:ascii="宋体" w:hAnsi="宋体" w:cs="宋体"/>
          <w:color w:val="auto"/>
          <w:szCs w:val="21"/>
          <w:highlight w:val="none"/>
        </w:rPr>
        <w:t>备注：</w:t>
      </w:r>
    </w:p>
    <w:p>
      <w:pPr>
        <w:spacing w:line="360" w:lineRule="auto"/>
        <w:ind w:firstLine="470" w:firstLineChars="224"/>
        <w:rPr>
          <w:rStyle w:val="105"/>
          <w:rFonts w:hint="eastAsia" w:ascii="宋体" w:hAnsi="宋体" w:cs="宋体"/>
          <w:color w:val="auto"/>
          <w:szCs w:val="21"/>
          <w:highlight w:val="none"/>
        </w:rPr>
      </w:pPr>
      <w:r>
        <w:rPr>
          <w:rStyle w:val="105"/>
          <w:rFonts w:hint="eastAsia" w:ascii="宋体" w:hAnsi="宋体" w:cs="宋体"/>
          <w:color w:val="auto"/>
          <w:szCs w:val="21"/>
          <w:highlight w:val="none"/>
        </w:rPr>
        <w:t xml:space="preserve">1.每一项目符合的打“○”，不符合的打“×”； </w:t>
      </w:r>
    </w:p>
    <w:p>
      <w:pPr>
        <w:spacing w:line="360" w:lineRule="auto"/>
        <w:ind w:firstLine="470" w:firstLineChars="224"/>
        <w:rPr>
          <w:rStyle w:val="105"/>
          <w:rFonts w:hint="eastAsia" w:ascii="宋体" w:hAnsi="宋体" w:cs="宋体"/>
          <w:color w:val="auto"/>
          <w:szCs w:val="21"/>
          <w:highlight w:val="none"/>
        </w:rPr>
      </w:pPr>
      <w:r>
        <w:rPr>
          <w:rStyle w:val="105"/>
          <w:rFonts w:hint="eastAsia" w:ascii="宋体" w:hAnsi="宋体" w:cs="宋体"/>
          <w:color w:val="auto"/>
          <w:szCs w:val="21"/>
          <w:highlight w:val="none"/>
        </w:rPr>
        <w:t>2.若评委意见不一致时，则按少数服从多数的原则，作出评审结论。汇总后，出现一个“×”的结论为“不通过”。</w:t>
      </w:r>
    </w:p>
    <w:p>
      <w:pPr>
        <w:pStyle w:val="13"/>
        <w:spacing w:line="360" w:lineRule="auto"/>
        <w:ind w:left="399" w:leftChars="190"/>
        <w:rPr>
          <w:rStyle w:val="105"/>
          <w:rFonts w:hint="eastAsia" w:hAnsi="宋体" w:eastAsia="宋体" w:cs="宋体"/>
          <w:color w:val="auto"/>
          <w:szCs w:val="21"/>
          <w:highlight w:val="none"/>
        </w:rPr>
      </w:pPr>
      <w:r>
        <w:rPr>
          <w:rStyle w:val="105"/>
          <w:rFonts w:hint="eastAsia" w:hAnsi="宋体" w:eastAsia="宋体" w:cs="宋体"/>
          <w:color w:val="auto"/>
          <w:szCs w:val="21"/>
          <w:highlight w:val="none"/>
        </w:rPr>
        <w:t xml:space="preserve">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 </w:t>
      </w:r>
    </w:p>
    <w:p>
      <w:pPr>
        <w:pStyle w:val="13"/>
        <w:rPr>
          <w:rFonts w:hint="eastAsia" w:hAnsi="宋体" w:eastAsia="宋体" w:cs="宋体"/>
          <w:color w:val="auto"/>
          <w:highlight w:val="none"/>
        </w:rPr>
      </w:pPr>
    </w:p>
    <w:p>
      <w:pPr>
        <w:spacing w:line="480" w:lineRule="auto"/>
        <w:ind w:firstLine="470" w:firstLineChars="224"/>
        <w:rPr>
          <w:rStyle w:val="105"/>
          <w:rFonts w:hint="eastAsia" w:ascii="宋体" w:hAnsi="宋体" w:cs="宋体"/>
          <w:color w:val="auto"/>
          <w:szCs w:val="21"/>
          <w:highlight w:val="none"/>
        </w:rPr>
      </w:pPr>
    </w:p>
    <w:p>
      <w:pPr>
        <w:rPr>
          <w:rStyle w:val="105"/>
          <w:rFonts w:hint="eastAsia" w:ascii="宋体" w:hAnsi="宋体" w:cs="宋体"/>
          <w:color w:val="auto"/>
          <w:highlight w:val="none"/>
        </w:rPr>
        <w:sectPr>
          <w:footerReference r:id="rId10" w:type="first"/>
          <w:footerReference r:id="rId9" w:type="default"/>
          <w:endnotePr>
            <w:numFmt w:val="decimal"/>
          </w:endnotePr>
          <w:pgSz w:w="11906" w:h="16838"/>
          <w:pgMar w:top="1418" w:right="1588" w:bottom="1418" w:left="1588" w:header="851" w:footer="907" w:gutter="0"/>
          <w:pgNumType w:start="1"/>
          <w:cols w:space="720" w:num="1"/>
          <w:docGrid w:type="lines" w:linePitch="312" w:charSpace="0"/>
        </w:sectPr>
      </w:pPr>
    </w:p>
    <w:p>
      <w:pPr>
        <w:spacing w:line="276" w:lineRule="auto"/>
        <w:rPr>
          <w:rStyle w:val="105"/>
          <w:rFonts w:hint="eastAsia" w:ascii="宋体" w:hAnsi="宋体" w:cs="宋体"/>
          <w:b/>
          <w:bCs/>
          <w:color w:val="auto"/>
          <w:szCs w:val="21"/>
          <w:highlight w:val="none"/>
        </w:rPr>
      </w:pPr>
      <w:r>
        <w:rPr>
          <w:rStyle w:val="105"/>
          <w:rFonts w:hint="eastAsia" w:ascii="宋体" w:hAnsi="宋体" w:cs="宋体"/>
          <w:b/>
          <w:bCs/>
          <w:color w:val="auto"/>
          <w:szCs w:val="21"/>
          <w:highlight w:val="none"/>
        </w:rPr>
        <w:t>附表二</w:t>
      </w:r>
    </w:p>
    <w:p>
      <w:pPr>
        <w:spacing w:line="276" w:lineRule="auto"/>
        <w:jc w:val="center"/>
        <w:rPr>
          <w:rStyle w:val="105"/>
          <w:rFonts w:hint="eastAsia" w:ascii="宋体" w:hAnsi="宋体" w:cs="宋体"/>
          <w:b/>
          <w:color w:val="auto"/>
          <w:sz w:val="36"/>
          <w:szCs w:val="36"/>
          <w:highlight w:val="none"/>
        </w:rPr>
      </w:pPr>
      <w:r>
        <w:rPr>
          <w:rStyle w:val="105"/>
          <w:rFonts w:hint="eastAsia" w:ascii="宋体" w:hAnsi="宋体" w:cs="宋体"/>
          <w:b/>
          <w:color w:val="auto"/>
          <w:sz w:val="36"/>
          <w:szCs w:val="36"/>
          <w:highlight w:val="none"/>
        </w:rPr>
        <w:t>技术标有效性审查表</w:t>
      </w:r>
    </w:p>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工程名称：</w:t>
      </w:r>
    </w:p>
    <w:tbl>
      <w:tblPr>
        <w:tblStyle w:val="27"/>
        <w:tblW w:w="134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9"/>
        <w:gridCol w:w="11117"/>
        <w:gridCol w:w="1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序号</w:t>
            </w:r>
          </w:p>
        </w:tc>
        <w:tc>
          <w:tcPr>
            <w:tcW w:w="11117" w:type="dxa"/>
            <w:tcBorders>
              <w:top w:val="single" w:color="000000" w:sz="4" w:space="0"/>
              <w:left w:val="single" w:color="000000" w:sz="4" w:space="0"/>
              <w:bottom w:val="single" w:color="000000" w:sz="4" w:space="0"/>
              <w:right w:val="single" w:color="000000" w:sz="4" w:space="0"/>
              <w:tl2br w:val="single" w:color="auto" w:sz="4" w:space="0"/>
            </w:tcBorders>
          </w:tcPr>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 xml:space="preserve">                                                                 投标人</w:t>
            </w:r>
          </w:p>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评审内容</w:t>
            </w:r>
          </w:p>
        </w:tc>
        <w:tc>
          <w:tcPr>
            <w:tcW w:w="1250" w:type="dxa"/>
            <w:tcBorders>
              <w:top w:val="single" w:color="000000" w:sz="4" w:space="0"/>
              <w:left w:val="single" w:color="000000" w:sz="4" w:space="0"/>
              <w:bottom w:val="single" w:color="000000" w:sz="4" w:space="0"/>
              <w:right w:val="single" w:color="000000" w:sz="4" w:space="0"/>
            </w:tcBorders>
          </w:tcPr>
          <w:p>
            <w:pPr>
              <w:spacing w:line="276" w:lineRule="auto"/>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w:t>
            </w:r>
          </w:p>
        </w:tc>
        <w:tc>
          <w:tcPr>
            <w:tcW w:w="11117"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不能满足完成投标项目工期的；</w:t>
            </w:r>
          </w:p>
        </w:tc>
        <w:tc>
          <w:tcPr>
            <w:tcW w:w="1250" w:type="dxa"/>
            <w:tcBorders>
              <w:top w:val="single" w:color="000000" w:sz="4" w:space="0"/>
              <w:left w:val="single" w:color="000000" w:sz="4" w:space="0"/>
              <w:bottom w:val="single" w:color="000000" w:sz="4" w:space="0"/>
              <w:right w:val="single" w:color="000000" w:sz="4" w:space="0"/>
            </w:tcBorders>
          </w:tcPr>
          <w:p>
            <w:pPr>
              <w:spacing w:line="276" w:lineRule="auto"/>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w:t>
            </w:r>
          </w:p>
        </w:tc>
        <w:tc>
          <w:tcPr>
            <w:tcW w:w="11117"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不符合招标文件质量标准的；</w:t>
            </w:r>
          </w:p>
        </w:tc>
        <w:tc>
          <w:tcPr>
            <w:tcW w:w="1250" w:type="dxa"/>
            <w:tcBorders>
              <w:top w:val="single" w:color="000000" w:sz="4" w:space="0"/>
              <w:left w:val="single" w:color="000000" w:sz="4" w:space="0"/>
              <w:bottom w:val="single" w:color="000000" w:sz="4" w:space="0"/>
              <w:right w:val="single" w:color="000000" w:sz="4" w:space="0"/>
            </w:tcBorders>
          </w:tcPr>
          <w:p>
            <w:pPr>
              <w:spacing w:line="276" w:lineRule="auto"/>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3</w:t>
            </w:r>
          </w:p>
        </w:tc>
        <w:tc>
          <w:tcPr>
            <w:tcW w:w="11117"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投标文件中没有有效的法定代表人证明书，或由委托代理人签署或盖章的投标文件中没有法定代表人授权书；</w:t>
            </w:r>
          </w:p>
        </w:tc>
        <w:tc>
          <w:tcPr>
            <w:tcW w:w="1250" w:type="dxa"/>
            <w:tcBorders>
              <w:top w:val="single" w:color="000000" w:sz="4" w:space="0"/>
              <w:left w:val="single" w:color="000000" w:sz="4" w:space="0"/>
              <w:bottom w:val="single" w:color="000000" w:sz="4" w:space="0"/>
              <w:right w:val="single" w:color="000000" w:sz="4" w:space="0"/>
            </w:tcBorders>
          </w:tcPr>
          <w:p>
            <w:pPr>
              <w:spacing w:line="276" w:lineRule="auto"/>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4</w:t>
            </w:r>
          </w:p>
        </w:tc>
        <w:tc>
          <w:tcPr>
            <w:tcW w:w="11117"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105"/>
                <w:rFonts w:hint="eastAsia" w:ascii="宋体" w:hAnsi="宋体" w:cs="宋体"/>
                <w:color w:val="auto"/>
                <w:highlight w:val="none"/>
              </w:rPr>
            </w:pPr>
            <w:r>
              <w:rPr>
                <w:rFonts w:hint="eastAsia" w:ascii="宋体" w:hAnsi="宋体" w:cs="宋体"/>
                <w:color w:val="auto"/>
                <w:highlight w:val="none"/>
              </w:rPr>
              <w:t>投标文件未按规定的格式（技术标投标文件</w:t>
            </w:r>
            <w:r>
              <w:rPr>
                <w:rFonts w:hint="eastAsia" w:ascii="宋体" w:hAnsi="宋体" w:cs="宋体"/>
                <w:color w:val="auto"/>
                <w:highlight w:val="none"/>
                <w:u w:val="single"/>
              </w:rPr>
              <w:t>格式一、格式五、格式六、格式八</w:t>
            </w:r>
            <w:r>
              <w:rPr>
                <w:rFonts w:hint="eastAsia" w:ascii="宋体" w:hAnsi="宋体" w:cs="宋体"/>
                <w:color w:val="auto"/>
                <w:highlight w:val="none"/>
              </w:rPr>
              <w:t>）填写，或主要内容不全，或关键字迹模糊、无法辨认的；</w:t>
            </w:r>
          </w:p>
        </w:tc>
        <w:tc>
          <w:tcPr>
            <w:tcW w:w="1250" w:type="dxa"/>
            <w:tcBorders>
              <w:top w:val="single" w:color="000000" w:sz="4" w:space="0"/>
              <w:left w:val="single" w:color="000000" w:sz="4" w:space="0"/>
              <w:bottom w:val="single" w:color="000000" w:sz="4" w:space="0"/>
              <w:right w:val="single" w:color="000000" w:sz="4" w:space="0"/>
            </w:tcBorders>
          </w:tcPr>
          <w:p>
            <w:pPr>
              <w:spacing w:line="276" w:lineRule="auto"/>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5</w:t>
            </w:r>
          </w:p>
        </w:tc>
        <w:tc>
          <w:tcPr>
            <w:tcW w:w="11117"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投标人之间存在《广东省实施&lt;中华人民共和国招标投标法&gt;》第十六条所禁止的情形的；</w:t>
            </w:r>
          </w:p>
        </w:tc>
        <w:tc>
          <w:tcPr>
            <w:tcW w:w="1250" w:type="dxa"/>
            <w:tcBorders>
              <w:top w:val="single" w:color="000000" w:sz="4" w:space="0"/>
              <w:left w:val="single" w:color="000000" w:sz="4" w:space="0"/>
              <w:bottom w:val="single" w:color="000000" w:sz="4" w:space="0"/>
              <w:right w:val="single" w:color="000000" w:sz="4" w:space="0"/>
            </w:tcBorders>
          </w:tcPr>
          <w:p>
            <w:pPr>
              <w:spacing w:line="276" w:lineRule="auto"/>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6</w:t>
            </w:r>
          </w:p>
        </w:tc>
        <w:tc>
          <w:tcPr>
            <w:tcW w:w="11117"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无《参与编制技术标投标文件人员名单》的</w:t>
            </w:r>
          </w:p>
        </w:tc>
        <w:tc>
          <w:tcPr>
            <w:tcW w:w="1250" w:type="dxa"/>
            <w:tcBorders>
              <w:top w:val="single" w:color="000000" w:sz="4" w:space="0"/>
              <w:left w:val="single" w:color="000000" w:sz="4" w:space="0"/>
              <w:bottom w:val="single" w:color="000000" w:sz="4" w:space="0"/>
              <w:right w:val="single" w:color="000000" w:sz="4" w:space="0"/>
            </w:tcBorders>
          </w:tcPr>
          <w:p>
            <w:pPr>
              <w:spacing w:line="276" w:lineRule="auto"/>
              <w:rPr>
                <w:rStyle w:val="105"/>
                <w:rFonts w:hint="eastAsia" w:ascii="宋体" w:hAnsi="宋体" w:cs="宋体"/>
                <w:color w:val="auto"/>
                <w:szCs w:val="21"/>
                <w:highlight w:val="none"/>
                <w:shd w:val="pct10"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7</w:t>
            </w:r>
          </w:p>
        </w:tc>
        <w:tc>
          <w:tcPr>
            <w:tcW w:w="11117"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投标人与本项目其他投标人加密打包投标文件电脑机器特征码一致的（以</w:t>
            </w:r>
            <w:r>
              <w:rPr>
                <w:rFonts w:hint="eastAsia" w:ascii="宋体" w:hAnsi="宋体" w:cs="宋体"/>
                <w:color w:val="auto"/>
                <w:szCs w:val="21"/>
                <w:highlight w:val="none"/>
                <w:u w:val="single"/>
              </w:rPr>
              <w:t>广州交易集团有限公司（广州公共资源交易中心）</w:t>
            </w:r>
            <w:r>
              <w:rPr>
                <w:rStyle w:val="105"/>
                <w:rFonts w:hint="eastAsia" w:ascii="宋体" w:hAnsi="宋体" w:cs="宋体"/>
                <w:color w:val="auto"/>
                <w:szCs w:val="21"/>
                <w:highlight w:val="none"/>
              </w:rPr>
              <w:t>交易平台评标系统的检索信息为准）</w:t>
            </w:r>
          </w:p>
        </w:tc>
        <w:tc>
          <w:tcPr>
            <w:tcW w:w="1250" w:type="dxa"/>
            <w:tcBorders>
              <w:top w:val="single" w:color="000000" w:sz="4" w:space="0"/>
              <w:left w:val="single" w:color="000000" w:sz="4" w:space="0"/>
              <w:bottom w:val="single" w:color="000000" w:sz="4" w:space="0"/>
              <w:right w:val="single" w:color="000000" w:sz="4" w:space="0"/>
            </w:tcBorders>
          </w:tcPr>
          <w:p>
            <w:pPr>
              <w:spacing w:line="276" w:lineRule="auto"/>
              <w:rPr>
                <w:rStyle w:val="105"/>
                <w:rFonts w:hint="eastAsia" w:ascii="宋体" w:hAnsi="宋体" w:cs="宋体"/>
                <w:color w:val="auto"/>
                <w:szCs w:val="21"/>
                <w:highlight w:val="none"/>
              </w:rPr>
            </w:pPr>
          </w:p>
        </w:tc>
      </w:tr>
    </w:tbl>
    <w:p>
      <w:pPr>
        <w:spacing w:line="276" w:lineRule="auto"/>
        <w:ind w:firstLine="420" w:firstLineChars="200"/>
        <w:rPr>
          <w:rStyle w:val="105"/>
          <w:rFonts w:hint="eastAsia" w:ascii="宋体" w:hAnsi="宋体" w:cs="宋体"/>
          <w:color w:val="auto"/>
          <w:szCs w:val="21"/>
          <w:highlight w:val="none"/>
        </w:rPr>
      </w:pPr>
      <w:r>
        <w:rPr>
          <w:rStyle w:val="105"/>
          <w:rFonts w:hint="eastAsia" w:ascii="宋体" w:hAnsi="宋体" w:cs="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pPr>
        <w:spacing w:line="276" w:lineRule="auto"/>
        <w:ind w:firstLine="420" w:firstLineChars="200"/>
        <w:rPr>
          <w:rStyle w:val="105"/>
          <w:rFonts w:hint="eastAsia" w:ascii="宋体" w:hAnsi="宋体" w:cs="宋体"/>
          <w:color w:val="auto"/>
          <w:szCs w:val="21"/>
          <w:highlight w:val="none"/>
        </w:rPr>
      </w:pPr>
      <w:r>
        <w:rPr>
          <w:rStyle w:val="105"/>
          <w:rFonts w:hint="eastAsia" w:ascii="宋体" w:hAnsi="宋体" w:cs="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spacing w:line="276" w:lineRule="auto"/>
        <w:ind w:firstLine="420" w:firstLineChars="200"/>
        <w:rPr>
          <w:rStyle w:val="105"/>
          <w:rFonts w:hint="eastAsia" w:ascii="宋体" w:hAnsi="宋体" w:cs="宋体"/>
          <w:color w:val="auto"/>
          <w:szCs w:val="21"/>
          <w:highlight w:val="none"/>
        </w:rPr>
      </w:pPr>
      <w:r>
        <w:rPr>
          <w:rStyle w:val="105"/>
          <w:rFonts w:hint="eastAsia" w:ascii="宋体" w:hAnsi="宋体" w:cs="宋体"/>
          <w:color w:val="auto"/>
          <w:szCs w:val="21"/>
          <w:highlight w:val="none"/>
        </w:rPr>
        <w:t>3.凡出现以上任何一项情形，结论均为无效，否则就为有效。</w:t>
      </w:r>
    </w:p>
    <w:p>
      <w:pPr>
        <w:spacing w:line="276" w:lineRule="auto"/>
        <w:ind w:firstLine="420" w:firstLineChars="200"/>
        <w:rPr>
          <w:rStyle w:val="105"/>
          <w:rFonts w:hint="eastAsia" w:ascii="宋体" w:hAnsi="宋体" w:cs="宋体"/>
          <w:color w:val="auto"/>
          <w:szCs w:val="21"/>
          <w:highlight w:val="none"/>
        </w:rPr>
      </w:pPr>
      <w:r>
        <w:rPr>
          <w:rStyle w:val="105"/>
          <w:rFonts w:hint="eastAsia" w:ascii="宋体" w:hAnsi="宋体" w:cs="宋体"/>
          <w:color w:val="auto"/>
          <w:szCs w:val="21"/>
          <w:highlight w:val="none"/>
        </w:rPr>
        <w:t>4.如对本表中某种情形的评审意见不一致时，以评标委员会过半数成员的意见作为评标委员会对该情形的认定结论。</w:t>
      </w:r>
    </w:p>
    <w:p>
      <w:pPr>
        <w:spacing w:line="276" w:lineRule="auto"/>
        <w:ind w:firstLine="420" w:firstLineChars="200"/>
        <w:rPr>
          <w:rStyle w:val="105"/>
          <w:rFonts w:hint="eastAsia" w:ascii="宋体" w:hAnsi="宋体" w:cs="宋体"/>
          <w:color w:val="auto"/>
          <w:szCs w:val="21"/>
          <w:highlight w:val="none"/>
        </w:rPr>
      </w:pPr>
      <w:r>
        <w:rPr>
          <w:rStyle w:val="105"/>
          <w:rFonts w:hint="eastAsia" w:ascii="宋体" w:hAnsi="宋体" w:cs="宋体"/>
          <w:color w:val="auto"/>
          <w:szCs w:val="21"/>
          <w:highlight w:val="none"/>
        </w:rPr>
        <w:t>评委签名：</w:t>
      </w:r>
    </w:p>
    <w:p>
      <w:pPr>
        <w:spacing w:line="276" w:lineRule="auto"/>
        <w:rPr>
          <w:rStyle w:val="105"/>
          <w:rFonts w:hint="eastAsia" w:ascii="宋体" w:hAnsi="宋体" w:cs="宋体"/>
          <w:b/>
          <w:bCs/>
          <w:color w:val="auto"/>
          <w:szCs w:val="21"/>
          <w:highlight w:val="none"/>
        </w:rPr>
      </w:pPr>
      <w:r>
        <w:rPr>
          <w:rStyle w:val="105"/>
          <w:rFonts w:hint="eastAsia" w:ascii="宋体" w:hAnsi="宋体" w:cs="宋体"/>
          <w:color w:val="auto"/>
          <w:highlight w:val="none"/>
        </w:rPr>
        <w:br w:type="page"/>
      </w:r>
      <w:r>
        <w:rPr>
          <w:rFonts w:hint="eastAsia" w:ascii="宋体" w:hAnsi="宋体" w:cs="宋体"/>
          <w:color w:val="auto"/>
          <w:szCs w:val="21"/>
          <w:highlight w:val="none"/>
          <w:lang w:val="en-US" w:eastAsia="zh-CN"/>
        </w:rPr>
        <mc:AlternateContent>
          <mc:Choice Requires="wps">
            <w:drawing>
              <wp:anchor distT="0" distB="0" distL="114300" distR="114300" simplePos="0" relativeHeight="251660288" behindDoc="0" locked="0" layoutInCell="1" allowOverlap="1">
                <wp:simplePos x="0" y="0"/>
                <wp:positionH relativeFrom="column">
                  <wp:posOffset>701040</wp:posOffset>
                </wp:positionH>
                <wp:positionV relativeFrom="paragraph">
                  <wp:posOffset>-1598930</wp:posOffset>
                </wp:positionV>
                <wp:extent cx="6982460" cy="424180"/>
                <wp:effectExtent l="0" t="4445" r="8890" b="9525"/>
                <wp:wrapNone/>
                <wp:docPr id="10" name="自选图形 14"/>
                <wp:cNvGraphicFramePr/>
                <a:graphic xmlns:a="http://schemas.openxmlformats.org/drawingml/2006/main">
                  <a:graphicData uri="http://schemas.microsoft.com/office/word/2010/wordprocessingShape">
                    <wps:wsp>
                      <wps:cNvCnPr/>
                      <wps:spPr>
                        <a:xfrm>
                          <a:off x="0" y="0"/>
                          <a:ext cx="6982460" cy="4241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4" o:spid="_x0000_s1026" o:spt="32" type="#_x0000_t32" style="position:absolute;left:0pt;margin-left:55.2pt;margin-top:-125.9pt;height:33.4pt;width:549.8pt;z-index:251660288;mso-width-relative:page;mso-height-relative:page;" filled="f" stroked="t" coordsize="21600,21600" o:gfxdata="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NdCol2QAAAA4BAAAPAAAAAAAAAAEAIAAAACIAAABkcnMvZG93bnJl&#10;di54bWxQSwECFAAUAAAACACHTuJAYOZyNfwBAADqAwAADgAAAAAAAAABACAAAAAoAQAAZHJzL2Uy&#10;b0RvYy54bWxQSwUGAAAAAAYABgBZAQAAlgUAAAAA&#10;">
                <v:fill on="f" focussize="0,0"/>
                <v:stroke color="#000000" joinstyle="round"/>
                <v:imagedata o:title=""/>
                <o:lock v:ext="edit" aspectratio="f"/>
              </v:shape>
            </w:pict>
          </mc:Fallback>
        </mc:AlternateContent>
      </w:r>
      <w:r>
        <w:rPr>
          <w:rStyle w:val="105"/>
          <w:rFonts w:hint="eastAsia" w:ascii="宋体" w:hAnsi="宋体" w:cs="宋体"/>
          <w:b/>
          <w:bCs/>
          <w:color w:val="auto"/>
          <w:szCs w:val="21"/>
          <w:highlight w:val="none"/>
        </w:rPr>
        <w:t>附表三</w:t>
      </w:r>
    </w:p>
    <w:p>
      <w:pPr>
        <w:spacing w:line="276" w:lineRule="auto"/>
        <w:jc w:val="center"/>
        <w:rPr>
          <w:rStyle w:val="105"/>
          <w:rFonts w:hint="eastAsia" w:ascii="宋体" w:hAnsi="宋体" w:cs="宋体"/>
          <w:b/>
          <w:color w:val="auto"/>
          <w:sz w:val="36"/>
          <w:szCs w:val="36"/>
          <w:highlight w:val="none"/>
        </w:rPr>
      </w:pPr>
      <w:r>
        <w:rPr>
          <w:rStyle w:val="105"/>
          <w:rFonts w:hint="eastAsia" w:ascii="宋体" w:hAnsi="宋体" w:cs="宋体"/>
          <w:b/>
          <w:color w:val="auto"/>
          <w:sz w:val="36"/>
          <w:szCs w:val="36"/>
          <w:highlight w:val="none"/>
        </w:rPr>
        <w:t>经济标有效性审查表</w:t>
      </w:r>
    </w:p>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工程名称：</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0"/>
        <w:gridCol w:w="10738"/>
        <w:gridCol w:w="18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序号</w:t>
            </w:r>
          </w:p>
        </w:tc>
        <w:tc>
          <w:tcPr>
            <w:tcW w:w="10738" w:type="dxa"/>
            <w:tcBorders>
              <w:top w:val="single" w:color="000000" w:sz="4" w:space="0"/>
              <w:left w:val="single" w:color="000000" w:sz="4" w:space="0"/>
              <w:bottom w:val="single" w:color="000000" w:sz="4" w:space="0"/>
              <w:right w:val="single" w:color="000000" w:sz="4" w:space="0"/>
              <w:tl2br w:val="single" w:color="auto" w:sz="4" w:space="0"/>
            </w:tcBorders>
          </w:tcPr>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 xml:space="preserve">                                                              投标人</w:t>
            </w:r>
          </w:p>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评审内容</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w:t>
            </w:r>
          </w:p>
        </w:tc>
        <w:tc>
          <w:tcPr>
            <w:tcW w:w="10738"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对同一招标项目出现两个或以上的投标报价，且没有申明哪个有效；</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w:t>
            </w:r>
          </w:p>
        </w:tc>
        <w:tc>
          <w:tcPr>
            <w:tcW w:w="10738"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投标报价高于最高投标限价的；</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3</w:t>
            </w:r>
          </w:p>
        </w:tc>
        <w:tc>
          <w:tcPr>
            <w:tcW w:w="10738" w:type="dxa"/>
            <w:tcBorders>
              <w:top w:val="single" w:color="000000" w:sz="4" w:space="0"/>
              <w:left w:val="single" w:color="000000" w:sz="4" w:space="0"/>
              <w:bottom w:val="single" w:color="000000" w:sz="4" w:space="0"/>
              <w:right w:val="single" w:color="000000" w:sz="4" w:space="0"/>
            </w:tcBorders>
            <w:vAlign w:val="center"/>
          </w:tcPr>
          <w:p>
            <w:pPr>
              <w:spacing w:line="276" w:lineRule="auto"/>
              <w:ind w:left="-2" w:leftChars="-1"/>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投标报价低于成本的；</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4</w:t>
            </w:r>
          </w:p>
        </w:tc>
        <w:tc>
          <w:tcPr>
            <w:tcW w:w="10738"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算术复核后的投标报价与原投标报价相比存在1%或以上误差的；</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5</w:t>
            </w:r>
          </w:p>
        </w:tc>
        <w:tc>
          <w:tcPr>
            <w:tcW w:w="10738"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105"/>
                <w:rFonts w:hint="eastAsia" w:ascii="宋体" w:hAnsi="宋体" w:cs="宋体"/>
                <w:color w:val="auto"/>
                <w:highlight w:val="none"/>
              </w:rPr>
            </w:pPr>
            <w:r>
              <w:rPr>
                <w:rFonts w:hint="eastAsia" w:ascii="宋体" w:hAnsi="宋体" w:cs="宋体"/>
                <w:color w:val="auto"/>
                <w:highlight w:val="none"/>
              </w:rPr>
              <w:t>投标文件未按规定的格式（</w:t>
            </w:r>
            <w:r>
              <w:rPr>
                <w:rFonts w:hint="eastAsia" w:ascii="宋体" w:hAnsi="宋体" w:cs="宋体"/>
                <w:color w:val="auto"/>
                <w:highlight w:val="none"/>
                <w:u w:val="single"/>
              </w:rPr>
              <w:t>经济标投标文件格式一、格式二、格式三</w:t>
            </w:r>
            <w:r>
              <w:rPr>
                <w:rFonts w:hint="eastAsia" w:ascii="宋体" w:hAnsi="宋体" w:cs="宋体"/>
                <w:color w:val="auto"/>
                <w:highlight w:val="none"/>
              </w:rPr>
              <w:t>）填写，或主要内容不全，或关键字迹模糊、无法辨认的；</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6</w:t>
            </w:r>
          </w:p>
        </w:tc>
        <w:tc>
          <w:tcPr>
            <w:tcW w:w="10738"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不同投标人的投标报价中分部分项工程量清单综合单价相似度达到80%及以上的（以广州交易集团有限公司（广州公共资源交易中心）交易平台评标系统的检索信息为准）</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7</w:t>
            </w:r>
          </w:p>
        </w:tc>
        <w:tc>
          <w:tcPr>
            <w:tcW w:w="10738"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投标人之间存在《广东省实施&lt;中华人民共和国招标投标法&gt;》第十六条所禁止的情形的；</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8</w:t>
            </w:r>
          </w:p>
        </w:tc>
        <w:tc>
          <w:tcPr>
            <w:tcW w:w="10738"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无《参与编制经济标投标文件人员名单》的；</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9</w:t>
            </w:r>
          </w:p>
        </w:tc>
        <w:tc>
          <w:tcPr>
            <w:tcW w:w="10738"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无《对投标文件编制的承诺》</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10</w:t>
            </w:r>
          </w:p>
        </w:tc>
        <w:tc>
          <w:tcPr>
            <w:tcW w:w="10738"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投标人与本项目其他投标人的投标文件工程量清单编制机器硬件信息一致的（以</w:t>
            </w:r>
            <w:r>
              <w:rPr>
                <w:rFonts w:hint="eastAsia" w:ascii="宋体" w:hAnsi="宋体" w:cs="宋体"/>
                <w:color w:val="auto"/>
                <w:szCs w:val="21"/>
                <w:highlight w:val="none"/>
                <w:u w:val="single"/>
              </w:rPr>
              <w:t>广州交易集团有限公司（广州公共资源交易中心）</w:t>
            </w:r>
            <w:r>
              <w:rPr>
                <w:rStyle w:val="105"/>
                <w:rFonts w:hint="eastAsia" w:ascii="宋体" w:hAnsi="宋体" w:cs="宋体"/>
                <w:color w:val="auto"/>
                <w:szCs w:val="21"/>
                <w:highlight w:val="none"/>
              </w:rPr>
              <w:t>交易平台评标系统的检索信息为准）</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105"/>
                <w:rFonts w:hint="eastAsia" w:ascii="宋体" w:hAnsi="宋体" w:cs="宋体"/>
                <w:color w:val="auto"/>
                <w:szCs w:val="21"/>
                <w:highlight w:val="none"/>
              </w:rPr>
            </w:pPr>
          </w:p>
        </w:tc>
      </w:tr>
    </w:tbl>
    <w:p>
      <w:pPr>
        <w:spacing w:line="276" w:lineRule="auto"/>
        <w:ind w:firstLine="420" w:firstLineChars="200"/>
        <w:rPr>
          <w:rStyle w:val="105"/>
          <w:rFonts w:hint="eastAsia" w:ascii="宋体" w:hAnsi="宋体" w:cs="宋体"/>
          <w:color w:val="auto"/>
          <w:szCs w:val="21"/>
          <w:highlight w:val="none"/>
        </w:rPr>
      </w:pPr>
      <w:r>
        <w:rPr>
          <w:rStyle w:val="105"/>
          <w:rFonts w:hint="eastAsia" w:ascii="宋体" w:hAnsi="宋体" w:cs="宋体"/>
          <w:color w:val="auto"/>
          <w:szCs w:val="21"/>
          <w:highlight w:val="none"/>
        </w:rPr>
        <w:t>注：1.本表使用GZZB2018-3招标文件范本，与范本内容不同之处均以下划线标明。</w:t>
      </w:r>
    </w:p>
    <w:p>
      <w:pPr>
        <w:spacing w:line="276" w:lineRule="auto"/>
        <w:ind w:firstLine="420" w:firstLineChars="200"/>
        <w:rPr>
          <w:rStyle w:val="105"/>
          <w:rFonts w:hint="eastAsia" w:ascii="宋体" w:hAnsi="宋体" w:cs="宋体"/>
          <w:color w:val="auto"/>
          <w:szCs w:val="21"/>
          <w:highlight w:val="none"/>
        </w:rPr>
      </w:pPr>
      <w:r>
        <w:rPr>
          <w:rStyle w:val="105"/>
          <w:rFonts w:hint="eastAsia" w:ascii="宋体" w:hAnsi="宋体" w:cs="宋体"/>
          <w:color w:val="auto"/>
          <w:szCs w:val="21"/>
          <w:highlight w:val="none"/>
        </w:rPr>
        <w:t>2.凡出现以上任何一项情形，结论均为无效，否则就为有效。</w:t>
      </w:r>
    </w:p>
    <w:p>
      <w:pPr>
        <w:spacing w:line="276" w:lineRule="auto"/>
        <w:ind w:firstLine="420" w:firstLineChars="200"/>
        <w:rPr>
          <w:rStyle w:val="105"/>
          <w:rFonts w:hint="eastAsia" w:ascii="宋体" w:hAnsi="宋体" w:cs="宋体"/>
          <w:color w:val="auto"/>
          <w:szCs w:val="21"/>
          <w:highlight w:val="none"/>
        </w:rPr>
      </w:pPr>
      <w:r>
        <w:rPr>
          <w:rStyle w:val="105"/>
          <w:rFonts w:hint="eastAsia" w:ascii="宋体" w:hAnsi="宋体" w:cs="宋体"/>
          <w:color w:val="auto"/>
          <w:szCs w:val="21"/>
          <w:highlight w:val="none"/>
        </w:rPr>
        <w:t>3.如对本表中某种情形的评审意见不一致时，以评标委员会过半数成员的意见作为评标委员会对该情形的认定结论。</w:t>
      </w:r>
    </w:p>
    <w:p>
      <w:pPr>
        <w:pStyle w:val="13"/>
        <w:ind w:left="399" w:leftChars="190"/>
        <w:rPr>
          <w:rStyle w:val="105"/>
          <w:rFonts w:hint="eastAsia" w:hAnsi="宋体" w:eastAsia="宋体" w:cs="宋体"/>
          <w:color w:val="auto"/>
          <w:szCs w:val="21"/>
          <w:highlight w:val="none"/>
        </w:rPr>
      </w:pPr>
      <w:r>
        <w:rPr>
          <w:rStyle w:val="105"/>
          <w:rFonts w:hint="eastAsia" w:hAnsi="宋体" w:eastAsia="宋体" w:cs="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276" w:lineRule="auto"/>
        <w:ind w:firstLine="420" w:firstLineChars="200"/>
        <w:rPr>
          <w:rStyle w:val="105"/>
          <w:rFonts w:hint="eastAsia" w:ascii="宋体" w:hAnsi="宋体" w:cs="宋体"/>
          <w:color w:val="auto"/>
          <w:szCs w:val="21"/>
          <w:highlight w:val="none"/>
        </w:rPr>
        <w:sectPr>
          <w:endnotePr>
            <w:numFmt w:val="decimal"/>
          </w:endnotePr>
          <w:pgSz w:w="16838" w:h="11906"/>
          <w:pgMar w:top="1418" w:right="1701" w:bottom="1418" w:left="1701" w:header="851" w:footer="907" w:gutter="0"/>
          <w:cols w:space="720" w:num="1"/>
          <w:titlePg/>
          <w:docGrid w:type="lines" w:linePitch="312" w:charSpace="0"/>
        </w:sectPr>
      </w:pPr>
      <w:r>
        <w:rPr>
          <w:rStyle w:val="105"/>
          <w:rFonts w:hint="eastAsia" w:ascii="宋体" w:hAnsi="宋体" w:cs="宋体"/>
          <w:color w:val="auto"/>
          <w:szCs w:val="21"/>
          <w:highlight w:val="none"/>
        </w:rPr>
        <w:t>评委签名：</w:t>
      </w:r>
    </w:p>
    <w:p>
      <w:pPr>
        <w:widowControl w:val="0"/>
        <w:spacing w:line="276" w:lineRule="auto"/>
        <w:textAlignment w:val="auto"/>
        <w:rPr>
          <w:rFonts w:hint="eastAsia" w:ascii="宋体" w:hAnsi="宋体" w:cs="宋体"/>
          <w:b/>
          <w:color w:val="auto"/>
          <w:szCs w:val="21"/>
          <w:highlight w:val="none"/>
        </w:rPr>
      </w:pPr>
      <w:r>
        <w:rPr>
          <w:rFonts w:hint="eastAsia" w:ascii="宋体" w:hAnsi="宋体" w:cs="宋体"/>
          <w:b/>
          <w:color w:val="auto"/>
          <w:szCs w:val="21"/>
          <w:highlight w:val="none"/>
        </w:rPr>
        <w:t>附表四</w:t>
      </w:r>
    </w:p>
    <w:p>
      <w:pPr>
        <w:spacing w:line="276" w:lineRule="auto"/>
        <w:jc w:val="center"/>
        <w:rPr>
          <w:rFonts w:ascii="宋体" w:hAnsi="宋体"/>
          <w:b/>
          <w:color w:val="auto"/>
          <w:sz w:val="36"/>
          <w:szCs w:val="36"/>
          <w:highlight w:val="none"/>
        </w:rPr>
      </w:pPr>
      <w:r>
        <w:rPr>
          <w:rFonts w:hint="eastAsia" w:ascii="宋体" w:hAnsi="宋体"/>
          <w:b/>
          <w:color w:val="auto"/>
          <w:sz w:val="36"/>
          <w:szCs w:val="36"/>
          <w:highlight w:val="none"/>
        </w:rPr>
        <w:t>技术标详细审查评分表</w:t>
      </w:r>
    </w:p>
    <w:tbl>
      <w:tblPr>
        <w:tblStyle w:val="27"/>
        <w:tblW w:w="14875"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207"/>
        <w:gridCol w:w="782"/>
        <w:gridCol w:w="12183"/>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03" w:type="dxa"/>
            <w:tcBorders>
              <w:top w:val="single" w:color="auto" w:sz="8" w:space="0"/>
            </w:tcBorders>
            <w:vAlign w:val="center"/>
          </w:tcPr>
          <w:p>
            <w:pPr>
              <w:snapToGrid w:val="0"/>
              <w:spacing w:beforeLines="35" w:afterLines="35" w:line="288" w:lineRule="auto"/>
              <w:jc w:val="center"/>
              <w:rPr>
                <w:rFonts w:ascii="宋体" w:hAnsi="宋体"/>
                <w:b/>
                <w:bCs/>
                <w:color w:val="auto"/>
                <w:sz w:val="24"/>
                <w:szCs w:val="24"/>
                <w:highlight w:val="none"/>
              </w:rPr>
            </w:pPr>
            <w:r>
              <w:rPr>
                <w:rFonts w:hint="eastAsia" w:ascii="宋体" w:hAnsi="宋体"/>
                <w:b/>
                <w:bCs/>
                <w:color w:val="auto"/>
                <w:sz w:val="24"/>
                <w:szCs w:val="24"/>
                <w:highlight w:val="none"/>
              </w:rPr>
              <w:t>评分项目</w:t>
            </w:r>
          </w:p>
        </w:tc>
        <w:tc>
          <w:tcPr>
            <w:tcW w:w="1207" w:type="dxa"/>
            <w:tcBorders>
              <w:top w:val="single" w:color="auto" w:sz="8" w:space="0"/>
            </w:tcBorders>
            <w:vAlign w:val="center"/>
          </w:tcPr>
          <w:p>
            <w:pPr>
              <w:snapToGrid w:val="0"/>
              <w:spacing w:beforeLines="35" w:afterLines="35" w:line="288" w:lineRule="auto"/>
              <w:jc w:val="center"/>
              <w:rPr>
                <w:rFonts w:ascii="宋体" w:hAnsi="宋体"/>
                <w:b/>
                <w:bCs/>
                <w:color w:val="auto"/>
                <w:sz w:val="24"/>
                <w:szCs w:val="24"/>
                <w:highlight w:val="none"/>
              </w:rPr>
            </w:pPr>
            <w:r>
              <w:rPr>
                <w:rFonts w:hint="eastAsia" w:ascii="宋体" w:hAnsi="宋体"/>
                <w:b/>
                <w:bCs/>
                <w:color w:val="auto"/>
                <w:sz w:val="24"/>
                <w:szCs w:val="24"/>
                <w:highlight w:val="none"/>
              </w:rPr>
              <w:t>评分内容</w:t>
            </w:r>
          </w:p>
        </w:tc>
        <w:tc>
          <w:tcPr>
            <w:tcW w:w="782" w:type="dxa"/>
            <w:tcBorders>
              <w:top w:val="single" w:color="auto" w:sz="8" w:space="0"/>
            </w:tcBorders>
            <w:vAlign w:val="center"/>
          </w:tcPr>
          <w:p>
            <w:pPr>
              <w:snapToGrid w:val="0"/>
              <w:spacing w:beforeLines="35" w:afterLines="35" w:line="288" w:lineRule="auto"/>
              <w:jc w:val="center"/>
              <w:rPr>
                <w:rFonts w:ascii="宋体" w:hAnsi="宋体"/>
                <w:b/>
                <w:bCs/>
                <w:color w:val="auto"/>
                <w:sz w:val="24"/>
                <w:szCs w:val="24"/>
                <w:highlight w:val="none"/>
              </w:rPr>
            </w:pPr>
            <w:r>
              <w:rPr>
                <w:rFonts w:hint="eastAsia" w:ascii="宋体" w:hAnsi="宋体"/>
                <w:b/>
                <w:bCs/>
                <w:color w:val="auto"/>
                <w:sz w:val="24"/>
                <w:szCs w:val="24"/>
                <w:highlight w:val="none"/>
              </w:rPr>
              <w:t>分值</w:t>
            </w:r>
          </w:p>
        </w:tc>
        <w:tc>
          <w:tcPr>
            <w:tcW w:w="12183" w:type="dxa"/>
            <w:tcBorders>
              <w:top w:val="single" w:color="auto" w:sz="8" w:space="0"/>
            </w:tcBorders>
            <w:vAlign w:val="center"/>
          </w:tcPr>
          <w:p>
            <w:pPr>
              <w:snapToGrid w:val="0"/>
              <w:spacing w:beforeLines="35" w:afterLines="35" w:line="288" w:lineRule="auto"/>
              <w:jc w:val="center"/>
              <w:rPr>
                <w:rFonts w:ascii="宋体" w:hAnsi="宋体"/>
                <w:b/>
                <w:bCs/>
                <w:color w:val="auto"/>
                <w:sz w:val="24"/>
                <w:szCs w:val="24"/>
                <w:highlight w:val="none"/>
              </w:rPr>
            </w:pPr>
            <w:r>
              <w:rPr>
                <w:rFonts w:hint="eastAsia" w:ascii="宋体" w:hAnsi="宋体"/>
                <w:b/>
                <w:bCs/>
                <w:color w:val="auto"/>
                <w:sz w:val="24"/>
                <w:szCs w:val="24"/>
                <w:highlight w:val="none"/>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3" w:type="dxa"/>
            <w:vMerge w:val="restart"/>
            <w:vAlign w:val="center"/>
          </w:tcPr>
          <w:p>
            <w:pPr>
              <w:snapToGrid w:val="0"/>
              <w:spacing w:beforeLines="35" w:afterLines="35" w:line="288" w:lineRule="auto"/>
              <w:rPr>
                <w:rFonts w:ascii="宋体" w:hAnsi="宋体"/>
                <w:color w:val="auto"/>
                <w:szCs w:val="21"/>
                <w:highlight w:val="none"/>
              </w:rPr>
            </w:pPr>
            <w:r>
              <w:rPr>
                <w:rFonts w:hint="eastAsia" w:ascii="宋体" w:hAnsi="宋体"/>
                <w:color w:val="auto"/>
                <w:szCs w:val="21"/>
                <w:highlight w:val="none"/>
              </w:rPr>
              <w:t>一、项目管理机构能力（14分）</w:t>
            </w:r>
          </w:p>
          <w:p>
            <w:pPr>
              <w:pStyle w:val="155"/>
              <w:spacing w:line="288" w:lineRule="auto"/>
              <w:ind w:firstLine="400"/>
              <w:rPr>
                <w:rFonts w:ascii="宋体" w:hAnsi="宋体"/>
                <w:color w:val="auto"/>
                <w:szCs w:val="21"/>
                <w:highlight w:val="none"/>
              </w:rPr>
            </w:pPr>
          </w:p>
        </w:tc>
        <w:tc>
          <w:tcPr>
            <w:tcW w:w="1207" w:type="dxa"/>
            <w:vAlign w:val="center"/>
          </w:tcPr>
          <w:p>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技术负责人</w:t>
            </w:r>
          </w:p>
        </w:tc>
        <w:tc>
          <w:tcPr>
            <w:tcW w:w="782" w:type="dxa"/>
            <w:vAlign w:val="center"/>
          </w:tcPr>
          <w:p>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2183" w:type="dxa"/>
            <w:vAlign w:val="center"/>
          </w:tcPr>
          <w:p>
            <w:pPr>
              <w:pStyle w:val="155"/>
              <w:spacing w:line="288" w:lineRule="auto"/>
              <w:jc w:val="left"/>
              <w:rPr>
                <w:rFonts w:ascii="宋体" w:hAnsi="宋体" w:cs="宋体"/>
                <w:color w:val="auto"/>
                <w:szCs w:val="21"/>
                <w:highlight w:val="none"/>
              </w:rPr>
            </w:pPr>
            <w:r>
              <w:rPr>
                <w:rFonts w:hint="eastAsia" w:ascii="宋体" w:hAnsi="宋体" w:cs="宋体"/>
                <w:color w:val="auto"/>
                <w:szCs w:val="21"/>
                <w:highlight w:val="none"/>
              </w:rPr>
              <w:t>取得建筑工程相关专业高级（或以上）</w:t>
            </w:r>
            <w:r>
              <w:rPr>
                <w:rFonts w:hint="eastAsia" w:ascii="宋体" w:hAnsi="宋体" w:cs="宋体"/>
                <w:color w:val="auto"/>
                <w:szCs w:val="21"/>
                <w:highlight w:val="none"/>
                <w:lang w:val="en-US" w:eastAsia="zh-CN"/>
              </w:rPr>
              <w:t>工程师</w:t>
            </w:r>
            <w:r>
              <w:rPr>
                <w:rFonts w:hint="eastAsia" w:ascii="宋体" w:hAnsi="宋体" w:cs="宋体"/>
                <w:color w:val="auto"/>
                <w:szCs w:val="21"/>
                <w:highlight w:val="none"/>
              </w:rPr>
              <w:t>职称证满15年（不含15年）以上的，得2分；11-15年的，得1分；1-10年的，得0.5分；</w:t>
            </w:r>
          </w:p>
          <w:p>
            <w:pPr>
              <w:pStyle w:val="155"/>
              <w:spacing w:line="288" w:lineRule="auto"/>
              <w:jc w:val="left"/>
              <w:rPr>
                <w:rFonts w:ascii="宋体" w:hAnsi="宋体" w:cs="宋体"/>
                <w:color w:val="auto"/>
                <w:kern w:val="0"/>
                <w:szCs w:val="21"/>
                <w:highlight w:val="none"/>
              </w:rPr>
            </w:pPr>
            <w:r>
              <w:rPr>
                <w:rFonts w:hint="eastAsia" w:ascii="宋体" w:hAnsi="宋体" w:cs="宋体"/>
                <w:color w:val="auto"/>
                <w:szCs w:val="21"/>
                <w:highlight w:val="none"/>
              </w:rPr>
              <w:t>注：提供职称证书扫描件，未提供不计分。年限以职称证的“签发日期”或“发证日期”起计。</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3" w:type="dxa"/>
            <w:vMerge w:val="continue"/>
            <w:vAlign w:val="center"/>
          </w:tcPr>
          <w:p>
            <w:pPr>
              <w:pStyle w:val="155"/>
              <w:spacing w:line="288" w:lineRule="auto"/>
              <w:ind w:firstLine="400"/>
              <w:rPr>
                <w:color w:val="auto"/>
                <w:highlight w:val="none"/>
              </w:rPr>
            </w:pPr>
          </w:p>
        </w:tc>
        <w:tc>
          <w:tcPr>
            <w:tcW w:w="1207" w:type="dxa"/>
            <w:vAlign w:val="center"/>
          </w:tcPr>
          <w:p>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安全负责人</w:t>
            </w:r>
          </w:p>
        </w:tc>
        <w:tc>
          <w:tcPr>
            <w:tcW w:w="782" w:type="dxa"/>
            <w:vAlign w:val="center"/>
          </w:tcPr>
          <w:p>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2183" w:type="dxa"/>
            <w:vAlign w:val="center"/>
          </w:tcPr>
          <w:p>
            <w:pPr>
              <w:pStyle w:val="155"/>
              <w:spacing w:line="288" w:lineRule="auto"/>
              <w:rPr>
                <w:rFonts w:ascii="宋体" w:hAnsi="宋体" w:cs="宋体"/>
                <w:color w:val="auto"/>
                <w:szCs w:val="21"/>
                <w:highlight w:val="none"/>
              </w:rPr>
            </w:pPr>
            <w:r>
              <w:rPr>
                <w:rFonts w:hint="eastAsia" w:ascii="宋体" w:hAnsi="宋体" w:cs="宋体"/>
                <w:color w:val="auto"/>
                <w:szCs w:val="21"/>
                <w:highlight w:val="none"/>
              </w:rPr>
              <w:t>安全负责人（与专职安全员不为同一人）：</w:t>
            </w:r>
          </w:p>
          <w:p>
            <w:pPr>
              <w:pStyle w:val="155"/>
              <w:spacing w:line="288" w:lineRule="auto"/>
              <w:rPr>
                <w:rFonts w:ascii="宋体" w:hAnsi="宋体" w:cs="宋体"/>
                <w:color w:val="auto"/>
                <w:szCs w:val="21"/>
                <w:highlight w:val="none"/>
              </w:rPr>
            </w:pPr>
            <w:r>
              <w:rPr>
                <w:rFonts w:hint="eastAsia" w:ascii="宋体" w:hAnsi="宋体" w:cs="宋体"/>
                <w:color w:val="auto"/>
                <w:szCs w:val="21"/>
                <w:highlight w:val="none"/>
              </w:rPr>
              <w:t>（1）取得建筑施工安全专业的注册安全工程师执业证书10年（不含10年）以上的，得1.5分；6-10年的，得0.8分；1-5年的，得0.1分；其余不得分。（以注册安全工程师执业证的“发证日期”起算）</w:t>
            </w:r>
          </w:p>
          <w:p>
            <w:pPr>
              <w:pStyle w:val="155"/>
              <w:spacing w:line="288" w:lineRule="auto"/>
              <w:rPr>
                <w:rFonts w:ascii="宋体" w:hAnsi="宋体" w:cs="宋体"/>
                <w:color w:val="auto"/>
                <w:szCs w:val="21"/>
                <w:highlight w:val="none"/>
              </w:rPr>
            </w:pPr>
            <w:r>
              <w:rPr>
                <w:rFonts w:hint="eastAsia" w:ascii="宋体" w:hAnsi="宋体" w:cs="宋体"/>
                <w:color w:val="auto"/>
                <w:szCs w:val="21"/>
                <w:highlight w:val="none"/>
              </w:rPr>
              <w:t>（2）具有在有效期内的安全生产考核合格证的，得0.5分；</w:t>
            </w:r>
          </w:p>
          <w:p>
            <w:pPr>
              <w:pStyle w:val="155"/>
              <w:spacing w:line="288" w:lineRule="auto"/>
              <w:rPr>
                <w:rFonts w:ascii="宋体" w:hAnsi="宋体" w:cs="宋体"/>
                <w:color w:val="auto"/>
                <w:szCs w:val="21"/>
                <w:highlight w:val="none"/>
              </w:rPr>
            </w:pPr>
            <w:r>
              <w:rPr>
                <w:rFonts w:hint="eastAsia" w:ascii="宋体" w:hAnsi="宋体" w:cs="宋体"/>
                <w:color w:val="auto"/>
                <w:szCs w:val="21"/>
                <w:highlight w:val="none"/>
              </w:rPr>
              <w:t>（3）具有建筑工程相关专业高级或以上工程师职称的，得1分；具有建筑工程相关专业工程师职称的，得0.5分，其余不得分。</w:t>
            </w:r>
          </w:p>
          <w:p>
            <w:pPr>
              <w:pStyle w:val="155"/>
              <w:spacing w:line="288" w:lineRule="auto"/>
              <w:rPr>
                <w:rFonts w:ascii="宋体" w:hAnsi="宋体" w:cs="宋体"/>
                <w:color w:val="auto"/>
                <w:szCs w:val="21"/>
                <w:highlight w:val="none"/>
              </w:rPr>
            </w:pPr>
            <w:r>
              <w:rPr>
                <w:rFonts w:hint="eastAsia" w:ascii="宋体" w:hAnsi="宋体" w:cs="宋体"/>
                <w:color w:val="auto"/>
                <w:szCs w:val="21"/>
                <w:highlight w:val="none"/>
              </w:rPr>
              <w:t>注：须提供注册安全工程师注册证书扫描件及注册安全工程师查询网站（https://rmocse.chinasafety.ac.cn/）查询结果网上截图、安全生产考核合格证须提供在有效期内的安全生产考核合格证(A类)或建筑施工企业主要负责人安全生产考核合格证书或安全生产考核合格证(B类)或建筑施工企业项目负责人安全生产考核合格证书或安全生产考核合格证(C类)或建筑施工企业专职安全生产管理人员安全生产考核合格证书（C3）扫描件、职称扫描件。未按要求提供相关资料的人员，该人员不作为评分依据。</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3" w:type="dxa"/>
            <w:vMerge w:val="continue"/>
            <w:vAlign w:val="center"/>
          </w:tcPr>
          <w:p>
            <w:pPr>
              <w:snapToGrid w:val="0"/>
              <w:spacing w:beforeLines="35" w:afterLines="35" w:line="288" w:lineRule="auto"/>
              <w:rPr>
                <w:rFonts w:ascii="宋体" w:hAnsi="宋体"/>
                <w:color w:val="auto"/>
                <w:szCs w:val="21"/>
                <w:highlight w:val="none"/>
              </w:rPr>
            </w:pPr>
          </w:p>
        </w:tc>
        <w:tc>
          <w:tcPr>
            <w:tcW w:w="1207" w:type="dxa"/>
            <w:vAlign w:val="center"/>
          </w:tcPr>
          <w:p>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质量负责人</w:t>
            </w:r>
          </w:p>
        </w:tc>
        <w:tc>
          <w:tcPr>
            <w:tcW w:w="782" w:type="dxa"/>
            <w:vAlign w:val="center"/>
          </w:tcPr>
          <w:p>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2183" w:type="dxa"/>
            <w:vAlign w:val="center"/>
          </w:tcPr>
          <w:p>
            <w:pPr>
              <w:pStyle w:val="155"/>
              <w:spacing w:line="288" w:lineRule="auto"/>
              <w:rPr>
                <w:rFonts w:ascii="宋体" w:hAnsi="宋体" w:cs="宋体"/>
                <w:color w:val="auto"/>
                <w:szCs w:val="21"/>
                <w:highlight w:val="none"/>
              </w:rPr>
            </w:pPr>
            <w:r>
              <w:rPr>
                <w:rFonts w:hint="eastAsia" w:ascii="宋体" w:hAnsi="宋体" w:cs="宋体"/>
                <w:color w:val="auto"/>
                <w:szCs w:val="21"/>
                <w:highlight w:val="none"/>
              </w:rPr>
              <w:t>取得建筑工程相关专业高级（或以上）</w:t>
            </w:r>
            <w:r>
              <w:rPr>
                <w:rFonts w:hint="eastAsia" w:ascii="宋体" w:hAnsi="宋体" w:cs="宋体"/>
                <w:color w:val="auto"/>
                <w:szCs w:val="21"/>
                <w:highlight w:val="none"/>
                <w:lang w:val="en-US" w:eastAsia="zh-CN"/>
              </w:rPr>
              <w:t>工程师</w:t>
            </w:r>
            <w:r>
              <w:rPr>
                <w:rFonts w:hint="eastAsia" w:ascii="宋体" w:hAnsi="宋体" w:cs="宋体"/>
                <w:color w:val="auto"/>
                <w:szCs w:val="21"/>
                <w:highlight w:val="none"/>
              </w:rPr>
              <w:t>职称证的，得2分；取得建筑工程相关专业中级</w:t>
            </w:r>
            <w:r>
              <w:rPr>
                <w:rFonts w:hint="eastAsia" w:ascii="宋体" w:hAnsi="宋体" w:cs="宋体"/>
                <w:color w:val="auto"/>
                <w:szCs w:val="21"/>
                <w:highlight w:val="none"/>
                <w:lang w:val="en-US" w:eastAsia="zh-CN"/>
              </w:rPr>
              <w:t>工程师</w:t>
            </w:r>
            <w:r>
              <w:rPr>
                <w:rFonts w:hint="eastAsia" w:ascii="宋体" w:hAnsi="宋体" w:cs="宋体"/>
                <w:color w:val="auto"/>
                <w:szCs w:val="21"/>
                <w:highlight w:val="none"/>
              </w:rPr>
              <w:t>职称的，得1分。</w:t>
            </w:r>
          </w:p>
          <w:p>
            <w:pPr>
              <w:pStyle w:val="155"/>
              <w:spacing w:line="288" w:lineRule="auto"/>
              <w:rPr>
                <w:rFonts w:ascii="宋体" w:hAnsi="宋体" w:cs="宋体"/>
                <w:color w:val="auto"/>
                <w:szCs w:val="21"/>
                <w:highlight w:val="none"/>
              </w:rPr>
            </w:pPr>
            <w:r>
              <w:rPr>
                <w:rFonts w:hint="eastAsia" w:ascii="宋体" w:hAnsi="宋体" w:cs="宋体"/>
                <w:color w:val="auto"/>
                <w:szCs w:val="21"/>
                <w:highlight w:val="none"/>
              </w:rPr>
              <w:t>注：提供职称证书扫描件。</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3" w:type="dxa"/>
            <w:vMerge w:val="continue"/>
            <w:vAlign w:val="center"/>
          </w:tcPr>
          <w:p>
            <w:pPr>
              <w:snapToGrid w:val="0"/>
              <w:spacing w:beforeLines="35" w:afterLines="35" w:line="288" w:lineRule="auto"/>
              <w:rPr>
                <w:rFonts w:ascii="宋体" w:hAnsi="宋体"/>
                <w:color w:val="auto"/>
                <w:szCs w:val="21"/>
                <w:highlight w:val="none"/>
              </w:rPr>
            </w:pPr>
          </w:p>
        </w:tc>
        <w:tc>
          <w:tcPr>
            <w:tcW w:w="1207" w:type="dxa"/>
            <w:vAlign w:val="center"/>
          </w:tcPr>
          <w:p>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造价负责人</w:t>
            </w:r>
          </w:p>
        </w:tc>
        <w:tc>
          <w:tcPr>
            <w:tcW w:w="782" w:type="dxa"/>
            <w:vAlign w:val="center"/>
          </w:tcPr>
          <w:p>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2183" w:type="dxa"/>
            <w:vAlign w:val="center"/>
          </w:tcPr>
          <w:p>
            <w:pPr>
              <w:pStyle w:val="155"/>
              <w:spacing w:line="288" w:lineRule="auto"/>
              <w:rPr>
                <w:rFonts w:ascii="宋体" w:hAnsi="宋体" w:cs="宋体"/>
                <w:color w:val="auto"/>
                <w:szCs w:val="21"/>
                <w:highlight w:val="none"/>
              </w:rPr>
            </w:pPr>
            <w:r>
              <w:rPr>
                <w:rFonts w:hint="eastAsia" w:ascii="宋体" w:hAnsi="宋体" w:cs="宋体"/>
                <w:color w:val="auto"/>
                <w:szCs w:val="21"/>
                <w:highlight w:val="none"/>
              </w:rPr>
              <w:t>1.取得一级注册造价师注册证满15年（不含15年）以上的，得2分；15-10年的，得1分；10年（不含10年）以下的，得0.5分；（以一级注册造价师注册证书“初始注册日期”计）</w:t>
            </w:r>
          </w:p>
          <w:p>
            <w:pPr>
              <w:pStyle w:val="155"/>
              <w:spacing w:line="288" w:lineRule="auto"/>
              <w:rPr>
                <w:rFonts w:ascii="宋体" w:hAnsi="宋体" w:cs="宋体"/>
                <w:color w:val="auto"/>
                <w:szCs w:val="21"/>
                <w:highlight w:val="none"/>
              </w:rPr>
            </w:pPr>
            <w:r>
              <w:rPr>
                <w:rFonts w:hint="eastAsia" w:ascii="宋体" w:hAnsi="宋体" w:cs="宋体"/>
                <w:color w:val="auto"/>
                <w:szCs w:val="21"/>
                <w:highlight w:val="none"/>
              </w:rPr>
              <w:t>2.取得工程类（含工程造价类职称）高级（或以上）</w:t>
            </w:r>
            <w:r>
              <w:rPr>
                <w:rFonts w:hint="eastAsia" w:ascii="宋体" w:hAnsi="宋体" w:cs="宋体"/>
                <w:color w:val="auto"/>
                <w:szCs w:val="21"/>
                <w:highlight w:val="none"/>
                <w:lang w:val="en-US" w:eastAsia="zh-CN"/>
              </w:rPr>
              <w:t>工程师</w:t>
            </w:r>
            <w:r>
              <w:rPr>
                <w:rFonts w:hint="eastAsia" w:ascii="宋体" w:hAnsi="宋体" w:cs="宋体"/>
                <w:color w:val="auto"/>
                <w:szCs w:val="21"/>
                <w:highlight w:val="none"/>
              </w:rPr>
              <w:t>职称证满15年（不含15年）以上的，得2分；10-15年的，得1分；10年（不含10年）以下的，得0.5分；具有工程类（含工程造价类职称）中级</w:t>
            </w:r>
            <w:r>
              <w:rPr>
                <w:rFonts w:hint="eastAsia" w:ascii="宋体" w:hAnsi="宋体" w:cs="宋体"/>
                <w:color w:val="auto"/>
                <w:szCs w:val="21"/>
                <w:highlight w:val="none"/>
                <w:lang w:val="en-US" w:eastAsia="zh-CN"/>
              </w:rPr>
              <w:t>工程师</w:t>
            </w:r>
            <w:r>
              <w:rPr>
                <w:rFonts w:hint="eastAsia" w:ascii="宋体" w:hAnsi="宋体" w:cs="宋体"/>
                <w:color w:val="auto"/>
                <w:szCs w:val="21"/>
                <w:highlight w:val="none"/>
              </w:rPr>
              <w:t>职称证的的，得0.2分。（以职称证的发证日期或签发日期开始计）</w:t>
            </w:r>
          </w:p>
          <w:p>
            <w:pPr>
              <w:pStyle w:val="155"/>
              <w:spacing w:line="288" w:lineRule="auto"/>
              <w:rPr>
                <w:rFonts w:ascii="宋体" w:hAnsi="宋体" w:cs="宋体"/>
                <w:color w:val="auto"/>
                <w:szCs w:val="21"/>
                <w:highlight w:val="none"/>
              </w:rPr>
            </w:pPr>
            <w:r>
              <w:rPr>
                <w:rFonts w:hint="eastAsia" w:ascii="宋体" w:hAnsi="宋体" w:cs="宋体"/>
                <w:color w:val="auto"/>
                <w:szCs w:val="21"/>
                <w:highlight w:val="none"/>
              </w:rPr>
              <w:t>注：1、提供职称证和一级注册造价师注册证扫描件，未提供不计分。</w:t>
            </w:r>
          </w:p>
          <w:p>
            <w:pPr>
              <w:pStyle w:val="155"/>
              <w:spacing w:line="288" w:lineRule="auto"/>
              <w:rPr>
                <w:rFonts w:ascii="宋体" w:hAnsi="宋体"/>
                <w:color w:val="auto"/>
                <w:szCs w:val="21"/>
                <w:highlight w:val="none"/>
              </w:rPr>
            </w:pPr>
            <w:r>
              <w:rPr>
                <w:rFonts w:hint="eastAsia" w:ascii="宋体" w:hAnsi="宋体" w:cs="宋体"/>
                <w:color w:val="auto"/>
                <w:szCs w:val="21"/>
                <w:highlight w:val="none"/>
              </w:rPr>
              <w:t>2、注册造价工程师：一级注册造价工程师的还须提供注册造价工程师注册信息查询网站（http://zaojiasys.jianshe99.com/）查询结果网上截图，且执业状态栏显示“正常”的才计分，不提供不计分。按照《造价工程师职业资格制度规定》的规定，根据原人事部、原建设部发布的《造价工程师执业资格制度暂行规定》（人发〔1996〕77号）取得的造价工程师执业资格，并经注册且在有效期内的，等同于一级注册造价工程师。</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3" w:type="dxa"/>
            <w:vMerge w:val="continue"/>
            <w:vAlign w:val="center"/>
          </w:tcPr>
          <w:p>
            <w:pPr>
              <w:snapToGrid w:val="0"/>
              <w:spacing w:beforeLines="35" w:afterLines="35" w:line="288" w:lineRule="auto"/>
              <w:rPr>
                <w:rFonts w:ascii="宋体" w:hAnsi="宋体"/>
                <w:color w:val="auto"/>
                <w:szCs w:val="21"/>
                <w:highlight w:val="none"/>
              </w:rPr>
            </w:pPr>
          </w:p>
        </w:tc>
        <w:tc>
          <w:tcPr>
            <w:tcW w:w="1207" w:type="dxa"/>
            <w:vAlign w:val="center"/>
          </w:tcPr>
          <w:p>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其他管理人员</w:t>
            </w:r>
          </w:p>
        </w:tc>
        <w:tc>
          <w:tcPr>
            <w:tcW w:w="782" w:type="dxa"/>
            <w:vAlign w:val="center"/>
          </w:tcPr>
          <w:p>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2183" w:type="dxa"/>
            <w:vAlign w:val="center"/>
          </w:tcPr>
          <w:p>
            <w:pPr>
              <w:pStyle w:val="155"/>
              <w:spacing w:line="288" w:lineRule="auto"/>
              <w:rPr>
                <w:rFonts w:ascii="宋体" w:hAnsi="宋体" w:cs="宋体"/>
                <w:color w:val="auto"/>
                <w:szCs w:val="21"/>
                <w:highlight w:val="none"/>
              </w:rPr>
            </w:pPr>
            <w:r>
              <w:rPr>
                <w:rFonts w:hint="eastAsia" w:ascii="宋体" w:hAnsi="宋体" w:cs="宋体"/>
                <w:color w:val="auto"/>
                <w:szCs w:val="21"/>
                <w:highlight w:val="none"/>
              </w:rPr>
              <w:t>除项目负责人、技术负责人、安全负责人、造价负责人、质量负责人、专职安全员外，拟投入本项目的人员配置完善合理，其中包含如下人员：</w:t>
            </w:r>
          </w:p>
          <w:p>
            <w:pPr>
              <w:pStyle w:val="155"/>
              <w:spacing w:line="288" w:lineRule="auto"/>
              <w:rPr>
                <w:rFonts w:ascii="宋体" w:hAnsi="宋体" w:cs="宋体"/>
                <w:color w:val="auto"/>
                <w:szCs w:val="21"/>
                <w:highlight w:val="none"/>
              </w:rPr>
            </w:pPr>
            <w:r>
              <w:rPr>
                <w:rFonts w:hint="eastAsia" w:ascii="宋体" w:hAnsi="宋体" w:cs="宋体"/>
                <w:color w:val="auto"/>
                <w:szCs w:val="21"/>
                <w:highlight w:val="none"/>
              </w:rPr>
              <w:t>具有建筑装饰施工类中级或以上工程师6人、给水排水施工类中级或以上工程师4人、工程造价类中级或以上工程师2人、建筑机电设备安装类中级或以上工程师1人。全部满足的得3分，每少一人(在3分的基础上)扣1分，最低扣至0分。</w:t>
            </w:r>
          </w:p>
          <w:p>
            <w:pPr>
              <w:pStyle w:val="155"/>
              <w:spacing w:line="288" w:lineRule="auto"/>
              <w:rPr>
                <w:rFonts w:ascii="宋体" w:hAnsi="宋体" w:cs="宋体"/>
                <w:color w:val="auto"/>
                <w:kern w:val="0"/>
                <w:szCs w:val="21"/>
                <w:highlight w:val="none"/>
              </w:rPr>
            </w:pPr>
            <w:r>
              <w:rPr>
                <w:rFonts w:hint="eastAsia" w:ascii="宋体" w:hAnsi="宋体" w:cs="宋体"/>
                <w:color w:val="auto"/>
                <w:szCs w:val="21"/>
                <w:highlight w:val="none"/>
              </w:rPr>
              <w:t>注：提供职称证扫描件，未提供不计分。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3" w:type="dxa"/>
            <w:vMerge w:val="continue"/>
            <w:vAlign w:val="center"/>
          </w:tcPr>
          <w:p>
            <w:pPr>
              <w:snapToGrid w:val="0"/>
              <w:spacing w:beforeLines="35" w:afterLines="35" w:line="288" w:lineRule="auto"/>
              <w:rPr>
                <w:rFonts w:ascii="宋体" w:hAnsi="宋体"/>
                <w:color w:val="auto"/>
                <w:szCs w:val="21"/>
                <w:highlight w:val="none"/>
              </w:rPr>
            </w:pPr>
          </w:p>
        </w:tc>
        <w:tc>
          <w:tcPr>
            <w:tcW w:w="14172" w:type="dxa"/>
            <w:gridSpan w:val="3"/>
            <w:vAlign w:val="center"/>
          </w:tcPr>
          <w:p>
            <w:pPr>
              <w:spacing w:line="288" w:lineRule="auto"/>
              <w:jc w:val="left"/>
              <w:rPr>
                <w:rFonts w:ascii="宋体" w:hAnsi="宋体" w:cs="宋体"/>
                <w:b/>
                <w:bCs/>
                <w:color w:val="auto"/>
                <w:szCs w:val="21"/>
                <w:highlight w:val="none"/>
              </w:rPr>
            </w:pPr>
            <w:r>
              <w:rPr>
                <w:rFonts w:hint="eastAsia" w:ascii="宋体" w:hAnsi="宋体" w:cs="宋体"/>
                <w:b/>
                <w:bCs/>
                <w:color w:val="auto"/>
                <w:szCs w:val="21"/>
                <w:highlight w:val="none"/>
              </w:rPr>
              <w:t>注：（1）拟投入的项目管理机构人员必须为投标人单位正式员工，需提供有效的职称证书扫描件并加盖投标人电子印章、同时需提供2023年</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月的有效社保证明扫描件并加盖投标人电子印章。（未提供或提供不完整的人员，不予计算该人员得分）。本项目社保缴纳期限包含疫情期，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w:t>
            </w:r>
          </w:p>
          <w:p>
            <w:pPr>
              <w:spacing w:line="288" w:lineRule="auto"/>
              <w:jc w:val="left"/>
              <w:rPr>
                <w:rFonts w:ascii="宋体" w:hAnsi="宋体" w:cs="宋体"/>
                <w:color w:val="auto"/>
                <w:szCs w:val="21"/>
                <w:highlight w:val="none"/>
              </w:rPr>
            </w:pPr>
            <w:r>
              <w:rPr>
                <w:rFonts w:hint="eastAsia" w:ascii="宋体" w:hAnsi="宋体" w:cs="宋体"/>
                <w:b/>
                <w:bCs/>
                <w:color w:val="auto"/>
                <w:szCs w:val="21"/>
                <w:highlight w:val="none"/>
              </w:rPr>
              <w:t>（2）上述人员岗位不能相互兼任，安全负责人与专职安全员不能由同一人兼任。</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3" w:type="dxa"/>
            <w:vMerge w:val="restart"/>
            <w:vAlign w:val="center"/>
          </w:tcPr>
          <w:p>
            <w:pPr>
              <w:snapToGrid w:val="0"/>
              <w:spacing w:beforeLines="35" w:afterLines="35" w:line="288" w:lineRule="auto"/>
              <w:rPr>
                <w:rFonts w:ascii="宋体" w:hAnsi="宋体"/>
                <w:color w:val="auto"/>
                <w:szCs w:val="21"/>
                <w:highlight w:val="none"/>
              </w:rPr>
            </w:pPr>
          </w:p>
          <w:p>
            <w:pPr>
              <w:snapToGrid w:val="0"/>
              <w:spacing w:beforeLines="35" w:afterLines="35" w:line="288" w:lineRule="auto"/>
              <w:rPr>
                <w:rFonts w:ascii="宋体" w:hAnsi="宋体"/>
                <w:color w:val="auto"/>
                <w:szCs w:val="21"/>
                <w:highlight w:val="none"/>
              </w:rPr>
            </w:pPr>
          </w:p>
          <w:p>
            <w:pPr>
              <w:snapToGrid w:val="0"/>
              <w:spacing w:beforeLines="35" w:afterLines="35" w:line="288" w:lineRule="auto"/>
              <w:rPr>
                <w:rFonts w:ascii="宋体" w:hAnsi="宋体"/>
                <w:color w:val="auto"/>
                <w:szCs w:val="21"/>
                <w:highlight w:val="none"/>
              </w:rPr>
            </w:pPr>
          </w:p>
          <w:p>
            <w:pPr>
              <w:snapToGrid w:val="0"/>
              <w:spacing w:beforeLines="35" w:afterLines="35" w:line="288" w:lineRule="auto"/>
              <w:rPr>
                <w:rFonts w:ascii="宋体" w:hAnsi="宋体"/>
                <w:color w:val="auto"/>
                <w:szCs w:val="21"/>
                <w:highlight w:val="none"/>
              </w:rPr>
            </w:pPr>
            <w:r>
              <w:rPr>
                <w:rFonts w:hint="eastAsia" w:ascii="宋体" w:hAnsi="宋体"/>
                <w:color w:val="auto"/>
                <w:szCs w:val="21"/>
                <w:highlight w:val="none"/>
              </w:rPr>
              <w:t>二、企业资信（6分）</w:t>
            </w:r>
          </w:p>
        </w:tc>
        <w:tc>
          <w:tcPr>
            <w:tcW w:w="1207" w:type="dxa"/>
            <w:vAlign w:val="center"/>
          </w:tcPr>
          <w:p>
            <w:pPr>
              <w:snapToGrid w:val="0"/>
              <w:spacing w:beforeLines="35" w:afterLines="35" w:line="288" w:lineRule="auto"/>
              <w:jc w:val="center"/>
              <w:rPr>
                <w:rFonts w:ascii="宋体" w:hAnsi="宋体"/>
                <w:color w:val="auto"/>
                <w:szCs w:val="21"/>
                <w:highlight w:val="none"/>
              </w:rPr>
            </w:pPr>
            <w:r>
              <w:rPr>
                <w:rFonts w:hint="eastAsia" w:ascii="宋体" w:hAnsi="宋体"/>
                <w:color w:val="auto"/>
                <w:szCs w:val="21"/>
                <w:highlight w:val="none"/>
              </w:rPr>
              <w:t>企业业绩</w:t>
            </w:r>
          </w:p>
        </w:tc>
        <w:tc>
          <w:tcPr>
            <w:tcW w:w="782" w:type="dxa"/>
            <w:vAlign w:val="center"/>
          </w:tcPr>
          <w:p>
            <w:pPr>
              <w:snapToGrid w:val="0"/>
              <w:spacing w:beforeLines="35" w:afterLines="35" w:line="288" w:lineRule="auto"/>
              <w:jc w:val="center"/>
              <w:rPr>
                <w:rFonts w:ascii="宋体" w:hAnsi="宋体"/>
                <w:color w:val="auto"/>
                <w:szCs w:val="21"/>
                <w:highlight w:val="none"/>
              </w:rPr>
            </w:pPr>
            <w:r>
              <w:rPr>
                <w:rFonts w:hint="eastAsia" w:ascii="宋体" w:hAnsi="宋体"/>
                <w:color w:val="auto"/>
                <w:szCs w:val="21"/>
                <w:highlight w:val="none"/>
              </w:rPr>
              <w:t>1</w:t>
            </w:r>
          </w:p>
        </w:tc>
        <w:tc>
          <w:tcPr>
            <w:tcW w:w="12183" w:type="dxa"/>
            <w:vAlign w:val="center"/>
          </w:tcPr>
          <w:p>
            <w:pPr>
              <w:pStyle w:val="22"/>
              <w:shd w:val="clear" w:color="auto" w:fill="FFFFFF"/>
              <w:spacing w:line="288" w:lineRule="auto"/>
              <w:rPr>
                <w:rFonts w:ascii="宋体" w:hAnsi="宋体"/>
                <w:color w:val="auto"/>
                <w:sz w:val="21"/>
                <w:szCs w:val="21"/>
                <w:highlight w:val="none"/>
              </w:rPr>
            </w:pPr>
            <w:r>
              <w:rPr>
                <w:rFonts w:hint="eastAsia" w:ascii="宋体" w:hAnsi="宋体" w:eastAsia="宋体" w:cs="宋体"/>
                <w:color w:val="auto"/>
                <w:kern w:val="2"/>
                <w:sz w:val="21"/>
                <w:szCs w:val="21"/>
                <w:highlight w:val="none"/>
              </w:rPr>
              <w:t>投标人2020年1月1日至投标截止时间止，完成过质量合格且金额大</w:t>
            </w:r>
            <w:r>
              <w:rPr>
                <w:rFonts w:hint="eastAsia" w:ascii="宋体" w:hAnsi="宋体" w:eastAsia="宋体" w:cs="宋体"/>
                <w:b w:val="0"/>
                <w:bCs w:val="0"/>
                <w:color w:val="auto"/>
                <w:kern w:val="2"/>
                <w:sz w:val="21"/>
                <w:szCs w:val="21"/>
                <w:highlight w:val="none"/>
              </w:rPr>
              <w:t>于或等于400万元的建筑工程施工总承包业绩的，5项得0.3，5项以上，每多一项，加0.1</w:t>
            </w:r>
            <w:r>
              <w:rPr>
                <w:rFonts w:hint="eastAsia" w:ascii="宋体" w:hAnsi="宋体" w:eastAsia="宋体" w:cs="宋体"/>
                <w:b w:val="0"/>
                <w:bCs w:val="0"/>
                <w:color w:val="auto"/>
                <w:kern w:val="2"/>
                <w:sz w:val="21"/>
                <w:szCs w:val="21"/>
                <w:highlight w:val="none"/>
                <w:lang w:val="en-US" w:eastAsia="zh-CN"/>
              </w:rPr>
              <w:t>分</w:t>
            </w:r>
            <w:r>
              <w:rPr>
                <w:rFonts w:hint="eastAsia" w:ascii="宋体" w:hAnsi="宋体" w:eastAsia="宋体" w:cs="宋体"/>
                <w:b w:val="0"/>
                <w:bCs w:val="0"/>
                <w:color w:val="auto"/>
                <w:kern w:val="2"/>
                <w:sz w:val="21"/>
                <w:szCs w:val="21"/>
                <w:highlight w:val="none"/>
              </w:rPr>
              <w:t>，5项以下本项不得分。本项最高得1分。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3" w:type="dxa"/>
            <w:vMerge w:val="continue"/>
            <w:vAlign w:val="center"/>
          </w:tcPr>
          <w:p>
            <w:pPr>
              <w:snapToGrid w:val="0"/>
              <w:spacing w:beforeLines="35" w:afterLines="35" w:line="288" w:lineRule="auto"/>
              <w:rPr>
                <w:rFonts w:ascii="宋体" w:hAnsi="宋体"/>
                <w:color w:val="auto"/>
                <w:szCs w:val="21"/>
                <w:highlight w:val="none"/>
              </w:rPr>
            </w:pPr>
          </w:p>
        </w:tc>
        <w:tc>
          <w:tcPr>
            <w:tcW w:w="1207" w:type="dxa"/>
            <w:vAlign w:val="center"/>
          </w:tcPr>
          <w:p>
            <w:pPr>
              <w:snapToGrid w:val="0"/>
              <w:spacing w:beforeLines="35" w:afterLines="35" w:line="288" w:lineRule="auto"/>
              <w:jc w:val="center"/>
              <w:rPr>
                <w:rFonts w:ascii="宋体" w:hAnsi="宋体"/>
                <w:color w:val="auto"/>
                <w:szCs w:val="21"/>
                <w:highlight w:val="none"/>
              </w:rPr>
            </w:pPr>
            <w:r>
              <w:rPr>
                <w:rFonts w:hint="eastAsia" w:ascii="宋体" w:hAnsi="宋体"/>
                <w:color w:val="auto"/>
                <w:szCs w:val="21"/>
                <w:highlight w:val="none"/>
              </w:rPr>
              <w:t>工程奖项</w:t>
            </w:r>
          </w:p>
        </w:tc>
        <w:tc>
          <w:tcPr>
            <w:tcW w:w="782" w:type="dxa"/>
            <w:vAlign w:val="center"/>
          </w:tcPr>
          <w:p>
            <w:pPr>
              <w:snapToGrid w:val="0"/>
              <w:spacing w:line="288" w:lineRule="auto"/>
              <w:jc w:val="center"/>
              <w:rPr>
                <w:rFonts w:ascii="宋体" w:hAnsi="宋体"/>
                <w:color w:val="auto"/>
                <w:szCs w:val="21"/>
                <w:highlight w:val="none"/>
              </w:rPr>
            </w:pPr>
            <w:r>
              <w:rPr>
                <w:rFonts w:hint="eastAsia" w:ascii="宋体" w:hAnsi="宋体"/>
                <w:color w:val="auto"/>
                <w:szCs w:val="21"/>
                <w:highlight w:val="none"/>
              </w:rPr>
              <w:t>1.5</w:t>
            </w:r>
          </w:p>
        </w:tc>
        <w:tc>
          <w:tcPr>
            <w:tcW w:w="12183" w:type="dxa"/>
            <w:vAlign w:val="center"/>
          </w:tcPr>
          <w:p>
            <w:pPr>
              <w:spacing w:after="120" w:line="288" w:lineRule="auto"/>
              <w:rPr>
                <w:rFonts w:ascii="宋体" w:hAnsi="宋体"/>
                <w:color w:val="auto"/>
                <w:szCs w:val="21"/>
                <w:highlight w:val="none"/>
              </w:rPr>
            </w:pPr>
            <w:r>
              <w:rPr>
                <w:rFonts w:hint="eastAsia" w:ascii="宋体" w:hAnsi="宋体"/>
                <w:color w:val="auto"/>
                <w:szCs w:val="21"/>
                <w:highlight w:val="none"/>
              </w:rPr>
              <w:t>20</w:t>
            </w:r>
            <w:r>
              <w:rPr>
                <w:rFonts w:hint="eastAsia" w:ascii="宋体" w:hAnsi="宋体"/>
                <w:color w:val="auto"/>
                <w:szCs w:val="21"/>
                <w:highlight w:val="none"/>
                <w:lang w:val="en-US" w:eastAsia="zh-CN"/>
              </w:rPr>
              <w:t>20</w:t>
            </w:r>
            <w:r>
              <w:rPr>
                <w:rFonts w:hint="eastAsia" w:ascii="宋体" w:hAnsi="宋体"/>
                <w:color w:val="auto"/>
                <w:szCs w:val="21"/>
                <w:highlight w:val="none"/>
              </w:rPr>
              <w:t>年1月1日至今工程项目获得国家级质量奖的，每个得0.5分，获得省级质量奖的，每个0.3分，获得市级质量奖的，每个0.1分，不满足以上条件的，不得分</w:t>
            </w:r>
            <w:r>
              <w:rPr>
                <w:rFonts w:hint="eastAsia" w:ascii="宋体" w:hAnsi="宋体"/>
                <w:color w:val="auto"/>
                <w:szCs w:val="21"/>
                <w:highlight w:val="none"/>
                <w:lang w:eastAsia="zh-CN"/>
              </w:rPr>
              <w:t>。</w:t>
            </w:r>
            <w:r>
              <w:rPr>
                <w:rFonts w:hint="eastAsia" w:ascii="宋体" w:hAnsi="宋体"/>
                <w:color w:val="auto"/>
                <w:szCs w:val="21"/>
                <w:highlight w:val="none"/>
              </w:rPr>
              <w:t>最高得1.5分。同一项目，不重复计算。</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3" w:type="dxa"/>
            <w:vMerge w:val="continue"/>
            <w:vAlign w:val="center"/>
          </w:tcPr>
          <w:p>
            <w:pPr>
              <w:snapToGrid w:val="0"/>
              <w:spacing w:beforeLines="35" w:afterLines="35" w:line="288" w:lineRule="auto"/>
              <w:rPr>
                <w:rFonts w:ascii="宋体" w:hAnsi="宋体"/>
                <w:color w:val="auto"/>
                <w:szCs w:val="21"/>
                <w:highlight w:val="none"/>
              </w:rPr>
            </w:pPr>
          </w:p>
        </w:tc>
        <w:tc>
          <w:tcPr>
            <w:tcW w:w="1207" w:type="dxa"/>
            <w:vAlign w:val="center"/>
          </w:tcPr>
          <w:p>
            <w:pPr>
              <w:snapToGrid w:val="0"/>
              <w:spacing w:beforeLines="35" w:afterLines="35" w:line="288" w:lineRule="auto"/>
              <w:jc w:val="center"/>
              <w:rPr>
                <w:rFonts w:ascii="宋体" w:hAnsi="宋体"/>
                <w:color w:val="auto"/>
                <w:szCs w:val="21"/>
                <w:highlight w:val="none"/>
              </w:rPr>
            </w:pPr>
            <w:r>
              <w:rPr>
                <w:rFonts w:hint="eastAsia" w:ascii="宋体" w:hAnsi="宋体"/>
                <w:color w:val="auto"/>
                <w:szCs w:val="21"/>
                <w:highlight w:val="none"/>
              </w:rPr>
              <w:t>工程研发能力</w:t>
            </w:r>
          </w:p>
        </w:tc>
        <w:tc>
          <w:tcPr>
            <w:tcW w:w="782" w:type="dxa"/>
            <w:vAlign w:val="center"/>
          </w:tcPr>
          <w:p>
            <w:pPr>
              <w:snapToGrid w:val="0"/>
              <w:spacing w:beforeLines="35" w:afterLines="35" w:line="288" w:lineRule="auto"/>
              <w:jc w:val="center"/>
              <w:rPr>
                <w:rFonts w:ascii="宋体" w:hAnsi="宋体"/>
                <w:color w:val="auto"/>
                <w:szCs w:val="21"/>
                <w:highlight w:val="none"/>
              </w:rPr>
            </w:pPr>
            <w:r>
              <w:rPr>
                <w:rFonts w:hint="eastAsia" w:ascii="宋体" w:hAnsi="宋体"/>
                <w:color w:val="auto"/>
                <w:szCs w:val="21"/>
                <w:highlight w:val="none"/>
              </w:rPr>
              <w:t>1.5</w:t>
            </w:r>
          </w:p>
        </w:tc>
        <w:tc>
          <w:tcPr>
            <w:tcW w:w="12183" w:type="dxa"/>
            <w:vAlign w:val="center"/>
          </w:tcPr>
          <w:p>
            <w:pPr>
              <w:numPr>
                <w:ilvl w:val="0"/>
                <w:numId w:val="3"/>
              </w:numPr>
              <w:spacing w:after="120" w:line="288" w:lineRule="auto"/>
              <w:rPr>
                <w:rFonts w:hint="eastAsia"/>
                <w:color w:val="auto"/>
                <w:highlight w:val="none"/>
              </w:rPr>
            </w:pPr>
            <w:r>
              <w:rPr>
                <w:rFonts w:hint="eastAsia"/>
                <w:color w:val="auto"/>
                <w:highlight w:val="none"/>
              </w:rPr>
              <w:t>投标</w:t>
            </w:r>
            <w:r>
              <w:rPr>
                <w:rFonts w:hint="eastAsia" w:ascii="宋体" w:hAnsi="宋体" w:eastAsia="宋体" w:cs="宋体"/>
                <w:color w:val="auto"/>
                <w:highlight w:val="none"/>
              </w:rPr>
              <w:t>人20</w:t>
            </w:r>
            <w:r>
              <w:rPr>
                <w:rFonts w:hint="eastAsia" w:ascii="宋体" w:hAnsi="宋体" w:eastAsia="宋体" w:cs="宋体"/>
                <w:color w:val="auto"/>
                <w:highlight w:val="none"/>
                <w:lang w:val="en-US" w:eastAsia="zh-CN"/>
              </w:rPr>
              <w:t>20</w:t>
            </w:r>
            <w:r>
              <w:rPr>
                <w:rFonts w:hint="eastAsia"/>
                <w:color w:val="auto"/>
                <w:highlight w:val="none"/>
              </w:rPr>
              <w:t>年1月1日至今曾参主编或参编过国家或行业工程技术、规范标准的，一个得0.5分；</w:t>
            </w:r>
          </w:p>
          <w:p>
            <w:pPr>
              <w:numPr>
                <w:ilvl w:val="0"/>
                <w:numId w:val="3"/>
              </w:numPr>
              <w:spacing w:after="120" w:line="288" w:lineRule="auto"/>
              <w:ind w:left="0" w:leftChars="0" w:firstLine="0" w:firstLineChars="0"/>
              <w:rPr>
                <w:rFonts w:hint="eastAsia"/>
                <w:color w:val="auto"/>
                <w:highlight w:val="none"/>
                <w:lang w:eastAsia="zh-CN"/>
              </w:rPr>
            </w:pPr>
            <w:r>
              <w:rPr>
                <w:rFonts w:hint="eastAsia"/>
                <w:color w:val="auto"/>
                <w:highlight w:val="none"/>
              </w:rPr>
              <w:t>投标</w:t>
            </w:r>
            <w:r>
              <w:rPr>
                <w:rFonts w:hint="eastAsia" w:ascii="宋体" w:hAnsi="宋体" w:eastAsia="宋体" w:cs="宋体"/>
                <w:color w:val="auto"/>
                <w:highlight w:val="none"/>
              </w:rPr>
              <w:t>人20</w:t>
            </w:r>
            <w:r>
              <w:rPr>
                <w:rFonts w:hint="eastAsia" w:ascii="宋体" w:hAnsi="宋体" w:eastAsia="宋体" w:cs="宋体"/>
                <w:color w:val="auto"/>
                <w:highlight w:val="none"/>
                <w:lang w:val="en-US" w:eastAsia="zh-CN"/>
              </w:rPr>
              <w:t>20</w:t>
            </w:r>
            <w:r>
              <w:rPr>
                <w:rFonts w:hint="eastAsia"/>
                <w:color w:val="auto"/>
                <w:highlight w:val="none"/>
              </w:rPr>
              <w:t>年1月1日至今完成的建筑工程施工总承包项目获得技术创新QC成果（部优以上）的，一个得0.3分</w:t>
            </w:r>
            <w:r>
              <w:rPr>
                <w:rFonts w:hint="eastAsia"/>
                <w:color w:val="auto"/>
                <w:highlight w:val="none"/>
                <w:lang w:eastAsia="zh-CN"/>
              </w:rPr>
              <w:t>。</w:t>
            </w:r>
          </w:p>
          <w:p>
            <w:pPr>
              <w:numPr>
                <w:ilvl w:val="0"/>
                <w:numId w:val="0"/>
              </w:numPr>
              <w:spacing w:after="120" w:line="288" w:lineRule="auto"/>
              <w:ind w:leftChars="0"/>
              <w:rPr>
                <w:rFonts w:ascii="宋体" w:hAnsi="宋体"/>
                <w:color w:val="auto"/>
                <w:szCs w:val="21"/>
                <w:highlight w:val="none"/>
              </w:rPr>
            </w:pPr>
            <w:r>
              <w:rPr>
                <w:rFonts w:hint="eastAsia"/>
                <w:color w:val="auto"/>
                <w:highlight w:val="none"/>
                <w:lang w:val="en-US" w:eastAsia="zh-CN"/>
              </w:rPr>
              <w:t>本项累计最高得1.5分。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Merge w:val="continue"/>
            <w:vAlign w:val="center"/>
          </w:tcPr>
          <w:p>
            <w:pPr>
              <w:snapToGrid w:val="0"/>
              <w:spacing w:beforeLines="35" w:afterLines="35" w:line="288" w:lineRule="auto"/>
              <w:rPr>
                <w:rFonts w:ascii="宋体" w:hAnsi="宋体"/>
                <w:color w:val="auto"/>
                <w:szCs w:val="21"/>
                <w:highlight w:val="none"/>
              </w:rPr>
            </w:pPr>
          </w:p>
        </w:tc>
        <w:tc>
          <w:tcPr>
            <w:tcW w:w="1207" w:type="dxa"/>
            <w:vAlign w:val="center"/>
          </w:tcPr>
          <w:p>
            <w:pPr>
              <w:snapToGrid w:val="0"/>
              <w:spacing w:beforeLines="35" w:afterLines="35" w:line="288" w:lineRule="auto"/>
              <w:jc w:val="center"/>
              <w:rPr>
                <w:rFonts w:ascii="宋体" w:hAnsi="宋体"/>
                <w:color w:val="auto"/>
                <w:szCs w:val="21"/>
                <w:highlight w:val="none"/>
              </w:rPr>
            </w:pPr>
            <w:r>
              <w:rPr>
                <w:rFonts w:hint="eastAsia" w:ascii="宋体" w:hAnsi="宋体"/>
                <w:color w:val="auto"/>
                <w:szCs w:val="21"/>
                <w:highlight w:val="none"/>
              </w:rPr>
              <w:t>财务指标</w:t>
            </w:r>
          </w:p>
        </w:tc>
        <w:tc>
          <w:tcPr>
            <w:tcW w:w="782" w:type="dxa"/>
            <w:vAlign w:val="center"/>
          </w:tcPr>
          <w:p>
            <w:pPr>
              <w:snapToGrid w:val="0"/>
              <w:spacing w:beforeLines="35" w:afterLines="35" w:line="288" w:lineRule="auto"/>
              <w:jc w:val="center"/>
              <w:rPr>
                <w:rFonts w:ascii="宋体" w:hAnsi="宋体"/>
                <w:color w:val="auto"/>
                <w:szCs w:val="21"/>
                <w:highlight w:val="none"/>
              </w:rPr>
            </w:pPr>
            <w:r>
              <w:rPr>
                <w:rFonts w:hint="eastAsia" w:ascii="宋体" w:hAnsi="宋体"/>
                <w:color w:val="auto"/>
                <w:szCs w:val="21"/>
                <w:highlight w:val="none"/>
              </w:rPr>
              <w:t>1.2</w:t>
            </w:r>
          </w:p>
        </w:tc>
        <w:tc>
          <w:tcPr>
            <w:tcW w:w="12183" w:type="dxa"/>
            <w:vAlign w:val="center"/>
          </w:tcPr>
          <w:p>
            <w:pPr>
              <w:pStyle w:val="155"/>
              <w:spacing w:line="288" w:lineRule="auto"/>
              <w:rPr>
                <w:rFonts w:ascii="宋体" w:hAnsi="宋体" w:cs="宋体"/>
                <w:color w:val="auto"/>
                <w:szCs w:val="21"/>
                <w:highlight w:val="none"/>
              </w:rPr>
            </w:pPr>
            <w:r>
              <w:rPr>
                <w:rFonts w:hint="eastAsia" w:ascii="宋体" w:hAnsi="宋体" w:cs="宋体"/>
                <w:color w:val="auto"/>
                <w:szCs w:val="21"/>
                <w:highlight w:val="none"/>
              </w:rPr>
              <w:t>投标人20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年度至202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年度的资产负债率均在40%（不含40%）以下的，得1.2分；资产负债率均在40%（含40%）-45%（不含45%）的，得0.</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分；资产负债率均在45%（含45%）-50%（不含50%）的，得0.1分；不满足上述情况的，不得分。</w:t>
            </w:r>
          </w:p>
          <w:p>
            <w:pPr>
              <w:pStyle w:val="155"/>
              <w:spacing w:line="288" w:lineRule="auto"/>
              <w:rPr>
                <w:rFonts w:ascii="宋体" w:hAnsi="宋体"/>
                <w:color w:val="auto"/>
                <w:szCs w:val="21"/>
                <w:highlight w:val="none"/>
              </w:rPr>
            </w:pPr>
            <w:r>
              <w:rPr>
                <w:rFonts w:hint="eastAsia" w:ascii="宋体" w:hAnsi="宋体" w:cs="宋体"/>
                <w:color w:val="auto"/>
                <w:szCs w:val="21"/>
                <w:highlight w:val="none"/>
              </w:rPr>
              <w:t>注：资产负债率：以投标人提供资产负债表为准，须提供经会计师事务所审计的财务报告（包括审计意见和资产负债表等）扫描件并加盖投标人企业电子印章，否则不得分（资产负债率＝负债总额÷资产总额×100%）。</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3" w:type="dxa"/>
            <w:vMerge w:val="continue"/>
            <w:vAlign w:val="center"/>
          </w:tcPr>
          <w:p>
            <w:pPr>
              <w:snapToGrid w:val="0"/>
              <w:spacing w:beforeLines="35" w:afterLines="35" w:line="288" w:lineRule="auto"/>
              <w:rPr>
                <w:rFonts w:ascii="宋体" w:hAnsi="宋体"/>
                <w:color w:val="auto"/>
                <w:szCs w:val="21"/>
                <w:highlight w:val="none"/>
              </w:rPr>
            </w:pPr>
          </w:p>
        </w:tc>
        <w:tc>
          <w:tcPr>
            <w:tcW w:w="1207" w:type="dxa"/>
            <w:vAlign w:val="center"/>
          </w:tcPr>
          <w:p>
            <w:pPr>
              <w:snapToGrid w:val="0"/>
              <w:spacing w:beforeLines="35" w:afterLines="35" w:line="288" w:lineRule="auto"/>
              <w:jc w:val="center"/>
              <w:rPr>
                <w:rFonts w:ascii="宋体" w:hAnsi="宋体"/>
                <w:color w:val="auto"/>
                <w:szCs w:val="21"/>
                <w:highlight w:val="none"/>
              </w:rPr>
            </w:pPr>
            <w:r>
              <w:rPr>
                <w:rFonts w:hint="eastAsia" w:ascii="宋体" w:hAnsi="宋体"/>
                <w:color w:val="auto"/>
                <w:szCs w:val="21"/>
                <w:highlight w:val="none"/>
              </w:rPr>
              <w:t>第三方评价</w:t>
            </w:r>
          </w:p>
        </w:tc>
        <w:tc>
          <w:tcPr>
            <w:tcW w:w="782" w:type="dxa"/>
            <w:vAlign w:val="center"/>
          </w:tcPr>
          <w:p>
            <w:pPr>
              <w:snapToGrid w:val="0"/>
              <w:spacing w:beforeLines="35" w:afterLines="35" w:line="288" w:lineRule="auto"/>
              <w:jc w:val="center"/>
              <w:rPr>
                <w:rFonts w:ascii="宋体" w:hAnsi="宋体"/>
                <w:color w:val="auto"/>
                <w:szCs w:val="21"/>
                <w:highlight w:val="none"/>
              </w:rPr>
            </w:pPr>
            <w:r>
              <w:rPr>
                <w:rFonts w:hint="eastAsia" w:ascii="宋体" w:hAnsi="宋体"/>
                <w:color w:val="auto"/>
                <w:szCs w:val="21"/>
                <w:highlight w:val="none"/>
              </w:rPr>
              <w:t>0.8</w:t>
            </w:r>
          </w:p>
        </w:tc>
        <w:tc>
          <w:tcPr>
            <w:tcW w:w="12183" w:type="dxa"/>
            <w:vAlign w:val="center"/>
          </w:tcPr>
          <w:p>
            <w:pPr>
              <w:pStyle w:val="155"/>
              <w:spacing w:line="288" w:lineRule="auto"/>
              <w:rPr>
                <w:rFonts w:ascii="宋体" w:hAnsi="宋体" w:cs="宋体"/>
                <w:color w:val="auto"/>
                <w:szCs w:val="21"/>
                <w:highlight w:val="none"/>
              </w:rPr>
            </w:pPr>
            <w:r>
              <w:rPr>
                <w:rFonts w:hint="eastAsia" w:ascii="宋体" w:hAnsi="宋体" w:cs="宋体"/>
                <w:color w:val="auto"/>
                <w:szCs w:val="21"/>
                <w:highlight w:val="none"/>
              </w:rPr>
              <w:t>投标人获得过税务部门评定的纳税信用A级情况（须含2022年度）：</w:t>
            </w:r>
          </w:p>
          <w:p>
            <w:pPr>
              <w:pStyle w:val="155"/>
              <w:spacing w:line="288" w:lineRule="auto"/>
              <w:rPr>
                <w:rFonts w:ascii="宋体" w:hAnsi="宋体" w:cs="宋体"/>
                <w:color w:val="auto"/>
                <w:szCs w:val="21"/>
                <w:highlight w:val="none"/>
              </w:rPr>
            </w:pPr>
            <w:r>
              <w:rPr>
                <w:rFonts w:hint="eastAsia" w:ascii="宋体" w:hAnsi="宋体" w:cs="宋体"/>
                <w:color w:val="auto"/>
                <w:szCs w:val="21"/>
                <w:highlight w:val="none"/>
              </w:rPr>
              <w:t>1.连续5个年度（或以上）获得“纳税信用A级纳税人”称号的，得0.8分；</w:t>
            </w:r>
          </w:p>
          <w:p>
            <w:pPr>
              <w:pStyle w:val="155"/>
              <w:spacing w:line="288" w:lineRule="auto"/>
              <w:rPr>
                <w:rFonts w:ascii="宋体" w:hAnsi="宋体" w:cs="宋体"/>
                <w:color w:val="auto"/>
                <w:szCs w:val="21"/>
                <w:highlight w:val="none"/>
              </w:rPr>
            </w:pPr>
            <w:r>
              <w:rPr>
                <w:rFonts w:hint="eastAsia" w:ascii="宋体" w:hAnsi="宋体" w:cs="宋体"/>
                <w:color w:val="auto"/>
                <w:szCs w:val="21"/>
                <w:highlight w:val="none"/>
              </w:rPr>
              <w:t>2.连续4个年度获得“纳税信用A级纳税人”称号的，得0.4分；</w:t>
            </w:r>
          </w:p>
          <w:p>
            <w:pPr>
              <w:pStyle w:val="155"/>
              <w:spacing w:line="288" w:lineRule="auto"/>
              <w:rPr>
                <w:rFonts w:ascii="宋体" w:hAnsi="宋体" w:cs="宋体"/>
                <w:color w:val="auto"/>
                <w:szCs w:val="21"/>
                <w:highlight w:val="none"/>
              </w:rPr>
            </w:pPr>
            <w:r>
              <w:rPr>
                <w:rFonts w:hint="eastAsia" w:ascii="宋体" w:hAnsi="宋体" w:cs="宋体"/>
                <w:color w:val="auto"/>
                <w:szCs w:val="21"/>
                <w:highlight w:val="none"/>
              </w:rPr>
              <w:t>3.连续3个年度或以下获得“纳税信用A级纳税人”称号的，得0.2分；</w:t>
            </w:r>
          </w:p>
          <w:p>
            <w:pPr>
              <w:pStyle w:val="155"/>
              <w:spacing w:line="288" w:lineRule="auto"/>
              <w:rPr>
                <w:rFonts w:ascii="宋体" w:hAnsi="宋体"/>
                <w:color w:val="auto"/>
                <w:szCs w:val="21"/>
                <w:highlight w:val="none"/>
              </w:rPr>
            </w:pPr>
            <w:r>
              <w:rPr>
                <w:rFonts w:hint="eastAsia" w:ascii="宋体" w:hAnsi="宋体" w:cs="宋体"/>
                <w:color w:val="auto"/>
                <w:szCs w:val="21"/>
                <w:highlight w:val="none"/>
              </w:rPr>
              <w:t>不符合上述条件的不得分。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10" w:type="dxa"/>
            <w:gridSpan w:val="2"/>
            <w:vAlign w:val="center"/>
          </w:tcPr>
          <w:p>
            <w:pPr>
              <w:snapToGrid w:val="0"/>
              <w:spacing w:beforeLines="35" w:afterLines="35" w:line="288" w:lineRule="auto"/>
              <w:jc w:val="center"/>
              <w:rPr>
                <w:rFonts w:ascii="宋体" w:hAnsi="宋体"/>
                <w:color w:val="auto"/>
                <w:szCs w:val="21"/>
                <w:highlight w:val="none"/>
              </w:rPr>
            </w:pPr>
            <w:r>
              <w:rPr>
                <w:rFonts w:hint="eastAsia" w:ascii="宋体" w:hAnsi="宋体"/>
                <w:color w:val="auto"/>
                <w:szCs w:val="21"/>
                <w:highlight w:val="none"/>
              </w:rPr>
              <w:t>合计</w:t>
            </w:r>
          </w:p>
        </w:tc>
        <w:tc>
          <w:tcPr>
            <w:tcW w:w="782" w:type="dxa"/>
            <w:vAlign w:val="center"/>
          </w:tcPr>
          <w:p>
            <w:pPr>
              <w:snapToGrid w:val="0"/>
              <w:spacing w:beforeLines="35" w:afterLines="35" w:line="288" w:lineRule="auto"/>
              <w:jc w:val="center"/>
              <w:rPr>
                <w:rFonts w:ascii="宋体" w:hAnsi="宋体"/>
                <w:color w:val="auto"/>
                <w:szCs w:val="21"/>
                <w:highlight w:val="none"/>
              </w:rPr>
            </w:pPr>
            <w:r>
              <w:rPr>
                <w:rFonts w:hint="eastAsia" w:ascii="宋体" w:hAnsi="宋体"/>
                <w:color w:val="auto"/>
                <w:szCs w:val="21"/>
                <w:highlight w:val="none"/>
              </w:rPr>
              <w:t>20</w:t>
            </w:r>
          </w:p>
        </w:tc>
        <w:tc>
          <w:tcPr>
            <w:tcW w:w="12183" w:type="dxa"/>
            <w:vAlign w:val="center"/>
          </w:tcPr>
          <w:p>
            <w:pPr>
              <w:snapToGrid w:val="0"/>
              <w:spacing w:line="288" w:lineRule="auto"/>
              <w:rPr>
                <w:rFonts w:ascii="宋体" w:hAnsi="宋体"/>
                <w:color w:val="auto"/>
                <w:szCs w:val="21"/>
                <w:highlight w:val="none"/>
              </w:rPr>
            </w:pPr>
          </w:p>
        </w:tc>
      </w:tr>
    </w:tbl>
    <w:p>
      <w:pPr>
        <w:rPr>
          <w:rFonts w:ascii="宋体" w:hAnsi="宋体"/>
          <w:b/>
          <w:color w:val="auto"/>
          <w:szCs w:val="21"/>
          <w:highlight w:val="none"/>
        </w:rPr>
      </w:pPr>
      <w:r>
        <w:rPr>
          <w:rFonts w:hint="eastAsia" w:ascii="宋体" w:hAnsi="宋体"/>
          <w:b/>
          <w:color w:val="auto"/>
          <w:szCs w:val="21"/>
          <w:highlight w:val="none"/>
        </w:rPr>
        <w:t>注：</w:t>
      </w:r>
    </w:p>
    <w:p>
      <w:pPr>
        <w:ind w:firstLine="422" w:firstLineChars="200"/>
        <w:rPr>
          <w:rFonts w:ascii="宋体" w:hAnsi="宋体" w:cs="宋体"/>
          <w:color w:val="auto"/>
          <w:highlight w:val="none"/>
        </w:rPr>
      </w:pPr>
      <w:r>
        <w:rPr>
          <w:rFonts w:hint="eastAsia" w:ascii="宋体" w:hAnsi="宋体"/>
          <w:b/>
          <w:color w:val="auto"/>
          <w:szCs w:val="21"/>
          <w:highlight w:val="none"/>
        </w:rPr>
        <w:t>1.企业业绩</w:t>
      </w:r>
      <w:r>
        <w:rPr>
          <w:rFonts w:hint="eastAsia" w:ascii="宋体" w:hAnsi="宋体"/>
          <w:color w:val="auto"/>
          <w:szCs w:val="21"/>
          <w:highlight w:val="none"/>
        </w:rPr>
        <w:t>：</w:t>
      </w:r>
      <w:r>
        <w:rPr>
          <w:rFonts w:hint="eastAsia" w:ascii="宋体" w:hAnsi="宋体" w:cs="宋体"/>
          <w:color w:val="auto"/>
          <w:highlight w:val="none"/>
        </w:rPr>
        <w:t>（1）业绩取自广州市住建行业信用管理平台。投标人须提供类似工程业绩的项目名称及业绩在广州市住建行业信用管理平台中项目编号</w:t>
      </w:r>
      <w:r>
        <w:rPr>
          <w:rFonts w:hint="eastAsia" w:ascii="宋体" w:hAnsi="宋体" w:cs="宋体"/>
          <w:color w:val="auto"/>
          <w:highlight w:val="none"/>
          <w:lang w:eastAsia="zh-CN"/>
        </w:rPr>
        <w:t>、</w:t>
      </w:r>
      <w:r>
        <w:rPr>
          <w:rFonts w:hint="eastAsia" w:ascii="宋体" w:hAnsi="宋体" w:cs="宋体"/>
          <w:color w:val="auto"/>
          <w:highlight w:val="none"/>
        </w:rPr>
        <w:t>相应业绩在广州市住建行业信用管理平台的网页信息截图（截图须包含广州市住建行业信用管理平台中的“项目基本信息”、“工程规模”、“验收材料”、“工程对应的企业资质”栏。</w:t>
      </w:r>
      <w:r>
        <w:rPr>
          <w:rFonts w:hint="eastAsia" w:ascii="宋体" w:hAnsi="宋体" w:cs="宋体"/>
          <w:color w:val="auto"/>
          <w:highlight w:val="none"/>
          <w:lang w:eastAsia="zh-CN"/>
        </w:rPr>
        <w:t>）</w:t>
      </w:r>
      <w:r>
        <w:rPr>
          <w:rFonts w:hint="eastAsia" w:ascii="宋体" w:hAnsi="宋体" w:cs="宋体"/>
          <w:color w:val="auto"/>
          <w:szCs w:val="21"/>
          <w:highlight w:val="none"/>
          <w:lang w:bidi="ar"/>
        </w:rPr>
        <w:t>以供核对</w:t>
      </w:r>
      <w:r>
        <w:rPr>
          <w:rFonts w:hint="eastAsia" w:ascii="宋体" w:hAnsi="宋体" w:cs="宋体"/>
          <w:color w:val="auto"/>
          <w:highlight w:val="none"/>
        </w:rPr>
        <w:t>（投标文件中可不需重复提交相关业绩上传件）。用于本项目投标的类似业绩，在平台中“工程对应的企业资质”栏中须登记有与本项目要求相对应的资质（具体资质要求：建筑工程施工总承包（原房屋建筑工程施工总承包）资质）。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ind w:firstLine="420" w:firstLineChars="200"/>
        <w:rPr>
          <w:rFonts w:ascii="宋体" w:hAnsi="宋体" w:cs="宋体"/>
          <w:color w:val="auto"/>
          <w:highlight w:val="none"/>
        </w:rPr>
      </w:pPr>
      <w:r>
        <w:rPr>
          <w:rFonts w:hint="eastAsia" w:ascii="宋体" w:hAnsi="宋体" w:cs="宋体"/>
          <w:color w:val="auto"/>
          <w:highlight w:val="none"/>
        </w:rPr>
        <w:t>（2）金额以中标通知书为准，中标通知书上没有金额或免招标的，以施工合同（不含补充合同）为准。</w:t>
      </w:r>
    </w:p>
    <w:p>
      <w:pPr>
        <w:ind w:firstLine="420" w:firstLineChars="200"/>
        <w:rPr>
          <w:rFonts w:ascii="宋体" w:hAnsi="宋体" w:cs="宋体"/>
          <w:color w:val="auto"/>
          <w:highlight w:val="none"/>
        </w:rPr>
      </w:pPr>
      <w:r>
        <w:rPr>
          <w:rFonts w:hint="eastAsia" w:ascii="宋体" w:hAnsi="宋体" w:cs="宋体"/>
          <w:color w:val="auto"/>
          <w:highlight w:val="none"/>
        </w:rPr>
        <w:t>（3）完成时间以竣工验收文件为准。验收文件至少具有建设单位、设计、施工和监理单位盖章。</w:t>
      </w:r>
    </w:p>
    <w:p>
      <w:pPr>
        <w:ind w:firstLine="420" w:firstLineChars="200"/>
        <w:rPr>
          <w:rFonts w:ascii="宋体" w:hAnsi="宋体" w:cs="宋体"/>
          <w:color w:val="auto"/>
          <w:highlight w:val="none"/>
        </w:rPr>
      </w:pPr>
      <w:r>
        <w:rPr>
          <w:rFonts w:hint="eastAsia" w:ascii="宋体" w:hAnsi="宋体" w:cs="宋体"/>
          <w:color w:val="auto"/>
          <w:highlight w:val="none"/>
        </w:rPr>
        <w:t>（4）平台内业绩上传件不符合上述要求的或登记的工程资质内容与施工合同等业绩证明资料不相符的，该项业绩不予认定。</w:t>
      </w:r>
    </w:p>
    <w:p>
      <w:pPr>
        <w:ind w:firstLine="422" w:firstLineChars="200"/>
        <w:rPr>
          <w:rFonts w:hint="eastAsia" w:ascii="宋体" w:hAnsi="宋体" w:eastAsia="宋体" w:cs="宋体"/>
          <w:color w:val="auto"/>
          <w:highlight w:val="none"/>
          <w:lang w:eastAsia="zh-CN"/>
        </w:rPr>
      </w:pPr>
      <w:r>
        <w:rPr>
          <w:rFonts w:hint="eastAsia" w:ascii="宋体" w:hAnsi="宋体" w:cs="宋体"/>
          <w:b/>
          <w:bCs/>
          <w:color w:val="auto"/>
          <w:highlight w:val="none"/>
        </w:rPr>
        <w:t>2.工程奖项</w:t>
      </w:r>
      <w:r>
        <w:rPr>
          <w:rFonts w:hint="eastAsia" w:ascii="宋体" w:hAnsi="宋体" w:cs="宋体"/>
          <w:color w:val="auto"/>
          <w:highlight w:val="none"/>
        </w:rPr>
        <w:t>：工程奖项信息取自广州市住建行业信用管理平台。（1）</w:t>
      </w:r>
      <w:r>
        <w:rPr>
          <w:rFonts w:hint="eastAsia" w:ascii="宋体" w:hAnsi="宋体" w:cs="宋体"/>
          <w:bCs/>
          <w:color w:val="auto"/>
          <w:szCs w:val="21"/>
          <w:highlight w:val="none"/>
        </w:rPr>
        <w:t>投标人须提交获奖证书扫描件及获奖业绩在广州市住建行业信用管理平台的网页信息截图（网页信息截图须能清晰显示带有“住建行业信用管理平台”名称，并至少包含“项目基本信息”、“奖项信息”等信息）、项目类型以广州市住建行业信用管理平台上传的合同为准，并加盖投标人电子印章，不符合上述条件或不提供平台内网页信息截图的获奖业绩不予评审</w:t>
      </w:r>
      <w:r>
        <w:rPr>
          <w:rFonts w:hint="eastAsia" w:ascii="宋体" w:hAnsi="宋体" w:cs="宋体"/>
          <w:color w:val="auto"/>
          <w:highlight w:val="none"/>
        </w:rPr>
        <w:t>。时间以获奖证书显示的颁奖时间信息为准。奖项内容和级别以获奖证书显示的奖项名称为准，不符合上述条件或不提供网页截图的获奖不予评审。国家级质量奖项是指：中国建设工程鲁班奖、国家优质工程（金质奖）、国家优质工程奖、中国土木工程詹天佑奖</w:t>
      </w:r>
      <w:r>
        <w:rPr>
          <w:rFonts w:hint="eastAsia" w:ascii="宋体" w:hAnsi="宋体" w:cs="宋体"/>
          <w:color w:val="auto"/>
          <w:highlight w:val="none"/>
          <w:lang w:eastAsia="zh-CN"/>
        </w:rPr>
        <w:t>；</w:t>
      </w:r>
      <w:r>
        <w:rPr>
          <w:rFonts w:hint="eastAsia" w:ascii="宋体" w:hAnsi="宋体" w:cs="宋体"/>
          <w:color w:val="auto"/>
          <w:highlight w:val="none"/>
        </w:rPr>
        <w:t>省级及市级质量奖项指由行政主管部门或行业协会</w:t>
      </w:r>
      <w:r>
        <w:rPr>
          <w:rFonts w:hint="eastAsia" w:ascii="宋体" w:hAnsi="宋体" w:eastAsia="宋体" w:cs="宋体"/>
          <w:color w:val="auto"/>
          <w:kern w:val="2"/>
          <w:sz w:val="21"/>
          <w:szCs w:val="21"/>
          <w:highlight w:val="none"/>
          <w:shd w:val="clear" w:fill="auto"/>
          <w:lang w:val="en-US" w:eastAsia="zh-CN" w:bidi="ar"/>
        </w:rPr>
        <w:t>（行业协会须在民政部门备案）</w:t>
      </w:r>
      <w:r>
        <w:rPr>
          <w:rFonts w:hint="eastAsia" w:ascii="宋体" w:hAnsi="宋体" w:cs="宋体"/>
          <w:color w:val="auto"/>
          <w:highlight w:val="none"/>
        </w:rPr>
        <w:t>颁发的质量奖项，不包含安全文明、绿色施工、技术创新、科技进步、QC及技术应用类等奖项。（2）只计算房屋建筑类工程项目的质量奖项，其他非房建类工程项目获奖，如：路桥、铁路、水利、电力、化工、冶金、市政等获奖不参与计分。</w:t>
      </w: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投标人为项目</w:t>
      </w:r>
      <w:r>
        <w:rPr>
          <w:rFonts w:hint="eastAsia" w:ascii="宋体" w:hAnsi="宋体" w:cs="宋体"/>
          <w:color w:val="auto"/>
          <w:highlight w:val="none"/>
          <w:lang w:eastAsia="zh-CN"/>
        </w:rPr>
        <w:t>承建</w:t>
      </w:r>
      <w:r>
        <w:rPr>
          <w:rFonts w:hint="eastAsia" w:ascii="宋体" w:hAnsi="宋体" w:cs="宋体"/>
          <w:color w:val="auto"/>
          <w:highlight w:val="none"/>
          <w:lang w:val="en-US" w:eastAsia="zh-CN"/>
        </w:rPr>
        <w:t>单位或</w:t>
      </w:r>
      <w:r>
        <w:rPr>
          <w:rFonts w:hint="eastAsia" w:ascii="宋体" w:hAnsi="宋体" w:cs="宋体"/>
          <w:color w:val="auto"/>
          <w:highlight w:val="none"/>
          <w:lang w:eastAsia="zh-CN"/>
        </w:rPr>
        <w:t>参建</w:t>
      </w:r>
      <w:r>
        <w:rPr>
          <w:rFonts w:hint="eastAsia" w:ascii="宋体" w:hAnsi="宋体" w:cs="宋体"/>
          <w:color w:val="auto"/>
          <w:highlight w:val="none"/>
          <w:lang w:val="en-US" w:eastAsia="zh-CN"/>
        </w:rPr>
        <w:t>单位获得</w:t>
      </w:r>
      <w:r>
        <w:rPr>
          <w:rFonts w:hint="eastAsia" w:ascii="宋体" w:hAnsi="宋体" w:cs="宋体"/>
          <w:color w:val="auto"/>
          <w:highlight w:val="none"/>
          <w:lang w:eastAsia="zh-CN"/>
        </w:rPr>
        <w:t>国家级</w:t>
      </w:r>
      <w:r>
        <w:rPr>
          <w:rFonts w:hint="eastAsia" w:ascii="宋体" w:hAnsi="宋体" w:cs="宋体"/>
          <w:color w:val="auto"/>
          <w:highlight w:val="none"/>
        </w:rPr>
        <w:t>质量奖项</w:t>
      </w:r>
      <w:r>
        <w:rPr>
          <w:rFonts w:hint="eastAsia" w:ascii="宋体" w:hAnsi="宋体" w:cs="宋体"/>
          <w:color w:val="auto"/>
          <w:highlight w:val="none"/>
          <w:lang w:val="en-US" w:eastAsia="zh-CN"/>
        </w:rPr>
        <w:t>均</w:t>
      </w:r>
      <w:r>
        <w:rPr>
          <w:rFonts w:hint="eastAsia" w:ascii="宋体" w:hAnsi="宋体" w:cs="宋体"/>
          <w:color w:val="auto"/>
          <w:highlight w:val="none"/>
        </w:rPr>
        <w:t>参与计分</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投标人为项目</w:t>
      </w:r>
      <w:r>
        <w:rPr>
          <w:rFonts w:hint="eastAsia" w:ascii="宋体" w:hAnsi="宋体" w:cs="宋体"/>
          <w:color w:val="auto"/>
          <w:highlight w:val="none"/>
          <w:lang w:eastAsia="zh-CN"/>
        </w:rPr>
        <w:t>承建</w:t>
      </w:r>
      <w:r>
        <w:rPr>
          <w:rFonts w:hint="eastAsia" w:ascii="宋体" w:hAnsi="宋体" w:cs="宋体"/>
          <w:color w:val="auto"/>
          <w:highlight w:val="none"/>
          <w:lang w:val="en-US" w:eastAsia="zh-CN"/>
        </w:rPr>
        <w:t>单位获得</w:t>
      </w:r>
      <w:r>
        <w:rPr>
          <w:rFonts w:hint="eastAsia" w:ascii="宋体" w:hAnsi="宋体" w:cs="宋体"/>
          <w:color w:val="auto"/>
          <w:highlight w:val="none"/>
          <w:lang w:eastAsia="zh-CN"/>
        </w:rPr>
        <w:t>省</w:t>
      </w:r>
      <w:r>
        <w:rPr>
          <w:rFonts w:hint="eastAsia" w:ascii="宋体" w:hAnsi="宋体" w:cs="宋体"/>
          <w:color w:val="auto"/>
          <w:highlight w:val="none"/>
          <w:lang w:val="en-US" w:eastAsia="zh-CN"/>
        </w:rPr>
        <w:t>级或</w:t>
      </w:r>
      <w:r>
        <w:rPr>
          <w:rFonts w:hint="eastAsia" w:ascii="宋体" w:hAnsi="宋体" w:cs="宋体"/>
          <w:color w:val="auto"/>
          <w:highlight w:val="none"/>
          <w:lang w:eastAsia="zh-CN"/>
        </w:rPr>
        <w:t>市</w:t>
      </w:r>
      <w:r>
        <w:rPr>
          <w:rFonts w:hint="eastAsia" w:ascii="宋体" w:hAnsi="宋体" w:cs="宋体"/>
          <w:color w:val="auto"/>
          <w:highlight w:val="none"/>
          <w:lang w:val="en-US" w:eastAsia="zh-CN"/>
        </w:rPr>
        <w:t>级</w:t>
      </w:r>
      <w:r>
        <w:rPr>
          <w:rFonts w:hint="eastAsia" w:ascii="宋体" w:hAnsi="宋体" w:cs="宋体"/>
          <w:color w:val="auto"/>
          <w:highlight w:val="none"/>
        </w:rPr>
        <w:t>质量奖项</w:t>
      </w:r>
      <w:r>
        <w:rPr>
          <w:rFonts w:hint="eastAsia" w:ascii="宋体" w:hAnsi="宋体" w:cs="宋体"/>
          <w:color w:val="auto"/>
          <w:highlight w:val="none"/>
          <w:lang w:val="en-US" w:eastAsia="zh-CN"/>
        </w:rPr>
        <w:t>才</w:t>
      </w:r>
      <w:r>
        <w:rPr>
          <w:rFonts w:hint="eastAsia" w:ascii="宋体" w:hAnsi="宋体" w:cs="宋体"/>
          <w:color w:val="auto"/>
          <w:highlight w:val="none"/>
        </w:rPr>
        <w:t>参与计分</w:t>
      </w:r>
      <w:r>
        <w:rPr>
          <w:rFonts w:hint="eastAsia" w:ascii="宋体" w:hAnsi="宋体" w:cs="宋体"/>
          <w:color w:val="auto"/>
          <w:highlight w:val="none"/>
          <w:lang w:val="en-US" w:eastAsia="zh-CN"/>
        </w:rPr>
        <w:t>。投标人为项目参</w:t>
      </w:r>
      <w:r>
        <w:rPr>
          <w:rFonts w:hint="eastAsia" w:ascii="宋体" w:hAnsi="宋体" w:cs="宋体"/>
          <w:color w:val="auto"/>
          <w:highlight w:val="none"/>
          <w:lang w:eastAsia="zh-CN"/>
        </w:rPr>
        <w:t>建</w:t>
      </w:r>
      <w:r>
        <w:rPr>
          <w:rFonts w:hint="eastAsia" w:ascii="宋体" w:hAnsi="宋体" w:cs="宋体"/>
          <w:color w:val="auto"/>
          <w:highlight w:val="none"/>
          <w:lang w:val="en-US" w:eastAsia="zh-CN"/>
        </w:rPr>
        <w:t>单位获得</w:t>
      </w:r>
      <w:r>
        <w:rPr>
          <w:rFonts w:hint="eastAsia" w:ascii="宋体" w:hAnsi="宋体" w:cs="宋体"/>
          <w:color w:val="auto"/>
          <w:highlight w:val="none"/>
          <w:lang w:eastAsia="zh-CN"/>
        </w:rPr>
        <w:t>省</w:t>
      </w:r>
      <w:r>
        <w:rPr>
          <w:rFonts w:hint="eastAsia" w:ascii="宋体" w:hAnsi="宋体" w:cs="宋体"/>
          <w:color w:val="auto"/>
          <w:highlight w:val="none"/>
          <w:lang w:val="en-US" w:eastAsia="zh-CN"/>
        </w:rPr>
        <w:t>级或</w:t>
      </w:r>
      <w:r>
        <w:rPr>
          <w:rFonts w:hint="eastAsia" w:ascii="宋体" w:hAnsi="宋体" w:cs="宋体"/>
          <w:color w:val="auto"/>
          <w:highlight w:val="none"/>
          <w:lang w:eastAsia="zh-CN"/>
        </w:rPr>
        <w:t>市</w:t>
      </w:r>
      <w:r>
        <w:rPr>
          <w:rFonts w:hint="eastAsia" w:ascii="宋体" w:hAnsi="宋体" w:cs="宋体"/>
          <w:color w:val="auto"/>
          <w:highlight w:val="none"/>
          <w:lang w:val="en-US" w:eastAsia="zh-CN"/>
        </w:rPr>
        <w:t>级</w:t>
      </w:r>
      <w:r>
        <w:rPr>
          <w:rFonts w:hint="eastAsia" w:ascii="宋体" w:hAnsi="宋体" w:cs="宋体"/>
          <w:color w:val="auto"/>
          <w:highlight w:val="none"/>
        </w:rPr>
        <w:t>质量奖项</w:t>
      </w:r>
      <w:r>
        <w:rPr>
          <w:rFonts w:hint="eastAsia" w:ascii="宋体" w:hAnsi="宋体" w:cs="宋体"/>
          <w:color w:val="auto"/>
          <w:highlight w:val="none"/>
          <w:lang w:val="en-US" w:eastAsia="zh-CN"/>
        </w:rPr>
        <w:t>不</w:t>
      </w:r>
      <w:r>
        <w:rPr>
          <w:rFonts w:hint="eastAsia" w:ascii="宋体" w:hAnsi="宋体" w:cs="宋体"/>
          <w:color w:val="auto"/>
          <w:highlight w:val="none"/>
        </w:rPr>
        <w:t>参与计分</w:t>
      </w:r>
      <w:r>
        <w:rPr>
          <w:rFonts w:hint="eastAsia" w:ascii="宋体" w:hAnsi="宋体" w:cs="宋体"/>
          <w:color w:val="auto"/>
          <w:highlight w:val="none"/>
          <w:lang w:val="en-US" w:eastAsia="zh-CN"/>
        </w:rPr>
        <w:t>。</w:t>
      </w:r>
    </w:p>
    <w:p>
      <w:pPr>
        <w:ind w:firstLine="422" w:firstLineChars="200"/>
        <w:jc w:val="left"/>
        <w:rPr>
          <w:rFonts w:ascii="宋体" w:hAnsi="宋体" w:cs="宋体"/>
          <w:color w:val="auto"/>
          <w:highlight w:val="none"/>
        </w:rPr>
      </w:pPr>
      <w:r>
        <w:rPr>
          <w:rFonts w:hint="eastAsia" w:ascii="宋体" w:hAnsi="宋体" w:cs="宋体"/>
          <w:b/>
          <w:color w:val="auto"/>
          <w:szCs w:val="21"/>
          <w:highlight w:val="none"/>
        </w:rPr>
        <w:t>3.</w:t>
      </w:r>
      <w:r>
        <w:rPr>
          <w:rFonts w:hint="eastAsia" w:ascii="宋体" w:hAnsi="宋体" w:cs="宋体"/>
          <w:b/>
          <w:color w:val="auto"/>
          <w:highlight w:val="none"/>
        </w:rPr>
        <w:t>工程研发能力：</w:t>
      </w:r>
      <w:r>
        <w:rPr>
          <w:rFonts w:hint="eastAsia" w:ascii="宋体" w:hAnsi="宋体" w:cs="宋体"/>
          <w:b w:val="0"/>
          <w:bCs/>
          <w:color w:val="auto"/>
          <w:highlight w:val="none"/>
        </w:rPr>
        <w:t>参编证明材料提供包括标准名称、编号、目录及编制单位等内容的标准规范关键页扫描件。加盖投标人电子印章。否则，不得分。</w:t>
      </w:r>
      <w:r>
        <w:rPr>
          <w:rFonts w:hint="eastAsia" w:ascii="宋体" w:hAnsi="宋体" w:cs="宋体"/>
          <w:color w:val="auto"/>
          <w:highlight w:val="none"/>
        </w:rPr>
        <w:t>“技术创新QC成果（部优以上）”时间以获奖证书时间为准。投标人须提供获奖证书扫描件并加盖投标人企业电子印章，同时提供获奖证书和该获奖项目的中标通知书、施工合同等原件扫描件。不符合上述条件或未提供上述资料或无加盖投标人电子印章的不得分。</w:t>
      </w:r>
    </w:p>
    <w:p>
      <w:pPr>
        <w:pStyle w:val="25"/>
        <w:ind w:firstLine="402" w:firstLineChars="200"/>
        <w:rPr>
          <w:rFonts w:ascii="宋体" w:hAnsi="宋体" w:cs="宋体"/>
          <w:b/>
          <w:bCs/>
          <w:color w:val="auto"/>
          <w:highlight w:val="none"/>
        </w:rPr>
      </w:pPr>
      <w:r>
        <w:rPr>
          <w:rFonts w:hint="eastAsia" w:ascii="宋体" w:hAnsi="宋体" w:cs="宋体"/>
          <w:b/>
          <w:color w:val="auto"/>
          <w:szCs w:val="21"/>
          <w:highlight w:val="none"/>
        </w:rPr>
        <w:t>4.财务指标</w:t>
      </w:r>
      <w:r>
        <w:rPr>
          <w:rFonts w:hint="eastAsia" w:ascii="宋体" w:hAnsi="宋体" w:cs="宋体"/>
          <w:color w:val="auto"/>
          <w:szCs w:val="21"/>
          <w:highlight w:val="none"/>
        </w:rPr>
        <w:t>：企业资产负债率以企业对应年度的财务报表的数据为准，资产负债率=负债总额/资产总额×100%，投标人须提供2019、2020、2021年经会计师事务所审计的财务报表扫描件并加盖投标单位电子公章，不符合上述条件或未提供上述资料的不得分。</w:t>
      </w:r>
    </w:p>
    <w:p>
      <w:pPr>
        <w:pStyle w:val="155"/>
        <w:spacing w:line="276" w:lineRule="auto"/>
        <w:ind w:firstLine="422"/>
        <w:rPr>
          <w:rFonts w:ascii="宋体" w:hAnsi="宋体" w:cs="宋体"/>
          <w:color w:val="auto"/>
          <w:szCs w:val="21"/>
          <w:highlight w:val="none"/>
        </w:rPr>
      </w:pPr>
      <w:r>
        <w:rPr>
          <w:rFonts w:hint="eastAsia" w:ascii="宋体" w:hAnsi="宋体" w:cs="宋体"/>
          <w:b/>
          <w:color w:val="auto"/>
          <w:szCs w:val="21"/>
          <w:highlight w:val="none"/>
        </w:rPr>
        <w:t>5.第三方评价</w:t>
      </w:r>
      <w:r>
        <w:rPr>
          <w:rFonts w:hint="eastAsia" w:ascii="宋体" w:hAnsi="宋体" w:cs="宋体"/>
          <w:b/>
          <w:bCs/>
          <w:color w:val="auto"/>
          <w:highlight w:val="none"/>
        </w:rPr>
        <w:t>：</w:t>
      </w:r>
      <w:r>
        <w:rPr>
          <w:rFonts w:hint="eastAsia" w:ascii="宋体" w:hAnsi="宋体" w:cs="宋体"/>
          <w:color w:val="auto"/>
          <w:highlight w:val="none"/>
        </w:rPr>
        <w:t>纳税信用等级须提供纳税信用荣誉证书扫描件或“国家税务总局”官网（http://www.chinatax.gov.cn/）或各省级税务平台相关网站查询截图扫描件并加盖投标单位电子印章。</w:t>
      </w:r>
    </w:p>
    <w:p>
      <w:pPr>
        <w:ind w:firstLine="422" w:firstLineChars="200"/>
        <w:rPr>
          <w:color w:val="auto"/>
          <w:highlight w:val="none"/>
        </w:rPr>
      </w:pPr>
      <w:r>
        <w:rPr>
          <w:rFonts w:hint="eastAsia" w:ascii="宋体" w:hAnsi="宋体" w:cs="宋体"/>
          <w:b/>
          <w:bCs/>
          <w:color w:val="auto"/>
          <w:highlight w:val="none"/>
        </w:rPr>
        <w:t>6.</w:t>
      </w:r>
      <w:r>
        <w:rPr>
          <w:rFonts w:hint="eastAsia" w:ascii="宋体" w:hAnsi="宋体" w:cs="宋体"/>
          <w:color w:val="auto"/>
          <w:highlight w:val="none"/>
        </w:rPr>
        <w:t>本表按百分制评分，所有评委总分汇总后的算术平均值为投标人的最终得分。分数出现小数点</w:t>
      </w:r>
      <w:r>
        <w:rPr>
          <w:rFonts w:hint="eastAsia" w:ascii="宋体" w:hAnsi="宋体" w:cs="宋体"/>
          <w:color w:val="auto"/>
          <w:szCs w:val="21"/>
          <w:highlight w:val="none"/>
        </w:rPr>
        <w:t>，保留小数点</w:t>
      </w:r>
      <w:r>
        <w:rPr>
          <w:rFonts w:hint="eastAsia" w:ascii="宋体" w:hAnsi="宋体" w:cs="宋体"/>
          <w:color w:val="auto"/>
          <w:highlight w:val="none"/>
        </w:rPr>
        <w:t>后二位小数，第三位小数四舍五入。</w:t>
      </w:r>
    </w:p>
    <w:p>
      <w:pPr>
        <w:rPr>
          <w:rFonts w:hint="eastAsia" w:ascii="宋体" w:hAnsi="宋体" w:cs="宋体"/>
          <w:color w:val="auto"/>
          <w:szCs w:val="21"/>
          <w:highlight w:val="none"/>
        </w:rPr>
      </w:pPr>
    </w:p>
    <w:p>
      <w:pPr>
        <w:widowControl w:val="0"/>
        <w:spacing w:line="276" w:lineRule="auto"/>
        <w:textAlignment w:val="auto"/>
        <w:rPr>
          <w:rFonts w:hint="eastAsia" w:ascii="宋体" w:hAnsi="宋体" w:cs="宋体"/>
          <w:b/>
          <w:color w:val="auto"/>
          <w:szCs w:val="21"/>
          <w:highlight w:val="none"/>
        </w:rPr>
      </w:pPr>
    </w:p>
    <w:p>
      <w:pPr>
        <w:adjustRightInd w:val="0"/>
        <w:snapToGrid w:val="0"/>
        <w:spacing w:beforeLines="25" w:line="276" w:lineRule="auto"/>
        <w:rPr>
          <w:color w:val="auto"/>
          <w:sz w:val="18"/>
          <w:szCs w:val="18"/>
          <w:highlight w:val="none"/>
        </w:rPr>
      </w:pPr>
    </w:p>
    <w:p>
      <w:pPr>
        <w:widowControl w:val="0"/>
        <w:snapToGrid w:val="0"/>
        <w:spacing w:line="276" w:lineRule="auto"/>
        <w:textAlignment w:val="auto"/>
        <w:rPr>
          <w:rFonts w:ascii="宋体" w:hAnsi="宋体" w:cs="宋体"/>
          <w:color w:val="auto"/>
          <w:szCs w:val="21"/>
          <w:highlight w:val="none"/>
        </w:rPr>
      </w:pPr>
      <w:r>
        <w:rPr>
          <w:rFonts w:hint="eastAsia" w:ascii="宋体" w:hAnsi="宋体" w:cs="宋体"/>
          <w:color w:val="auto"/>
          <w:szCs w:val="21"/>
          <w:highlight w:val="none"/>
        </w:rPr>
        <w:t xml:space="preserve">评委签名：    </w:t>
      </w:r>
      <w:r>
        <w:rPr>
          <w:rFonts w:hint="eastAsia"/>
          <w:color w:val="auto"/>
          <w:szCs w:val="21"/>
          <w:highlight w:val="none"/>
        </w:rPr>
        <w:t xml:space="preserve">                      日期：</w:t>
      </w:r>
    </w:p>
    <w:p>
      <w:pPr>
        <w:pStyle w:val="22"/>
        <w:topLinePunct/>
        <w:adjustRightInd w:val="0"/>
        <w:spacing w:line="276" w:lineRule="auto"/>
        <w:rPr>
          <w:rStyle w:val="105"/>
          <w:rFonts w:hint="eastAsia" w:ascii="宋体" w:hAnsi="宋体" w:eastAsia="宋体"/>
          <w:b/>
          <w:bCs/>
          <w:color w:val="auto"/>
          <w:szCs w:val="21"/>
          <w:highlight w:val="none"/>
        </w:rPr>
      </w:pPr>
    </w:p>
    <w:p>
      <w:pPr>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rPr>
          <w:rFonts w:hint="eastAsia" w:ascii="宋体" w:hAnsi="宋体" w:cs="宋体"/>
          <w:color w:val="auto"/>
          <w:sz w:val="24"/>
          <w:szCs w:val="24"/>
          <w:highlight w:val="none"/>
        </w:rPr>
      </w:pPr>
      <w:r>
        <w:rPr>
          <w:rFonts w:hint="eastAsia" w:ascii="宋体" w:hAnsi="宋体" w:cs="宋体"/>
          <w:color w:val="auto"/>
          <w:sz w:val="24"/>
          <w:szCs w:val="24"/>
          <w:highlight w:val="none"/>
        </w:rPr>
        <w:t>附表五（适用于加权平均法）</w:t>
      </w:r>
    </w:p>
    <w:p>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经济标评分表</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工程名称：</w:t>
      </w:r>
    </w:p>
    <w:tbl>
      <w:tblPr>
        <w:tblStyle w:val="27"/>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投标报价PT（元）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偏差（（PT-PC）/PC）（%）</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减分（A）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得分(I=100-A)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r>
    </w:tbl>
    <w:p>
      <w:pPr>
        <w:spacing w:line="360" w:lineRule="auto"/>
        <w:rPr>
          <w:rStyle w:val="105"/>
          <w:rFonts w:hint="eastAsia" w:ascii="宋体" w:hAnsi="宋体" w:cs="宋体"/>
          <w:b/>
          <w:bCs/>
          <w:color w:val="auto"/>
          <w:szCs w:val="21"/>
          <w:highlight w:val="none"/>
        </w:rPr>
      </w:pPr>
      <w:r>
        <w:rPr>
          <w:rFonts w:hint="eastAsia" w:ascii="宋体" w:hAnsi="宋体" w:cs="宋体"/>
          <w:color w:val="auto"/>
          <w:sz w:val="24"/>
          <w:szCs w:val="24"/>
          <w:highlight w:val="none"/>
        </w:rPr>
        <w:t>评委签名：</w:t>
      </w:r>
      <w:r>
        <w:rPr>
          <w:rStyle w:val="105"/>
          <w:rFonts w:hint="eastAsia" w:ascii="宋体" w:hAnsi="宋体" w:cs="宋体"/>
          <w:color w:val="auto"/>
          <w:szCs w:val="21"/>
          <w:highlight w:val="none"/>
        </w:rPr>
        <w:br w:type="page"/>
      </w:r>
      <w:r>
        <w:rPr>
          <w:rStyle w:val="105"/>
          <w:rFonts w:hint="eastAsia" w:ascii="宋体" w:hAnsi="宋体" w:cs="宋体"/>
          <w:b/>
          <w:bCs/>
          <w:color w:val="auto"/>
          <w:sz w:val="24"/>
          <w:szCs w:val="21"/>
          <w:highlight w:val="none"/>
        </w:rPr>
        <w:t>附表六</w:t>
      </w:r>
    </w:p>
    <w:p>
      <w:pPr>
        <w:spacing w:line="360" w:lineRule="auto"/>
        <w:jc w:val="center"/>
        <w:rPr>
          <w:rStyle w:val="105"/>
          <w:rFonts w:hint="eastAsia" w:ascii="宋体" w:hAnsi="宋体" w:cs="宋体"/>
          <w:b/>
          <w:color w:val="auto"/>
          <w:sz w:val="36"/>
          <w:szCs w:val="36"/>
          <w:highlight w:val="none"/>
        </w:rPr>
      </w:pPr>
      <w:r>
        <w:rPr>
          <w:rStyle w:val="105"/>
          <w:rFonts w:hint="eastAsia" w:ascii="宋体" w:hAnsi="宋体" w:cs="宋体"/>
          <w:b/>
          <w:color w:val="auto"/>
          <w:sz w:val="36"/>
          <w:szCs w:val="36"/>
          <w:highlight w:val="none"/>
        </w:rPr>
        <w:t>算术复核表</w:t>
      </w:r>
    </w:p>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工程名称：                                           投标人:                                                  单位：元</w:t>
      </w:r>
    </w:p>
    <w:tbl>
      <w:tblPr>
        <w:tblStyle w:val="27"/>
        <w:tblW w:w="0" w:type="auto"/>
        <w:jc w:val="center"/>
        <w:tblLayout w:type="fixed"/>
        <w:tblCellMar>
          <w:top w:w="0" w:type="dxa"/>
          <w:left w:w="0" w:type="dxa"/>
          <w:bottom w:w="0" w:type="dxa"/>
          <w:right w:w="0" w:type="dxa"/>
        </w:tblCellMar>
      </w:tblPr>
      <w:tblGrid>
        <w:gridCol w:w="586"/>
        <w:gridCol w:w="2678"/>
        <w:gridCol w:w="1702"/>
        <w:gridCol w:w="1985"/>
        <w:gridCol w:w="1842"/>
        <w:gridCol w:w="1509"/>
        <w:gridCol w:w="3144"/>
      </w:tblGrid>
      <w:tr>
        <w:tblPrEx>
          <w:tblCellMar>
            <w:top w:w="0" w:type="dxa"/>
            <w:left w:w="0" w:type="dxa"/>
            <w:bottom w:w="0" w:type="dxa"/>
            <w:right w:w="0" w:type="dxa"/>
          </w:tblCellMar>
        </w:tblPrEx>
        <w:trPr>
          <w:trHeight w:val="222"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编号</w:t>
            </w:r>
          </w:p>
        </w:tc>
        <w:tc>
          <w:tcPr>
            <w:tcW w:w="2678" w:type="dxa"/>
            <w:tcBorders>
              <w:top w:val="single" w:color="000000" w:sz="4" w:space="0"/>
              <w:left w:val="nil"/>
              <w:bottom w:val="single" w:color="000000" w:sz="4" w:space="0"/>
              <w:right w:val="single" w:color="000000" w:sz="4" w:space="0"/>
            </w:tcBorders>
            <w:vAlign w:val="center"/>
          </w:tcPr>
          <w:p>
            <w:pPr>
              <w:spacing w:line="360" w:lineRule="auto"/>
              <w:jc w:val="center"/>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算术校核项目</w:t>
            </w:r>
          </w:p>
        </w:tc>
        <w:tc>
          <w:tcPr>
            <w:tcW w:w="1702" w:type="dxa"/>
            <w:tcBorders>
              <w:top w:val="single" w:color="000000" w:sz="4" w:space="0"/>
              <w:left w:val="nil"/>
              <w:bottom w:val="single" w:color="000000" w:sz="4" w:space="0"/>
              <w:right w:val="single" w:color="000000" w:sz="4" w:space="0"/>
            </w:tcBorders>
            <w:vAlign w:val="center"/>
          </w:tcPr>
          <w:p>
            <w:pPr>
              <w:spacing w:line="360" w:lineRule="auto"/>
              <w:jc w:val="center"/>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修正前投标</w:t>
            </w:r>
          </w:p>
          <w:p>
            <w:pPr>
              <w:spacing w:line="360" w:lineRule="auto"/>
              <w:jc w:val="center"/>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报价A</w:t>
            </w:r>
          </w:p>
        </w:tc>
        <w:tc>
          <w:tcPr>
            <w:tcW w:w="1985" w:type="dxa"/>
            <w:tcBorders>
              <w:top w:val="single" w:color="000000" w:sz="4" w:space="0"/>
              <w:left w:val="nil"/>
              <w:bottom w:val="single" w:color="000000" w:sz="4" w:space="0"/>
              <w:right w:val="single" w:color="000000" w:sz="4" w:space="0"/>
            </w:tcBorders>
            <w:vAlign w:val="center"/>
          </w:tcPr>
          <w:p>
            <w:pPr>
              <w:spacing w:line="360" w:lineRule="auto"/>
              <w:jc w:val="center"/>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修正后投标</w:t>
            </w:r>
          </w:p>
          <w:p>
            <w:pPr>
              <w:spacing w:line="360" w:lineRule="auto"/>
              <w:jc w:val="center"/>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报价B</w:t>
            </w:r>
          </w:p>
        </w:tc>
        <w:tc>
          <w:tcPr>
            <w:tcW w:w="1842" w:type="dxa"/>
            <w:tcBorders>
              <w:top w:val="single" w:color="000000" w:sz="4" w:space="0"/>
              <w:left w:val="nil"/>
              <w:bottom w:val="single" w:color="000000" w:sz="4" w:space="0"/>
              <w:right w:val="single" w:color="000000" w:sz="4" w:space="0"/>
            </w:tcBorders>
            <w:vAlign w:val="center"/>
          </w:tcPr>
          <w:p>
            <w:pPr>
              <w:spacing w:line="360" w:lineRule="auto"/>
              <w:jc w:val="center"/>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修正率</w:t>
            </w:r>
            <w:r>
              <w:rPr>
                <w:rStyle w:val="105"/>
                <w:rFonts w:hint="eastAsia" w:ascii="宋体" w:hAnsi="宋体" w:cs="宋体"/>
                <w:color w:val="auto"/>
                <w:kern w:val="0"/>
                <w:szCs w:val="21"/>
                <w:highlight w:val="none"/>
              </w:rPr>
              <w:br w:type="textWrapping" w:clear="all"/>
            </w:r>
            <w:r>
              <w:rPr>
                <w:rStyle w:val="105"/>
                <w:rFonts w:hint="eastAsia" w:ascii="宋体" w:hAnsi="宋体" w:cs="宋体"/>
                <w:color w:val="auto"/>
                <w:kern w:val="0"/>
                <w:szCs w:val="21"/>
                <w:highlight w:val="none"/>
              </w:rPr>
              <w:t>r=|A-B|/A*100%</w:t>
            </w:r>
          </w:p>
        </w:tc>
        <w:tc>
          <w:tcPr>
            <w:tcW w:w="1509" w:type="dxa"/>
            <w:tcBorders>
              <w:top w:val="single" w:color="000000" w:sz="4" w:space="0"/>
              <w:left w:val="nil"/>
              <w:bottom w:val="single" w:color="000000" w:sz="4" w:space="0"/>
              <w:right w:val="single" w:color="000000" w:sz="4" w:space="0"/>
            </w:tcBorders>
            <w:vAlign w:val="center"/>
          </w:tcPr>
          <w:p>
            <w:pPr>
              <w:spacing w:line="360" w:lineRule="auto"/>
              <w:jc w:val="center"/>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经评审的最终投标报价</w:t>
            </w:r>
          </w:p>
        </w:tc>
        <w:tc>
          <w:tcPr>
            <w:tcW w:w="3144" w:type="dxa"/>
            <w:tcBorders>
              <w:top w:val="single" w:color="000000" w:sz="4" w:space="0"/>
              <w:left w:val="nil"/>
              <w:bottom w:val="single" w:color="000000" w:sz="4" w:space="0"/>
              <w:right w:val="single" w:color="000000" w:sz="4" w:space="0"/>
            </w:tcBorders>
            <w:vAlign w:val="center"/>
          </w:tcPr>
          <w:p>
            <w:pPr>
              <w:spacing w:line="360" w:lineRule="auto"/>
              <w:jc w:val="center"/>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当B&gt;A时，修正后报价与原报价的差额；当B≤A时,R=0</w:t>
            </w:r>
          </w:p>
        </w:tc>
      </w:tr>
      <w:tr>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pPr>
              <w:spacing w:line="360" w:lineRule="auto"/>
              <w:jc w:val="center"/>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1</w:t>
            </w:r>
          </w:p>
        </w:tc>
        <w:tc>
          <w:tcPr>
            <w:tcW w:w="2678"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[单位工程1]</w:t>
            </w:r>
          </w:p>
        </w:tc>
        <w:tc>
          <w:tcPr>
            <w:tcW w:w="1702"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p>
        </w:tc>
      </w:tr>
      <w:tr>
        <w:tblPrEx>
          <w:tblCellMar>
            <w:top w:w="0" w:type="dxa"/>
            <w:left w:w="0" w:type="dxa"/>
            <w:bottom w:w="0" w:type="dxa"/>
            <w:right w:w="0" w:type="dxa"/>
          </w:tblCellMar>
        </w:tblPrEx>
        <w:trPr>
          <w:trHeight w:val="122" w:hRule="atLeast"/>
          <w:jc w:val="center"/>
        </w:trPr>
        <w:tc>
          <w:tcPr>
            <w:tcW w:w="586" w:type="dxa"/>
            <w:tcBorders>
              <w:top w:val="nil"/>
              <w:left w:val="single" w:color="000000" w:sz="4" w:space="0"/>
              <w:bottom w:val="single" w:color="000000" w:sz="4" w:space="0"/>
              <w:right w:val="single" w:color="000000" w:sz="4" w:space="0"/>
            </w:tcBorders>
            <w:vAlign w:val="center"/>
          </w:tcPr>
          <w:p>
            <w:pPr>
              <w:spacing w:line="360" w:lineRule="auto"/>
              <w:jc w:val="center"/>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2</w:t>
            </w:r>
          </w:p>
        </w:tc>
        <w:tc>
          <w:tcPr>
            <w:tcW w:w="2678"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[单位工程2]</w:t>
            </w:r>
          </w:p>
        </w:tc>
        <w:tc>
          <w:tcPr>
            <w:tcW w:w="1702"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p>
        </w:tc>
      </w:tr>
      <w:tr>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pPr>
              <w:spacing w:line="360" w:lineRule="auto"/>
              <w:jc w:val="center"/>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w:t>
            </w:r>
          </w:p>
        </w:tc>
        <w:tc>
          <w:tcPr>
            <w:tcW w:w="2678"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w:t>
            </w:r>
          </w:p>
        </w:tc>
        <w:tc>
          <w:tcPr>
            <w:tcW w:w="1702"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p>
        </w:tc>
      </w:tr>
      <w:tr>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pPr>
              <w:spacing w:line="360" w:lineRule="auto"/>
              <w:jc w:val="center"/>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w:t>
            </w:r>
          </w:p>
        </w:tc>
        <w:tc>
          <w:tcPr>
            <w:tcW w:w="2678"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w:t>
            </w:r>
          </w:p>
        </w:tc>
        <w:tc>
          <w:tcPr>
            <w:tcW w:w="1702"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p>
        </w:tc>
      </w:tr>
      <w:tr>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pPr>
              <w:spacing w:line="360" w:lineRule="auto"/>
              <w:jc w:val="center"/>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w:t>
            </w:r>
          </w:p>
        </w:tc>
        <w:tc>
          <w:tcPr>
            <w:tcW w:w="2678"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w:t>
            </w:r>
          </w:p>
        </w:tc>
        <w:tc>
          <w:tcPr>
            <w:tcW w:w="1702"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p>
        </w:tc>
      </w:tr>
      <w:tr>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pPr>
              <w:spacing w:line="360" w:lineRule="auto"/>
              <w:jc w:val="center"/>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n</w:t>
            </w:r>
          </w:p>
        </w:tc>
        <w:tc>
          <w:tcPr>
            <w:tcW w:w="2678"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[单位工程n]</w:t>
            </w:r>
          </w:p>
        </w:tc>
        <w:tc>
          <w:tcPr>
            <w:tcW w:w="1702"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p>
        </w:tc>
      </w:tr>
      <w:tr>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pPr>
              <w:spacing w:line="360" w:lineRule="auto"/>
              <w:jc w:val="center"/>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w:t>
            </w:r>
          </w:p>
        </w:tc>
        <w:tc>
          <w:tcPr>
            <w:tcW w:w="2678"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投标总报价</w:t>
            </w:r>
          </w:p>
        </w:tc>
        <w:tc>
          <w:tcPr>
            <w:tcW w:w="1702"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∑A=A</w:t>
            </w:r>
            <w:r>
              <w:rPr>
                <w:rStyle w:val="105"/>
                <w:rFonts w:hint="eastAsia" w:ascii="宋体" w:hAnsi="宋体" w:cs="宋体"/>
                <w:color w:val="auto"/>
                <w:kern w:val="0"/>
                <w:szCs w:val="21"/>
                <w:highlight w:val="none"/>
                <w:vertAlign w:val="subscript"/>
              </w:rPr>
              <w:t>1</w:t>
            </w:r>
            <w:r>
              <w:rPr>
                <w:rStyle w:val="105"/>
                <w:rFonts w:hint="eastAsia" w:ascii="宋体" w:hAnsi="宋体" w:cs="宋体"/>
                <w:color w:val="auto"/>
                <w:kern w:val="0"/>
                <w:szCs w:val="21"/>
                <w:highlight w:val="none"/>
              </w:rPr>
              <w:t>+A</w:t>
            </w:r>
            <w:r>
              <w:rPr>
                <w:rStyle w:val="105"/>
                <w:rFonts w:hint="eastAsia" w:ascii="宋体" w:hAnsi="宋体" w:cs="宋体"/>
                <w:color w:val="auto"/>
                <w:kern w:val="0"/>
                <w:szCs w:val="21"/>
                <w:highlight w:val="none"/>
                <w:vertAlign w:val="subscript"/>
              </w:rPr>
              <w:t>2</w:t>
            </w:r>
            <w:r>
              <w:rPr>
                <w:rStyle w:val="105"/>
                <w:rFonts w:hint="eastAsia" w:ascii="宋体" w:hAnsi="宋体" w:cs="宋体"/>
                <w:color w:val="auto"/>
                <w:kern w:val="0"/>
                <w:szCs w:val="21"/>
                <w:highlight w:val="none"/>
              </w:rPr>
              <w:t>+…An；∑B=B</w:t>
            </w:r>
            <w:r>
              <w:rPr>
                <w:rStyle w:val="105"/>
                <w:rFonts w:hint="eastAsia" w:ascii="宋体" w:hAnsi="宋体" w:cs="宋体"/>
                <w:color w:val="auto"/>
                <w:kern w:val="0"/>
                <w:szCs w:val="21"/>
                <w:highlight w:val="none"/>
                <w:vertAlign w:val="subscript"/>
              </w:rPr>
              <w:t>1</w:t>
            </w:r>
            <w:r>
              <w:rPr>
                <w:rStyle w:val="105"/>
                <w:rFonts w:hint="eastAsia" w:ascii="宋体" w:hAnsi="宋体" w:cs="宋体"/>
                <w:color w:val="auto"/>
                <w:kern w:val="0"/>
                <w:szCs w:val="21"/>
                <w:highlight w:val="none"/>
              </w:rPr>
              <w:t>+B</w:t>
            </w:r>
            <w:r>
              <w:rPr>
                <w:rStyle w:val="105"/>
                <w:rFonts w:hint="eastAsia" w:ascii="宋体" w:hAnsi="宋体" w:cs="宋体"/>
                <w:color w:val="auto"/>
                <w:kern w:val="0"/>
                <w:szCs w:val="21"/>
                <w:highlight w:val="none"/>
                <w:vertAlign w:val="subscript"/>
              </w:rPr>
              <w:t>2</w:t>
            </w:r>
            <w:r>
              <w:rPr>
                <w:rStyle w:val="105"/>
                <w:rFonts w:hint="eastAsia" w:ascii="宋体" w:hAnsi="宋体" w:cs="宋体"/>
                <w:color w:val="auto"/>
                <w:kern w:val="0"/>
                <w:szCs w:val="21"/>
                <w:highlight w:val="none"/>
              </w:rPr>
              <w:t>+…Bn</w:t>
            </w:r>
          </w:p>
        </w:tc>
      </w:tr>
    </w:tbl>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修正原则：</w:t>
      </w:r>
      <w:r>
        <w:rPr>
          <w:rStyle w:val="105"/>
          <w:rFonts w:hint="eastAsia" w:ascii="宋体" w:hAnsi="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Style w:val="105"/>
          <w:rFonts w:hint="eastAsia" w:ascii="宋体" w:hAnsi="宋体" w:cs="宋体"/>
          <w:color w:val="auto"/>
          <w:kern w:val="0"/>
          <w:szCs w:val="21"/>
          <w:highlight w:val="none"/>
        </w:rPr>
        <w:tab/>
      </w:r>
    </w:p>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评委签名：</w:t>
      </w:r>
      <w:r>
        <w:rPr>
          <w:rStyle w:val="105"/>
          <w:rFonts w:hint="eastAsia" w:ascii="宋体" w:hAnsi="宋体" w:cs="宋体"/>
          <w:color w:val="auto"/>
          <w:kern w:val="0"/>
          <w:szCs w:val="21"/>
          <w:highlight w:val="none"/>
        </w:rPr>
        <w:tab/>
      </w:r>
      <w:r>
        <w:rPr>
          <w:rStyle w:val="105"/>
          <w:rFonts w:hint="eastAsia" w:ascii="宋体" w:hAnsi="宋体" w:cs="宋体"/>
          <w:color w:val="auto"/>
          <w:kern w:val="0"/>
          <w:szCs w:val="21"/>
          <w:highlight w:val="none"/>
        </w:rPr>
        <w:tab/>
      </w:r>
      <w:r>
        <w:rPr>
          <w:rStyle w:val="105"/>
          <w:rFonts w:hint="eastAsia" w:ascii="宋体" w:hAnsi="宋体" w:cs="宋体"/>
          <w:color w:val="auto"/>
          <w:kern w:val="0"/>
          <w:szCs w:val="21"/>
          <w:highlight w:val="none"/>
        </w:rPr>
        <w:tab/>
      </w:r>
      <w:r>
        <w:rPr>
          <w:rStyle w:val="105"/>
          <w:rFonts w:hint="eastAsia" w:ascii="宋体" w:hAnsi="宋体" w:cs="宋体"/>
          <w:color w:val="auto"/>
          <w:kern w:val="0"/>
          <w:szCs w:val="21"/>
          <w:highlight w:val="none"/>
        </w:rPr>
        <w:tab/>
      </w:r>
      <w:r>
        <w:rPr>
          <w:rStyle w:val="105"/>
          <w:rFonts w:hint="eastAsia" w:ascii="宋体" w:hAnsi="宋体" w:cs="宋体"/>
          <w:color w:val="auto"/>
          <w:kern w:val="0"/>
          <w:szCs w:val="21"/>
          <w:highlight w:val="none"/>
        </w:rPr>
        <w:tab/>
      </w:r>
      <w:r>
        <w:rPr>
          <w:rStyle w:val="105"/>
          <w:rFonts w:hint="eastAsia" w:ascii="宋体" w:hAnsi="宋体" w:cs="宋体"/>
          <w:color w:val="auto"/>
          <w:kern w:val="0"/>
          <w:szCs w:val="21"/>
          <w:highlight w:val="none"/>
        </w:rPr>
        <w:t>日期：</w:t>
      </w:r>
    </w:p>
    <w:p>
      <w:pPr>
        <w:rPr>
          <w:rStyle w:val="105"/>
          <w:rFonts w:hint="eastAsia" w:ascii="宋体" w:hAnsi="宋体" w:cs="宋体"/>
          <w:color w:val="auto"/>
          <w:highlight w:val="none"/>
        </w:rPr>
      </w:pPr>
    </w:p>
    <w:p>
      <w:pPr>
        <w:spacing w:line="360" w:lineRule="auto"/>
        <w:jc w:val="center"/>
        <w:rPr>
          <w:rStyle w:val="105"/>
          <w:rFonts w:hint="eastAsia" w:ascii="宋体" w:hAnsi="宋体" w:cs="宋体"/>
          <w:b/>
          <w:color w:val="auto"/>
          <w:sz w:val="36"/>
          <w:szCs w:val="36"/>
          <w:highlight w:val="none"/>
        </w:rPr>
      </w:pPr>
      <w:r>
        <w:rPr>
          <w:rStyle w:val="105"/>
          <w:rFonts w:hint="eastAsia" w:ascii="宋体" w:hAnsi="宋体" w:cs="宋体"/>
          <w:color w:val="auto"/>
          <w:highlight w:val="none"/>
        </w:rPr>
        <w:br w:type="page"/>
      </w:r>
      <w:r>
        <w:rPr>
          <w:rStyle w:val="105"/>
          <w:rFonts w:hint="eastAsia" w:ascii="宋体" w:hAnsi="宋体" w:cs="宋体"/>
          <w:b/>
          <w:color w:val="auto"/>
          <w:sz w:val="36"/>
          <w:szCs w:val="36"/>
          <w:highlight w:val="none"/>
        </w:rPr>
        <w:t>算术复核表</w:t>
      </w:r>
    </w:p>
    <w:p>
      <w:pPr>
        <w:spacing w:line="36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工程名称：</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0"/>
        <w:gridCol w:w="4077"/>
        <w:gridCol w:w="2211"/>
        <w:gridCol w:w="2942"/>
        <w:gridCol w:w="32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05"/>
                <w:rFonts w:hint="eastAsia" w:ascii="宋体" w:hAnsi="宋体" w:cs="宋体"/>
                <w:b/>
                <w:color w:val="auto"/>
                <w:sz w:val="24"/>
                <w:szCs w:val="24"/>
                <w:highlight w:val="none"/>
              </w:rPr>
            </w:pPr>
            <w:r>
              <w:rPr>
                <w:rStyle w:val="105"/>
                <w:rFonts w:hint="eastAsia" w:ascii="宋体" w:hAnsi="宋体" w:cs="宋体"/>
                <w:b/>
                <w:color w:val="auto"/>
                <w:sz w:val="24"/>
                <w:szCs w:val="24"/>
                <w:highlight w:val="none"/>
              </w:rPr>
              <w:t>编号</w:t>
            </w:r>
          </w:p>
        </w:tc>
        <w:tc>
          <w:tcPr>
            <w:tcW w:w="40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05"/>
                <w:rFonts w:hint="eastAsia" w:ascii="宋体" w:hAnsi="宋体" w:cs="宋体"/>
                <w:b/>
                <w:color w:val="auto"/>
                <w:sz w:val="24"/>
                <w:szCs w:val="24"/>
                <w:highlight w:val="none"/>
              </w:rPr>
            </w:pPr>
            <w:r>
              <w:rPr>
                <w:rStyle w:val="105"/>
                <w:rFonts w:hint="eastAsia" w:ascii="宋体" w:hAnsi="宋体" w:cs="宋体"/>
                <w:b/>
                <w:color w:val="auto"/>
                <w:sz w:val="24"/>
                <w:szCs w:val="24"/>
                <w:highlight w:val="none"/>
              </w:rPr>
              <w:t>投标人名称</w:t>
            </w:r>
          </w:p>
        </w:tc>
        <w:tc>
          <w:tcPr>
            <w:tcW w:w="221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05"/>
                <w:rFonts w:hint="eastAsia" w:ascii="宋体" w:hAnsi="宋体" w:cs="宋体"/>
                <w:b/>
                <w:color w:val="auto"/>
                <w:sz w:val="24"/>
                <w:szCs w:val="24"/>
                <w:highlight w:val="none"/>
              </w:rPr>
            </w:pPr>
            <w:r>
              <w:rPr>
                <w:rStyle w:val="105"/>
                <w:rFonts w:hint="eastAsia" w:ascii="宋体" w:hAnsi="宋体" w:cs="宋体"/>
                <w:b/>
                <w:color w:val="auto"/>
                <w:sz w:val="24"/>
                <w:szCs w:val="24"/>
                <w:highlight w:val="none"/>
              </w:rPr>
              <w:t>原投标报价（A）</w:t>
            </w:r>
          </w:p>
        </w:tc>
        <w:tc>
          <w:tcPr>
            <w:tcW w:w="294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05"/>
                <w:rFonts w:hint="eastAsia" w:ascii="宋体" w:hAnsi="宋体" w:cs="宋体"/>
                <w:b/>
                <w:color w:val="auto"/>
                <w:sz w:val="24"/>
                <w:szCs w:val="24"/>
                <w:highlight w:val="none"/>
              </w:rPr>
            </w:pPr>
            <w:r>
              <w:rPr>
                <w:rStyle w:val="105"/>
                <w:rFonts w:hint="eastAsia" w:ascii="宋体" w:hAnsi="宋体" w:cs="宋体"/>
                <w:b/>
                <w:color w:val="auto"/>
                <w:sz w:val="24"/>
                <w:szCs w:val="24"/>
                <w:highlight w:val="none"/>
              </w:rPr>
              <w:t>算数复核后投标报价（B）</w:t>
            </w:r>
          </w:p>
        </w:tc>
        <w:tc>
          <w:tcPr>
            <w:tcW w:w="324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05"/>
                <w:rFonts w:hint="eastAsia" w:ascii="宋体" w:hAnsi="宋体" w:cs="宋体"/>
                <w:b/>
                <w:color w:val="auto"/>
                <w:sz w:val="24"/>
                <w:szCs w:val="24"/>
                <w:highlight w:val="none"/>
              </w:rPr>
            </w:pPr>
            <w:r>
              <w:rPr>
                <w:rStyle w:val="105"/>
                <w:rFonts w:hint="eastAsia" w:ascii="宋体" w:hAnsi="宋体" w:cs="宋体"/>
                <w:b/>
                <w:color w:val="auto"/>
                <w:sz w:val="24"/>
                <w:szCs w:val="24"/>
                <w:highlight w:val="none"/>
              </w:rPr>
              <w:t>误差率（r=|A-B|/A*100%）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r>
    </w:tbl>
    <w:p>
      <w:pPr>
        <w:spacing w:line="36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评委签名：</w:t>
      </w:r>
    </w:p>
    <w:p>
      <w:pPr>
        <w:spacing w:line="360" w:lineRule="auto"/>
        <w:jc w:val="center"/>
        <w:rPr>
          <w:rStyle w:val="105"/>
          <w:rFonts w:hint="eastAsia" w:ascii="宋体" w:hAnsi="宋体" w:cs="宋体"/>
          <w:color w:val="auto"/>
          <w:szCs w:val="21"/>
          <w:highlight w:val="none"/>
        </w:rPr>
        <w:sectPr>
          <w:headerReference r:id="rId13" w:type="first"/>
          <w:footerReference r:id="rId16" w:type="first"/>
          <w:headerReference r:id="rId11" w:type="default"/>
          <w:footerReference r:id="rId14" w:type="default"/>
          <w:headerReference r:id="rId12" w:type="even"/>
          <w:footerReference r:id="rId15" w:type="even"/>
          <w:endnotePr>
            <w:numFmt w:val="decimal"/>
          </w:endnotePr>
          <w:pgSz w:w="16838" w:h="11906"/>
          <w:pgMar w:top="1418" w:right="1701" w:bottom="1418" w:left="1701" w:header="851" w:footer="907" w:gutter="0"/>
          <w:cols w:space="720" w:num="1"/>
          <w:titlePg/>
          <w:docGrid w:type="lines" w:linePitch="312" w:charSpace="0"/>
        </w:sectPr>
      </w:pPr>
    </w:p>
    <w:p>
      <w:pPr>
        <w:pStyle w:val="139"/>
        <w:outlineLvl w:val="0"/>
        <w:rPr>
          <w:rStyle w:val="105"/>
          <w:rFonts w:hint="eastAsia" w:ascii="宋体" w:hAnsi="宋体" w:cs="宋体"/>
          <w:bCs/>
          <w:color w:val="auto"/>
          <w:highlight w:val="none"/>
        </w:rPr>
      </w:pPr>
      <w:bookmarkStart w:id="26" w:name="_Toc105014636"/>
      <w:r>
        <w:rPr>
          <w:rStyle w:val="105"/>
          <w:rFonts w:hint="eastAsia" w:ascii="宋体" w:hAnsi="宋体" w:cs="宋体"/>
          <w:bCs/>
          <w:color w:val="auto"/>
          <w:highlight w:val="none"/>
        </w:rPr>
        <w:t>第三章  合同条款</w:t>
      </w:r>
      <w:bookmarkEnd w:id="26"/>
    </w:p>
    <w:p>
      <w:pPr>
        <w:rPr>
          <w:rStyle w:val="105"/>
          <w:rFonts w:hint="eastAsia" w:ascii="宋体" w:hAnsi="宋体" w:cs="宋体"/>
          <w:b/>
          <w:color w:val="auto"/>
          <w:sz w:val="24"/>
          <w:szCs w:val="24"/>
          <w:highlight w:val="none"/>
        </w:rPr>
      </w:pPr>
      <w:r>
        <w:rPr>
          <w:rStyle w:val="105"/>
          <w:rFonts w:hint="eastAsia" w:ascii="宋体" w:hAnsi="宋体" w:cs="宋体"/>
          <w:color w:val="auto"/>
          <w:sz w:val="24"/>
          <w:szCs w:val="24"/>
          <w:highlight w:val="none"/>
        </w:rPr>
        <w:t>注：另册。本合同条款仅供参考，最终以甲乙双方协商一致的合同为准。</w:t>
      </w:r>
    </w:p>
    <w:p>
      <w:pPr>
        <w:rPr>
          <w:rStyle w:val="105"/>
          <w:rFonts w:hint="eastAsia" w:ascii="宋体" w:hAnsi="宋体" w:cs="宋体"/>
          <w:color w:val="auto"/>
          <w:sz w:val="24"/>
          <w:szCs w:val="24"/>
          <w:highlight w:val="none"/>
        </w:rPr>
      </w:pPr>
    </w:p>
    <w:p>
      <w:pPr>
        <w:pStyle w:val="83"/>
        <w:spacing w:line="360" w:lineRule="auto"/>
        <w:ind w:firstLine="0"/>
        <w:rPr>
          <w:rStyle w:val="105"/>
          <w:rFonts w:hint="eastAsia" w:ascii="宋体" w:hAnsi="宋体" w:cs="宋体"/>
          <w:color w:val="auto"/>
          <w:sz w:val="24"/>
          <w:szCs w:val="24"/>
          <w:highlight w:val="none"/>
        </w:rPr>
      </w:pPr>
    </w:p>
    <w:p>
      <w:pPr>
        <w:pStyle w:val="47"/>
        <w:spacing w:line="360" w:lineRule="auto"/>
        <w:rPr>
          <w:rStyle w:val="105"/>
          <w:rFonts w:hint="eastAsia" w:hAnsi="宋体" w:cs="宋体"/>
          <w:color w:val="auto"/>
          <w:sz w:val="24"/>
          <w:szCs w:val="24"/>
          <w:highlight w:val="none"/>
        </w:rPr>
      </w:pPr>
    </w:p>
    <w:p>
      <w:pPr>
        <w:pStyle w:val="139"/>
        <w:outlineLvl w:val="0"/>
        <w:rPr>
          <w:rStyle w:val="105"/>
          <w:rFonts w:hint="eastAsia" w:ascii="宋体" w:hAnsi="宋体" w:cs="宋体"/>
          <w:bCs/>
          <w:color w:val="auto"/>
          <w:highlight w:val="none"/>
        </w:rPr>
      </w:pPr>
      <w:r>
        <w:rPr>
          <w:rStyle w:val="105"/>
          <w:rFonts w:hint="eastAsia" w:ascii="宋体" w:hAnsi="宋体" w:cs="宋体"/>
          <w:b w:val="0"/>
          <w:color w:val="auto"/>
          <w:highlight w:val="none"/>
        </w:rPr>
        <w:br w:type="page"/>
      </w:r>
      <w:bookmarkStart w:id="27" w:name="_Toc105014637"/>
      <w:r>
        <w:rPr>
          <w:rStyle w:val="105"/>
          <w:rFonts w:hint="eastAsia" w:ascii="宋体" w:hAnsi="宋体" w:cs="宋体"/>
          <w:bCs/>
          <w:color w:val="auto"/>
          <w:highlight w:val="none"/>
        </w:rPr>
        <w:t>第四章  投标文件格式</w:t>
      </w:r>
      <w:bookmarkEnd w:id="27"/>
    </w:p>
    <w:p>
      <w:pPr>
        <w:topLinePunct/>
        <w:snapToGrid w:val="0"/>
        <w:spacing w:before="100" w:beforeAutospacing="1" w:after="156" w:line="360" w:lineRule="auto"/>
        <w:jc w:val="center"/>
        <w:rPr>
          <w:rStyle w:val="105"/>
          <w:rFonts w:hint="eastAsia" w:ascii="宋体" w:hAnsi="宋体" w:cs="宋体"/>
          <w:b/>
          <w:color w:val="auto"/>
          <w:spacing w:val="4"/>
          <w:kern w:val="0"/>
          <w:sz w:val="30"/>
          <w:szCs w:val="30"/>
          <w:highlight w:val="none"/>
        </w:rPr>
      </w:pPr>
      <w:r>
        <w:rPr>
          <w:rStyle w:val="105"/>
          <w:rFonts w:hint="eastAsia" w:ascii="宋体" w:hAnsi="宋体" w:cs="宋体"/>
          <w:b/>
          <w:color w:val="auto"/>
          <w:spacing w:val="4"/>
          <w:kern w:val="0"/>
          <w:sz w:val="30"/>
          <w:szCs w:val="30"/>
          <w:highlight w:val="none"/>
        </w:rPr>
        <w:t>一、技术标投标文件格式</w:t>
      </w:r>
    </w:p>
    <w:p>
      <w:pPr>
        <w:topLinePunct/>
        <w:snapToGrid w:val="0"/>
        <w:spacing w:before="156" w:after="156" w:line="360" w:lineRule="auto"/>
        <w:jc w:val="left"/>
        <w:rPr>
          <w:rFonts w:hint="eastAsia" w:ascii="宋体" w:hAnsi="宋体" w:cs="宋体"/>
          <w:b/>
          <w:color w:val="auto"/>
          <w:sz w:val="24"/>
          <w:szCs w:val="24"/>
          <w:highlight w:val="none"/>
        </w:rPr>
      </w:pPr>
    </w:p>
    <w:p>
      <w:pPr>
        <w:topLinePunct/>
        <w:snapToGrid w:val="0"/>
        <w:spacing w:before="156" w:after="156" w:line="360" w:lineRule="auto"/>
        <w:jc w:val="left"/>
        <w:rPr>
          <w:rStyle w:val="105"/>
          <w:rFonts w:hint="eastAsia" w:ascii="宋体" w:hAnsi="宋体" w:cs="宋体"/>
          <w:bCs/>
          <w:color w:val="auto"/>
          <w:szCs w:val="21"/>
          <w:highlight w:val="none"/>
        </w:rPr>
      </w:pPr>
      <w:r>
        <w:rPr>
          <w:rFonts w:hint="eastAsia" w:ascii="宋体" w:hAnsi="宋体" w:cs="宋体"/>
          <w:b/>
          <w:color w:val="auto"/>
          <w:sz w:val="24"/>
          <w:szCs w:val="24"/>
          <w:highlight w:val="none"/>
        </w:rPr>
        <w:t xml:space="preserve">格式一： </w:t>
      </w:r>
    </w:p>
    <w:p>
      <w:pPr>
        <w:topLinePunct/>
        <w:snapToGrid w:val="0"/>
        <w:spacing w:before="156" w:after="156" w:line="360" w:lineRule="auto"/>
        <w:jc w:val="left"/>
        <w:rPr>
          <w:rStyle w:val="105"/>
          <w:rFonts w:hint="eastAsia" w:ascii="宋体" w:hAnsi="宋体" w:cs="宋体"/>
          <w:b/>
          <w:bCs/>
          <w:color w:val="auto"/>
          <w:sz w:val="44"/>
          <w:szCs w:val="44"/>
          <w:highlight w:val="none"/>
          <w:lang w:val="zh-CN"/>
        </w:rPr>
      </w:pPr>
    </w:p>
    <w:p>
      <w:pPr>
        <w:spacing w:line="360" w:lineRule="auto"/>
        <w:ind w:left="-540" w:leftChars="-257" w:firstLine="795" w:firstLineChars="257"/>
        <w:jc w:val="center"/>
        <w:rPr>
          <w:rStyle w:val="105"/>
          <w:rFonts w:hint="eastAsia" w:ascii="宋体" w:hAnsi="宋体" w:cs="宋体"/>
          <w:b/>
          <w:color w:val="auto"/>
          <w:spacing w:val="4"/>
          <w:kern w:val="0"/>
          <w:sz w:val="30"/>
          <w:szCs w:val="30"/>
          <w:highlight w:val="none"/>
        </w:rPr>
      </w:pPr>
      <w:r>
        <w:rPr>
          <w:rStyle w:val="105"/>
          <w:rFonts w:hint="eastAsia" w:ascii="宋体" w:hAnsi="宋体" w:cs="宋体"/>
          <w:b/>
          <w:color w:val="auto"/>
          <w:spacing w:val="4"/>
          <w:kern w:val="0"/>
          <w:sz w:val="30"/>
          <w:szCs w:val="30"/>
          <w:highlight w:val="none"/>
        </w:rPr>
        <w:t>广州建设工程施工招标投标书（技术标）</w:t>
      </w:r>
    </w:p>
    <w:tbl>
      <w:tblPr>
        <w:tblStyle w:val="27"/>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9"/>
        <w:gridCol w:w="2056"/>
        <w:gridCol w:w="3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3099"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lang w:val="zh-CN"/>
              </w:rPr>
              <w:t>工程名称</w:t>
            </w:r>
          </w:p>
        </w:tc>
        <w:tc>
          <w:tcPr>
            <w:tcW w:w="5621" w:type="dxa"/>
            <w:gridSpan w:val="2"/>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3099"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投标总工期</w:t>
            </w:r>
          </w:p>
        </w:tc>
        <w:tc>
          <w:tcPr>
            <w:tcW w:w="5621" w:type="dxa"/>
            <w:gridSpan w:val="2"/>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3099"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工程质量标准</w:t>
            </w:r>
          </w:p>
        </w:tc>
        <w:tc>
          <w:tcPr>
            <w:tcW w:w="5621" w:type="dxa"/>
            <w:gridSpan w:val="2"/>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rPr>
            </w:pPr>
            <w:r>
              <w:rPr>
                <w:rFonts w:hint="eastAsia" w:ascii="宋体" w:hAnsi="宋体" w:cs="宋体"/>
                <w:b/>
                <w:bCs/>
                <w:color w:val="auto"/>
                <w:sz w:val="24"/>
                <w:szCs w:val="24"/>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099"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lang w:val="zh-CN"/>
              </w:rPr>
              <w:t>保修期限</w:t>
            </w:r>
          </w:p>
        </w:tc>
        <w:tc>
          <w:tcPr>
            <w:tcW w:w="5621" w:type="dxa"/>
            <w:gridSpan w:val="2"/>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rPr>
            </w:pPr>
            <w:r>
              <w:rPr>
                <w:rFonts w:hint="eastAsia" w:ascii="宋体" w:hAnsi="宋体" w:cs="宋体"/>
                <w:b/>
                <w:bCs/>
                <w:color w:val="auto"/>
                <w:sz w:val="24"/>
                <w:szCs w:val="24"/>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099" w:type="dxa"/>
            <w:tcBorders>
              <w:top w:val="single" w:color="auto" w:sz="4" w:space="0"/>
              <w:left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lang w:val="zh-CN"/>
              </w:rPr>
              <w:t>委派的项目负责人</w:t>
            </w:r>
          </w:p>
        </w:tc>
        <w:tc>
          <w:tcPr>
            <w:tcW w:w="2056"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姓   名</w:t>
            </w:r>
          </w:p>
        </w:tc>
        <w:tc>
          <w:tcPr>
            <w:tcW w:w="356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099" w:type="dxa"/>
            <w:tcBorders>
              <w:top w:val="single" w:color="auto" w:sz="4" w:space="0"/>
              <w:left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委派的专职安全员</w:t>
            </w:r>
          </w:p>
        </w:tc>
        <w:tc>
          <w:tcPr>
            <w:tcW w:w="2056"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姓   名</w:t>
            </w:r>
          </w:p>
        </w:tc>
        <w:tc>
          <w:tcPr>
            <w:tcW w:w="356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rPr>
            </w:pPr>
          </w:p>
        </w:tc>
      </w:tr>
    </w:tbl>
    <w:p>
      <w:pPr>
        <w:tabs>
          <w:tab w:val="left" w:pos="720"/>
        </w:tabs>
        <w:snapToGrid w:val="0"/>
        <w:spacing w:line="360" w:lineRule="auto"/>
        <w:rPr>
          <w:rStyle w:val="105"/>
          <w:rFonts w:hint="eastAsia" w:ascii="宋体" w:hAnsi="宋体" w:cs="宋体"/>
          <w:color w:val="auto"/>
          <w:sz w:val="24"/>
          <w:szCs w:val="24"/>
          <w:highlight w:val="none"/>
        </w:rPr>
      </w:pPr>
    </w:p>
    <w:p>
      <w:pPr>
        <w:spacing w:line="360" w:lineRule="auto"/>
        <w:rPr>
          <w:rStyle w:val="105"/>
          <w:rFonts w:hint="eastAsia" w:ascii="宋体" w:hAnsi="宋体" w:cs="宋体"/>
          <w:b/>
          <w:color w:val="auto"/>
          <w:highlight w:val="none"/>
        </w:rPr>
      </w:pPr>
      <w:r>
        <w:rPr>
          <w:rStyle w:val="105"/>
          <w:rFonts w:hint="eastAsia" w:ascii="宋体" w:hAnsi="宋体" w:cs="宋体"/>
          <w:color w:val="auto"/>
          <w:sz w:val="24"/>
          <w:szCs w:val="24"/>
          <w:highlight w:val="none"/>
        </w:rPr>
        <w:br w:type="page"/>
      </w:r>
      <w:r>
        <w:rPr>
          <w:rStyle w:val="105"/>
          <w:rFonts w:hint="eastAsia" w:ascii="宋体" w:hAnsi="宋体" w:cs="宋体"/>
          <w:b/>
          <w:color w:val="auto"/>
          <w:sz w:val="24"/>
          <w:szCs w:val="24"/>
          <w:highlight w:val="none"/>
        </w:rPr>
        <w:t>格式二：</w:t>
      </w:r>
    </w:p>
    <w:p>
      <w:pPr>
        <w:pStyle w:val="171"/>
        <w:ind w:firstLine="496"/>
        <w:rPr>
          <w:rStyle w:val="105"/>
          <w:rFonts w:hint="eastAsia" w:ascii="宋体" w:hAnsi="宋体" w:cs="宋体"/>
          <w:color w:val="auto"/>
          <w:highlight w:val="none"/>
        </w:rPr>
      </w:pPr>
    </w:p>
    <w:p>
      <w:pPr>
        <w:spacing w:afterLines="50" w:line="360" w:lineRule="auto"/>
        <w:jc w:val="center"/>
        <w:rPr>
          <w:rStyle w:val="105"/>
          <w:rFonts w:hint="eastAsia" w:ascii="宋体" w:hAnsi="宋体" w:cs="宋体"/>
          <w:b/>
          <w:bCs/>
          <w:color w:val="auto"/>
          <w:sz w:val="30"/>
          <w:szCs w:val="30"/>
          <w:highlight w:val="none"/>
          <w:lang w:val="zh-CN"/>
        </w:rPr>
      </w:pPr>
      <w:r>
        <w:rPr>
          <w:rStyle w:val="105"/>
          <w:rFonts w:hint="eastAsia" w:ascii="宋体" w:hAnsi="宋体" w:cs="宋体"/>
          <w:b/>
          <w:color w:val="auto"/>
          <w:sz w:val="30"/>
          <w:szCs w:val="30"/>
          <w:highlight w:val="none"/>
        </w:rPr>
        <w:t>项目管理机构人员配备表</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7"/>
        <w:gridCol w:w="1945"/>
        <w:gridCol w:w="1315"/>
        <w:gridCol w:w="44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序号</w:t>
            </w:r>
          </w:p>
        </w:tc>
        <w:tc>
          <w:tcPr>
            <w:tcW w:w="1945"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拟在本项目任职</w:t>
            </w:r>
          </w:p>
        </w:tc>
        <w:tc>
          <w:tcPr>
            <w:tcW w:w="1315"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姓名</w:t>
            </w:r>
          </w:p>
        </w:tc>
        <w:tc>
          <w:tcPr>
            <w:tcW w:w="4427"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注册证或岗位证或培训证或职称证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1</w:t>
            </w:r>
          </w:p>
        </w:tc>
        <w:tc>
          <w:tcPr>
            <w:tcW w:w="194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项目负责人</w:t>
            </w:r>
          </w:p>
        </w:tc>
        <w:tc>
          <w:tcPr>
            <w:tcW w:w="131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2</w:t>
            </w:r>
          </w:p>
        </w:tc>
        <w:tc>
          <w:tcPr>
            <w:tcW w:w="194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3</w:t>
            </w:r>
          </w:p>
        </w:tc>
        <w:tc>
          <w:tcPr>
            <w:tcW w:w="194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4</w:t>
            </w:r>
          </w:p>
        </w:tc>
        <w:tc>
          <w:tcPr>
            <w:tcW w:w="194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5</w:t>
            </w:r>
          </w:p>
        </w:tc>
        <w:tc>
          <w:tcPr>
            <w:tcW w:w="194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6</w:t>
            </w:r>
          </w:p>
        </w:tc>
        <w:tc>
          <w:tcPr>
            <w:tcW w:w="194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7</w:t>
            </w:r>
          </w:p>
        </w:tc>
        <w:tc>
          <w:tcPr>
            <w:tcW w:w="194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p>
        </w:tc>
      </w:tr>
    </w:tbl>
    <w:p>
      <w:pPr>
        <w:pStyle w:val="84"/>
        <w:spacing w:line="360" w:lineRule="auto"/>
        <w:rPr>
          <w:rStyle w:val="105"/>
          <w:rFonts w:hint="eastAsia" w:ascii="宋体" w:hAnsi="宋体" w:cs="宋体"/>
          <w:color w:val="auto"/>
          <w:highlight w:val="none"/>
        </w:rPr>
      </w:pPr>
    </w:p>
    <w:p>
      <w:pPr>
        <w:spacing w:line="360" w:lineRule="auto"/>
        <w:rPr>
          <w:rStyle w:val="105"/>
          <w:rFonts w:hint="eastAsia" w:ascii="宋体" w:hAnsi="宋体" w:cs="宋体"/>
          <w:color w:val="auto"/>
          <w:highlight w:val="none"/>
        </w:rPr>
      </w:pPr>
      <w:r>
        <w:rPr>
          <w:rStyle w:val="105"/>
          <w:rFonts w:hint="eastAsia" w:ascii="宋体" w:hAnsi="宋体" w:cs="宋体"/>
          <w:color w:val="auto"/>
          <w:highlight w:val="none"/>
        </w:rPr>
        <w:t>备注：1.本表投标单位根据实际情况可进行扩展；</w:t>
      </w:r>
    </w:p>
    <w:p>
      <w:pPr>
        <w:pStyle w:val="84"/>
        <w:spacing w:line="360" w:lineRule="auto"/>
        <w:rPr>
          <w:rStyle w:val="105"/>
          <w:rFonts w:hint="eastAsia" w:ascii="宋体" w:hAnsi="宋体" w:cs="宋体"/>
          <w:color w:val="auto"/>
          <w:kern w:val="2"/>
          <w:sz w:val="21"/>
          <w:szCs w:val="22"/>
          <w:highlight w:val="none"/>
        </w:rPr>
      </w:pPr>
      <w:r>
        <w:rPr>
          <w:rStyle w:val="105"/>
          <w:rFonts w:hint="eastAsia" w:ascii="宋体" w:hAnsi="宋体" w:cs="宋体"/>
          <w:color w:val="auto"/>
          <w:kern w:val="2"/>
          <w:sz w:val="21"/>
          <w:szCs w:val="22"/>
          <w:highlight w:val="none"/>
        </w:rPr>
        <w:t xml:space="preserve">      2.后附《技术标详细审查评分表》要求的人员相关证明资料。</w:t>
      </w:r>
    </w:p>
    <w:p>
      <w:pPr>
        <w:spacing w:line="360" w:lineRule="auto"/>
        <w:rPr>
          <w:rStyle w:val="105"/>
          <w:rFonts w:hint="eastAsia" w:ascii="宋体" w:hAnsi="宋体" w:cs="宋体"/>
          <w:color w:val="auto"/>
          <w:highlight w:val="none"/>
        </w:rPr>
      </w:pPr>
    </w:p>
    <w:p>
      <w:pPr>
        <w:pStyle w:val="3"/>
        <w:ind w:left="0"/>
        <w:jc w:val="both"/>
        <w:rPr>
          <w:rFonts w:hint="eastAsia" w:ascii="宋体" w:hAnsi="宋体" w:cs="宋体"/>
          <w:b w:val="0"/>
          <w:color w:val="auto"/>
          <w:highlight w:val="none"/>
        </w:rPr>
      </w:pPr>
      <w:r>
        <w:rPr>
          <w:rFonts w:hint="eastAsia" w:ascii="宋体" w:hAnsi="宋体" w:cs="宋体"/>
          <w:b w:val="0"/>
          <w:color w:val="auto"/>
          <w:highlight w:val="none"/>
        </w:rPr>
        <w:br w:type="page"/>
      </w:r>
      <w:r>
        <w:rPr>
          <w:rStyle w:val="105"/>
          <w:rFonts w:hint="eastAsia" w:ascii="宋体" w:hAnsi="宋体" w:cs="宋体"/>
          <w:color w:val="auto"/>
          <w:highlight w:val="none"/>
        </w:rPr>
        <w:t>格式三：</w:t>
      </w:r>
    </w:p>
    <w:p>
      <w:pPr>
        <w:pStyle w:val="161"/>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主要人员简历表</w:t>
      </w:r>
    </w:p>
    <w:tbl>
      <w:tblPr>
        <w:tblStyle w:val="27"/>
        <w:tblW w:w="8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20"/>
        <w:gridCol w:w="1370"/>
        <w:gridCol w:w="493"/>
        <w:gridCol w:w="879"/>
        <w:gridCol w:w="334"/>
        <w:gridCol w:w="1245"/>
        <w:gridCol w:w="262"/>
        <w:gridCol w:w="1047"/>
        <w:gridCol w:w="61"/>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351" w:type="dxa"/>
            <w:vAlign w:val="center"/>
          </w:tcPr>
          <w:p>
            <w:pPr>
              <w:pStyle w:val="183"/>
              <w:spacing w:line="360" w:lineRule="auto"/>
              <w:jc w:val="center"/>
              <w:rPr>
                <w:rFonts w:hint="eastAsia" w:cs="宋体"/>
                <w:b/>
                <w:color w:val="auto"/>
                <w:sz w:val="24"/>
                <w:szCs w:val="24"/>
                <w:highlight w:val="none"/>
              </w:rPr>
            </w:pPr>
            <w:r>
              <w:rPr>
                <w:rFonts w:hint="eastAsia" w:cs="宋体"/>
                <w:b/>
                <w:color w:val="auto"/>
                <w:sz w:val="24"/>
                <w:szCs w:val="24"/>
                <w:highlight w:val="none"/>
              </w:rPr>
              <w:t>姓名</w:t>
            </w:r>
          </w:p>
        </w:tc>
        <w:tc>
          <w:tcPr>
            <w:tcW w:w="1883" w:type="dxa"/>
            <w:gridSpan w:val="3"/>
            <w:vAlign w:val="center"/>
          </w:tcPr>
          <w:p>
            <w:pPr>
              <w:pStyle w:val="94"/>
              <w:keepNext/>
              <w:keepLines/>
              <w:spacing w:before="120" w:after="120"/>
              <w:ind w:firstLine="0" w:firstLineChars="0"/>
              <w:jc w:val="center"/>
              <w:outlineLvl w:val="0"/>
              <w:rPr>
                <w:rFonts w:hint="eastAsia" w:ascii="宋体" w:hAnsi="宋体" w:eastAsia="宋体" w:cs="宋体"/>
                <w:b/>
                <w:color w:val="auto"/>
                <w:highlight w:val="none"/>
              </w:rPr>
            </w:pPr>
          </w:p>
        </w:tc>
        <w:tc>
          <w:tcPr>
            <w:tcW w:w="1213" w:type="dxa"/>
            <w:gridSpan w:val="2"/>
            <w:vAlign w:val="center"/>
          </w:tcPr>
          <w:p>
            <w:pPr>
              <w:pStyle w:val="183"/>
              <w:spacing w:line="360" w:lineRule="auto"/>
              <w:jc w:val="center"/>
              <w:rPr>
                <w:rFonts w:hint="eastAsia" w:cs="宋体"/>
                <w:b/>
                <w:color w:val="auto"/>
                <w:sz w:val="24"/>
                <w:szCs w:val="24"/>
                <w:highlight w:val="none"/>
              </w:rPr>
            </w:pPr>
            <w:r>
              <w:rPr>
                <w:rFonts w:hint="eastAsia" w:cs="宋体"/>
                <w:b/>
                <w:color w:val="auto"/>
                <w:sz w:val="24"/>
                <w:szCs w:val="24"/>
                <w:highlight w:val="none"/>
              </w:rPr>
              <w:t>性别</w:t>
            </w:r>
          </w:p>
        </w:tc>
        <w:tc>
          <w:tcPr>
            <w:tcW w:w="1507" w:type="dxa"/>
            <w:gridSpan w:val="2"/>
            <w:vAlign w:val="center"/>
          </w:tcPr>
          <w:p>
            <w:pPr>
              <w:pStyle w:val="94"/>
              <w:keepNext/>
              <w:keepLines/>
              <w:spacing w:before="120" w:after="120"/>
              <w:ind w:firstLine="0" w:firstLineChars="0"/>
              <w:jc w:val="center"/>
              <w:outlineLvl w:val="0"/>
              <w:rPr>
                <w:rFonts w:hint="eastAsia" w:ascii="宋体" w:hAnsi="宋体" w:eastAsia="宋体" w:cs="宋体"/>
                <w:b/>
                <w:color w:val="auto"/>
                <w:highlight w:val="none"/>
              </w:rPr>
            </w:pPr>
          </w:p>
        </w:tc>
        <w:tc>
          <w:tcPr>
            <w:tcW w:w="1047" w:type="dxa"/>
            <w:vAlign w:val="center"/>
          </w:tcPr>
          <w:p>
            <w:pPr>
              <w:pStyle w:val="183"/>
              <w:spacing w:line="360" w:lineRule="auto"/>
              <w:jc w:val="center"/>
              <w:rPr>
                <w:rFonts w:hint="eastAsia" w:cs="宋体"/>
                <w:b/>
                <w:color w:val="auto"/>
                <w:sz w:val="24"/>
                <w:szCs w:val="24"/>
                <w:highlight w:val="none"/>
              </w:rPr>
            </w:pPr>
            <w:r>
              <w:rPr>
                <w:rFonts w:hint="eastAsia" w:cs="宋体"/>
                <w:b/>
                <w:color w:val="auto"/>
                <w:sz w:val="24"/>
                <w:szCs w:val="24"/>
                <w:highlight w:val="none"/>
              </w:rPr>
              <w:t>年龄</w:t>
            </w:r>
          </w:p>
        </w:tc>
        <w:tc>
          <w:tcPr>
            <w:tcW w:w="1435" w:type="dxa"/>
            <w:gridSpan w:val="2"/>
            <w:vAlign w:val="center"/>
          </w:tcPr>
          <w:p>
            <w:pPr>
              <w:pStyle w:val="94"/>
              <w:keepNext/>
              <w:keepLines/>
              <w:spacing w:before="120" w:after="120"/>
              <w:ind w:firstLine="0" w:firstLineChars="0"/>
              <w:jc w:val="center"/>
              <w:outlineLvl w:val="0"/>
              <w:rPr>
                <w:rFonts w:hint="eastAsia" w:ascii="宋体" w:hAnsi="宋体" w:eastAsia="宋体" w:cs="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351" w:type="dxa"/>
            <w:vAlign w:val="center"/>
          </w:tcPr>
          <w:p>
            <w:pPr>
              <w:pStyle w:val="183"/>
              <w:spacing w:line="360" w:lineRule="auto"/>
              <w:jc w:val="center"/>
              <w:rPr>
                <w:rFonts w:hint="eastAsia" w:cs="宋体"/>
                <w:b/>
                <w:color w:val="auto"/>
                <w:sz w:val="24"/>
                <w:szCs w:val="24"/>
                <w:highlight w:val="none"/>
              </w:rPr>
            </w:pPr>
            <w:r>
              <w:rPr>
                <w:rFonts w:hint="eastAsia" w:cs="宋体"/>
                <w:b/>
                <w:bCs/>
                <w:color w:val="auto"/>
                <w:highlight w:val="none"/>
              </w:rPr>
              <w:t>身份证号码</w:t>
            </w:r>
          </w:p>
        </w:tc>
        <w:tc>
          <w:tcPr>
            <w:tcW w:w="7085" w:type="dxa"/>
            <w:gridSpan w:val="10"/>
            <w:vAlign w:val="center"/>
          </w:tcPr>
          <w:p>
            <w:pPr>
              <w:pStyle w:val="94"/>
              <w:ind w:firstLine="0" w:firstLineChars="0"/>
              <w:jc w:val="center"/>
              <w:rPr>
                <w:rFonts w:hint="eastAsia" w:ascii="宋体" w:hAnsi="宋体" w:eastAsia="宋体" w:cs="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351" w:type="dxa"/>
            <w:vAlign w:val="center"/>
          </w:tcPr>
          <w:p>
            <w:pPr>
              <w:pStyle w:val="183"/>
              <w:spacing w:line="360" w:lineRule="auto"/>
              <w:jc w:val="center"/>
              <w:rPr>
                <w:rFonts w:hint="eastAsia" w:cs="宋体"/>
                <w:b/>
                <w:color w:val="auto"/>
                <w:sz w:val="24"/>
                <w:szCs w:val="24"/>
                <w:highlight w:val="none"/>
              </w:rPr>
            </w:pPr>
            <w:r>
              <w:rPr>
                <w:rFonts w:hint="eastAsia" w:cs="宋体"/>
                <w:b/>
                <w:bCs/>
                <w:color w:val="auto"/>
                <w:highlight w:val="none"/>
              </w:rPr>
              <w:t>在本项目任职</w:t>
            </w:r>
          </w:p>
        </w:tc>
        <w:tc>
          <w:tcPr>
            <w:tcW w:w="1883" w:type="dxa"/>
            <w:gridSpan w:val="3"/>
            <w:vAlign w:val="center"/>
          </w:tcPr>
          <w:p>
            <w:pPr>
              <w:pStyle w:val="94"/>
              <w:keepNext/>
              <w:keepLines/>
              <w:spacing w:before="120" w:after="120"/>
              <w:ind w:firstLine="0" w:firstLineChars="0"/>
              <w:jc w:val="center"/>
              <w:outlineLvl w:val="0"/>
              <w:rPr>
                <w:rFonts w:hint="eastAsia" w:ascii="宋体" w:hAnsi="宋体" w:eastAsia="宋体" w:cs="宋体"/>
                <w:b/>
                <w:color w:val="auto"/>
                <w:highlight w:val="none"/>
              </w:rPr>
            </w:pPr>
          </w:p>
        </w:tc>
        <w:tc>
          <w:tcPr>
            <w:tcW w:w="1213" w:type="dxa"/>
            <w:gridSpan w:val="2"/>
            <w:vAlign w:val="center"/>
          </w:tcPr>
          <w:p>
            <w:pPr>
              <w:pStyle w:val="183"/>
              <w:spacing w:line="360" w:lineRule="auto"/>
              <w:jc w:val="center"/>
              <w:rPr>
                <w:rFonts w:hint="eastAsia" w:cs="宋体"/>
                <w:b/>
                <w:color w:val="auto"/>
                <w:sz w:val="24"/>
                <w:szCs w:val="24"/>
                <w:highlight w:val="none"/>
              </w:rPr>
            </w:pPr>
            <w:r>
              <w:rPr>
                <w:rFonts w:hint="eastAsia" w:cs="宋体"/>
                <w:b/>
                <w:color w:val="auto"/>
                <w:sz w:val="24"/>
                <w:szCs w:val="24"/>
                <w:highlight w:val="none"/>
              </w:rPr>
              <w:t>职称</w:t>
            </w:r>
          </w:p>
        </w:tc>
        <w:tc>
          <w:tcPr>
            <w:tcW w:w="1507" w:type="dxa"/>
            <w:gridSpan w:val="2"/>
            <w:vAlign w:val="center"/>
          </w:tcPr>
          <w:p>
            <w:pPr>
              <w:pStyle w:val="94"/>
              <w:keepNext/>
              <w:keepLines/>
              <w:spacing w:before="120" w:after="120"/>
              <w:ind w:firstLine="0" w:firstLineChars="0"/>
              <w:jc w:val="center"/>
              <w:outlineLvl w:val="0"/>
              <w:rPr>
                <w:rFonts w:hint="eastAsia" w:ascii="宋体" w:hAnsi="宋体" w:eastAsia="宋体" w:cs="宋体"/>
                <w:b/>
                <w:color w:val="auto"/>
                <w:highlight w:val="none"/>
              </w:rPr>
            </w:pPr>
          </w:p>
        </w:tc>
        <w:tc>
          <w:tcPr>
            <w:tcW w:w="1047" w:type="dxa"/>
            <w:vAlign w:val="center"/>
          </w:tcPr>
          <w:p>
            <w:pPr>
              <w:pStyle w:val="183"/>
              <w:spacing w:line="360" w:lineRule="auto"/>
              <w:jc w:val="center"/>
              <w:rPr>
                <w:rFonts w:hint="eastAsia" w:cs="宋体"/>
                <w:b/>
                <w:color w:val="auto"/>
                <w:sz w:val="24"/>
                <w:szCs w:val="24"/>
                <w:highlight w:val="none"/>
              </w:rPr>
            </w:pPr>
            <w:r>
              <w:rPr>
                <w:rFonts w:hint="eastAsia" w:cs="宋体"/>
                <w:b/>
                <w:color w:val="auto"/>
                <w:sz w:val="24"/>
                <w:szCs w:val="24"/>
                <w:highlight w:val="none"/>
              </w:rPr>
              <w:t>学历</w:t>
            </w:r>
          </w:p>
        </w:tc>
        <w:tc>
          <w:tcPr>
            <w:tcW w:w="1435" w:type="dxa"/>
            <w:gridSpan w:val="2"/>
            <w:vAlign w:val="center"/>
          </w:tcPr>
          <w:p>
            <w:pPr>
              <w:pStyle w:val="94"/>
              <w:keepNext/>
              <w:keepLines/>
              <w:spacing w:before="120" w:after="120"/>
              <w:ind w:firstLine="0" w:firstLineChars="0"/>
              <w:jc w:val="center"/>
              <w:outlineLvl w:val="0"/>
              <w:rPr>
                <w:rFonts w:hint="eastAsia" w:ascii="宋体" w:hAnsi="宋体" w:eastAsia="宋体" w:cs="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351" w:type="dxa"/>
            <w:vAlign w:val="center"/>
          </w:tcPr>
          <w:p>
            <w:pPr>
              <w:pStyle w:val="183"/>
              <w:spacing w:line="360" w:lineRule="auto"/>
              <w:jc w:val="center"/>
              <w:rPr>
                <w:rFonts w:hint="eastAsia" w:cs="宋体"/>
                <w:b/>
                <w:color w:val="auto"/>
                <w:sz w:val="24"/>
                <w:szCs w:val="24"/>
                <w:highlight w:val="none"/>
              </w:rPr>
            </w:pPr>
            <w:r>
              <w:rPr>
                <w:rFonts w:hint="eastAsia" w:cs="宋体"/>
                <w:b/>
                <w:color w:val="auto"/>
                <w:sz w:val="24"/>
                <w:szCs w:val="24"/>
                <w:highlight w:val="none"/>
              </w:rPr>
              <w:t>参加工作</w:t>
            </w:r>
          </w:p>
          <w:p>
            <w:pPr>
              <w:pStyle w:val="183"/>
              <w:spacing w:line="360" w:lineRule="auto"/>
              <w:jc w:val="center"/>
              <w:rPr>
                <w:rFonts w:hint="eastAsia" w:cs="宋体"/>
                <w:b/>
                <w:color w:val="auto"/>
                <w:sz w:val="24"/>
                <w:szCs w:val="24"/>
                <w:highlight w:val="none"/>
              </w:rPr>
            </w:pPr>
            <w:r>
              <w:rPr>
                <w:rFonts w:hint="eastAsia" w:cs="宋体"/>
                <w:b/>
                <w:color w:val="auto"/>
                <w:sz w:val="24"/>
                <w:szCs w:val="24"/>
                <w:highlight w:val="none"/>
              </w:rPr>
              <w:t>年限</w:t>
            </w:r>
          </w:p>
        </w:tc>
        <w:tc>
          <w:tcPr>
            <w:tcW w:w="1883" w:type="dxa"/>
            <w:gridSpan w:val="3"/>
            <w:vAlign w:val="center"/>
          </w:tcPr>
          <w:p>
            <w:pPr>
              <w:pStyle w:val="94"/>
              <w:keepNext/>
              <w:keepLines/>
              <w:spacing w:before="120" w:after="120"/>
              <w:ind w:firstLine="0" w:firstLineChars="0"/>
              <w:jc w:val="center"/>
              <w:outlineLvl w:val="0"/>
              <w:rPr>
                <w:rFonts w:hint="eastAsia" w:ascii="宋体" w:hAnsi="宋体" w:eastAsia="宋体" w:cs="宋体"/>
                <w:b/>
                <w:color w:val="auto"/>
                <w:highlight w:val="none"/>
              </w:rPr>
            </w:pPr>
          </w:p>
        </w:tc>
        <w:tc>
          <w:tcPr>
            <w:tcW w:w="1213" w:type="dxa"/>
            <w:gridSpan w:val="2"/>
            <w:vAlign w:val="center"/>
          </w:tcPr>
          <w:p>
            <w:pPr>
              <w:pStyle w:val="94"/>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担任相应职务年限</w:t>
            </w:r>
          </w:p>
        </w:tc>
        <w:tc>
          <w:tcPr>
            <w:tcW w:w="3989" w:type="dxa"/>
            <w:gridSpan w:val="5"/>
            <w:vAlign w:val="center"/>
          </w:tcPr>
          <w:p>
            <w:pPr>
              <w:pStyle w:val="94"/>
              <w:keepNext/>
              <w:keepLines/>
              <w:spacing w:before="120" w:after="120"/>
              <w:ind w:firstLine="0" w:firstLineChars="0"/>
              <w:jc w:val="center"/>
              <w:outlineLvl w:val="0"/>
              <w:rPr>
                <w:rFonts w:hint="eastAsia" w:ascii="宋体" w:hAnsi="宋体" w:eastAsia="宋体" w:cs="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351" w:type="dxa"/>
            <w:vAlign w:val="center"/>
          </w:tcPr>
          <w:p>
            <w:pPr>
              <w:pStyle w:val="183"/>
              <w:spacing w:line="360" w:lineRule="auto"/>
              <w:jc w:val="center"/>
              <w:rPr>
                <w:rFonts w:hint="eastAsia" w:cs="宋体"/>
                <w:b/>
                <w:color w:val="auto"/>
                <w:sz w:val="24"/>
                <w:szCs w:val="24"/>
                <w:highlight w:val="none"/>
              </w:rPr>
            </w:pPr>
            <w:r>
              <w:rPr>
                <w:rFonts w:hint="eastAsia" w:cs="宋体"/>
                <w:b/>
                <w:color w:val="auto"/>
                <w:sz w:val="24"/>
                <w:szCs w:val="24"/>
                <w:highlight w:val="none"/>
              </w:rPr>
              <w:t>资格证书号</w:t>
            </w:r>
          </w:p>
        </w:tc>
        <w:tc>
          <w:tcPr>
            <w:tcW w:w="7085" w:type="dxa"/>
            <w:gridSpan w:val="10"/>
            <w:vAlign w:val="center"/>
          </w:tcPr>
          <w:p>
            <w:pPr>
              <w:pStyle w:val="94"/>
              <w:keepNext/>
              <w:keepLines/>
              <w:spacing w:before="120" w:after="120"/>
              <w:ind w:firstLine="0" w:firstLineChars="0"/>
              <w:jc w:val="center"/>
              <w:outlineLvl w:val="0"/>
              <w:rPr>
                <w:rFonts w:hint="eastAsia" w:ascii="宋体" w:hAnsi="宋体" w:eastAsia="宋体" w:cs="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436" w:type="dxa"/>
            <w:gridSpan w:val="11"/>
            <w:vAlign w:val="center"/>
          </w:tcPr>
          <w:p>
            <w:pPr>
              <w:pStyle w:val="94"/>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业绩简介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371" w:type="dxa"/>
            <w:gridSpan w:val="2"/>
            <w:vAlign w:val="center"/>
          </w:tcPr>
          <w:p>
            <w:pPr>
              <w:pStyle w:val="183"/>
              <w:spacing w:line="360" w:lineRule="auto"/>
              <w:jc w:val="center"/>
              <w:rPr>
                <w:rFonts w:hint="eastAsia" w:cs="宋体"/>
                <w:b/>
                <w:color w:val="auto"/>
                <w:sz w:val="24"/>
                <w:szCs w:val="24"/>
                <w:highlight w:val="none"/>
              </w:rPr>
            </w:pPr>
            <w:r>
              <w:rPr>
                <w:rFonts w:hint="eastAsia" w:cs="宋体"/>
                <w:b/>
                <w:color w:val="auto"/>
                <w:sz w:val="24"/>
                <w:szCs w:val="24"/>
                <w:highlight w:val="none"/>
              </w:rPr>
              <w:t>建设单位</w:t>
            </w:r>
          </w:p>
        </w:tc>
        <w:tc>
          <w:tcPr>
            <w:tcW w:w="1370" w:type="dxa"/>
            <w:vAlign w:val="center"/>
          </w:tcPr>
          <w:p>
            <w:pPr>
              <w:pStyle w:val="183"/>
              <w:spacing w:line="360" w:lineRule="auto"/>
              <w:jc w:val="center"/>
              <w:rPr>
                <w:rFonts w:hint="eastAsia" w:cs="宋体"/>
                <w:b/>
                <w:color w:val="auto"/>
                <w:sz w:val="24"/>
                <w:szCs w:val="24"/>
                <w:highlight w:val="none"/>
              </w:rPr>
            </w:pPr>
            <w:r>
              <w:rPr>
                <w:rFonts w:hint="eastAsia" w:cs="宋体"/>
                <w:b/>
                <w:color w:val="auto"/>
                <w:sz w:val="24"/>
                <w:szCs w:val="24"/>
                <w:highlight w:val="none"/>
              </w:rPr>
              <w:t>项目名称</w:t>
            </w:r>
          </w:p>
        </w:tc>
        <w:tc>
          <w:tcPr>
            <w:tcW w:w="1372" w:type="dxa"/>
            <w:gridSpan w:val="2"/>
            <w:vAlign w:val="center"/>
          </w:tcPr>
          <w:p>
            <w:pPr>
              <w:pStyle w:val="183"/>
              <w:spacing w:line="360" w:lineRule="auto"/>
              <w:jc w:val="center"/>
              <w:rPr>
                <w:rFonts w:hint="eastAsia" w:cs="宋体"/>
                <w:b/>
                <w:color w:val="auto"/>
                <w:sz w:val="24"/>
                <w:szCs w:val="24"/>
                <w:highlight w:val="none"/>
              </w:rPr>
            </w:pPr>
            <w:r>
              <w:rPr>
                <w:rFonts w:hint="eastAsia" w:cs="宋体"/>
                <w:b/>
                <w:color w:val="auto"/>
                <w:sz w:val="24"/>
                <w:szCs w:val="24"/>
                <w:highlight w:val="none"/>
              </w:rPr>
              <w:t>建</w:t>
            </w:r>
          </w:p>
          <w:p>
            <w:pPr>
              <w:pStyle w:val="183"/>
              <w:spacing w:line="360" w:lineRule="auto"/>
              <w:jc w:val="center"/>
              <w:rPr>
                <w:rFonts w:hint="eastAsia" w:cs="宋体"/>
                <w:b/>
                <w:color w:val="auto"/>
                <w:sz w:val="24"/>
                <w:szCs w:val="24"/>
                <w:highlight w:val="none"/>
              </w:rPr>
            </w:pPr>
            <w:r>
              <w:rPr>
                <w:rFonts w:hint="eastAsia" w:cs="宋体"/>
                <w:b/>
                <w:color w:val="auto"/>
                <w:sz w:val="24"/>
                <w:szCs w:val="24"/>
                <w:highlight w:val="none"/>
              </w:rPr>
              <w:t>设规模</w:t>
            </w:r>
          </w:p>
        </w:tc>
        <w:tc>
          <w:tcPr>
            <w:tcW w:w="1579" w:type="dxa"/>
            <w:gridSpan w:val="2"/>
            <w:vAlign w:val="center"/>
          </w:tcPr>
          <w:p>
            <w:pPr>
              <w:pStyle w:val="183"/>
              <w:spacing w:line="360" w:lineRule="auto"/>
              <w:jc w:val="center"/>
              <w:rPr>
                <w:rFonts w:hint="eastAsia" w:cs="宋体"/>
                <w:b/>
                <w:color w:val="auto"/>
                <w:sz w:val="24"/>
                <w:szCs w:val="24"/>
                <w:highlight w:val="none"/>
              </w:rPr>
            </w:pPr>
            <w:r>
              <w:rPr>
                <w:rFonts w:hint="eastAsia" w:cs="宋体"/>
                <w:b/>
                <w:color w:val="auto"/>
                <w:sz w:val="24"/>
                <w:szCs w:val="24"/>
                <w:highlight w:val="none"/>
              </w:rPr>
              <w:t>开、竣工日期</w:t>
            </w:r>
          </w:p>
        </w:tc>
        <w:tc>
          <w:tcPr>
            <w:tcW w:w="1370" w:type="dxa"/>
            <w:gridSpan w:val="3"/>
            <w:vAlign w:val="center"/>
          </w:tcPr>
          <w:p>
            <w:pPr>
              <w:pStyle w:val="183"/>
              <w:spacing w:line="360" w:lineRule="auto"/>
              <w:jc w:val="center"/>
              <w:rPr>
                <w:rFonts w:hint="eastAsia" w:cs="宋体"/>
                <w:b/>
                <w:color w:val="auto"/>
                <w:sz w:val="24"/>
                <w:szCs w:val="24"/>
                <w:highlight w:val="none"/>
              </w:rPr>
            </w:pPr>
            <w:r>
              <w:rPr>
                <w:rFonts w:hint="eastAsia" w:cs="宋体"/>
                <w:b/>
                <w:color w:val="auto"/>
                <w:sz w:val="24"/>
                <w:szCs w:val="24"/>
                <w:highlight w:val="none"/>
              </w:rPr>
              <w:t>在建或已完</w:t>
            </w:r>
          </w:p>
        </w:tc>
        <w:tc>
          <w:tcPr>
            <w:tcW w:w="1374" w:type="dxa"/>
            <w:vAlign w:val="center"/>
          </w:tcPr>
          <w:p>
            <w:pPr>
              <w:pStyle w:val="183"/>
              <w:spacing w:line="360" w:lineRule="auto"/>
              <w:jc w:val="center"/>
              <w:rPr>
                <w:rFonts w:hint="eastAsia" w:cs="宋体"/>
                <w:b/>
                <w:color w:val="auto"/>
                <w:sz w:val="24"/>
                <w:szCs w:val="24"/>
                <w:highlight w:val="none"/>
              </w:rPr>
            </w:pPr>
            <w:r>
              <w:rPr>
                <w:rFonts w:hint="eastAsia" w:cs="宋体"/>
                <w:b/>
                <w:color w:val="auto"/>
                <w:sz w:val="24"/>
                <w:szCs w:val="24"/>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371" w:type="dxa"/>
            <w:gridSpan w:val="2"/>
            <w:vAlign w:val="center"/>
          </w:tcPr>
          <w:p>
            <w:pPr>
              <w:pStyle w:val="94"/>
              <w:ind w:firstLine="0" w:firstLineChars="0"/>
              <w:jc w:val="center"/>
              <w:rPr>
                <w:rFonts w:hint="eastAsia" w:ascii="宋体" w:hAnsi="宋体" w:eastAsia="宋体" w:cs="宋体"/>
                <w:b/>
                <w:color w:val="auto"/>
                <w:highlight w:val="none"/>
              </w:rPr>
            </w:pPr>
          </w:p>
        </w:tc>
        <w:tc>
          <w:tcPr>
            <w:tcW w:w="1370" w:type="dxa"/>
            <w:vAlign w:val="center"/>
          </w:tcPr>
          <w:p>
            <w:pPr>
              <w:pStyle w:val="94"/>
              <w:ind w:firstLine="0" w:firstLineChars="0"/>
              <w:jc w:val="center"/>
              <w:rPr>
                <w:rFonts w:hint="eastAsia" w:ascii="宋体" w:hAnsi="宋体" w:eastAsia="宋体" w:cs="宋体"/>
                <w:b/>
                <w:color w:val="auto"/>
                <w:highlight w:val="none"/>
              </w:rPr>
            </w:pPr>
          </w:p>
        </w:tc>
        <w:tc>
          <w:tcPr>
            <w:tcW w:w="1372" w:type="dxa"/>
            <w:gridSpan w:val="2"/>
            <w:vAlign w:val="center"/>
          </w:tcPr>
          <w:p>
            <w:pPr>
              <w:pStyle w:val="94"/>
              <w:ind w:firstLine="0" w:firstLineChars="0"/>
              <w:jc w:val="center"/>
              <w:rPr>
                <w:rFonts w:hint="eastAsia" w:ascii="宋体" w:hAnsi="宋体" w:eastAsia="宋体" w:cs="宋体"/>
                <w:b/>
                <w:color w:val="auto"/>
                <w:highlight w:val="none"/>
              </w:rPr>
            </w:pPr>
          </w:p>
        </w:tc>
        <w:tc>
          <w:tcPr>
            <w:tcW w:w="1579" w:type="dxa"/>
            <w:gridSpan w:val="2"/>
            <w:vAlign w:val="center"/>
          </w:tcPr>
          <w:p>
            <w:pPr>
              <w:pStyle w:val="94"/>
              <w:ind w:firstLine="0" w:firstLineChars="0"/>
              <w:jc w:val="center"/>
              <w:rPr>
                <w:rFonts w:hint="eastAsia" w:ascii="宋体" w:hAnsi="宋体" w:eastAsia="宋体" w:cs="宋体"/>
                <w:b/>
                <w:color w:val="auto"/>
                <w:highlight w:val="none"/>
              </w:rPr>
            </w:pPr>
          </w:p>
        </w:tc>
        <w:tc>
          <w:tcPr>
            <w:tcW w:w="1370" w:type="dxa"/>
            <w:gridSpan w:val="3"/>
            <w:vAlign w:val="center"/>
          </w:tcPr>
          <w:p>
            <w:pPr>
              <w:pStyle w:val="94"/>
              <w:ind w:firstLine="0" w:firstLineChars="0"/>
              <w:jc w:val="center"/>
              <w:rPr>
                <w:rFonts w:hint="eastAsia" w:ascii="宋体" w:hAnsi="宋体" w:eastAsia="宋体" w:cs="宋体"/>
                <w:b/>
                <w:color w:val="auto"/>
                <w:highlight w:val="none"/>
              </w:rPr>
            </w:pPr>
          </w:p>
        </w:tc>
        <w:tc>
          <w:tcPr>
            <w:tcW w:w="1374" w:type="dxa"/>
            <w:vAlign w:val="center"/>
          </w:tcPr>
          <w:p>
            <w:pPr>
              <w:pStyle w:val="94"/>
              <w:ind w:firstLine="0" w:firstLineChars="0"/>
              <w:jc w:val="center"/>
              <w:rPr>
                <w:rFonts w:hint="eastAsia" w:ascii="宋体" w:hAnsi="宋体" w:eastAsia="宋体" w:cs="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371" w:type="dxa"/>
            <w:gridSpan w:val="2"/>
            <w:vAlign w:val="center"/>
          </w:tcPr>
          <w:p>
            <w:pPr>
              <w:pStyle w:val="94"/>
              <w:ind w:firstLine="0" w:firstLineChars="0"/>
              <w:jc w:val="center"/>
              <w:rPr>
                <w:rFonts w:hint="eastAsia" w:ascii="宋体" w:hAnsi="宋体" w:eastAsia="宋体" w:cs="宋体"/>
                <w:color w:val="auto"/>
                <w:highlight w:val="none"/>
              </w:rPr>
            </w:pPr>
          </w:p>
        </w:tc>
        <w:tc>
          <w:tcPr>
            <w:tcW w:w="1370" w:type="dxa"/>
            <w:vAlign w:val="center"/>
          </w:tcPr>
          <w:p>
            <w:pPr>
              <w:pStyle w:val="94"/>
              <w:ind w:firstLine="0" w:firstLineChars="0"/>
              <w:jc w:val="center"/>
              <w:rPr>
                <w:rFonts w:hint="eastAsia" w:ascii="宋体" w:hAnsi="宋体" w:eastAsia="宋体" w:cs="宋体"/>
                <w:color w:val="auto"/>
                <w:highlight w:val="none"/>
              </w:rPr>
            </w:pPr>
          </w:p>
        </w:tc>
        <w:tc>
          <w:tcPr>
            <w:tcW w:w="1372" w:type="dxa"/>
            <w:gridSpan w:val="2"/>
            <w:vAlign w:val="center"/>
          </w:tcPr>
          <w:p>
            <w:pPr>
              <w:pStyle w:val="94"/>
              <w:ind w:firstLine="0" w:firstLineChars="0"/>
              <w:jc w:val="center"/>
              <w:rPr>
                <w:rFonts w:hint="eastAsia" w:ascii="宋体" w:hAnsi="宋体" w:eastAsia="宋体" w:cs="宋体"/>
                <w:color w:val="auto"/>
                <w:highlight w:val="none"/>
              </w:rPr>
            </w:pPr>
          </w:p>
        </w:tc>
        <w:tc>
          <w:tcPr>
            <w:tcW w:w="1579" w:type="dxa"/>
            <w:gridSpan w:val="2"/>
            <w:vAlign w:val="center"/>
          </w:tcPr>
          <w:p>
            <w:pPr>
              <w:pStyle w:val="94"/>
              <w:ind w:firstLine="0" w:firstLineChars="0"/>
              <w:jc w:val="center"/>
              <w:rPr>
                <w:rFonts w:hint="eastAsia" w:ascii="宋体" w:hAnsi="宋体" w:eastAsia="宋体" w:cs="宋体"/>
                <w:color w:val="auto"/>
                <w:highlight w:val="none"/>
              </w:rPr>
            </w:pPr>
          </w:p>
        </w:tc>
        <w:tc>
          <w:tcPr>
            <w:tcW w:w="1370" w:type="dxa"/>
            <w:gridSpan w:val="3"/>
            <w:vAlign w:val="center"/>
          </w:tcPr>
          <w:p>
            <w:pPr>
              <w:pStyle w:val="94"/>
              <w:ind w:firstLine="0" w:firstLineChars="0"/>
              <w:jc w:val="center"/>
              <w:rPr>
                <w:rFonts w:hint="eastAsia" w:ascii="宋体" w:hAnsi="宋体" w:eastAsia="宋体" w:cs="宋体"/>
                <w:color w:val="auto"/>
                <w:highlight w:val="none"/>
              </w:rPr>
            </w:pPr>
          </w:p>
        </w:tc>
        <w:tc>
          <w:tcPr>
            <w:tcW w:w="1374" w:type="dxa"/>
            <w:vAlign w:val="center"/>
          </w:tcPr>
          <w:p>
            <w:pPr>
              <w:pStyle w:val="94"/>
              <w:ind w:firstLine="0" w:firstLineChars="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371" w:type="dxa"/>
            <w:gridSpan w:val="2"/>
            <w:vAlign w:val="center"/>
          </w:tcPr>
          <w:p>
            <w:pPr>
              <w:pStyle w:val="94"/>
              <w:ind w:firstLine="0" w:firstLineChars="0"/>
              <w:jc w:val="center"/>
              <w:rPr>
                <w:rFonts w:hint="eastAsia" w:ascii="宋体" w:hAnsi="宋体" w:eastAsia="宋体" w:cs="宋体"/>
                <w:color w:val="auto"/>
                <w:highlight w:val="none"/>
              </w:rPr>
            </w:pPr>
          </w:p>
        </w:tc>
        <w:tc>
          <w:tcPr>
            <w:tcW w:w="1370" w:type="dxa"/>
            <w:vAlign w:val="center"/>
          </w:tcPr>
          <w:p>
            <w:pPr>
              <w:pStyle w:val="94"/>
              <w:ind w:firstLine="0" w:firstLineChars="0"/>
              <w:jc w:val="center"/>
              <w:rPr>
                <w:rFonts w:hint="eastAsia" w:ascii="宋体" w:hAnsi="宋体" w:eastAsia="宋体" w:cs="宋体"/>
                <w:color w:val="auto"/>
                <w:highlight w:val="none"/>
              </w:rPr>
            </w:pPr>
          </w:p>
        </w:tc>
        <w:tc>
          <w:tcPr>
            <w:tcW w:w="1372" w:type="dxa"/>
            <w:gridSpan w:val="2"/>
            <w:vAlign w:val="center"/>
          </w:tcPr>
          <w:p>
            <w:pPr>
              <w:pStyle w:val="94"/>
              <w:ind w:firstLine="0" w:firstLineChars="0"/>
              <w:jc w:val="center"/>
              <w:rPr>
                <w:rFonts w:hint="eastAsia" w:ascii="宋体" w:hAnsi="宋体" w:eastAsia="宋体" w:cs="宋体"/>
                <w:color w:val="auto"/>
                <w:highlight w:val="none"/>
              </w:rPr>
            </w:pPr>
          </w:p>
        </w:tc>
        <w:tc>
          <w:tcPr>
            <w:tcW w:w="1579" w:type="dxa"/>
            <w:gridSpan w:val="2"/>
            <w:vAlign w:val="center"/>
          </w:tcPr>
          <w:p>
            <w:pPr>
              <w:pStyle w:val="94"/>
              <w:ind w:firstLine="0" w:firstLineChars="0"/>
              <w:jc w:val="center"/>
              <w:rPr>
                <w:rFonts w:hint="eastAsia" w:ascii="宋体" w:hAnsi="宋体" w:eastAsia="宋体" w:cs="宋体"/>
                <w:color w:val="auto"/>
                <w:highlight w:val="none"/>
              </w:rPr>
            </w:pPr>
          </w:p>
        </w:tc>
        <w:tc>
          <w:tcPr>
            <w:tcW w:w="1370" w:type="dxa"/>
            <w:gridSpan w:val="3"/>
            <w:vAlign w:val="center"/>
          </w:tcPr>
          <w:p>
            <w:pPr>
              <w:pStyle w:val="94"/>
              <w:ind w:firstLine="0" w:firstLineChars="0"/>
              <w:jc w:val="center"/>
              <w:rPr>
                <w:rFonts w:hint="eastAsia" w:ascii="宋体" w:hAnsi="宋体" w:eastAsia="宋体" w:cs="宋体"/>
                <w:color w:val="auto"/>
                <w:highlight w:val="none"/>
              </w:rPr>
            </w:pPr>
          </w:p>
        </w:tc>
        <w:tc>
          <w:tcPr>
            <w:tcW w:w="1374" w:type="dxa"/>
            <w:vAlign w:val="center"/>
          </w:tcPr>
          <w:p>
            <w:pPr>
              <w:pStyle w:val="94"/>
              <w:ind w:firstLine="0" w:firstLineChars="0"/>
              <w:jc w:val="center"/>
              <w:rPr>
                <w:rFonts w:hint="eastAsia" w:ascii="宋体" w:hAnsi="宋体" w:eastAsia="宋体" w:cs="宋体"/>
                <w:color w:val="auto"/>
                <w:highlight w:val="none"/>
              </w:rPr>
            </w:pPr>
          </w:p>
        </w:tc>
      </w:tr>
    </w:tbl>
    <w:p>
      <w:pPr>
        <w:pStyle w:val="94"/>
        <w:ind w:firstLine="3596" w:firstLineChars="1450"/>
        <w:rPr>
          <w:rFonts w:hint="eastAsia" w:ascii="宋体" w:hAnsi="宋体" w:eastAsia="宋体" w:cs="宋体"/>
          <w:color w:val="auto"/>
          <w:highlight w:val="none"/>
        </w:rPr>
      </w:pPr>
    </w:p>
    <w:p>
      <w:pPr>
        <w:pStyle w:val="94"/>
        <w:ind w:firstLine="3596" w:firstLineChars="1450"/>
        <w:rPr>
          <w:rFonts w:hint="eastAsia" w:ascii="宋体" w:hAnsi="宋体" w:eastAsia="宋体" w:cs="宋体"/>
          <w:color w:val="auto"/>
          <w:highlight w:val="none"/>
        </w:rPr>
      </w:pPr>
      <w:r>
        <w:rPr>
          <w:rFonts w:hint="eastAsia" w:ascii="宋体" w:hAnsi="宋体" w:eastAsia="宋体" w:cs="宋体"/>
          <w:color w:val="auto"/>
          <w:highlight w:val="none"/>
        </w:rPr>
        <w:t>投标人：　　（盖章）</w:t>
      </w:r>
    </w:p>
    <w:p>
      <w:pPr>
        <w:pStyle w:val="94"/>
        <w:ind w:firstLine="3596" w:firstLineChars="1450"/>
        <w:rPr>
          <w:rFonts w:hint="eastAsia" w:ascii="宋体" w:hAnsi="宋体" w:eastAsia="宋体" w:cs="宋体"/>
          <w:color w:val="auto"/>
          <w:highlight w:val="none"/>
        </w:rPr>
      </w:pPr>
      <w:r>
        <w:rPr>
          <w:rFonts w:hint="eastAsia" w:ascii="宋体" w:hAnsi="宋体" w:eastAsia="宋体" w:cs="宋体"/>
          <w:color w:val="auto"/>
          <w:highlight w:val="none"/>
        </w:rPr>
        <w:t>法定代表人或授权代理人(签字或盖章)：</w:t>
      </w:r>
    </w:p>
    <w:p>
      <w:pPr>
        <w:pStyle w:val="94"/>
        <w:ind w:firstLine="3596" w:firstLineChars="1450"/>
        <w:rPr>
          <w:rFonts w:hint="eastAsia" w:ascii="宋体" w:hAnsi="宋体" w:eastAsia="宋体" w:cs="宋体"/>
          <w:color w:val="auto"/>
          <w:highlight w:val="none"/>
        </w:rPr>
      </w:pPr>
      <w:r>
        <w:rPr>
          <w:rFonts w:hint="eastAsia" w:ascii="宋体" w:hAnsi="宋体" w:eastAsia="宋体" w:cs="宋体"/>
          <w:color w:val="auto"/>
          <w:highlight w:val="none"/>
        </w:rPr>
        <w:t>日期：年月日</w:t>
      </w:r>
    </w:p>
    <w:p>
      <w:pPr>
        <w:spacing w:line="360" w:lineRule="auto"/>
        <w:rPr>
          <w:rStyle w:val="105"/>
          <w:rFonts w:hint="eastAsia" w:ascii="宋体" w:hAnsi="宋体" w:cs="宋体"/>
          <w:b/>
          <w:color w:val="auto"/>
          <w:sz w:val="24"/>
          <w:szCs w:val="24"/>
          <w:highlight w:val="none"/>
        </w:rPr>
      </w:pPr>
      <w:r>
        <w:rPr>
          <w:rStyle w:val="105"/>
          <w:rFonts w:hint="eastAsia" w:ascii="宋体" w:hAnsi="宋体" w:cs="宋体"/>
          <w:color w:val="auto"/>
          <w:highlight w:val="none"/>
        </w:rPr>
        <w:br w:type="page"/>
      </w:r>
      <w:r>
        <w:rPr>
          <w:rStyle w:val="105"/>
          <w:rFonts w:hint="eastAsia" w:ascii="宋体" w:hAnsi="宋体" w:cs="宋体"/>
          <w:b/>
          <w:color w:val="auto"/>
          <w:sz w:val="24"/>
          <w:szCs w:val="24"/>
          <w:highlight w:val="none"/>
        </w:rPr>
        <w:t>格式四：</w:t>
      </w:r>
    </w:p>
    <w:p>
      <w:pPr>
        <w:snapToGrid w:val="0"/>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企业类似业绩及获奖一览表</w:t>
      </w:r>
    </w:p>
    <w:p>
      <w:pPr>
        <w:pStyle w:val="15"/>
        <w:rPr>
          <w:rFonts w:hint="eastAsia" w:ascii="宋体" w:hAnsi="宋体" w:cs="宋体"/>
          <w:color w:val="auto"/>
          <w:highlight w:val="none"/>
        </w:rPr>
      </w:pPr>
    </w:p>
    <w:tbl>
      <w:tblPr>
        <w:tblStyle w:val="27"/>
        <w:tblpPr w:leftFromText="180" w:rightFromText="180" w:vertAnchor="text" w:horzAnchor="margin" w:tblpXSpec="center" w:tblpY="-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953"/>
        <w:gridCol w:w="2431"/>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1" w:type="dxa"/>
            <w:vMerge w:val="restart"/>
            <w:tcBorders>
              <w:top w:val="single" w:color="auto" w:sz="4" w:space="0"/>
              <w:left w:val="single" w:color="auto" w:sz="4" w:space="0"/>
              <w:right w:val="single" w:color="auto" w:sz="4" w:space="0"/>
            </w:tcBorders>
            <w:vAlign w:val="center"/>
          </w:tcPr>
          <w:p>
            <w:pPr>
              <w:jc w:val="center"/>
              <w:rPr>
                <w:rStyle w:val="105"/>
                <w:rFonts w:hint="eastAsia" w:ascii="宋体" w:hAnsi="宋体" w:cs="宋体"/>
                <w:color w:val="auto"/>
                <w:highlight w:val="none"/>
              </w:rPr>
            </w:pPr>
            <w:r>
              <w:rPr>
                <w:rStyle w:val="105"/>
                <w:rFonts w:hint="eastAsia" w:ascii="宋体" w:hAnsi="宋体" w:cs="宋体"/>
                <w:color w:val="auto"/>
                <w:highlight w:val="none"/>
              </w:rPr>
              <w:t>类似工程业绩</w:t>
            </w:r>
          </w:p>
        </w:tc>
        <w:tc>
          <w:tcPr>
            <w:tcW w:w="1953" w:type="dxa"/>
            <w:tcBorders>
              <w:top w:val="single" w:color="auto" w:sz="4" w:space="0"/>
              <w:left w:val="single" w:color="auto" w:sz="4" w:space="0"/>
              <w:right w:val="single" w:color="auto" w:sz="4" w:space="0"/>
            </w:tcBorders>
            <w:vAlign w:val="center"/>
          </w:tcPr>
          <w:p>
            <w:pPr>
              <w:autoSpaceDE w:val="0"/>
              <w:autoSpaceDN w:val="0"/>
              <w:adjustRightInd w:val="0"/>
              <w:jc w:val="center"/>
              <w:rPr>
                <w:rStyle w:val="105"/>
                <w:rFonts w:hint="eastAsia" w:ascii="宋体" w:hAnsi="宋体" w:cs="宋体"/>
                <w:color w:val="auto"/>
                <w:highlight w:val="none"/>
              </w:rPr>
            </w:pPr>
            <w:r>
              <w:rPr>
                <w:rStyle w:val="105"/>
                <w:rFonts w:hint="eastAsia" w:ascii="宋体" w:hAnsi="宋体" w:cs="宋体"/>
                <w:color w:val="auto"/>
                <w:highlight w:val="none"/>
              </w:rPr>
              <w:t>工程名称</w:t>
            </w:r>
          </w:p>
        </w:tc>
        <w:tc>
          <w:tcPr>
            <w:tcW w:w="24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105"/>
                <w:rFonts w:hint="eastAsia" w:ascii="宋体" w:hAnsi="宋体" w:cs="宋体"/>
                <w:color w:val="auto"/>
                <w:highlight w:val="none"/>
              </w:rPr>
            </w:pPr>
            <w:r>
              <w:rPr>
                <w:rStyle w:val="105"/>
                <w:rFonts w:hint="eastAsia" w:ascii="宋体" w:hAnsi="宋体" w:cs="宋体"/>
                <w:color w:val="auto"/>
                <w:highlight w:val="none"/>
              </w:rPr>
              <w:t xml:space="preserve"> 中标金额</w:t>
            </w:r>
          </w:p>
        </w:tc>
        <w:tc>
          <w:tcPr>
            <w:tcW w:w="3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105"/>
                <w:rFonts w:hint="eastAsia" w:ascii="宋体" w:hAnsi="宋体" w:cs="宋体"/>
                <w:color w:val="auto"/>
                <w:highlight w:val="none"/>
              </w:rPr>
            </w:pPr>
            <w:r>
              <w:rPr>
                <w:rStyle w:val="105"/>
                <w:rFonts w:hint="eastAsia" w:ascii="宋体" w:hAnsi="宋体" w:cs="宋体"/>
                <w:color w:val="auto"/>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1" w:type="dxa"/>
            <w:vMerge w:val="continue"/>
            <w:tcBorders>
              <w:left w:val="single" w:color="auto" w:sz="4" w:space="0"/>
              <w:right w:val="single" w:color="auto" w:sz="4" w:space="0"/>
            </w:tcBorders>
            <w:vAlign w:val="center"/>
          </w:tcPr>
          <w:p>
            <w:pPr>
              <w:jc w:val="center"/>
              <w:rPr>
                <w:rStyle w:val="105"/>
                <w:rFonts w:hint="eastAsia" w:ascii="宋体" w:hAnsi="宋体" w:cs="宋体"/>
                <w:color w:val="auto"/>
                <w:highlight w:val="none"/>
              </w:rPr>
            </w:pPr>
          </w:p>
        </w:tc>
        <w:tc>
          <w:tcPr>
            <w:tcW w:w="1953" w:type="dxa"/>
            <w:tcBorders>
              <w:left w:val="single" w:color="auto" w:sz="4" w:space="0"/>
              <w:right w:val="single" w:color="auto" w:sz="4" w:space="0"/>
            </w:tcBorders>
            <w:vAlign w:val="center"/>
          </w:tcPr>
          <w:p>
            <w:pPr>
              <w:autoSpaceDE w:val="0"/>
              <w:autoSpaceDN w:val="0"/>
              <w:adjustRightInd w:val="0"/>
              <w:jc w:val="center"/>
              <w:rPr>
                <w:rStyle w:val="105"/>
                <w:rFonts w:hint="eastAsia" w:ascii="宋体" w:hAnsi="宋体" w:cs="宋体"/>
                <w:color w:val="auto"/>
                <w:highlight w:val="none"/>
              </w:rPr>
            </w:pPr>
          </w:p>
        </w:tc>
        <w:tc>
          <w:tcPr>
            <w:tcW w:w="24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105"/>
                <w:rFonts w:hint="eastAsia" w:ascii="宋体" w:hAnsi="宋体" w:cs="宋体"/>
                <w:color w:val="auto"/>
                <w:highlight w:val="none"/>
              </w:rPr>
            </w:pPr>
          </w:p>
        </w:tc>
        <w:tc>
          <w:tcPr>
            <w:tcW w:w="3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105"/>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1" w:type="dxa"/>
            <w:vMerge w:val="continue"/>
            <w:tcBorders>
              <w:left w:val="single" w:color="auto" w:sz="4" w:space="0"/>
              <w:right w:val="single" w:color="auto" w:sz="4" w:space="0"/>
            </w:tcBorders>
            <w:vAlign w:val="center"/>
          </w:tcPr>
          <w:p>
            <w:pPr>
              <w:jc w:val="center"/>
              <w:rPr>
                <w:rStyle w:val="105"/>
                <w:rFonts w:hint="eastAsia" w:ascii="宋体" w:hAnsi="宋体" w:cs="宋体"/>
                <w:color w:val="auto"/>
                <w:highlight w:val="none"/>
              </w:rPr>
            </w:pPr>
          </w:p>
        </w:tc>
        <w:tc>
          <w:tcPr>
            <w:tcW w:w="1953" w:type="dxa"/>
            <w:tcBorders>
              <w:left w:val="single" w:color="auto" w:sz="4" w:space="0"/>
              <w:right w:val="single" w:color="auto" w:sz="4" w:space="0"/>
            </w:tcBorders>
            <w:vAlign w:val="center"/>
          </w:tcPr>
          <w:p>
            <w:pPr>
              <w:autoSpaceDE w:val="0"/>
              <w:autoSpaceDN w:val="0"/>
              <w:adjustRightInd w:val="0"/>
              <w:jc w:val="center"/>
              <w:rPr>
                <w:rStyle w:val="105"/>
                <w:rFonts w:hint="eastAsia" w:ascii="宋体" w:hAnsi="宋体" w:cs="宋体"/>
                <w:color w:val="auto"/>
                <w:highlight w:val="none"/>
              </w:rPr>
            </w:pPr>
          </w:p>
        </w:tc>
        <w:tc>
          <w:tcPr>
            <w:tcW w:w="24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105"/>
                <w:rFonts w:hint="eastAsia" w:ascii="宋体" w:hAnsi="宋体" w:cs="宋体"/>
                <w:color w:val="auto"/>
                <w:highlight w:val="none"/>
              </w:rPr>
            </w:pPr>
          </w:p>
        </w:tc>
        <w:tc>
          <w:tcPr>
            <w:tcW w:w="3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105"/>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1" w:type="dxa"/>
            <w:vMerge w:val="restart"/>
            <w:tcBorders>
              <w:left w:val="single" w:color="auto" w:sz="4" w:space="0"/>
              <w:right w:val="single" w:color="auto" w:sz="4" w:space="0"/>
            </w:tcBorders>
            <w:vAlign w:val="center"/>
          </w:tcPr>
          <w:p>
            <w:pPr>
              <w:jc w:val="center"/>
              <w:rPr>
                <w:rStyle w:val="105"/>
                <w:rFonts w:hint="eastAsia" w:ascii="宋体" w:hAnsi="宋体" w:cs="宋体"/>
                <w:color w:val="auto"/>
                <w:highlight w:val="none"/>
              </w:rPr>
            </w:pPr>
            <w:r>
              <w:rPr>
                <w:rStyle w:val="105"/>
                <w:rFonts w:hint="eastAsia" w:ascii="宋体" w:hAnsi="宋体" w:cs="宋体"/>
                <w:color w:val="auto"/>
                <w:highlight w:val="none"/>
              </w:rPr>
              <w:t>获奖情况</w:t>
            </w:r>
          </w:p>
        </w:tc>
        <w:tc>
          <w:tcPr>
            <w:tcW w:w="1953" w:type="dxa"/>
            <w:tcBorders>
              <w:left w:val="single" w:color="auto" w:sz="4" w:space="0"/>
              <w:right w:val="single" w:color="auto" w:sz="4" w:space="0"/>
            </w:tcBorders>
            <w:vAlign w:val="center"/>
          </w:tcPr>
          <w:p>
            <w:pPr>
              <w:autoSpaceDE w:val="0"/>
              <w:autoSpaceDN w:val="0"/>
              <w:adjustRightInd w:val="0"/>
              <w:jc w:val="center"/>
              <w:rPr>
                <w:rStyle w:val="105"/>
                <w:rFonts w:hint="eastAsia" w:ascii="宋体" w:hAnsi="宋体" w:cs="宋体"/>
                <w:color w:val="auto"/>
                <w:highlight w:val="none"/>
              </w:rPr>
            </w:pPr>
            <w:r>
              <w:rPr>
                <w:rStyle w:val="105"/>
                <w:rFonts w:hint="eastAsia" w:ascii="宋体" w:hAnsi="宋体" w:cs="宋体"/>
                <w:color w:val="auto"/>
                <w:highlight w:val="none"/>
              </w:rPr>
              <w:t>工程名称</w:t>
            </w:r>
          </w:p>
        </w:tc>
        <w:tc>
          <w:tcPr>
            <w:tcW w:w="24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105"/>
                <w:rFonts w:hint="eastAsia" w:ascii="宋体" w:hAnsi="宋体" w:cs="宋体"/>
                <w:color w:val="auto"/>
                <w:highlight w:val="none"/>
              </w:rPr>
            </w:pPr>
            <w:r>
              <w:rPr>
                <w:rStyle w:val="105"/>
                <w:rFonts w:hint="eastAsia" w:ascii="宋体" w:hAnsi="宋体" w:cs="宋体"/>
                <w:color w:val="auto"/>
                <w:highlight w:val="none"/>
              </w:rPr>
              <w:t>所获奖项</w:t>
            </w:r>
          </w:p>
        </w:tc>
        <w:tc>
          <w:tcPr>
            <w:tcW w:w="3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105"/>
                <w:rFonts w:hint="eastAsia" w:ascii="宋体" w:hAnsi="宋体" w:cs="宋体"/>
                <w:color w:val="auto"/>
                <w:highlight w:val="none"/>
              </w:rPr>
            </w:pPr>
            <w:r>
              <w:rPr>
                <w:rStyle w:val="105"/>
                <w:rFonts w:hint="eastAsia" w:ascii="宋体" w:hAnsi="宋体" w:cs="宋体"/>
                <w:color w:val="auto"/>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1" w:type="dxa"/>
            <w:vMerge w:val="continue"/>
            <w:tcBorders>
              <w:left w:val="single" w:color="auto" w:sz="4" w:space="0"/>
              <w:right w:val="single" w:color="auto" w:sz="4" w:space="0"/>
            </w:tcBorders>
            <w:vAlign w:val="center"/>
          </w:tcPr>
          <w:p>
            <w:pPr>
              <w:jc w:val="center"/>
              <w:rPr>
                <w:rStyle w:val="105"/>
                <w:rFonts w:hint="eastAsia" w:ascii="宋体" w:hAnsi="宋体" w:cs="宋体"/>
                <w:color w:val="auto"/>
                <w:highlight w:val="none"/>
              </w:rPr>
            </w:pPr>
          </w:p>
        </w:tc>
        <w:tc>
          <w:tcPr>
            <w:tcW w:w="1953" w:type="dxa"/>
            <w:tcBorders>
              <w:left w:val="single" w:color="auto" w:sz="4" w:space="0"/>
              <w:right w:val="single" w:color="auto" w:sz="4" w:space="0"/>
            </w:tcBorders>
          </w:tcPr>
          <w:p>
            <w:pPr>
              <w:autoSpaceDE w:val="0"/>
              <w:autoSpaceDN w:val="0"/>
              <w:adjustRightInd w:val="0"/>
              <w:jc w:val="center"/>
              <w:rPr>
                <w:rStyle w:val="105"/>
                <w:rFonts w:hint="eastAsia" w:ascii="宋体" w:hAnsi="宋体" w:cs="宋体"/>
                <w:color w:val="auto"/>
                <w:highlight w:val="none"/>
              </w:rPr>
            </w:pPr>
          </w:p>
        </w:tc>
        <w:tc>
          <w:tcPr>
            <w:tcW w:w="24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105"/>
                <w:rFonts w:hint="eastAsia" w:ascii="宋体" w:hAnsi="宋体" w:cs="宋体"/>
                <w:color w:val="auto"/>
                <w:highlight w:val="none"/>
              </w:rPr>
            </w:pPr>
          </w:p>
        </w:tc>
        <w:tc>
          <w:tcPr>
            <w:tcW w:w="3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105"/>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1" w:type="dxa"/>
            <w:vMerge w:val="continue"/>
            <w:tcBorders>
              <w:left w:val="single" w:color="auto" w:sz="4" w:space="0"/>
              <w:right w:val="single" w:color="auto" w:sz="4" w:space="0"/>
            </w:tcBorders>
            <w:vAlign w:val="center"/>
          </w:tcPr>
          <w:p>
            <w:pPr>
              <w:jc w:val="center"/>
              <w:rPr>
                <w:rFonts w:hint="eastAsia" w:ascii="宋体" w:hAnsi="宋体" w:cs="宋体"/>
                <w:bCs/>
                <w:color w:val="auto"/>
                <w:sz w:val="24"/>
                <w:szCs w:val="24"/>
                <w:highlight w:val="none"/>
                <w:lang w:val="zh-CN"/>
              </w:rPr>
            </w:pPr>
          </w:p>
        </w:tc>
        <w:tc>
          <w:tcPr>
            <w:tcW w:w="1953" w:type="dxa"/>
            <w:tcBorders>
              <w:left w:val="single" w:color="auto" w:sz="4" w:space="0"/>
              <w:right w:val="single" w:color="auto" w:sz="4" w:space="0"/>
            </w:tcBorders>
          </w:tcPr>
          <w:p>
            <w:pPr>
              <w:autoSpaceDE w:val="0"/>
              <w:autoSpaceDN w:val="0"/>
              <w:adjustRightInd w:val="0"/>
              <w:jc w:val="center"/>
              <w:rPr>
                <w:rFonts w:hint="eastAsia" w:ascii="宋体" w:hAnsi="宋体" w:cs="宋体"/>
                <w:bCs/>
                <w:color w:val="auto"/>
                <w:sz w:val="24"/>
                <w:szCs w:val="24"/>
                <w:highlight w:val="none"/>
                <w:lang w:val="zh-CN"/>
              </w:rPr>
            </w:pPr>
          </w:p>
        </w:tc>
        <w:tc>
          <w:tcPr>
            <w:tcW w:w="24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Cs/>
                <w:color w:val="auto"/>
                <w:sz w:val="24"/>
                <w:szCs w:val="24"/>
                <w:highlight w:val="none"/>
                <w:lang w:val="zh-CN"/>
              </w:rPr>
            </w:pPr>
          </w:p>
        </w:tc>
        <w:tc>
          <w:tcPr>
            <w:tcW w:w="3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Cs/>
                <w:color w:val="auto"/>
                <w:sz w:val="24"/>
                <w:szCs w:val="24"/>
                <w:highlight w:val="none"/>
                <w:lang w:val="zh-CN"/>
              </w:rPr>
            </w:pPr>
          </w:p>
        </w:tc>
      </w:tr>
    </w:tbl>
    <w:p>
      <w:pPr>
        <w:pStyle w:val="15"/>
        <w:rPr>
          <w:rFonts w:hint="eastAsia" w:ascii="宋体" w:hAnsi="宋体" w:cs="宋体"/>
          <w:color w:val="auto"/>
          <w:highlight w:val="none"/>
        </w:rPr>
      </w:pPr>
    </w:p>
    <w:p>
      <w:pPr>
        <w:pStyle w:val="15"/>
        <w:rPr>
          <w:rFonts w:hint="eastAsia" w:ascii="宋体" w:hAnsi="宋体" w:cs="宋体"/>
          <w:color w:val="auto"/>
          <w:highlight w:val="none"/>
        </w:rPr>
      </w:pPr>
    </w:p>
    <w:p>
      <w:pPr>
        <w:pStyle w:val="155"/>
        <w:rPr>
          <w:rFonts w:hint="eastAsia" w:ascii="宋体" w:hAnsi="宋体" w:cs="宋体"/>
          <w:color w:val="auto"/>
          <w:highlight w:val="none"/>
        </w:rPr>
      </w:pPr>
    </w:p>
    <w:p>
      <w:pPr>
        <w:pStyle w:val="155"/>
        <w:rPr>
          <w:rFonts w:hint="eastAsia" w:ascii="宋体" w:hAnsi="宋体" w:cs="宋体"/>
          <w:color w:val="auto"/>
          <w:highlight w:val="none"/>
        </w:rPr>
      </w:pPr>
    </w:p>
    <w:p>
      <w:pPr>
        <w:rPr>
          <w:rStyle w:val="105"/>
          <w:rFonts w:hint="eastAsia" w:ascii="宋体" w:hAnsi="宋体" w:cs="宋体"/>
          <w:b/>
          <w:color w:val="auto"/>
          <w:highlight w:val="none"/>
        </w:rPr>
      </w:pPr>
      <w:r>
        <w:rPr>
          <w:rStyle w:val="105"/>
          <w:rFonts w:hint="eastAsia" w:ascii="宋体" w:hAnsi="宋体" w:cs="宋体"/>
          <w:color w:val="auto"/>
          <w:highlight w:val="none"/>
        </w:rPr>
        <w:br w:type="page"/>
      </w:r>
      <w:r>
        <w:rPr>
          <w:rStyle w:val="105"/>
          <w:rFonts w:hint="eastAsia" w:ascii="宋体" w:hAnsi="宋体" w:cs="宋体"/>
          <w:b/>
          <w:color w:val="auto"/>
          <w:sz w:val="24"/>
          <w:szCs w:val="24"/>
          <w:highlight w:val="none"/>
        </w:rPr>
        <w:t>格式五：</w:t>
      </w:r>
    </w:p>
    <w:p>
      <w:pPr>
        <w:topLinePunct/>
        <w:snapToGrid w:val="0"/>
        <w:spacing w:after="200" w:line="360" w:lineRule="auto"/>
        <w:ind w:firstLine="420"/>
        <w:jc w:val="center"/>
        <w:rPr>
          <w:rStyle w:val="105"/>
          <w:rFonts w:hint="eastAsia" w:ascii="宋体" w:hAnsi="宋体" w:cs="宋体"/>
          <w:b/>
          <w:bCs/>
          <w:color w:val="auto"/>
          <w:spacing w:val="4"/>
          <w:kern w:val="0"/>
          <w:sz w:val="30"/>
          <w:szCs w:val="30"/>
          <w:highlight w:val="none"/>
        </w:rPr>
      </w:pPr>
      <w:r>
        <w:rPr>
          <w:rStyle w:val="105"/>
          <w:rFonts w:hint="eastAsia" w:ascii="宋体" w:hAnsi="宋体" w:cs="宋体"/>
          <w:b/>
          <w:bCs/>
          <w:color w:val="auto"/>
          <w:spacing w:val="4"/>
          <w:kern w:val="0"/>
          <w:sz w:val="30"/>
          <w:szCs w:val="30"/>
          <w:highlight w:val="none"/>
        </w:rPr>
        <w:t>参与编制技术标投标文件人员名单</w:t>
      </w:r>
    </w:p>
    <w:tbl>
      <w:tblPr>
        <w:tblStyle w:val="2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3"/>
        <w:gridCol w:w="1372"/>
        <w:gridCol w:w="2353"/>
        <w:gridCol w:w="2256"/>
        <w:gridCol w:w="13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514" w:type="dxa"/>
            <w:gridSpan w:val="5"/>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投标单位名称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姓名</w:t>
            </w:r>
          </w:p>
        </w:tc>
        <w:tc>
          <w:tcPr>
            <w:tcW w:w="1372"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职务</w:t>
            </w:r>
          </w:p>
        </w:tc>
        <w:tc>
          <w:tcPr>
            <w:tcW w:w="235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所承担工作</w:t>
            </w:r>
          </w:p>
        </w:tc>
        <w:tc>
          <w:tcPr>
            <w:tcW w:w="225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身份证号码</w:t>
            </w: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本人签名栏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r>
    </w:tbl>
    <w:p>
      <w:pPr>
        <w:spacing w:line="360" w:lineRule="auto"/>
        <w:ind w:firstLine="496"/>
        <w:jc w:val="left"/>
        <w:rPr>
          <w:rStyle w:val="105"/>
          <w:rFonts w:hint="eastAsia" w:ascii="宋体" w:hAnsi="宋体" w:cs="宋体"/>
          <w:color w:val="auto"/>
          <w:spacing w:val="4"/>
          <w:kern w:val="0"/>
          <w:sz w:val="24"/>
          <w:szCs w:val="24"/>
          <w:highlight w:val="none"/>
        </w:rPr>
      </w:pPr>
      <w:r>
        <w:rPr>
          <w:rStyle w:val="105"/>
          <w:rFonts w:hint="eastAsia" w:ascii="宋体" w:hAnsi="宋体" w:cs="宋体"/>
          <w:color w:val="auto"/>
          <w:spacing w:val="4"/>
          <w:kern w:val="0"/>
          <w:sz w:val="24"/>
          <w:szCs w:val="24"/>
          <w:highlight w:val="none"/>
        </w:rPr>
        <w:t>注：参与编制技术标书所有人员名单应包括如编制技术投标方案、负责清样校对、负责打印及复印等所有人员在内的人员名单。</w:t>
      </w:r>
    </w:p>
    <w:p>
      <w:pPr>
        <w:pStyle w:val="155"/>
        <w:rPr>
          <w:rStyle w:val="105"/>
          <w:rFonts w:hint="eastAsia" w:ascii="宋体" w:hAnsi="宋体" w:cs="宋体"/>
          <w:b/>
          <w:color w:val="auto"/>
          <w:sz w:val="24"/>
          <w:szCs w:val="24"/>
          <w:highlight w:val="none"/>
        </w:rPr>
      </w:pPr>
      <w:r>
        <w:rPr>
          <w:rFonts w:hint="eastAsia" w:ascii="宋体" w:hAnsi="宋体" w:cs="宋体"/>
          <w:color w:val="auto"/>
          <w:highlight w:val="none"/>
        </w:rPr>
        <w:br w:type="page"/>
      </w:r>
      <w:r>
        <w:rPr>
          <w:rStyle w:val="105"/>
          <w:rFonts w:hint="eastAsia" w:ascii="宋体" w:hAnsi="宋体" w:cs="宋体"/>
          <w:b/>
          <w:color w:val="auto"/>
          <w:sz w:val="24"/>
          <w:szCs w:val="24"/>
          <w:highlight w:val="none"/>
        </w:rPr>
        <w:t>格式六：施工工期承诺书</w:t>
      </w:r>
    </w:p>
    <w:p>
      <w:pPr>
        <w:topLinePunct/>
        <w:snapToGrid w:val="0"/>
        <w:spacing w:after="200" w:line="360" w:lineRule="auto"/>
        <w:ind w:firstLine="420"/>
        <w:jc w:val="center"/>
        <w:rPr>
          <w:rStyle w:val="105"/>
          <w:rFonts w:hint="eastAsia" w:ascii="宋体" w:hAnsi="宋体" w:cs="宋体"/>
          <w:b/>
          <w:bCs/>
          <w:color w:val="auto"/>
          <w:spacing w:val="4"/>
          <w:kern w:val="0"/>
          <w:sz w:val="30"/>
          <w:szCs w:val="30"/>
          <w:highlight w:val="none"/>
        </w:rPr>
      </w:pPr>
    </w:p>
    <w:p>
      <w:pPr>
        <w:topLinePunct/>
        <w:snapToGrid w:val="0"/>
        <w:spacing w:after="200" w:line="360" w:lineRule="auto"/>
        <w:ind w:firstLine="420"/>
        <w:jc w:val="center"/>
        <w:rPr>
          <w:rStyle w:val="105"/>
          <w:rFonts w:hint="eastAsia" w:ascii="宋体" w:hAnsi="宋体" w:cs="宋体"/>
          <w:b/>
          <w:bCs/>
          <w:color w:val="auto"/>
          <w:spacing w:val="4"/>
          <w:kern w:val="0"/>
          <w:sz w:val="30"/>
          <w:szCs w:val="30"/>
          <w:highlight w:val="none"/>
        </w:rPr>
      </w:pPr>
      <w:r>
        <w:rPr>
          <w:rStyle w:val="105"/>
          <w:rFonts w:hint="eastAsia" w:ascii="宋体" w:hAnsi="宋体" w:cs="宋体"/>
          <w:b/>
          <w:bCs/>
          <w:color w:val="auto"/>
          <w:spacing w:val="4"/>
          <w:kern w:val="0"/>
          <w:sz w:val="30"/>
          <w:szCs w:val="30"/>
          <w:highlight w:val="none"/>
        </w:rPr>
        <w:t>施工工期承诺书</w:t>
      </w:r>
    </w:p>
    <w:p>
      <w:pPr>
        <w:topLinePunct/>
        <w:snapToGrid w:val="0"/>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南方医科大学口腔医院：</w:t>
      </w:r>
    </w:p>
    <w:p>
      <w:pPr>
        <w:ind w:firstLine="570"/>
        <w:rPr>
          <w:rFonts w:hint="eastAsia" w:ascii="宋体" w:hAnsi="宋体" w:cs="宋体"/>
          <w:color w:val="auto"/>
          <w:sz w:val="28"/>
          <w:szCs w:val="28"/>
          <w:highlight w:val="none"/>
        </w:rPr>
      </w:pPr>
      <w:r>
        <w:rPr>
          <w:rFonts w:hint="eastAsia" w:ascii="宋体" w:hAnsi="宋体" w:cs="宋体"/>
          <w:color w:val="auto"/>
          <w:sz w:val="28"/>
          <w:szCs w:val="28"/>
          <w:highlight w:val="none"/>
        </w:rPr>
        <w:t>南方医科大学口腔医院（广东省口腔医院）番禺院区二楼C区及三楼A、B、C区改造项目如由我单位中标，我单位将按照提交的投标文件响应工期要求，制定出施工进度计划，并按照招标人要求，在规定时间内与招标人签订施工合同。</w:t>
      </w:r>
    </w:p>
    <w:p>
      <w:pPr>
        <w:ind w:firstLine="570"/>
        <w:rPr>
          <w:rFonts w:hint="eastAsia" w:ascii="宋体" w:hAnsi="宋体" w:cs="宋体"/>
          <w:color w:val="auto"/>
          <w:sz w:val="28"/>
          <w:szCs w:val="28"/>
          <w:highlight w:val="none"/>
        </w:rPr>
      </w:pPr>
      <w:r>
        <w:rPr>
          <w:rFonts w:hint="eastAsia" w:ascii="宋体" w:hAnsi="宋体" w:cs="宋体"/>
          <w:color w:val="auto"/>
          <w:sz w:val="28"/>
          <w:szCs w:val="28"/>
          <w:highlight w:val="none"/>
        </w:rPr>
        <w:t>特此承诺。</w:t>
      </w:r>
    </w:p>
    <w:p>
      <w:pPr>
        <w:ind w:firstLine="570"/>
        <w:rPr>
          <w:rFonts w:hint="eastAsia" w:ascii="宋体" w:hAnsi="宋体" w:cs="宋体"/>
          <w:color w:val="auto"/>
          <w:sz w:val="28"/>
          <w:szCs w:val="28"/>
          <w:highlight w:val="none"/>
        </w:rPr>
      </w:pPr>
    </w:p>
    <w:p>
      <w:pPr>
        <w:ind w:firstLine="570"/>
        <w:rPr>
          <w:rFonts w:hint="eastAsia" w:ascii="宋体" w:hAnsi="宋体" w:cs="宋体"/>
          <w:color w:val="auto"/>
          <w:sz w:val="28"/>
          <w:szCs w:val="28"/>
          <w:highlight w:val="none"/>
        </w:rPr>
      </w:pPr>
    </w:p>
    <w:p>
      <w:pPr>
        <w:spacing w:line="360" w:lineRule="auto"/>
        <w:ind w:right="90" w:firstLine="3920" w:firstLineChars="1400"/>
        <w:rPr>
          <w:rStyle w:val="105"/>
          <w:rFonts w:hint="eastAsia" w:ascii="宋体" w:hAnsi="宋体" w:cs="宋体"/>
          <w:color w:val="auto"/>
          <w:sz w:val="24"/>
          <w:szCs w:val="24"/>
          <w:highlight w:val="none"/>
          <w:u w:val="single"/>
        </w:rPr>
      </w:pPr>
      <w:r>
        <w:rPr>
          <w:rFonts w:hint="eastAsia" w:ascii="宋体" w:hAnsi="宋体" w:cs="宋体"/>
          <w:color w:val="auto"/>
          <w:sz w:val="28"/>
          <w:szCs w:val="28"/>
          <w:highlight w:val="none"/>
        </w:rPr>
        <w:t xml:space="preserve">     </w:t>
      </w:r>
      <w:r>
        <w:rPr>
          <w:rStyle w:val="105"/>
          <w:rFonts w:hint="eastAsia" w:ascii="宋体" w:hAnsi="宋体" w:cs="宋体"/>
          <w:color w:val="auto"/>
          <w:sz w:val="24"/>
          <w:szCs w:val="24"/>
          <w:highlight w:val="none"/>
        </w:rPr>
        <w:t>投标人名称（盖法人公章）：</w:t>
      </w:r>
      <w:r>
        <w:rPr>
          <w:rStyle w:val="105"/>
          <w:rFonts w:hint="eastAsia" w:ascii="宋体" w:hAnsi="宋体" w:cs="宋体"/>
          <w:color w:val="auto"/>
          <w:sz w:val="24"/>
          <w:szCs w:val="24"/>
          <w:highlight w:val="none"/>
          <w:u w:val="single"/>
        </w:rPr>
        <w:t xml:space="preserve"> </w:t>
      </w:r>
    </w:p>
    <w:p>
      <w:pPr>
        <w:spacing w:line="360" w:lineRule="auto"/>
        <w:ind w:firstLine="3480" w:firstLineChars="1450"/>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法定代表人或被授权人（签字或盖章）：</w:t>
      </w:r>
      <w:r>
        <w:rPr>
          <w:rStyle w:val="105"/>
          <w:rFonts w:hint="eastAsia" w:ascii="宋体" w:hAnsi="宋体" w:cs="宋体"/>
          <w:color w:val="auto"/>
          <w:sz w:val="24"/>
          <w:szCs w:val="24"/>
          <w:highlight w:val="none"/>
          <w:u w:val="single"/>
        </w:rPr>
        <w:t xml:space="preserve"> </w:t>
      </w:r>
    </w:p>
    <w:p>
      <w:pPr>
        <w:ind w:firstLine="570"/>
        <w:jc w:val="right"/>
        <w:rPr>
          <w:rFonts w:hint="eastAsia" w:ascii="宋体" w:hAnsi="宋体" w:cs="宋体"/>
          <w:color w:val="auto"/>
          <w:sz w:val="28"/>
          <w:szCs w:val="28"/>
          <w:highlight w:val="none"/>
        </w:rPr>
      </w:pPr>
      <w:r>
        <w:rPr>
          <w:rStyle w:val="105"/>
          <w:rFonts w:hint="eastAsia" w:ascii="宋体" w:hAnsi="宋体" w:cs="宋体"/>
          <w:color w:val="auto"/>
          <w:sz w:val="24"/>
          <w:szCs w:val="24"/>
          <w:highlight w:val="none"/>
        </w:rPr>
        <w:t xml:space="preserve">      日期：      年   月   日</w:t>
      </w:r>
    </w:p>
    <w:p>
      <w:pPr>
        <w:rPr>
          <w:rStyle w:val="105"/>
          <w:rFonts w:hint="eastAsia" w:ascii="宋体" w:hAnsi="宋体" w:cs="宋体"/>
          <w:b/>
          <w:color w:val="auto"/>
          <w:sz w:val="24"/>
          <w:szCs w:val="24"/>
          <w:highlight w:val="none"/>
        </w:rPr>
      </w:pPr>
      <w:r>
        <w:rPr>
          <w:rFonts w:hint="eastAsia" w:ascii="宋体" w:hAnsi="宋体" w:cs="宋体"/>
          <w:color w:val="auto"/>
          <w:highlight w:val="none"/>
        </w:rPr>
        <w:br w:type="page"/>
      </w:r>
      <w:r>
        <w:rPr>
          <w:rStyle w:val="105"/>
          <w:rFonts w:hint="eastAsia" w:ascii="宋体" w:hAnsi="宋体" w:cs="宋体"/>
          <w:b/>
          <w:color w:val="auto"/>
          <w:sz w:val="24"/>
          <w:szCs w:val="24"/>
          <w:highlight w:val="none"/>
        </w:rPr>
        <w:t>格式七</w:t>
      </w:r>
    </w:p>
    <w:p>
      <w:pPr>
        <w:pStyle w:val="94"/>
        <w:ind w:firstLine="0" w:firstLine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危险性较大的分部分项工程清单及超过一定规模的危险性较大的分部分项工程清单</w:t>
      </w:r>
    </w:p>
    <w:p>
      <w:pPr>
        <w:pStyle w:val="144"/>
        <w:numPr>
          <w:ilvl w:val="0"/>
          <w:numId w:val="4"/>
        </w:numPr>
        <w:autoSpaceDE w:val="0"/>
        <w:autoSpaceDN w:val="0"/>
        <w:adjustRightInd w:val="0"/>
        <w:spacing w:line="276" w:lineRule="auto"/>
        <w:ind w:firstLineChars="0"/>
        <w:jc w:val="left"/>
        <w:rPr>
          <w:rFonts w:hint="eastAsia" w:ascii="宋体" w:hAnsi="宋体" w:cs="宋体"/>
          <w:color w:val="auto"/>
          <w:highlight w:val="none"/>
        </w:rPr>
      </w:pPr>
      <w:r>
        <w:rPr>
          <w:rFonts w:hint="eastAsia" w:ascii="宋体" w:hAnsi="宋体" w:cs="宋体"/>
          <w:color w:val="auto"/>
          <w:highlight w:val="none"/>
        </w:rPr>
        <w:t>根据中华人民共和国住房和城乡建设部令第37号《危险性较大的分部分项工程安全管理规定》（以下简称“37号文”），投标人在投标时须补充完善危大工程清单并明确相应的安全管理措施。</w:t>
      </w:r>
    </w:p>
    <w:p>
      <w:pPr>
        <w:pStyle w:val="144"/>
        <w:numPr>
          <w:ilvl w:val="0"/>
          <w:numId w:val="4"/>
        </w:numPr>
        <w:autoSpaceDE w:val="0"/>
        <w:autoSpaceDN w:val="0"/>
        <w:adjustRightInd w:val="0"/>
        <w:spacing w:line="276" w:lineRule="auto"/>
        <w:ind w:firstLineChars="0"/>
        <w:jc w:val="left"/>
        <w:rPr>
          <w:rFonts w:hint="eastAsia" w:ascii="宋体" w:hAnsi="宋体" w:cs="宋体"/>
          <w:color w:val="auto"/>
          <w:highlight w:val="none"/>
        </w:rPr>
      </w:pPr>
      <w:r>
        <w:rPr>
          <w:rFonts w:hint="eastAsia" w:ascii="宋体" w:hAnsi="宋体" w:cs="宋体"/>
          <w:color w:val="auto"/>
          <w:highlight w:val="none"/>
        </w:rPr>
        <w:t>招标人根据设计文件的要求及37号文的规定列出“危险性较大的分部分项工程清单及超过一定规模的危险性较大的分部分项工程清单”中与本招标项目相关的清单项，具体详第5点“打√”标识。</w:t>
      </w:r>
    </w:p>
    <w:p>
      <w:pPr>
        <w:pStyle w:val="144"/>
        <w:numPr>
          <w:ilvl w:val="0"/>
          <w:numId w:val="5"/>
        </w:numPr>
        <w:autoSpaceDE w:val="0"/>
        <w:autoSpaceDN w:val="0"/>
        <w:adjustRightInd w:val="0"/>
        <w:spacing w:line="276" w:lineRule="auto"/>
        <w:ind w:firstLineChars="0"/>
        <w:jc w:val="left"/>
        <w:rPr>
          <w:rFonts w:hint="eastAsia" w:ascii="宋体" w:hAnsi="宋体" w:cs="宋体"/>
          <w:color w:val="auto"/>
          <w:highlight w:val="none"/>
        </w:rPr>
      </w:pPr>
      <w:r>
        <w:rPr>
          <w:rFonts w:hint="eastAsia" w:ascii="宋体" w:hAnsi="宋体" w:cs="宋体"/>
          <w:color w:val="auto"/>
          <w:highlight w:val="none"/>
        </w:rPr>
        <w:t>投标单位同意建设单位在清单中标识的该项请在对应项打“√”标识，并在投标文件中提供相应的安全管理措施。</w:t>
      </w:r>
    </w:p>
    <w:p>
      <w:pPr>
        <w:pStyle w:val="144"/>
        <w:numPr>
          <w:ilvl w:val="0"/>
          <w:numId w:val="5"/>
        </w:numPr>
        <w:autoSpaceDE w:val="0"/>
        <w:autoSpaceDN w:val="0"/>
        <w:adjustRightInd w:val="0"/>
        <w:spacing w:line="276" w:lineRule="auto"/>
        <w:ind w:firstLineChars="0"/>
        <w:jc w:val="left"/>
        <w:rPr>
          <w:rFonts w:hint="eastAsia" w:ascii="宋体" w:hAnsi="宋体" w:cs="宋体"/>
          <w:color w:val="auto"/>
          <w:highlight w:val="none"/>
        </w:rPr>
      </w:pPr>
      <w:r>
        <w:rPr>
          <w:rFonts w:hint="eastAsia" w:ascii="宋体" w:hAnsi="宋体" w:cs="宋体"/>
          <w:color w:val="auto"/>
          <w:highlight w:val="none"/>
        </w:rPr>
        <w:t>投标单位对清单中认为需要补充的该项请在对应项打“√”标识，并在投标文件中提供相应的安全管理措施。</w:t>
      </w:r>
    </w:p>
    <w:p>
      <w:pPr>
        <w:pStyle w:val="144"/>
        <w:numPr>
          <w:ilvl w:val="0"/>
          <w:numId w:val="5"/>
        </w:numPr>
        <w:autoSpaceDE w:val="0"/>
        <w:autoSpaceDN w:val="0"/>
        <w:adjustRightInd w:val="0"/>
        <w:spacing w:line="276" w:lineRule="auto"/>
        <w:ind w:firstLineChars="0"/>
        <w:jc w:val="left"/>
        <w:rPr>
          <w:rFonts w:hint="eastAsia" w:ascii="宋体" w:hAnsi="宋体" w:cs="宋体"/>
          <w:color w:val="auto"/>
          <w:highlight w:val="none"/>
        </w:rPr>
      </w:pPr>
      <w:r>
        <w:rPr>
          <w:rFonts w:hint="eastAsia" w:ascii="宋体" w:hAnsi="宋体" w:cs="宋体"/>
          <w:color w:val="auto"/>
          <w:highlight w:val="none"/>
        </w:rPr>
        <w:t>投标单位不同意建设单位在清单中标识的该项请在对应项打“×”标识，并在备注栏填上相关说明。</w:t>
      </w:r>
    </w:p>
    <w:p>
      <w:pPr>
        <w:pStyle w:val="144"/>
        <w:numPr>
          <w:ilvl w:val="0"/>
          <w:numId w:val="4"/>
        </w:numPr>
        <w:autoSpaceDE w:val="0"/>
        <w:autoSpaceDN w:val="0"/>
        <w:adjustRightInd w:val="0"/>
        <w:spacing w:line="276" w:lineRule="auto"/>
        <w:ind w:firstLineChars="0"/>
        <w:jc w:val="left"/>
        <w:rPr>
          <w:rFonts w:hint="eastAsia" w:ascii="宋体" w:hAnsi="宋体" w:cs="宋体"/>
          <w:color w:val="auto"/>
          <w:highlight w:val="none"/>
        </w:rPr>
      </w:pPr>
      <w:r>
        <w:rPr>
          <w:rFonts w:hint="eastAsia" w:ascii="宋体" w:hAnsi="宋体" w:cs="宋体"/>
          <w:color w:val="auto"/>
          <w:highlight w:val="none"/>
        </w:rPr>
        <w:t>投标单位应当在投标时根据招标人提供的下述第5点清单，在中标后编制专项施工方案。</w:t>
      </w:r>
    </w:p>
    <w:p>
      <w:pPr>
        <w:pStyle w:val="144"/>
        <w:numPr>
          <w:ilvl w:val="0"/>
          <w:numId w:val="4"/>
        </w:numPr>
        <w:autoSpaceDE w:val="0"/>
        <w:autoSpaceDN w:val="0"/>
        <w:adjustRightInd w:val="0"/>
        <w:spacing w:line="276" w:lineRule="auto"/>
        <w:ind w:firstLineChars="0"/>
        <w:jc w:val="left"/>
        <w:rPr>
          <w:rFonts w:hint="eastAsia" w:ascii="宋体" w:hAnsi="宋体" w:cs="宋体"/>
          <w:color w:val="auto"/>
          <w:highlight w:val="none"/>
        </w:rPr>
      </w:pPr>
      <w:r>
        <w:rPr>
          <w:rFonts w:hint="eastAsia" w:ascii="宋体" w:hAnsi="宋体" w:cs="宋体"/>
          <w:color w:val="auto"/>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pStyle w:val="144"/>
        <w:numPr>
          <w:ilvl w:val="0"/>
          <w:numId w:val="4"/>
        </w:numPr>
        <w:autoSpaceDE w:val="0"/>
        <w:autoSpaceDN w:val="0"/>
        <w:adjustRightInd w:val="0"/>
        <w:spacing w:line="276" w:lineRule="auto"/>
        <w:ind w:firstLineChars="0"/>
        <w:jc w:val="left"/>
        <w:rPr>
          <w:rFonts w:hint="eastAsia" w:ascii="宋体" w:hAnsi="宋体" w:cs="宋体"/>
          <w:color w:val="auto"/>
          <w:highlight w:val="none"/>
        </w:rPr>
      </w:pPr>
      <w:r>
        <w:rPr>
          <w:rFonts w:hint="eastAsia" w:ascii="宋体" w:hAnsi="宋体" w:cs="宋体"/>
          <w:color w:val="auto"/>
          <w:highlight w:val="none"/>
        </w:rPr>
        <w:t>危险性较大的分部分项工程清单及超过一定规模的危险性较大的分部分项工程清单：</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8"/>
        <w:gridCol w:w="1277"/>
        <w:gridCol w:w="1277"/>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vAlign w:val="center"/>
          </w:tcPr>
          <w:p>
            <w:pPr>
              <w:spacing w:line="276"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一、危险性较大的分部分项工程清单</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建设单位</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投标单位</w:t>
            </w:r>
          </w:p>
        </w:tc>
        <w:tc>
          <w:tcPr>
            <w:tcW w:w="1001"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一、基坑支护</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（一）开挖深度超过3m（含3m）的基坑（槽）的土方开挖、支护、降水工程。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（二）开挖深度虽未超过3m，但地质条件、周围环境和地下管线复杂，或影响毗邻建、构筑物安全的基坑（槽）的土方开挖、支护、降水工程。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二、模板工程及支撑体系</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（一）各类工具式模板工程：包括滑模、爬模、飞模、隧道模等工程。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（三）承重支撑体系：用于钢结构安装等满堂支撑体系。</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　三、起重吊装及起重机械安装拆卸工程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（一）采用非常规起重设备、方法，且单件起吊重量在10kN及以上的起重吊装工程。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（二）采用起重机械进行安装的工程。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（三）起重机械安装和拆卸工程。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四、脚手架工程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（一）搭设高度24m及以上的落地式钢管脚手架工程（包括采光井、电梯井脚手架）。</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（二）附着式升降脚手架工程。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（三）悬挑式脚手架工程。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（四）高处作业吊篮。</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（五）卸料平台、操作平台工程。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（六）异型脚手架工程。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五、拆除工程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可能影响行人、交通、电力设施、通讯设施或其它建、构筑物安全的拆除工程。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　六、暗挖工程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采用矿山法、盾构法、顶管法施工的隧道、洞室工程。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七、其它</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（一）建筑幕墙安装工程。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（二）钢结构、网架和索膜结构安装工程。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（三）人工挖孔桩工程。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（四）水下作业工程。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（五）装配式建筑混凝土预制构件安装工程。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（六）采用新技术、新工艺、新材料、新设备可能影响工程施工安全，尚无国家、行业及地方技术标准的分部分项工程。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vAlign w:val="center"/>
          </w:tcPr>
          <w:p>
            <w:pPr>
              <w:spacing w:line="276" w:lineRule="auto"/>
              <w:rPr>
                <w:rFonts w:hint="eastAsia" w:ascii="宋体" w:hAnsi="宋体" w:cs="宋体"/>
                <w:b/>
                <w:color w:val="auto"/>
                <w:szCs w:val="21"/>
                <w:highlight w:val="none"/>
              </w:rPr>
            </w:pPr>
            <w:r>
              <w:rPr>
                <w:rFonts w:hint="eastAsia" w:ascii="宋体" w:hAnsi="宋体" w:cs="宋体"/>
                <w:b/>
                <w:bCs/>
                <w:color w:val="auto"/>
                <w:szCs w:val="21"/>
                <w:highlight w:val="none"/>
              </w:rPr>
              <w:t>二、超过一定规模的危险性较大的分部分项工程清单</w:t>
            </w:r>
          </w:p>
        </w:tc>
        <w:tc>
          <w:tcPr>
            <w:tcW w:w="1277" w:type="dxa"/>
            <w:vAlign w:val="center"/>
          </w:tcPr>
          <w:p>
            <w:pPr>
              <w:spacing w:line="276" w:lineRule="auto"/>
              <w:jc w:val="center"/>
              <w:rPr>
                <w:rFonts w:hint="eastAsia" w:ascii="宋体" w:hAnsi="宋体" w:cs="宋体"/>
                <w:color w:val="auto"/>
                <w:szCs w:val="21"/>
                <w:highlight w:val="none"/>
              </w:rPr>
            </w:pPr>
          </w:p>
        </w:tc>
        <w:tc>
          <w:tcPr>
            <w:tcW w:w="1277" w:type="dxa"/>
            <w:vAlign w:val="center"/>
          </w:tcPr>
          <w:p>
            <w:pPr>
              <w:spacing w:line="276" w:lineRule="auto"/>
              <w:jc w:val="center"/>
              <w:rPr>
                <w:rFonts w:hint="eastAsia" w:ascii="宋体" w:hAnsi="宋体" w:cs="宋体"/>
                <w:color w:val="auto"/>
                <w:szCs w:val="21"/>
                <w:highlight w:val="none"/>
              </w:rPr>
            </w:pP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一、深基坑工程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开挖深度超过5m（含5m）的基坑（槽）的土方开挖、支护、降水工程。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ind w:firstLine="48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二、模板工程及支撑体系</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ind w:firstLine="48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（一）各类工具式模板工程：包括滑模、爬模、飞模、隧道模等工程。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ind w:firstLine="48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（二）混凝土模板支撑工程：搭设高度8m及以上，或搭设跨度18m及以上，或施工总荷载（设计值）15kN/m2及以上，或集中线荷载（设计值）20kN/m及以上。</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（三）承重支撑体系：用于钢结构安装等满堂支撑体系，承受单点集中荷载7kN及以上。</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　三、起重吊装及起重机械安装拆卸工程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（一）采用非常规起重设备、方法，且单件起吊重量在100kN及以上的起重吊装工程。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（二）起重量300kN及以上，或搭设总高度200m及以上，或搭设基础标高在200m及以上的起重机械安装和拆卸工程。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四、脚手架工程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（一）搭设高度50m及以上的落地式钢管脚手架工程。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（二）提升高度在150m及以上的附着式升降脚手架工程或附着式升降操作平台工程。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（三）分段架体搭设高度20m及以上的悬挑式脚手架工程。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五、拆除工程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（一）码头、桥梁、高架、烟囱、水塔或拆除中容易引起有毒有害气（液）体或粉尘扩散、易燃易爆事故发生的特殊建、构筑物的拆除工程。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（二）文物保护建筑、优秀历史建筑或历史文化风貌区影响范围内的拆除工程。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六、暗挖工程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采用矿山法、盾构法、顶管法施工的隧道、洞室工程。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七、其它</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（一）施工高度50m及以上的建筑幕墙安装工程。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（二）跨度36m及以上的钢结构安装工程，或跨度60m及以上的网架和索膜结构安装工程。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（三）开挖深度16m及以上的人工挖孔桩工程。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（四）水下作业工程。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（五）重量1000kN及以上的大型结构整体顶升、平移、转体等施工工艺。</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（六）采用新技术、新工艺、新材料、新设备可能影响工程施工安全，尚无国家、行业及地方技术标准的分部分项工程。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bl>
    <w:p>
      <w:pPr>
        <w:topLinePunct/>
        <w:adjustRightInd w:val="0"/>
        <w:snapToGrid w:val="0"/>
        <w:spacing w:line="360" w:lineRule="auto"/>
        <w:ind w:right="493"/>
        <w:rPr>
          <w:rFonts w:ascii="宋体" w:hAnsi="宋体" w:cs="宋体"/>
          <w:b/>
          <w:snapToGrid w:val="0"/>
          <w:color w:val="auto"/>
          <w:spacing w:val="4"/>
          <w:kern w:val="0"/>
          <w:sz w:val="24"/>
          <w:szCs w:val="24"/>
          <w:highlight w:val="none"/>
        </w:rPr>
      </w:pPr>
      <w:r>
        <w:rPr>
          <w:rFonts w:hint="eastAsia" w:ascii="宋体" w:hAnsi="宋体" w:cs="宋体"/>
          <w:color w:val="auto"/>
          <w:highlight w:val="none"/>
        </w:rPr>
        <w:br w:type="page"/>
      </w:r>
      <w:r>
        <w:rPr>
          <w:rFonts w:hint="eastAsia" w:ascii="宋体" w:hAnsi="宋体" w:cs="宋体"/>
          <w:b/>
          <w:snapToGrid w:val="0"/>
          <w:color w:val="auto"/>
          <w:spacing w:val="4"/>
          <w:kern w:val="0"/>
          <w:sz w:val="24"/>
          <w:szCs w:val="24"/>
          <w:highlight w:val="none"/>
        </w:rPr>
        <w:t>格式八：投标函</w:t>
      </w:r>
    </w:p>
    <w:p>
      <w:pPr>
        <w:topLinePunct/>
        <w:adjustRightInd w:val="0"/>
        <w:snapToGrid w:val="0"/>
        <w:spacing w:line="360" w:lineRule="auto"/>
        <w:ind w:firstLine="739" w:firstLineChars="200"/>
        <w:jc w:val="center"/>
        <w:rPr>
          <w:rFonts w:ascii="宋体" w:hAnsi="宋体" w:cs="宋体"/>
          <w:b/>
          <w:snapToGrid w:val="0"/>
          <w:color w:val="auto"/>
          <w:spacing w:val="4"/>
          <w:kern w:val="0"/>
          <w:sz w:val="36"/>
          <w:szCs w:val="36"/>
          <w:highlight w:val="none"/>
        </w:rPr>
      </w:pPr>
      <w:r>
        <w:rPr>
          <w:rFonts w:hint="eastAsia" w:ascii="宋体" w:hAnsi="宋体" w:cs="宋体"/>
          <w:b/>
          <w:snapToGrid w:val="0"/>
          <w:color w:val="auto"/>
          <w:spacing w:val="4"/>
          <w:kern w:val="0"/>
          <w:sz w:val="36"/>
          <w:szCs w:val="36"/>
          <w:highlight w:val="none"/>
        </w:rPr>
        <w:t>投 标 函</w:t>
      </w:r>
    </w:p>
    <w:p>
      <w:pPr>
        <w:topLinePunct/>
        <w:adjustRightInd w:val="0"/>
        <w:snapToGrid w:val="0"/>
        <w:spacing w:line="360" w:lineRule="auto"/>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致：</w:t>
      </w:r>
      <w:r>
        <w:rPr>
          <w:rFonts w:hint="eastAsia" w:ascii="宋体" w:hAnsi="宋体" w:cs="宋体"/>
          <w:snapToGrid w:val="0"/>
          <w:color w:val="auto"/>
          <w:spacing w:val="4"/>
          <w:kern w:val="0"/>
          <w:sz w:val="24"/>
          <w:szCs w:val="24"/>
          <w:highlight w:val="none"/>
          <w:u w:val="single"/>
        </w:rPr>
        <w:t xml:space="preserve">（招标人名称） </w:t>
      </w:r>
    </w:p>
    <w:p>
      <w:pPr>
        <w:topLinePunct/>
        <w:adjustRightInd w:val="0"/>
        <w:snapToGrid w:val="0"/>
        <w:spacing w:line="360" w:lineRule="auto"/>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1.根据招标人</w:t>
      </w:r>
      <w:r>
        <w:rPr>
          <w:rFonts w:hint="eastAsia" w:ascii="宋体" w:hAnsi="宋体" w:cs="宋体"/>
          <w:snapToGrid w:val="0"/>
          <w:color w:val="auto"/>
          <w:spacing w:val="4"/>
          <w:kern w:val="0"/>
          <w:sz w:val="24"/>
          <w:szCs w:val="24"/>
          <w:highlight w:val="none"/>
          <w:u w:val="single"/>
        </w:rPr>
        <w:t xml:space="preserve"> （工程项目名称） </w:t>
      </w:r>
      <w:r>
        <w:rPr>
          <w:rFonts w:hint="eastAsia" w:ascii="宋体" w:hAnsi="宋体" w:cs="宋体"/>
          <w:snapToGrid w:val="0"/>
          <w:color w:val="auto"/>
          <w:spacing w:val="4"/>
          <w:kern w:val="0"/>
          <w:sz w:val="24"/>
          <w:szCs w:val="24"/>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topLinePunct/>
        <w:adjustRightInd w:val="0"/>
        <w:snapToGrid w:val="0"/>
        <w:spacing w:line="360" w:lineRule="auto"/>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2.我方已详细审核全部招标文件，包括修改文件（如有时）及有关附件。</w:t>
      </w:r>
    </w:p>
    <w:p>
      <w:pPr>
        <w:topLinePunct/>
        <w:adjustRightInd w:val="0"/>
        <w:snapToGrid w:val="0"/>
        <w:spacing w:line="360" w:lineRule="auto"/>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3.如果我方中标，我方保证按照合同文件中规定的开工日期开始施工，并按规定的预计竣工日期完成和交付全部工程。</w:t>
      </w:r>
    </w:p>
    <w:p>
      <w:pPr>
        <w:topLinePunct/>
        <w:adjustRightInd w:val="0"/>
        <w:snapToGrid w:val="0"/>
        <w:spacing w:line="360" w:lineRule="auto"/>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4.如果我方中标，我方承诺在充分考虑场地环境变化及政策性调整等风险因素的前提下，继续补充完善施工组织设计，直至招标人满意为止并加以实施，由此产生的费用已包含在投标报价中。</w:t>
      </w:r>
    </w:p>
    <w:p>
      <w:pPr>
        <w:topLinePunct/>
        <w:adjustRightInd w:val="0"/>
        <w:snapToGrid w:val="0"/>
        <w:spacing w:line="360" w:lineRule="auto"/>
        <w:ind w:firstLine="496" w:firstLineChars="200"/>
        <w:rPr>
          <w:rFonts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6.如果我方中标，我方将按照招标文件的规定，按时提交履约担保，以保障本项目优质、优价、按期、顺利完成。</w:t>
      </w:r>
    </w:p>
    <w:p>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7.我方同意所提交的投标文件在招标文件投标须知中第15条规定的投标有效期内有效，在此期限届满之前，本投标书始终将对我方具有约束力，并随时接受中标。</w:t>
      </w:r>
    </w:p>
    <w:p>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8.在合同协议书正式签署生效之前，本投标书连同你单位的中标通知书将构成我们双方之间共同遵守的文件，对双方具有约束力。</w:t>
      </w:r>
    </w:p>
    <w:p>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9.如果我方在投标文件有效期内撤回投标文件；或在接到中标通知书后30天内未能或拒绝签订合同协议书；或未能按招标文件要求提交履约担保，你单位有权要求我方对由此造成的损失作出赔偿，另选中标单位。</w:t>
      </w:r>
    </w:p>
    <w:p>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10.我方理解，你单位不一定接受最低标价的投标或你单位接到的其它任何投标。同时也理解，你单位不负担我方的任何投标费用。</w:t>
      </w:r>
    </w:p>
    <w:p>
      <w:pPr>
        <w:topLinePunct/>
        <w:adjustRightInd w:val="0"/>
        <w:snapToGrid w:val="0"/>
        <w:spacing w:line="360" w:lineRule="auto"/>
        <w:ind w:firstLine="496" w:firstLineChars="200"/>
        <w:rPr>
          <w:rFonts w:ascii="宋体" w:hAnsi="宋体" w:cs="宋体"/>
          <w:snapToGrid w:val="0"/>
          <w:color w:val="auto"/>
          <w:spacing w:val="4"/>
          <w:kern w:val="0"/>
          <w:sz w:val="24"/>
          <w:szCs w:val="24"/>
          <w:highlight w:val="none"/>
        </w:rPr>
      </w:pPr>
    </w:p>
    <w:p>
      <w:pPr>
        <w:topLinePunct/>
        <w:adjustRightInd w:val="0"/>
        <w:snapToGrid w:val="0"/>
        <w:spacing w:line="360" w:lineRule="auto"/>
        <w:ind w:firstLine="691" w:firstLineChars="279"/>
        <w:jc w:val="righ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 标 人：（盖章）</w:t>
      </w:r>
    </w:p>
    <w:p>
      <w:pPr>
        <w:topLinePunct/>
        <w:adjustRightInd w:val="0"/>
        <w:snapToGrid w:val="0"/>
        <w:spacing w:line="360" w:lineRule="auto"/>
        <w:ind w:firstLine="691" w:firstLineChars="279"/>
        <w:jc w:val="righ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法定代表人或授权代理人（签字或盖章）：</w:t>
      </w:r>
    </w:p>
    <w:p>
      <w:pPr>
        <w:topLinePunct/>
        <w:adjustRightInd w:val="0"/>
        <w:snapToGrid w:val="0"/>
        <w:spacing w:line="360" w:lineRule="auto"/>
        <w:ind w:firstLine="691" w:firstLineChars="279"/>
        <w:jc w:val="righ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日    期：    年    月    日</w:t>
      </w:r>
    </w:p>
    <w:p>
      <w:pPr>
        <w:spacing w:line="360" w:lineRule="auto"/>
        <w:jc w:val="center"/>
        <w:rPr>
          <w:rStyle w:val="105"/>
          <w:rFonts w:hint="eastAsia" w:ascii="宋体" w:hAnsi="宋体" w:cs="宋体"/>
          <w:b/>
          <w:color w:val="auto"/>
          <w:spacing w:val="4"/>
          <w:kern w:val="0"/>
          <w:sz w:val="30"/>
          <w:szCs w:val="30"/>
          <w:highlight w:val="none"/>
        </w:rPr>
      </w:pPr>
      <w:r>
        <w:rPr>
          <w:rFonts w:hint="eastAsia" w:ascii="宋体" w:hAnsi="宋体" w:cs="宋体"/>
          <w:color w:val="auto"/>
          <w:highlight w:val="none"/>
        </w:rPr>
        <w:br w:type="page"/>
      </w:r>
      <w:r>
        <w:rPr>
          <w:rStyle w:val="105"/>
          <w:rFonts w:hint="eastAsia" w:ascii="宋体" w:hAnsi="宋体" w:cs="宋体"/>
          <w:b/>
          <w:color w:val="auto"/>
          <w:spacing w:val="4"/>
          <w:kern w:val="0"/>
          <w:sz w:val="30"/>
          <w:szCs w:val="30"/>
          <w:highlight w:val="none"/>
        </w:rPr>
        <w:t>二、经济标投标文件格式</w:t>
      </w:r>
    </w:p>
    <w:p>
      <w:pPr>
        <w:topLinePunct/>
        <w:snapToGrid w:val="0"/>
        <w:spacing w:before="156" w:after="156" w:line="360" w:lineRule="auto"/>
        <w:jc w:val="left"/>
        <w:rPr>
          <w:rStyle w:val="105"/>
          <w:rFonts w:hint="eastAsia" w:ascii="宋体" w:hAnsi="宋体" w:cs="宋体"/>
          <w:b/>
          <w:color w:val="auto"/>
          <w:spacing w:val="4"/>
          <w:kern w:val="0"/>
          <w:sz w:val="24"/>
          <w:szCs w:val="24"/>
          <w:highlight w:val="none"/>
        </w:rPr>
      </w:pPr>
    </w:p>
    <w:p>
      <w:pPr>
        <w:topLinePunct/>
        <w:snapToGrid w:val="0"/>
        <w:spacing w:before="156" w:after="156" w:line="360" w:lineRule="auto"/>
        <w:jc w:val="left"/>
        <w:rPr>
          <w:rStyle w:val="105"/>
          <w:rFonts w:hint="eastAsia" w:ascii="宋体" w:hAnsi="宋体" w:cs="宋体"/>
          <w:b/>
          <w:bCs/>
          <w:color w:val="auto"/>
          <w:highlight w:val="none"/>
        </w:rPr>
      </w:pPr>
      <w:r>
        <w:rPr>
          <w:rStyle w:val="105"/>
          <w:rFonts w:hint="eastAsia" w:ascii="宋体" w:hAnsi="宋体" w:cs="宋体"/>
          <w:b/>
          <w:bCs/>
          <w:color w:val="auto"/>
          <w:highlight w:val="none"/>
        </w:rPr>
        <w:t>格式一：</w:t>
      </w:r>
    </w:p>
    <w:p>
      <w:pPr>
        <w:topLinePunct/>
        <w:snapToGrid w:val="0"/>
        <w:spacing w:line="360" w:lineRule="auto"/>
        <w:ind w:firstLine="498" w:firstLineChars="200"/>
        <w:rPr>
          <w:rStyle w:val="105"/>
          <w:rFonts w:hint="eastAsia" w:ascii="宋体" w:hAnsi="宋体" w:cs="宋体"/>
          <w:b/>
          <w:color w:val="auto"/>
          <w:spacing w:val="4"/>
          <w:kern w:val="0"/>
          <w:sz w:val="24"/>
          <w:szCs w:val="24"/>
          <w:highlight w:val="none"/>
        </w:rPr>
      </w:pPr>
    </w:p>
    <w:p>
      <w:pPr>
        <w:topLinePunct/>
        <w:snapToGrid w:val="0"/>
        <w:spacing w:line="360" w:lineRule="auto"/>
        <w:ind w:firstLine="617"/>
        <w:jc w:val="center"/>
        <w:rPr>
          <w:rStyle w:val="105"/>
          <w:rFonts w:hint="eastAsia" w:ascii="宋体" w:hAnsi="宋体" w:cs="宋体"/>
          <w:b/>
          <w:color w:val="auto"/>
          <w:spacing w:val="4"/>
          <w:kern w:val="0"/>
          <w:sz w:val="30"/>
          <w:szCs w:val="30"/>
          <w:highlight w:val="none"/>
        </w:rPr>
      </w:pPr>
      <w:r>
        <w:rPr>
          <w:rStyle w:val="105"/>
          <w:rFonts w:hint="eastAsia" w:ascii="宋体" w:hAnsi="宋体" w:cs="宋体"/>
          <w:b/>
          <w:color w:val="auto"/>
          <w:spacing w:val="4"/>
          <w:kern w:val="0"/>
          <w:sz w:val="30"/>
          <w:szCs w:val="30"/>
          <w:highlight w:val="none"/>
        </w:rPr>
        <w:t>广州建设工程施工招标投标书（经济标）</w:t>
      </w:r>
    </w:p>
    <w:tbl>
      <w:tblPr>
        <w:tblStyle w:val="27"/>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9"/>
        <w:gridCol w:w="5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099"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lang w:val="zh-CN"/>
              </w:rPr>
              <w:t>工程名称</w:t>
            </w:r>
          </w:p>
        </w:tc>
        <w:tc>
          <w:tcPr>
            <w:tcW w:w="5621"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360" w:lineRule="auto"/>
              <w:textAlignment w:val="auto"/>
              <w:rPr>
                <w:rFonts w:hint="eastAsia"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099" w:type="dxa"/>
            <w:vMerge w:val="restart"/>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lang w:val="zh-CN"/>
              </w:rPr>
              <w:t>投标总报价（元）</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textAlignment w:val="auto"/>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9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auto"/>
              <w:rPr>
                <w:rFonts w:hint="eastAsia" w:ascii="宋体" w:hAnsi="宋体" w:cs="宋体"/>
                <w:bCs/>
                <w:color w:val="auto"/>
                <w:sz w:val="24"/>
                <w:szCs w:val="24"/>
                <w:highlight w:val="none"/>
                <w:lang w:val="zh-CN"/>
              </w:rPr>
            </w:pPr>
          </w:p>
        </w:tc>
        <w:tc>
          <w:tcPr>
            <w:tcW w:w="562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textAlignment w:val="auto"/>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099" w:type="dxa"/>
            <w:vMerge w:val="restart"/>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lang w:val="zh-CN"/>
              </w:rPr>
              <w:t>其中：</w:t>
            </w:r>
            <w:r>
              <w:rPr>
                <w:rFonts w:hint="eastAsia" w:ascii="宋体" w:hAnsi="宋体" w:cs="宋体"/>
                <w:bCs/>
                <w:color w:val="auto"/>
                <w:sz w:val="24"/>
                <w:szCs w:val="24"/>
                <w:highlight w:val="none"/>
                <w:lang w:val="zh-CN"/>
              </w:rPr>
              <w:t>人工费</w:t>
            </w:r>
            <w:r>
              <w:rPr>
                <w:rFonts w:hint="eastAsia" w:ascii="宋体" w:hAnsi="宋体" w:cs="宋体"/>
                <w:color w:val="auto"/>
                <w:sz w:val="24"/>
                <w:szCs w:val="24"/>
                <w:highlight w:val="none"/>
                <w:lang w:val="zh-CN"/>
              </w:rPr>
              <w:t>（元）</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textAlignment w:val="auto"/>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09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auto"/>
              <w:rPr>
                <w:rFonts w:hint="eastAsia" w:ascii="宋体" w:hAnsi="宋体" w:cs="宋体"/>
                <w:bCs/>
                <w:color w:val="auto"/>
                <w:sz w:val="24"/>
                <w:szCs w:val="24"/>
                <w:highlight w:val="none"/>
                <w:lang w:val="zh-CN"/>
              </w:rPr>
            </w:pPr>
          </w:p>
        </w:tc>
        <w:tc>
          <w:tcPr>
            <w:tcW w:w="562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textAlignment w:val="auto"/>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099" w:type="dxa"/>
            <w:vMerge w:val="restart"/>
            <w:tcBorders>
              <w:top w:val="single" w:color="auto" w:sz="4" w:space="0"/>
              <w:left w:val="single" w:color="auto" w:sz="4" w:space="0"/>
              <w:right w:val="single" w:color="auto" w:sz="4" w:space="0"/>
            </w:tcBorders>
            <w:vAlign w:val="center"/>
          </w:tcPr>
          <w:p>
            <w:pPr>
              <w:spacing w:line="360" w:lineRule="auto"/>
              <w:jc w:val="left"/>
              <w:textAlignment w:val="auto"/>
              <w:rPr>
                <w:rFonts w:hint="eastAsia" w:ascii="宋体" w:hAnsi="宋体" w:cs="宋体"/>
                <w:b/>
                <w:color w:val="auto"/>
                <w:sz w:val="24"/>
                <w:szCs w:val="24"/>
                <w:highlight w:val="none"/>
                <w:lang w:val="zh-CN"/>
              </w:rPr>
            </w:pPr>
            <w:r>
              <w:rPr>
                <w:rFonts w:hint="eastAsia" w:ascii="宋体" w:hAnsi="宋体" w:cs="宋体"/>
                <w:bCs/>
                <w:color w:val="auto"/>
                <w:sz w:val="24"/>
                <w:szCs w:val="24"/>
                <w:highlight w:val="none"/>
                <w:lang w:val="zh-CN"/>
              </w:rPr>
              <w:t>其中：</w:t>
            </w:r>
            <w:r>
              <w:rPr>
                <w:rFonts w:hint="eastAsia" w:ascii="宋体" w:hAnsi="宋体" w:cs="宋体"/>
                <w:color w:val="auto"/>
                <w:sz w:val="24"/>
                <w:szCs w:val="24"/>
                <w:highlight w:val="none"/>
                <w:lang w:val="zh-CN"/>
              </w:rPr>
              <w:t>绿色施工安全防护措施费（元）</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textAlignment w:val="auto"/>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099" w:type="dxa"/>
            <w:vMerge w:val="continue"/>
            <w:tcBorders>
              <w:left w:val="single" w:color="auto" w:sz="4" w:space="0"/>
              <w:right w:val="single" w:color="auto" w:sz="4" w:space="0"/>
            </w:tcBorders>
            <w:vAlign w:val="center"/>
          </w:tcPr>
          <w:p>
            <w:pPr>
              <w:spacing w:line="360" w:lineRule="auto"/>
              <w:jc w:val="left"/>
              <w:textAlignment w:val="auto"/>
              <w:rPr>
                <w:rFonts w:hint="eastAsia" w:ascii="宋体" w:hAnsi="宋体" w:cs="宋体"/>
                <w:bCs/>
                <w:color w:val="auto"/>
                <w:sz w:val="24"/>
                <w:szCs w:val="24"/>
                <w:highlight w:val="none"/>
                <w:lang w:val="zh-CN"/>
              </w:rPr>
            </w:pPr>
          </w:p>
        </w:tc>
        <w:tc>
          <w:tcPr>
            <w:tcW w:w="562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textAlignment w:val="auto"/>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099" w:type="dxa"/>
            <w:vMerge w:val="restart"/>
            <w:tcBorders>
              <w:left w:val="single" w:color="auto" w:sz="4" w:space="0"/>
              <w:right w:val="single" w:color="auto" w:sz="4" w:space="0"/>
            </w:tcBorders>
            <w:vAlign w:val="center"/>
          </w:tcPr>
          <w:p>
            <w:pPr>
              <w:spacing w:line="360" w:lineRule="auto"/>
              <w:jc w:val="left"/>
              <w:textAlignment w:val="auto"/>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其中：暂列金额</w:t>
            </w:r>
            <w:r>
              <w:rPr>
                <w:rFonts w:hint="eastAsia" w:ascii="宋体" w:hAnsi="宋体" w:cs="宋体"/>
                <w:color w:val="auto"/>
                <w:sz w:val="24"/>
                <w:szCs w:val="24"/>
                <w:highlight w:val="none"/>
                <w:lang w:val="zh-CN"/>
              </w:rPr>
              <w:t>（元）</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099" w:type="dxa"/>
            <w:vMerge w:val="continue"/>
            <w:tcBorders>
              <w:left w:val="single" w:color="auto" w:sz="4" w:space="0"/>
              <w:right w:val="single" w:color="auto" w:sz="4" w:space="0"/>
            </w:tcBorders>
            <w:vAlign w:val="center"/>
          </w:tcPr>
          <w:p>
            <w:pPr>
              <w:spacing w:line="360" w:lineRule="auto"/>
              <w:jc w:val="left"/>
              <w:textAlignment w:val="auto"/>
              <w:rPr>
                <w:rFonts w:hint="eastAsia" w:ascii="宋体" w:hAnsi="宋体" w:cs="宋体"/>
                <w:bCs/>
                <w:color w:val="auto"/>
                <w:sz w:val="24"/>
                <w:szCs w:val="24"/>
                <w:highlight w:val="none"/>
                <w:lang w:val="zh-CN"/>
              </w:rPr>
            </w:pPr>
          </w:p>
        </w:tc>
        <w:tc>
          <w:tcPr>
            <w:tcW w:w="562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小写：</w:t>
            </w:r>
          </w:p>
        </w:tc>
      </w:tr>
    </w:tbl>
    <w:p>
      <w:pPr>
        <w:topLinePunct/>
        <w:snapToGrid w:val="0"/>
        <w:spacing w:line="360" w:lineRule="auto"/>
        <w:rPr>
          <w:rStyle w:val="105"/>
          <w:rFonts w:hint="eastAsia" w:ascii="宋体" w:hAnsi="宋体" w:cs="宋体"/>
          <w:color w:val="auto"/>
          <w:spacing w:val="4"/>
          <w:kern w:val="0"/>
          <w:sz w:val="24"/>
          <w:szCs w:val="24"/>
          <w:highlight w:val="none"/>
        </w:rPr>
      </w:pPr>
    </w:p>
    <w:p>
      <w:pPr>
        <w:pStyle w:val="165"/>
        <w:spacing w:line="360" w:lineRule="auto"/>
        <w:rPr>
          <w:rStyle w:val="105"/>
          <w:rFonts w:hint="eastAsia" w:ascii="宋体" w:eastAsia="宋体" w:cs="宋体"/>
          <w:color w:val="auto"/>
          <w:highlight w:val="none"/>
        </w:rPr>
      </w:pPr>
      <w:r>
        <w:rPr>
          <w:rStyle w:val="105"/>
          <w:rFonts w:hint="eastAsia" w:ascii="宋体" w:eastAsia="宋体" w:cs="宋体"/>
          <w:b/>
          <w:color w:val="auto"/>
          <w:highlight w:val="none"/>
        </w:rPr>
        <w:br w:type="page"/>
      </w:r>
      <w:r>
        <w:rPr>
          <w:rStyle w:val="105"/>
          <w:rFonts w:hint="eastAsia" w:ascii="宋体" w:eastAsia="宋体" w:cs="宋体"/>
          <w:b/>
          <w:bCs/>
          <w:color w:val="auto"/>
          <w:highlight w:val="none"/>
        </w:rPr>
        <w:t>格式二</w:t>
      </w:r>
    </w:p>
    <w:p>
      <w:pPr>
        <w:topLinePunct/>
        <w:snapToGrid w:val="0"/>
        <w:spacing w:after="200" w:line="360" w:lineRule="auto"/>
        <w:jc w:val="center"/>
        <w:rPr>
          <w:rStyle w:val="105"/>
          <w:rFonts w:hint="eastAsia" w:ascii="宋体" w:hAnsi="宋体" w:cs="宋体"/>
          <w:b/>
          <w:bCs/>
          <w:color w:val="auto"/>
          <w:spacing w:val="4"/>
          <w:kern w:val="0"/>
          <w:sz w:val="30"/>
          <w:szCs w:val="30"/>
          <w:highlight w:val="none"/>
        </w:rPr>
      </w:pPr>
      <w:r>
        <w:rPr>
          <w:rStyle w:val="105"/>
          <w:rFonts w:hint="eastAsia" w:ascii="宋体" w:hAnsi="宋体" w:cs="宋体"/>
          <w:b/>
          <w:bCs/>
          <w:color w:val="auto"/>
          <w:spacing w:val="4"/>
          <w:kern w:val="0"/>
          <w:sz w:val="30"/>
          <w:szCs w:val="30"/>
          <w:highlight w:val="none"/>
        </w:rPr>
        <w:t>参与编制经济标投标文件人员名单</w:t>
      </w:r>
    </w:p>
    <w:tbl>
      <w:tblPr>
        <w:tblStyle w:val="2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3"/>
        <w:gridCol w:w="1376"/>
        <w:gridCol w:w="2350"/>
        <w:gridCol w:w="2251"/>
        <w:gridCol w:w="13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514" w:type="dxa"/>
            <w:gridSpan w:val="5"/>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投标单位名称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姓名</w:t>
            </w:r>
          </w:p>
        </w:tc>
        <w:tc>
          <w:tcPr>
            <w:tcW w:w="137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职务</w:t>
            </w:r>
          </w:p>
        </w:tc>
        <w:tc>
          <w:tcPr>
            <w:tcW w:w="2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所承担工作</w:t>
            </w:r>
          </w:p>
        </w:tc>
        <w:tc>
          <w:tcPr>
            <w:tcW w:w="2251"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身份证号码</w:t>
            </w:r>
          </w:p>
        </w:tc>
        <w:tc>
          <w:tcPr>
            <w:tcW w:w="1354"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本人签名栏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r>
    </w:tbl>
    <w:p>
      <w:pPr>
        <w:spacing w:line="360" w:lineRule="auto"/>
        <w:rPr>
          <w:rStyle w:val="105"/>
          <w:rFonts w:hint="eastAsia" w:ascii="宋体" w:hAnsi="宋体" w:cs="宋体"/>
          <w:color w:val="auto"/>
          <w:highlight w:val="none"/>
        </w:rPr>
      </w:pPr>
      <w:r>
        <w:rPr>
          <w:rStyle w:val="105"/>
          <w:rFonts w:hint="eastAsia" w:ascii="宋体" w:hAnsi="宋体" w:cs="宋体"/>
          <w:color w:val="auto"/>
          <w:highlight w:val="none"/>
        </w:rPr>
        <w:t>注：参与编制经济标书所有人员名单应包括如编制各种专业工程量清单投标报价、负责清样校对、负责打印及复印等所有人员在内的人员名单。</w:t>
      </w:r>
    </w:p>
    <w:p>
      <w:pPr>
        <w:spacing w:line="360" w:lineRule="auto"/>
        <w:rPr>
          <w:rStyle w:val="105"/>
          <w:rFonts w:hint="eastAsia" w:ascii="宋体" w:hAnsi="宋体" w:cs="宋体"/>
          <w:color w:val="auto"/>
          <w:highlight w:val="none"/>
        </w:rPr>
      </w:pPr>
    </w:p>
    <w:p>
      <w:pPr>
        <w:spacing w:line="360" w:lineRule="auto"/>
        <w:rPr>
          <w:rStyle w:val="105"/>
          <w:rFonts w:hint="eastAsia" w:ascii="宋体" w:hAnsi="宋体" w:cs="宋体"/>
          <w:b/>
          <w:bCs/>
          <w:color w:val="auto"/>
          <w:sz w:val="24"/>
          <w:szCs w:val="24"/>
          <w:highlight w:val="none"/>
        </w:rPr>
      </w:pPr>
    </w:p>
    <w:p>
      <w:pPr>
        <w:spacing w:line="360" w:lineRule="auto"/>
        <w:rPr>
          <w:rStyle w:val="105"/>
          <w:rFonts w:hint="eastAsia" w:ascii="宋体" w:hAnsi="宋体" w:cs="宋体"/>
          <w:b/>
          <w:bCs/>
          <w:color w:val="auto"/>
          <w:sz w:val="24"/>
          <w:szCs w:val="24"/>
          <w:highlight w:val="none"/>
        </w:rPr>
      </w:pPr>
      <w:r>
        <w:rPr>
          <w:rStyle w:val="105"/>
          <w:rFonts w:hint="eastAsia" w:ascii="宋体" w:hAnsi="宋体" w:cs="宋体"/>
          <w:b/>
          <w:bCs/>
          <w:color w:val="auto"/>
          <w:sz w:val="24"/>
          <w:szCs w:val="24"/>
          <w:highlight w:val="none"/>
        </w:rPr>
        <w:br w:type="page"/>
      </w:r>
      <w:r>
        <w:rPr>
          <w:rStyle w:val="105"/>
          <w:rFonts w:hint="eastAsia" w:ascii="宋体" w:hAnsi="宋体" w:cs="宋体"/>
          <w:b/>
          <w:bCs/>
          <w:color w:val="auto"/>
          <w:sz w:val="24"/>
          <w:szCs w:val="24"/>
          <w:highlight w:val="none"/>
        </w:rPr>
        <w:t>格式三</w:t>
      </w:r>
    </w:p>
    <w:p>
      <w:pPr>
        <w:spacing w:line="360" w:lineRule="auto"/>
        <w:jc w:val="center"/>
        <w:rPr>
          <w:rStyle w:val="105"/>
          <w:rFonts w:hint="eastAsia" w:ascii="宋体" w:hAnsi="宋体" w:cs="宋体"/>
          <w:color w:val="auto"/>
          <w:kern w:val="0"/>
          <w:sz w:val="32"/>
          <w:szCs w:val="32"/>
          <w:highlight w:val="none"/>
        </w:rPr>
      </w:pPr>
      <w:r>
        <w:rPr>
          <w:rStyle w:val="105"/>
          <w:rFonts w:hint="eastAsia" w:ascii="宋体" w:hAnsi="宋体" w:cs="宋体"/>
          <w:b/>
          <w:color w:val="auto"/>
          <w:kern w:val="0"/>
          <w:sz w:val="32"/>
          <w:szCs w:val="32"/>
          <w:highlight w:val="none"/>
        </w:rPr>
        <w:t>对投标文件编制的承诺</w:t>
      </w:r>
    </w:p>
    <w:p>
      <w:pPr>
        <w:spacing w:line="360" w:lineRule="auto"/>
        <w:ind w:left="-2" w:leftChars="-1" w:firstLine="540" w:firstLineChars="225"/>
        <w:rPr>
          <w:rStyle w:val="105"/>
          <w:rFonts w:hint="eastAsia" w:ascii="宋体" w:hAnsi="宋体" w:cs="宋体"/>
          <w:color w:val="auto"/>
          <w:kern w:val="0"/>
          <w:sz w:val="24"/>
          <w:szCs w:val="24"/>
          <w:highlight w:val="none"/>
        </w:rPr>
      </w:pPr>
      <w:r>
        <w:rPr>
          <w:rStyle w:val="105"/>
          <w:rFonts w:hint="eastAsia" w:ascii="宋体" w:hAnsi="宋体" w:cs="宋体"/>
          <w:color w:val="auto"/>
          <w:kern w:val="0"/>
          <w:sz w:val="24"/>
          <w:szCs w:val="24"/>
          <w:highlight w:val="none"/>
        </w:rPr>
        <w:t>本公司授权</w:t>
      </w:r>
      <w:r>
        <w:rPr>
          <w:rStyle w:val="105"/>
          <w:rFonts w:hint="eastAsia" w:ascii="宋体" w:hAnsi="宋体" w:cs="宋体"/>
          <w:color w:val="auto"/>
          <w:kern w:val="0"/>
          <w:sz w:val="24"/>
          <w:szCs w:val="24"/>
          <w:highlight w:val="none"/>
          <w:u w:val="single"/>
        </w:rPr>
        <w:t xml:space="preserve">         （身份证号：               ）</w:t>
      </w:r>
      <w:r>
        <w:rPr>
          <w:rStyle w:val="105"/>
          <w:rFonts w:hint="eastAsia" w:ascii="宋体" w:hAnsi="宋体" w:cs="宋体"/>
          <w:color w:val="auto"/>
          <w:kern w:val="0"/>
          <w:sz w:val="24"/>
          <w:szCs w:val="24"/>
          <w:highlight w:val="none"/>
        </w:rPr>
        <w:t>负责对投标文件的编制及内容进行解释、说明，并承诺以下事项：</w:t>
      </w:r>
    </w:p>
    <w:p>
      <w:pPr>
        <w:spacing w:line="360" w:lineRule="auto"/>
        <w:ind w:left="-2" w:leftChars="-1" w:firstLine="540" w:firstLineChars="225"/>
        <w:rPr>
          <w:rStyle w:val="105"/>
          <w:rFonts w:hint="eastAsia" w:ascii="宋体" w:hAnsi="宋体" w:cs="宋体"/>
          <w:color w:val="auto"/>
          <w:kern w:val="0"/>
          <w:sz w:val="24"/>
          <w:szCs w:val="24"/>
          <w:highlight w:val="none"/>
        </w:rPr>
      </w:pPr>
      <w:r>
        <w:rPr>
          <w:rStyle w:val="105"/>
          <w:rFonts w:hint="eastAsia" w:ascii="宋体" w:hAnsi="宋体" w:cs="宋体"/>
          <w:color w:val="auto"/>
          <w:kern w:val="0"/>
          <w:sz w:val="24"/>
          <w:szCs w:val="24"/>
          <w:highlight w:val="none"/>
        </w:rPr>
        <w:t>1.被授权人清楚投标文件编制的具体情况，包括技术方案文件、工程量清单、以及投标文件的加密打包的理解；</w:t>
      </w:r>
    </w:p>
    <w:p>
      <w:pPr>
        <w:spacing w:line="360" w:lineRule="auto"/>
        <w:ind w:left="-2" w:leftChars="-1" w:firstLine="540" w:firstLineChars="225"/>
        <w:rPr>
          <w:rStyle w:val="105"/>
          <w:rFonts w:hint="eastAsia" w:ascii="宋体" w:hAnsi="宋体" w:cs="宋体"/>
          <w:color w:val="auto"/>
          <w:kern w:val="0"/>
          <w:sz w:val="24"/>
          <w:szCs w:val="24"/>
          <w:highlight w:val="none"/>
        </w:rPr>
      </w:pPr>
      <w:r>
        <w:rPr>
          <w:rStyle w:val="105"/>
          <w:rFonts w:hint="eastAsia" w:ascii="宋体" w:hAnsi="宋体" w:cs="宋体"/>
          <w:color w:val="auto"/>
          <w:kern w:val="0"/>
          <w:sz w:val="24"/>
          <w:szCs w:val="24"/>
          <w:highlight w:val="none"/>
        </w:rPr>
        <w:t>2.在本项目开标至评标结束前，努力确保被授权人在项目评标所在地附近；</w:t>
      </w:r>
    </w:p>
    <w:p>
      <w:pPr>
        <w:spacing w:line="360" w:lineRule="auto"/>
        <w:ind w:left="-2" w:leftChars="-1" w:firstLine="540" w:firstLineChars="225"/>
        <w:rPr>
          <w:rStyle w:val="105"/>
          <w:rFonts w:hint="eastAsia" w:ascii="宋体" w:hAnsi="宋体" w:cs="宋体"/>
          <w:color w:val="auto"/>
          <w:kern w:val="0"/>
          <w:sz w:val="24"/>
          <w:szCs w:val="24"/>
          <w:highlight w:val="none"/>
        </w:rPr>
      </w:pPr>
      <w:r>
        <w:rPr>
          <w:rStyle w:val="105"/>
          <w:rFonts w:hint="eastAsia" w:ascii="宋体" w:hAnsi="宋体" w:cs="宋体"/>
          <w:color w:val="auto"/>
          <w:kern w:val="0"/>
          <w:sz w:val="24"/>
          <w:szCs w:val="24"/>
          <w:highlight w:val="none"/>
        </w:rPr>
        <w:t>3.从评标委员会要求澄清起二小时内，被授权人应如实地书面澄清。</w:t>
      </w:r>
    </w:p>
    <w:p>
      <w:pPr>
        <w:spacing w:line="360" w:lineRule="auto"/>
        <w:ind w:left="-2" w:leftChars="-1" w:firstLine="540" w:firstLineChars="225"/>
        <w:rPr>
          <w:rStyle w:val="105"/>
          <w:rFonts w:hint="eastAsia" w:ascii="宋体" w:hAnsi="宋体" w:cs="宋体"/>
          <w:color w:val="auto"/>
          <w:kern w:val="0"/>
          <w:sz w:val="24"/>
          <w:szCs w:val="24"/>
          <w:highlight w:val="none"/>
        </w:rPr>
      </w:pPr>
      <w:r>
        <w:rPr>
          <w:rStyle w:val="105"/>
          <w:rFonts w:hint="eastAsia" w:ascii="宋体" w:hAnsi="宋体" w:cs="宋体"/>
          <w:color w:val="auto"/>
          <w:kern w:val="0"/>
          <w:sz w:val="24"/>
          <w:szCs w:val="24"/>
          <w:highlight w:val="none"/>
        </w:rPr>
        <w:t xml:space="preserve">如由于未遵守上述承诺内容之一导致无法进行澄清的，我公司认可和接受评标委员会作出的评审结论。 </w:t>
      </w:r>
    </w:p>
    <w:p>
      <w:pPr>
        <w:spacing w:line="360" w:lineRule="auto"/>
        <w:ind w:left="-2" w:leftChars="-1" w:firstLine="540" w:firstLineChars="225"/>
        <w:rPr>
          <w:rStyle w:val="105"/>
          <w:rFonts w:hint="eastAsia" w:ascii="宋体" w:hAnsi="宋体" w:cs="宋体"/>
          <w:color w:val="auto"/>
          <w:kern w:val="0"/>
          <w:sz w:val="24"/>
          <w:szCs w:val="24"/>
          <w:highlight w:val="none"/>
        </w:rPr>
      </w:pPr>
      <w:r>
        <w:rPr>
          <w:rStyle w:val="105"/>
          <w:rFonts w:hint="eastAsia" w:ascii="宋体" w:hAnsi="宋体" w:cs="宋体"/>
          <w:color w:val="auto"/>
          <w:kern w:val="0"/>
          <w:sz w:val="24"/>
          <w:szCs w:val="24"/>
          <w:highlight w:val="none"/>
        </w:rPr>
        <w:t>附件：《投标文件编制情况》</w:t>
      </w:r>
    </w:p>
    <w:p>
      <w:pPr>
        <w:pStyle w:val="155"/>
        <w:rPr>
          <w:rFonts w:hint="eastAsia" w:ascii="宋体" w:hAnsi="宋体" w:cs="宋体"/>
          <w:color w:val="auto"/>
          <w:highlight w:val="none"/>
        </w:rPr>
      </w:pPr>
    </w:p>
    <w:p>
      <w:pPr>
        <w:spacing w:line="360" w:lineRule="auto"/>
        <w:ind w:right="90" w:firstLine="3360" w:firstLineChars="1400"/>
        <w:rPr>
          <w:rStyle w:val="105"/>
          <w:rFonts w:hint="eastAsia" w:ascii="宋体" w:hAnsi="宋体" w:cs="宋体"/>
          <w:color w:val="auto"/>
          <w:sz w:val="24"/>
          <w:szCs w:val="24"/>
          <w:highlight w:val="none"/>
          <w:u w:val="single"/>
        </w:rPr>
      </w:pPr>
      <w:r>
        <w:rPr>
          <w:rStyle w:val="105"/>
          <w:rFonts w:hint="eastAsia" w:ascii="宋体" w:hAnsi="宋体" w:cs="宋体"/>
          <w:color w:val="auto"/>
          <w:sz w:val="24"/>
          <w:szCs w:val="24"/>
          <w:highlight w:val="none"/>
        </w:rPr>
        <w:t xml:space="preserve"> 投标人名称（盖法人公章）：</w:t>
      </w:r>
      <w:r>
        <w:rPr>
          <w:rStyle w:val="105"/>
          <w:rFonts w:hint="eastAsia" w:ascii="宋体" w:hAnsi="宋体" w:cs="宋体"/>
          <w:color w:val="auto"/>
          <w:sz w:val="24"/>
          <w:szCs w:val="24"/>
          <w:highlight w:val="none"/>
          <w:u w:val="single"/>
        </w:rPr>
        <w:t xml:space="preserve"> </w:t>
      </w:r>
    </w:p>
    <w:p>
      <w:pPr>
        <w:spacing w:line="360" w:lineRule="auto"/>
        <w:ind w:firstLine="3480" w:firstLineChars="1450"/>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 xml:space="preserve">法定代表人或被授权人（签字或盖章）： </w:t>
      </w:r>
    </w:p>
    <w:p>
      <w:pPr>
        <w:spacing w:line="360" w:lineRule="auto"/>
        <w:ind w:firstLine="4440" w:firstLineChars="1850"/>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 xml:space="preserve">      日期：      年   月   日</w:t>
      </w:r>
    </w:p>
    <w:p>
      <w:pPr>
        <w:spacing w:line="360" w:lineRule="auto"/>
        <w:rPr>
          <w:rStyle w:val="105"/>
          <w:rFonts w:hint="eastAsia" w:ascii="宋体" w:hAnsi="宋体" w:cs="宋体"/>
          <w:color w:val="auto"/>
          <w:highlight w:val="none"/>
        </w:rPr>
      </w:pPr>
      <w:r>
        <w:rPr>
          <w:rStyle w:val="105"/>
          <w:rFonts w:hint="eastAsia" w:ascii="宋体" w:hAnsi="宋体" w:cs="宋体"/>
          <w:color w:val="auto"/>
          <w:highlight w:val="none"/>
        </w:rPr>
        <w:t xml:space="preserve"> </w:t>
      </w:r>
    </w:p>
    <w:p>
      <w:pPr>
        <w:pStyle w:val="155"/>
        <w:rPr>
          <w:rFonts w:hint="eastAsia" w:ascii="宋体" w:hAnsi="宋体" w:cs="宋体"/>
          <w:color w:val="auto"/>
          <w:highlight w:val="none"/>
        </w:rPr>
      </w:pPr>
    </w:p>
    <w:p>
      <w:pPr>
        <w:spacing w:line="360" w:lineRule="auto"/>
        <w:jc w:val="center"/>
        <w:rPr>
          <w:rStyle w:val="105"/>
          <w:rFonts w:hint="eastAsia" w:ascii="宋体" w:hAnsi="宋体" w:cs="宋体"/>
          <w:color w:val="auto"/>
          <w:kern w:val="0"/>
          <w:sz w:val="18"/>
          <w:szCs w:val="18"/>
          <w:highlight w:val="none"/>
        </w:rPr>
      </w:pPr>
      <w:r>
        <w:rPr>
          <w:rStyle w:val="105"/>
          <w:rFonts w:hint="eastAsia" w:ascii="宋体" w:hAnsi="宋体" w:cs="宋体"/>
          <w:b/>
          <w:color w:val="auto"/>
          <w:kern w:val="0"/>
          <w:sz w:val="32"/>
          <w:szCs w:val="32"/>
          <w:highlight w:val="none"/>
        </w:rPr>
        <w:t>投标文件编制情况</w:t>
      </w:r>
    </w:p>
    <w:p>
      <w:pPr>
        <w:spacing w:line="360" w:lineRule="auto"/>
        <w:ind w:firstLine="480" w:firstLineChars="200"/>
        <w:rPr>
          <w:rStyle w:val="105"/>
          <w:rFonts w:hint="eastAsia" w:ascii="宋体" w:hAnsi="宋体" w:cs="宋体"/>
          <w:color w:val="auto"/>
          <w:kern w:val="0"/>
          <w:sz w:val="24"/>
          <w:szCs w:val="24"/>
          <w:highlight w:val="none"/>
          <w:u w:val="single"/>
        </w:rPr>
      </w:pPr>
      <w:r>
        <w:rPr>
          <w:rStyle w:val="105"/>
          <w:rFonts w:hint="eastAsia" w:ascii="宋体" w:hAnsi="宋体" w:cs="宋体"/>
          <w:color w:val="auto"/>
          <w:kern w:val="0"/>
          <w:sz w:val="24"/>
          <w:szCs w:val="24"/>
          <w:highlight w:val="none"/>
        </w:rPr>
        <w:t>1.投标文件报价编制方式: □自行编制的，编制的负责人：</w:t>
      </w:r>
      <w:r>
        <w:rPr>
          <w:rStyle w:val="105"/>
          <w:rFonts w:hint="eastAsia" w:ascii="宋体" w:hAnsi="宋体" w:cs="宋体"/>
          <w:color w:val="auto"/>
          <w:kern w:val="0"/>
          <w:sz w:val="24"/>
          <w:szCs w:val="24"/>
          <w:highlight w:val="none"/>
          <w:u w:val="single"/>
        </w:rPr>
        <w:t xml:space="preserve"> （盖造价工程师执业专用章或全国建设工程造价员章，执业单位应与投标人一致） </w:t>
      </w:r>
      <w:r>
        <w:rPr>
          <w:rStyle w:val="105"/>
          <w:rFonts w:hint="eastAsia" w:ascii="宋体" w:hAnsi="宋体" w:cs="宋体"/>
          <w:color w:val="auto"/>
          <w:kern w:val="0"/>
          <w:sz w:val="24"/>
          <w:szCs w:val="24"/>
          <w:highlight w:val="none"/>
        </w:rPr>
        <w:t>。□委托编制的，受委托单位</w:t>
      </w:r>
      <w:r>
        <w:rPr>
          <w:rStyle w:val="105"/>
          <w:rFonts w:hint="eastAsia" w:ascii="宋体" w:hAnsi="宋体" w:cs="宋体"/>
          <w:color w:val="auto"/>
          <w:kern w:val="0"/>
          <w:sz w:val="24"/>
          <w:szCs w:val="24"/>
          <w:highlight w:val="none"/>
          <w:u w:val="single"/>
        </w:rPr>
        <w:t xml:space="preserve">                    </w:t>
      </w:r>
      <w:r>
        <w:rPr>
          <w:rStyle w:val="105"/>
          <w:rFonts w:hint="eastAsia" w:ascii="宋体" w:hAnsi="宋体" w:cs="宋体"/>
          <w:color w:val="auto"/>
          <w:kern w:val="0"/>
          <w:sz w:val="24"/>
          <w:szCs w:val="24"/>
          <w:highlight w:val="none"/>
        </w:rPr>
        <w:t>，编制的负责人：</w:t>
      </w:r>
      <w:r>
        <w:rPr>
          <w:rStyle w:val="105"/>
          <w:rFonts w:hint="eastAsia" w:ascii="宋体" w:hAnsi="宋体" w:cs="宋体"/>
          <w:color w:val="auto"/>
          <w:kern w:val="0"/>
          <w:sz w:val="24"/>
          <w:szCs w:val="24"/>
          <w:highlight w:val="none"/>
          <w:u w:val="single"/>
        </w:rPr>
        <w:t xml:space="preserve"> （盖造价工程师执业专用章或全国建设工程造价员章，执业单位应与受委托单位一致） </w:t>
      </w:r>
      <w:r>
        <w:rPr>
          <w:rStyle w:val="105"/>
          <w:rFonts w:hint="eastAsia" w:ascii="宋体" w:hAnsi="宋体" w:cs="宋体"/>
          <w:color w:val="auto"/>
          <w:kern w:val="0"/>
          <w:sz w:val="24"/>
          <w:szCs w:val="24"/>
          <w:highlight w:val="none"/>
        </w:rPr>
        <w:t>。</w:t>
      </w:r>
    </w:p>
    <w:p>
      <w:pPr>
        <w:spacing w:line="360" w:lineRule="auto"/>
        <w:ind w:firstLine="480" w:firstLineChars="200"/>
        <w:rPr>
          <w:rStyle w:val="105"/>
          <w:rFonts w:hint="eastAsia" w:ascii="宋体" w:hAnsi="宋体" w:cs="宋体"/>
          <w:color w:val="auto"/>
          <w:kern w:val="0"/>
          <w:sz w:val="24"/>
          <w:szCs w:val="24"/>
          <w:highlight w:val="none"/>
        </w:rPr>
      </w:pPr>
      <w:r>
        <w:rPr>
          <w:rStyle w:val="105"/>
          <w:rFonts w:hint="eastAsia" w:ascii="宋体" w:hAnsi="宋体" w:cs="宋体"/>
          <w:color w:val="auto"/>
          <w:kern w:val="0"/>
          <w:sz w:val="24"/>
          <w:szCs w:val="24"/>
          <w:highlight w:val="none"/>
        </w:rPr>
        <w:t>2.投标文件加密打包的电脑情况：</w:t>
      </w:r>
    </w:p>
    <w:tbl>
      <w:tblPr>
        <w:tblStyle w:val="27"/>
        <w:tblW w:w="0" w:type="auto"/>
        <w:tblInd w:w="-108" w:type="dxa"/>
        <w:tblLayout w:type="fixed"/>
        <w:tblCellMar>
          <w:top w:w="0" w:type="dxa"/>
          <w:left w:w="0" w:type="dxa"/>
          <w:bottom w:w="0" w:type="dxa"/>
          <w:right w:w="0" w:type="dxa"/>
        </w:tblCellMar>
      </w:tblPr>
      <w:tblGrid>
        <w:gridCol w:w="9332"/>
      </w:tblGrid>
      <w:tr>
        <w:tblPrEx>
          <w:tblCellMar>
            <w:top w:w="0" w:type="dxa"/>
            <w:left w:w="0" w:type="dxa"/>
            <w:bottom w:w="0" w:type="dxa"/>
            <w:right w:w="0" w:type="dxa"/>
          </w:tblCellMar>
        </w:tblPrEx>
        <w:trPr>
          <w:trHeight w:val="2088" w:hRule="atLeast"/>
        </w:trPr>
        <w:tc>
          <w:tcPr>
            <w:tcW w:w="9332" w:type="dxa"/>
          </w:tcPr>
          <w:p>
            <w:pPr>
              <w:spacing w:line="360" w:lineRule="auto"/>
              <w:rPr>
                <w:rStyle w:val="105"/>
                <w:rFonts w:hint="eastAsia" w:ascii="宋体" w:hAnsi="宋体" w:cs="宋体"/>
                <w:color w:val="auto"/>
                <w:kern w:val="0"/>
                <w:sz w:val="24"/>
                <w:szCs w:val="24"/>
                <w:highlight w:val="none"/>
              </w:rPr>
            </w:pPr>
            <w:r>
              <w:rPr>
                <w:rStyle w:val="105"/>
                <w:rFonts w:hint="eastAsia" w:ascii="宋体" w:hAnsi="宋体" w:cs="宋体"/>
                <w:color w:val="auto"/>
                <w:kern w:val="0"/>
                <w:sz w:val="24"/>
                <w:szCs w:val="24"/>
                <w:highlight w:val="none"/>
              </w:rPr>
              <w:t>投标文件加密打包的电脑    自有□      外包□       其他□</w:t>
            </w:r>
          </w:p>
          <w:p>
            <w:pPr>
              <w:spacing w:line="360" w:lineRule="auto"/>
              <w:rPr>
                <w:rStyle w:val="105"/>
                <w:rFonts w:hint="eastAsia" w:ascii="宋体" w:hAnsi="宋体" w:cs="宋体"/>
                <w:color w:val="auto"/>
                <w:kern w:val="0"/>
                <w:sz w:val="24"/>
                <w:szCs w:val="24"/>
                <w:highlight w:val="none"/>
              </w:rPr>
            </w:pPr>
            <w:r>
              <w:rPr>
                <w:rStyle w:val="105"/>
                <w:rFonts w:hint="eastAsia" w:ascii="宋体" w:hAnsi="宋体" w:cs="宋体"/>
                <w:color w:val="auto"/>
                <w:kern w:val="0"/>
                <w:sz w:val="24"/>
                <w:szCs w:val="24"/>
                <w:highlight w:val="none"/>
              </w:rPr>
              <w:t>电脑类型</w:t>
            </w:r>
          </w:p>
          <w:p>
            <w:pPr>
              <w:spacing w:line="360" w:lineRule="auto"/>
              <w:rPr>
                <w:rStyle w:val="105"/>
                <w:rFonts w:hint="eastAsia" w:ascii="宋体" w:hAnsi="宋体" w:cs="宋体"/>
                <w:color w:val="auto"/>
                <w:kern w:val="0"/>
                <w:sz w:val="24"/>
                <w:szCs w:val="24"/>
                <w:highlight w:val="none"/>
              </w:rPr>
            </w:pPr>
            <w:r>
              <w:rPr>
                <w:rStyle w:val="105"/>
                <w:rFonts w:hint="eastAsia" w:ascii="宋体" w:hAnsi="宋体" w:cs="宋体"/>
                <w:color w:val="auto"/>
                <w:kern w:val="0"/>
                <w:sz w:val="24"/>
                <w:szCs w:val="24"/>
                <w:highlight w:val="none"/>
              </w:rPr>
              <w:t>电脑所属单位</w:t>
            </w:r>
          </w:p>
          <w:p>
            <w:pPr>
              <w:spacing w:line="360" w:lineRule="auto"/>
              <w:rPr>
                <w:rStyle w:val="105"/>
                <w:rFonts w:hint="eastAsia" w:ascii="宋体" w:hAnsi="宋体" w:cs="宋体"/>
                <w:color w:val="auto"/>
                <w:kern w:val="0"/>
                <w:sz w:val="24"/>
                <w:szCs w:val="24"/>
                <w:highlight w:val="none"/>
              </w:rPr>
            </w:pPr>
            <w:r>
              <w:rPr>
                <w:rStyle w:val="105"/>
                <w:rFonts w:hint="eastAsia" w:ascii="宋体" w:hAnsi="宋体" w:cs="宋体"/>
                <w:color w:val="auto"/>
                <w:kern w:val="0"/>
                <w:sz w:val="24"/>
                <w:szCs w:val="24"/>
                <w:highlight w:val="none"/>
              </w:rPr>
              <w:t>电脑所在地址       （如××市××区(县) ××街（路）××号××大厦××房）</w:t>
            </w:r>
          </w:p>
        </w:tc>
      </w:tr>
    </w:tbl>
    <w:p>
      <w:pPr>
        <w:spacing w:line="360" w:lineRule="auto"/>
        <w:rPr>
          <w:rStyle w:val="105"/>
          <w:rFonts w:hint="eastAsia" w:ascii="宋体" w:hAnsi="宋体" w:cs="宋体"/>
          <w:color w:val="auto"/>
          <w:szCs w:val="21"/>
          <w:highlight w:val="none"/>
        </w:rPr>
      </w:pPr>
    </w:p>
    <w:p>
      <w:pPr>
        <w:tabs>
          <w:tab w:val="left" w:pos="720"/>
        </w:tabs>
        <w:snapToGrid w:val="0"/>
        <w:spacing w:line="360" w:lineRule="auto"/>
        <w:rPr>
          <w:rStyle w:val="105"/>
          <w:rFonts w:hint="eastAsia" w:ascii="宋体" w:hAnsi="宋体" w:cs="宋体"/>
          <w:color w:val="auto"/>
          <w:sz w:val="24"/>
          <w:szCs w:val="24"/>
          <w:highlight w:val="none"/>
        </w:rPr>
      </w:pPr>
    </w:p>
    <w:p>
      <w:pPr>
        <w:pStyle w:val="139"/>
        <w:outlineLvl w:val="0"/>
        <w:rPr>
          <w:rStyle w:val="128"/>
          <w:rFonts w:hint="eastAsia" w:ascii="宋体" w:hAnsi="宋体" w:cs="宋体"/>
          <w:b w:val="0"/>
          <w:bCs/>
          <w:color w:val="auto"/>
          <w:highlight w:val="none"/>
        </w:rPr>
      </w:pPr>
      <w:bookmarkStart w:id="28" w:name="_Toc105014638"/>
      <w:r>
        <w:rPr>
          <w:rStyle w:val="105"/>
          <w:rFonts w:hint="eastAsia" w:ascii="宋体" w:hAnsi="宋体" w:cs="宋体"/>
          <w:bCs/>
          <w:color w:val="auto"/>
          <w:highlight w:val="none"/>
        </w:rPr>
        <w:t>第五章  技术条件（工程建设标准）</w:t>
      </w:r>
      <w:bookmarkEnd w:id="28"/>
    </w:p>
    <w:p>
      <w:pPr>
        <w:spacing w:line="360" w:lineRule="auto"/>
        <w:outlineLvl w:val="2"/>
        <w:rPr>
          <w:rFonts w:hint="eastAsia" w:ascii="宋体" w:hAnsi="宋体"/>
          <w:b/>
          <w:color w:val="auto"/>
          <w:szCs w:val="21"/>
          <w:highlight w:val="none"/>
        </w:rPr>
      </w:pPr>
      <w:r>
        <w:rPr>
          <w:rFonts w:hint="eastAsia" w:ascii="宋体" w:hAnsi="宋体"/>
          <w:b/>
          <w:color w:val="auto"/>
          <w:szCs w:val="21"/>
          <w:highlight w:val="none"/>
        </w:rPr>
        <w:t>一、项目概况</w:t>
      </w:r>
    </w:p>
    <w:p>
      <w:pPr>
        <w:spacing w:line="360" w:lineRule="auto"/>
        <w:ind w:firstLine="420" w:firstLineChars="200"/>
        <w:outlineLvl w:val="2"/>
        <w:rPr>
          <w:rFonts w:hint="eastAsia" w:ascii="宋体" w:hAnsi="宋体"/>
          <w:color w:val="auto"/>
          <w:szCs w:val="21"/>
          <w:highlight w:val="none"/>
        </w:rPr>
      </w:pPr>
      <w:r>
        <w:rPr>
          <w:rFonts w:hint="eastAsia" w:ascii="宋体" w:hAnsi="宋体"/>
          <w:color w:val="auto"/>
          <w:szCs w:val="21"/>
          <w:highlight w:val="none"/>
        </w:rPr>
        <w:t>1、项目名称：南方医科大学口腔医院（广东省口腔医院）番禺院区二楼C区及三楼A、B、C区改造项目</w:t>
      </w:r>
    </w:p>
    <w:p>
      <w:pPr>
        <w:spacing w:line="360" w:lineRule="auto"/>
        <w:ind w:firstLine="420" w:firstLineChars="200"/>
        <w:outlineLvl w:val="2"/>
        <w:rPr>
          <w:rFonts w:hint="eastAsia" w:ascii="宋体" w:hAnsi="宋体"/>
          <w:color w:val="auto"/>
          <w:szCs w:val="21"/>
          <w:highlight w:val="none"/>
        </w:rPr>
      </w:pPr>
      <w:r>
        <w:rPr>
          <w:rFonts w:hint="eastAsia" w:ascii="宋体" w:hAnsi="宋体"/>
          <w:color w:val="auto"/>
          <w:szCs w:val="21"/>
          <w:highlight w:val="none"/>
        </w:rPr>
        <w:t>2、建设单位：南方医科大学口腔医院</w:t>
      </w:r>
    </w:p>
    <w:p>
      <w:pPr>
        <w:spacing w:line="360" w:lineRule="auto"/>
        <w:ind w:firstLine="420" w:firstLineChars="200"/>
        <w:outlineLvl w:val="2"/>
        <w:rPr>
          <w:rFonts w:ascii="宋体" w:hAnsi="宋体"/>
          <w:color w:val="auto"/>
          <w:szCs w:val="21"/>
          <w:highlight w:val="none"/>
        </w:rPr>
      </w:pPr>
      <w:r>
        <w:rPr>
          <w:rFonts w:hint="eastAsia" w:ascii="宋体" w:hAnsi="宋体"/>
          <w:color w:val="auto"/>
          <w:szCs w:val="21"/>
          <w:highlight w:val="none"/>
        </w:rPr>
        <w:t>3、项目地点：广州市番禺区新艺路12号</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4、项目简介：按照</w:t>
      </w:r>
      <w:r>
        <w:rPr>
          <w:rFonts w:hint="eastAsia" w:ascii="宋体" w:hAnsi="宋体" w:cs="宋体"/>
          <w:color w:val="auto"/>
          <w:szCs w:val="21"/>
          <w:highlight w:val="none"/>
        </w:rPr>
        <w:t>南方医科大学口腔医院（广东省口腔医院）</w:t>
      </w:r>
      <w:r>
        <w:rPr>
          <w:rFonts w:hint="eastAsia" w:ascii="宋体" w:hAnsi="宋体"/>
          <w:color w:val="auto"/>
          <w:szCs w:val="21"/>
          <w:highlight w:val="none"/>
        </w:rPr>
        <w:t>番禺院区的发展规划，拟对番禺院区二楼C区（儿童口腔科）、三楼A、B、C区（牙体牙髓科）进行装修改造，装修总原则是充分考虑儿童口腔科、牙体牙髓科临床需求和专科特色，调整单间诊室面积，增加诊位数，设置必要的功能区。目前该工程的平面图和施工图及效果图等设计工作已完成。工程内容包括装修装饰、给排水、强弱电、空调通风、视频监控、消防（报警、消防栓和消防喷淋）和指引水牌等专业项目的施工（具体见施工范围）。拟通过公开招标的采购形式，委托一家具备相关施工资质的施工单位，根据招标人提供的平面图、施工图、效果图和场地实际情况及口腔医院的建设按国家和地方（项目所在地）的相关规范、标准、条例进行施工和验收，达到完成施工、验收和后续安全使用的目的。</w:t>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二、项目范围及内容</w:t>
      </w:r>
    </w:p>
    <w:p>
      <w:pPr>
        <w:spacing w:line="360" w:lineRule="auto"/>
        <w:ind w:firstLine="422" w:firstLineChars="200"/>
        <w:rPr>
          <w:rFonts w:hint="eastAsia" w:ascii="宋体" w:hAnsi="宋体" w:cs="宋体"/>
          <w:color w:val="auto"/>
          <w:szCs w:val="21"/>
          <w:highlight w:val="none"/>
        </w:rPr>
      </w:pPr>
      <w:r>
        <w:rPr>
          <w:rFonts w:hint="eastAsia" w:ascii="宋体" w:hAnsi="宋体"/>
          <w:b/>
          <w:bCs/>
          <w:color w:val="auto"/>
          <w:szCs w:val="21"/>
          <w:highlight w:val="none"/>
        </w:rPr>
        <w:t>1、项目范围：</w:t>
      </w:r>
      <w:r>
        <w:rPr>
          <w:rFonts w:hint="eastAsia" w:ascii="宋体" w:hAnsi="宋体"/>
          <w:color w:val="auto"/>
          <w:szCs w:val="21"/>
          <w:highlight w:val="none"/>
        </w:rPr>
        <w:t>本项目的施工范围是根据医院提供的番禺院区二楼C区及三楼A、B、C区改造平面设计图、施工设计图、效果图和工程量清单（工程量清单只供参考，投标人必须详细研究图纸，深化完善清单）和场地实际情况及口腔医院的建设按国家及地方（项目所在地）的相关规范、标准、条例进行施工和验收。</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2、项目内容：包括但并不限于如下内容：</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2.1施工图深化设计</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2.2装修装饰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2.2.1清拆及余泥清运</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2.2.2砌砖</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2.2.3地面、墙柱面、天花等装饰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2.2.4门窗</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2.3安装</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2.3.1空调机及通风设备</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2.3.1.1空调机（包括室外机、室内机、冷媒管道、排水管道、控制器及电源线等）</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2.3.1.2通风设备（包括电动风机、管道、风口等）</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2.3.2消防设施（包括报警系统、消防栓系统和消防喷淋系统）</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2.3.3强弱电</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2.3.3.1强电（包括照明、插座、动力、空调、通风、消防等）</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2.3.3.2弱电（包括网络、电话、广播、WiFi等）</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2.3.4给排水</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2.3.4.1给水（包括洗手池、厕所等给水）</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2.3.4.2排水（包括洗手池、地漏、厕所等排水排污）</w:t>
      </w:r>
    </w:p>
    <w:p>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2.3.5视频监控</w:t>
      </w: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三、施工图及工程量清单</w:t>
      </w:r>
    </w:p>
    <w:p>
      <w:pPr>
        <w:pStyle w:val="4"/>
        <w:spacing w:line="360" w:lineRule="auto"/>
        <w:ind w:firstLineChars="200"/>
        <w:rPr>
          <w:rFonts w:hint="eastAsia" w:ascii="宋体" w:hAnsi="宋体" w:cs="宋体"/>
          <w:bCs/>
          <w:color w:val="auto"/>
          <w:highlight w:val="none"/>
        </w:rPr>
      </w:pPr>
      <w:r>
        <w:rPr>
          <w:rFonts w:hint="eastAsia" w:ascii="宋体" w:hAnsi="宋体" w:cs="宋体"/>
          <w:color w:val="auto"/>
          <w:highlight w:val="none"/>
        </w:rPr>
        <w:t>1、</w:t>
      </w:r>
      <w:r>
        <w:rPr>
          <w:rFonts w:hint="eastAsia" w:ascii="宋体" w:hAnsi="宋体" w:cs="宋体"/>
          <w:bCs/>
          <w:color w:val="auto"/>
          <w:highlight w:val="none"/>
        </w:rPr>
        <w:t>施工设计图：由招标人提供成套施工设计图，详见第六章《图纸及勘察资料》。</w:t>
      </w:r>
    </w:p>
    <w:p>
      <w:pPr>
        <w:pStyle w:val="4"/>
        <w:spacing w:line="360" w:lineRule="auto"/>
        <w:ind w:firstLineChars="200"/>
        <w:rPr>
          <w:rFonts w:hint="eastAsia" w:ascii="宋体" w:hAnsi="宋体" w:cs="宋体"/>
          <w:bCs/>
          <w:color w:val="auto"/>
          <w:highlight w:val="none"/>
        </w:rPr>
      </w:pPr>
      <w:r>
        <w:rPr>
          <w:rFonts w:hint="eastAsia" w:ascii="宋体" w:hAnsi="宋体" w:cs="宋体"/>
          <w:color w:val="auto"/>
          <w:highlight w:val="none"/>
        </w:rPr>
        <w:t>2、</w:t>
      </w:r>
      <w:r>
        <w:rPr>
          <w:rFonts w:hint="eastAsia" w:ascii="宋体" w:hAnsi="宋体" w:cs="宋体"/>
          <w:bCs/>
          <w:color w:val="auto"/>
          <w:highlight w:val="none"/>
        </w:rPr>
        <w:t>工程量清单，详见第七章《工程量清单》。</w:t>
      </w:r>
    </w:p>
    <w:p>
      <w:pPr>
        <w:pStyle w:val="4"/>
        <w:spacing w:line="360" w:lineRule="auto"/>
        <w:ind w:firstLineChars="200"/>
        <w:rPr>
          <w:rFonts w:hint="eastAsia" w:ascii="宋体" w:hAnsi="宋体" w:cs="宋体"/>
          <w:bCs/>
          <w:color w:val="auto"/>
          <w:highlight w:val="none"/>
        </w:rPr>
      </w:pPr>
      <w:r>
        <w:rPr>
          <w:rFonts w:hint="eastAsia" w:ascii="宋体" w:hAnsi="宋体" w:cs="宋体"/>
          <w:bCs/>
          <w:color w:val="auto"/>
          <w:highlight w:val="none"/>
        </w:rPr>
        <w:t>3、投标人按照招标人提供的工程量清单报价，招标人不集中组织勘踏，由投标人自行勘踏现场，充分了解设计施工图和工程项目的情况，如图纸有设计，但工程量清单有漏项、缺项及工程量数量有偏差，而投标人没有完善及补充，即被视为报价已包含其中。</w:t>
      </w:r>
    </w:p>
    <w:p>
      <w:pPr>
        <w:pStyle w:val="4"/>
        <w:spacing w:line="360" w:lineRule="auto"/>
        <w:ind w:firstLineChars="200"/>
        <w:rPr>
          <w:rFonts w:hint="eastAsia" w:ascii="宋体" w:hAnsi="宋体" w:cs="宋体"/>
          <w:bCs/>
          <w:color w:val="auto"/>
          <w:highlight w:val="none"/>
        </w:rPr>
      </w:pPr>
      <w:r>
        <w:rPr>
          <w:rFonts w:hint="eastAsia" w:ascii="宋体" w:hAnsi="宋体" w:cs="宋体"/>
          <w:bCs/>
          <w:color w:val="auto"/>
          <w:highlight w:val="none"/>
        </w:rPr>
        <w:t>4、所有报建、验收、备案等相关行政许可（以招标人主办，中标人经办的模式进行），除有明文规定一定需要招标人付费的项目外，其余行政报批的费用已包含在本项目限价内，由中标人承担。</w:t>
      </w:r>
    </w:p>
    <w:p>
      <w:pPr>
        <w:pStyle w:val="4"/>
        <w:ind w:firstLine="422" w:firstLineChars="200"/>
        <w:rPr>
          <w:rFonts w:hint="eastAsia" w:ascii="宋体" w:hAnsi="宋体" w:cs="宋体"/>
          <w:b/>
          <w:bCs/>
          <w:color w:val="auto"/>
          <w:highlight w:val="none"/>
        </w:rPr>
      </w:pPr>
      <w:r>
        <w:rPr>
          <w:rFonts w:hint="eastAsia" w:ascii="宋体" w:hAnsi="宋体" w:cs="宋体"/>
          <w:b/>
          <w:bCs/>
          <w:color w:val="auto"/>
          <w:highlight w:val="none"/>
        </w:rPr>
        <w:t>注：清单上的项目分项和数量只作为参考，投标人应充分了解平面图、施工图及效果图设计和工程项目清单的实际情况，制定更完善详细的项目工程量清单。</w:t>
      </w:r>
      <w:r>
        <w:rPr>
          <w:rFonts w:hint="eastAsia" w:ascii="宋体" w:hAnsi="宋体" w:cs="宋体"/>
          <w:b/>
          <w:color w:val="auto"/>
          <w:highlight w:val="none"/>
        </w:rPr>
        <w:t>如工程量清单与招标图纸不符时，以施工设计图纸为准。</w:t>
      </w:r>
    </w:p>
    <w:p>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四、项目组织要求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1、投标人必须为该项目成立专业的施工团队（列出项目人员架构表）（须提供三个月以上社保缴费证明），拟派的施工人员管理架构设置必须满足工程施工需要。</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2、投标人必须要根据本项目工程的特点制定施工方案、工作计划表及解决项目重点、难点的措施，并承诺进场施工前提供给招标人和监理单位备案。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3、投标人必须与招标人进行深入交流和充分沟通，并踏勘现场，详细列出施工项目需要招标人提供资料和文件的清单。</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4、投标人必须有本项目工程施工成果控制措施，包括但不限于组织保证措施、进度保证措施和质量保证措施及成品半成品保护措施。</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中标后不得随意更换投标文件中所报的项目负责人，如确须更换，则事前须征得招标人同意，如有违反，一经发现取消中标资格，并赔偿由此造成的一切损失(包含质量安全事故、拖延工期、增加投资等损失)。在施工过程中，造成损失的，按实际发生额赔偿。</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6、投标人中标后进场施工前，必须按项目所在地相关行政管理门的要求办理施工许可、余泥排放许可等相关行政手续，并接受其对项目施工的管理。</w:t>
      </w:r>
    </w:p>
    <w:p>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五、项目承包方式及报价要求</w:t>
      </w:r>
    </w:p>
    <w:p>
      <w:pPr>
        <w:adjustRightInd w:val="0"/>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1、承包方式：</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1.1本工程项目实行固定总价包干，</w:t>
      </w:r>
      <w:r>
        <w:rPr>
          <w:rFonts w:hint="eastAsia" w:ascii="宋体" w:hAnsi="宋体" w:cs="宋体"/>
          <w:color w:val="auto"/>
          <w:kern w:val="28"/>
          <w:szCs w:val="21"/>
          <w:highlight w:val="none"/>
        </w:rPr>
        <w:t>项目措施费包干</w:t>
      </w:r>
      <w:r>
        <w:rPr>
          <w:rFonts w:hint="eastAsia" w:ascii="宋体" w:hAnsi="宋体" w:cs="宋体"/>
          <w:color w:val="auto"/>
          <w:szCs w:val="21"/>
          <w:highlight w:val="none"/>
        </w:rPr>
        <w:t>。按照工程量清单（深化完善后）、平面图及施工设计和效果设计图纸内容，采取包工、包料、包服务、包行政施工许可、包材料检测、包机械、包工期、包质量、包安全生产、包文明施工、</w:t>
      </w:r>
      <w:r>
        <w:rPr>
          <w:rFonts w:hint="eastAsia" w:ascii="宋体" w:hAnsi="宋体" w:cs="宋体"/>
          <w:color w:val="auto"/>
          <w:kern w:val="1"/>
          <w:szCs w:val="21"/>
          <w:highlight w:val="none"/>
        </w:rPr>
        <w:t>包税、</w:t>
      </w:r>
      <w:r>
        <w:rPr>
          <w:rFonts w:hint="eastAsia" w:ascii="宋体" w:hAnsi="宋体" w:cs="宋体"/>
          <w:color w:val="auto"/>
          <w:szCs w:val="21"/>
          <w:highlight w:val="none"/>
        </w:rPr>
        <w:t>包</w:t>
      </w:r>
      <w:r>
        <w:rPr>
          <w:rFonts w:hint="eastAsia" w:ascii="宋体" w:hAnsi="宋体" w:cs="宋体"/>
          <w:bCs/>
          <w:color w:val="auto"/>
          <w:szCs w:val="21"/>
          <w:highlight w:val="none"/>
        </w:rPr>
        <w:t>劳保</w:t>
      </w:r>
      <w:r>
        <w:rPr>
          <w:rFonts w:hint="eastAsia" w:ascii="宋体" w:hAnsi="宋体" w:cs="宋体"/>
          <w:color w:val="auto"/>
          <w:szCs w:val="21"/>
          <w:highlight w:val="none"/>
        </w:rPr>
        <w:t>、包验收、包保修、包组织项目整体竣工验收（含资料汇总、整理）等的承包方式。</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1.2除招标文件中有明确外，投标人不得再以任何方式转包或分包本工程。</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1.3招标人如合理变更、修改设计的工程内容投标人中标后不得拒绝承担。</w:t>
      </w:r>
    </w:p>
    <w:p>
      <w:pPr>
        <w:adjustRightInd w:val="0"/>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2、报价要求：</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投标人的</w:t>
      </w:r>
      <w:r>
        <w:rPr>
          <w:rFonts w:hint="eastAsia" w:ascii="宋体" w:hAnsi="宋体" w:cs="宋体"/>
          <w:bCs/>
          <w:color w:val="auto"/>
          <w:szCs w:val="21"/>
          <w:highlight w:val="none"/>
        </w:rPr>
        <w:t>报价应遵循以下原则</w:t>
      </w:r>
    </w:p>
    <w:p>
      <w:pPr>
        <w:spacing w:line="360" w:lineRule="auto"/>
        <w:ind w:firstLine="420" w:firstLineChars="200"/>
        <w:rPr>
          <w:rFonts w:hint="eastAsia" w:ascii="宋体" w:hAnsi="宋体" w:cs="宋体"/>
          <w:color w:val="auto"/>
          <w:spacing w:val="-8"/>
          <w:szCs w:val="21"/>
          <w:highlight w:val="none"/>
        </w:rPr>
      </w:pPr>
      <w:r>
        <w:rPr>
          <w:rFonts w:hint="eastAsia" w:ascii="宋体" w:hAnsi="宋体" w:cs="宋体"/>
          <w:bCs/>
          <w:color w:val="auto"/>
          <w:szCs w:val="21"/>
          <w:highlight w:val="none"/>
        </w:rPr>
        <w:t>2.1、投标文件中的工程量清单应按现行规范进行编制，所选用主要设备和材料应优先考虑在表7.3列出的品牌中选择一个品牌报价；如表7.3中没有列出品牌的设备和材料，则由投标人选择同等或相当于的其他品牌报价。并在工程量清单中注明所选设备、材料的</w:t>
      </w:r>
      <w:r>
        <w:rPr>
          <w:rFonts w:hint="eastAsia" w:ascii="宋体" w:hAnsi="宋体" w:cs="宋体"/>
          <w:color w:val="auto"/>
          <w:spacing w:val="-8"/>
          <w:szCs w:val="21"/>
          <w:highlight w:val="none"/>
        </w:rPr>
        <w:t>产地、生产厂家、品牌、规格、型号、等级、单价等</w:t>
      </w:r>
      <w:r>
        <w:rPr>
          <w:rFonts w:hint="eastAsia" w:ascii="宋体" w:hAnsi="宋体" w:cs="宋体"/>
          <w:bCs/>
          <w:color w:val="auto"/>
          <w:szCs w:val="21"/>
          <w:highlight w:val="none"/>
        </w:rPr>
        <w:t>，一经中标且签订合同，即成为合同的组成部分。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2.2、工程量计算规则及编制依据：</w:t>
      </w:r>
    </w:p>
    <w:p>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2.2.1采用工程量清单计价模式（按各专业工程计价办法，由投标人根据实际情况自行报价；</w:t>
      </w:r>
    </w:p>
    <w:p>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2.2.2有定额编码的按国家定额编码报价，未有编码的按各公司实际情况报价；</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2.2.3</w:t>
      </w:r>
      <w:r>
        <w:rPr>
          <w:rFonts w:hint="eastAsia" w:ascii="宋体" w:hAnsi="宋体" w:cs="宋体"/>
          <w:bCs/>
          <w:color w:val="auto"/>
          <w:szCs w:val="21"/>
          <w:highlight w:val="none"/>
        </w:rPr>
        <w:t>分项报价表要详细列明各项费用的综合单价及综合单价分析。</w:t>
      </w:r>
    </w:p>
    <w:p>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2.3、本工程项目报价的工程量清单计价标准（现行标准，如施工期间有新标准，则以新标准为准，包括但不限于以下内容）:</w:t>
      </w:r>
    </w:p>
    <w:p>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2.3.1《建设工程工程量清单计价规范》（GB50500-2013);</w:t>
      </w:r>
    </w:p>
    <w:p>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2.3.2《广东省建设工程计价通则（2018年）》；</w:t>
      </w:r>
    </w:p>
    <w:p>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2.3.3《广东省建筑与装饰工程综合定额（2018年）》；</w:t>
      </w:r>
    </w:p>
    <w:p>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2.3.4《广东省安装工程综合定额（2018年）》；</w:t>
      </w:r>
    </w:p>
    <w:p>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2.3.5《广东省房屋建筑和市政修缮工程工程量清单（2012）》</w:t>
      </w:r>
    </w:p>
    <w:p>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2.3.6</w:t>
      </w:r>
      <w:r>
        <w:rPr>
          <w:rFonts w:hint="eastAsia" w:ascii="宋体" w:hAnsi="宋体" w:cs="宋体"/>
          <w:bCs/>
          <w:color w:val="auto"/>
          <w:szCs w:val="21"/>
          <w:highlight w:val="none"/>
        </w:rPr>
        <w:t>材料价格按照相应实施期间广东政府建设工程材料指导价格。</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2.3.7</w:t>
      </w:r>
      <w:r>
        <w:rPr>
          <w:rFonts w:hint="eastAsia" w:ascii="宋体" w:hAnsi="宋体" w:cs="宋体"/>
          <w:color w:val="auto"/>
          <w:szCs w:val="21"/>
          <w:highlight w:val="none"/>
        </w:rPr>
        <w:t>相关规费执行广州市有关标准。</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2.4、工程量清单应与报价须知、工程规范和图纸一起使用。</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2.5、投标报价响应时应考虑拟定的项目实施组织设计、实施经验与能力、现有关市场价格和企业的承受能力等方面综合因素进行响应报价。</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2.6、投标报价响应时应考虑文明施工所需的一切费用，并应充分考虑施工期间各类建材的市场风险和国家政策性调整风险系数。</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2.7、投标报价响应时应考虑材料的二次转运及建筑垃圾的清运、现场清洁所需费用，上述所涉及费用计入工程总报价，一次包干。</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2.8、投标报价响应时应考虑施工行政许可所涉及的费用、电费、水费、排水费、余泥排放、现场维护及管理所涉及的费用，计入工程总报价，一次包干。</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2.9、招标人有权在签订合同时对项目方案作适当调整或修改，合同总价不变。</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2.10、投标文件中应注明投标人所选用的材料设备的产地、生产厂家、品牌、规格、型号、等级、单价等。如非招标人原因确需更换，由招标人确定，且价格不予调整。</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2.11、投标报价应为综合报价（人民币含税价），应包含施工设备、劳务、管理、材料、安装、维修、保险、利润、政策性文件规定及合同包含的所有风险、责任等各项应有费用。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2.12、投标人必须清楚本项目的</w:t>
      </w:r>
      <w:r>
        <w:rPr>
          <w:rFonts w:hint="eastAsia" w:ascii="宋体" w:hAnsi="宋体" w:cs="宋体"/>
          <w:bCs/>
          <w:color w:val="auto"/>
          <w:szCs w:val="21"/>
          <w:highlight w:val="none"/>
        </w:rPr>
        <w:t>招标控制价已包含本项目的造价咨询费，投标人报价时必须考虑把此项费用包含在投标总价中，投标人中标后须向招标代理机构支付该项费用。</w:t>
      </w:r>
    </w:p>
    <w:p>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六、技术规范和标准要求</w:t>
      </w:r>
    </w:p>
    <w:p>
      <w:pPr>
        <w:tabs>
          <w:tab w:val="left" w:pos="0"/>
        </w:tabs>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工程的装修装饰、空调通风、强弱电、给排水、监控、消防等项目的材料、设备，施工须达到《南方医科大学口腔医院番禺院区二楼C区及三楼A、B、C区改造项目施工设计图》设计说明/设计依据中规定的国家、省、市或行业的建设工程的施工、验收规范及标准要求。</w:t>
      </w:r>
    </w:p>
    <w:p>
      <w:pPr>
        <w:adjustRightInd w:val="0"/>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七、材料要求：</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1、投标人必须承诺提供厂商原装、全新的、符合国家及用户提出的有关质量标准的无污柒设备和材料。</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2、投标人所选用的设备、材料必须是合格产品，并需要提供设备、材料的品牌、型号、技术参数及产品合格证书等证明文件。</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3、投标人所选用的设备、材料、辅料施工应符合国家、省有关建筑装修工程质量及环保标准。</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4、投标人所选用的主要材料都必须有合格证明，须经招标人同意方可使用。各种零配件的质量、品牌，必须符合国家规定的质量标准。中标人如提供伪劣、假冒等不合格材料而导致的损失、事故及一切后果，均由中标人负责并赔偿招标人所有损失，并负责免费更换所有已施工的不合格材料。</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5、招标人保留对本项目工程使用之主要材料品质确认审查的权利及保留另行委托第三方专业队伍对本工程进行独立检测的权利。</w:t>
      </w:r>
    </w:p>
    <w:p>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6、招标人有权在产品档次相同的前提下更换品牌，中标人不得借此提出增加工程造价。</w:t>
      </w:r>
    </w:p>
    <w:p>
      <w:pPr>
        <w:adjustRightInd w:val="0"/>
        <w:snapToGrid w:val="0"/>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7、主要设备材料品牌选用表</w:t>
      </w:r>
    </w:p>
    <w:p>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7.1在施工中所选用的设备材料需按投标人在投标文件中选用的品牌进行采购。在实际施工中，如施工单位有充足的证据证明该产品无法满足本项目工程的质量要求或供货需要，应呈专题报告说明更换品牌的原因，获得发包人、设计、监理批准后，方可选用本表其他推荐品牌。</w:t>
      </w:r>
    </w:p>
    <w:p>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7.2如选用招标文件推荐品牌以外的产品，经上报更换品牌的原因获得发包人批准后，须再报发包人及监理重新定价，否则不予结算支付。更改品牌的原则为：性能应优于或等于原投标品牌，同时，价格低于或等于原中标品牌。</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7.3选用设备材料品牌可参考下表7.3：</w:t>
      </w:r>
    </w:p>
    <w:p>
      <w:pPr>
        <w:spacing w:line="360" w:lineRule="auto"/>
        <w:ind w:firstLine="2100" w:firstLineChars="1000"/>
        <w:rPr>
          <w:rFonts w:hint="eastAsia" w:ascii="宋体" w:hAnsi="宋体" w:cs="宋体"/>
          <w:bCs/>
          <w:color w:val="auto"/>
          <w:szCs w:val="21"/>
          <w:highlight w:val="none"/>
        </w:rPr>
      </w:pPr>
      <w:r>
        <w:rPr>
          <w:rFonts w:hint="eastAsia" w:ascii="宋体" w:hAnsi="宋体" w:cs="宋体"/>
          <w:color w:val="auto"/>
          <w:szCs w:val="21"/>
          <w:highlight w:val="none"/>
        </w:rPr>
        <w:t>表7.3设备材料品牌选用参考表</w:t>
      </w:r>
    </w:p>
    <w:tbl>
      <w:tblPr>
        <w:tblStyle w:val="27"/>
        <w:tblW w:w="8788" w:type="dxa"/>
        <w:jc w:val="center"/>
        <w:tblLayout w:type="fixed"/>
        <w:tblCellMar>
          <w:top w:w="0" w:type="dxa"/>
          <w:left w:w="0" w:type="dxa"/>
          <w:bottom w:w="0" w:type="dxa"/>
          <w:right w:w="0" w:type="dxa"/>
        </w:tblCellMar>
      </w:tblPr>
      <w:tblGrid>
        <w:gridCol w:w="587"/>
        <w:gridCol w:w="2460"/>
        <w:gridCol w:w="3450"/>
        <w:gridCol w:w="2291"/>
      </w:tblGrid>
      <w:tr>
        <w:tblPrEx>
          <w:tblCellMar>
            <w:top w:w="0" w:type="dxa"/>
            <w:left w:w="0" w:type="dxa"/>
            <w:bottom w:w="0" w:type="dxa"/>
            <w:right w:w="0" w:type="dxa"/>
          </w:tblCellMar>
        </w:tblPrEx>
        <w:trPr>
          <w:trHeight w:val="535" w:hRule="atLeast"/>
          <w:tblHeader/>
          <w:jc w:val="center"/>
        </w:trPr>
        <w:tc>
          <w:tcPr>
            <w:tcW w:w="587" w:type="dxa"/>
            <w:tcBorders>
              <w:top w:val="single" w:color="auto" w:sz="4" w:space="0"/>
              <w:left w:val="single" w:color="auto" w:sz="4" w:space="0"/>
              <w:bottom w:val="single" w:color="000000" w:sz="4" w:space="0"/>
              <w:right w:val="nil"/>
            </w:tcBorders>
            <w:noWrap/>
            <w:tcMar>
              <w:top w:w="15" w:type="dxa"/>
              <w:left w:w="15" w:type="dxa"/>
              <w:bottom w:w="0" w:type="dxa"/>
              <w:right w:w="15" w:type="dxa"/>
            </w:tcMar>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460" w:type="dxa"/>
            <w:tcBorders>
              <w:top w:val="single" w:color="auto" w:sz="4" w:space="0"/>
              <w:left w:val="single" w:color="auto" w:sz="4" w:space="0"/>
              <w:bottom w:val="single" w:color="000000"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主要设备、材料名称</w:t>
            </w:r>
          </w:p>
        </w:tc>
        <w:tc>
          <w:tcPr>
            <w:tcW w:w="3450" w:type="dxa"/>
            <w:tcBorders>
              <w:top w:val="single" w:color="auto" w:sz="4" w:space="0"/>
              <w:left w:val="single" w:color="auto" w:sz="4" w:space="0"/>
              <w:bottom w:val="single" w:color="000000"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设备材料推荐品牌</w:t>
            </w:r>
            <w:r>
              <w:rPr>
                <w:rFonts w:hint="eastAsia" w:ascii="宋体" w:hAnsi="宋体"/>
                <w:b/>
                <w:color w:val="auto"/>
                <w:szCs w:val="21"/>
                <w:highlight w:val="none"/>
              </w:rPr>
              <w:t>（或相当于）</w:t>
            </w:r>
          </w:p>
        </w:tc>
        <w:tc>
          <w:tcPr>
            <w:tcW w:w="2291" w:type="dxa"/>
            <w:tcBorders>
              <w:top w:val="single" w:color="auto" w:sz="4" w:space="0"/>
              <w:left w:val="single" w:color="auto" w:sz="4" w:space="0"/>
              <w:bottom w:val="single" w:color="000000"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b/>
                <w:color w:val="auto"/>
                <w:szCs w:val="21"/>
                <w:highlight w:val="none"/>
              </w:rPr>
            </w:pPr>
            <w:r>
              <w:rPr>
                <w:rFonts w:hint="eastAsia" w:ascii="宋体" w:hAnsi="宋体" w:cs="宋体"/>
                <w:b/>
                <w:color w:val="auto"/>
                <w:kern w:val="0"/>
                <w:szCs w:val="21"/>
                <w:highlight w:val="none"/>
              </w:rPr>
              <w:t>备 注</w:t>
            </w:r>
          </w:p>
        </w:tc>
      </w:tr>
      <w:tr>
        <w:tblPrEx>
          <w:tblCellMar>
            <w:top w:w="0" w:type="dxa"/>
            <w:left w:w="0" w:type="dxa"/>
            <w:bottom w:w="0" w:type="dxa"/>
            <w:right w:w="0" w:type="dxa"/>
          </w:tblCellMar>
        </w:tblPrEx>
        <w:trPr>
          <w:trHeight w:val="497" w:hRule="atLeas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一</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装饰工程</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538" w:hRule="atLeas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镀锌型钢、钢材，钢通</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攀钢、广钢、韶钢</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829" w:hRule="atLeas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铝合金型材、铝合金装饰板、铝合金门窗</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兴发、广铝、凤铝、现代</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大理石、花岗石</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符合质量标准（由招标人确认）</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805"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陶瓷墙、地面块料：瓷片、抛光砖、防滑砖、耐磨砖等</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东鹏、欧雅、卡米亚、鹰牌</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防静电地板</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汇丽、众力、向利</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门窗钢化玻璃、工艺玻璃</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信义、川鸿、南玻</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金属天花、吊顶</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华狮龙、伟业、建龙</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硅酸钙板、石膏板、吸音板</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Style w:val="184"/>
                <w:rFonts w:hint="default" w:ascii="宋体" w:hAnsi="宋体" w:eastAsia="宋体" w:cs="宋体"/>
                <w:color w:val="auto"/>
                <w:sz w:val="21"/>
                <w:szCs w:val="21"/>
                <w:highlight w:val="none"/>
              </w:rPr>
              <w:t>龙牌、</w:t>
            </w:r>
            <w:r>
              <w:rPr>
                <w:rFonts w:hint="eastAsia" w:ascii="宋体" w:hAnsi="宋体" w:cs="宋体"/>
                <w:color w:val="auto"/>
                <w:szCs w:val="21"/>
                <w:highlight w:val="none"/>
              </w:rPr>
              <w:t>可耐福、三乐、雄塑</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铝塑复合板</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吉鑫祥、未来之窗、华尔泰</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9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铝板方通、复合蜂窝铝板、铝板</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b/>
                <w:color w:val="auto"/>
                <w:szCs w:val="21"/>
                <w:highlight w:val="none"/>
              </w:rPr>
            </w:pPr>
            <w:r>
              <w:rPr>
                <w:rStyle w:val="180"/>
                <w:rFonts w:hint="default"/>
                <w:color w:val="auto"/>
                <w:highlight w:val="none"/>
              </w:rPr>
              <w:t>欧朗德、众旺、</w:t>
            </w:r>
            <w:r>
              <w:rPr>
                <w:rStyle w:val="185"/>
                <w:rFonts w:hint="default"/>
                <w:color w:val="auto"/>
                <w:sz w:val="21"/>
                <w:szCs w:val="21"/>
                <w:highlight w:val="none"/>
              </w:rPr>
              <w:t>华狮龙</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抗倍特板</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富美家、</w:t>
            </w:r>
            <w:r>
              <w:rPr>
                <w:rFonts w:hint="eastAsia" w:ascii="宋体" w:hAnsi="宋体" w:cs="宋体"/>
                <w:color w:val="auto"/>
                <w:kern w:val="0"/>
                <w:szCs w:val="21"/>
                <w:highlight w:val="none"/>
              </w:rPr>
              <w:t>邦比、富迪</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845"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防火饰面板、木饰面板</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富美家、</w:t>
            </w:r>
            <w:r>
              <w:rPr>
                <w:rFonts w:hint="eastAsia" w:ascii="宋体" w:hAnsi="宋体" w:cs="宋体"/>
                <w:color w:val="auto"/>
                <w:kern w:val="0"/>
                <w:szCs w:val="21"/>
                <w:highlight w:val="none"/>
              </w:rPr>
              <w:t>威</w:t>
            </w:r>
            <w:r>
              <w:rPr>
                <w:rFonts w:hint="eastAsia" w:ascii="宋体" w:hAnsi="宋体" w:cs="宋体"/>
                <w:color w:val="auto"/>
                <w:szCs w:val="21"/>
                <w:highlight w:val="none"/>
              </w:rPr>
              <w:t>美家、亲美家、广东晨晖、佛山森的</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665"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rPr>
              <w:t>难燃胶合板、木枋，难燃装饰板</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Style w:val="186"/>
                <w:rFonts w:hint="default" w:ascii="宋体" w:hAnsi="宋体" w:eastAsia="宋体" w:cs="宋体"/>
                <w:color w:val="auto"/>
                <w:sz w:val="21"/>
                <w:szCs w:val="21"/>
                <w:highlight w:val="none"/>
              </w:rPr>
              <w:t>广东豪鹏、</w:t>
            </w:r>
            <w:r>
              <w:rPr>
                <w:rStyle w:val="184"/>
                <w:rFonts w:hint="default" w:ascii="宋体" w:hAnsi="宋体" w:eastAsia="宋体" w:cs="宋体"/>
                <w:color w:val="auto"/>
                <w:sz w:val="21"/>
                <w:szCs w:val="21"/>
                <w:highlight w:val="none"/>
              </w:rPr>
              <w:t>广东丰之林、</w:t>
            </w:r>
            <w:r>
              <w:rPr>
                <w:rStyle w:val="187"/>
                <w:rFonts w:hint="default"/>
                <w:color w:val="auto"/>
                <w:sz w:val="21"/>
                <w:szCs w:val="21"/>
                <w:highlight w:val="none"/>
              </w:rPr>
              <w:t>木艺安</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605"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石膏、混凝土装饰制品、陶粒</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炜盛、康力来、华穗</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635"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水泥、湿拌砂浆、干混砂浆</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超力、台泥、石井</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665"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瓷砖胶</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德高、东方雨虹、</w:t>
            </w:r>
            <w:r>
              <w:rPr>
                <w:rFonts w:hint="eastAsia" w:ascii="宋体" w:hAnsi="宋体" w:cs="宋体"/>
                <w:color w:val="auto"/>
                <w:kern w:val="0"/>
                <w:szCs w:val="21"/>
                <w:highlight w:val="none"/>
              </w:rPr>
              <w:t>楼邦、马贝卓能</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73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电动闭门器装置</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kern w:val="0"/>
                <w:szCs w:val="21"/>
                <w:highlight w:val="none"/>
              </w:rPr>
            </w:pPr>
            <w:r>
              <w:rPr>
                <w:rFonts w:hint="eastAsia" w:ascii="宋体" w:hAnsi="宋体" w:cs="宋体"/>
                <w:color w:val="auto"/>
                <w:szCs w:val="21"/>
                <w:highlight w:val="none"/>
              </w:rPr>
              <w:t>日本良明、乐声、GMT、德国多玛</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935"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五金包括门锁、地弹、执手、闭门器、门夹、合页、卫浴五金等</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喜多美、</w:t>
            </w:r>
            <w:r>
              <w:rPr>
                <w:rFonts w:hint="eastAsia" w:ascii="宋体" w:hAnsi="宋体" w:cs="宋体"/>
                <w:color w:val="auto"/>
                <w:szCs w:val="21"/>
                <w:highlight w:val="none"/>
              </w:rPr>
              <w:t>坚朗、固力、日本良明、GMT、台湾铂朗</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635"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墙地面油漆、涂料</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立邦漆、多乐士、东莞东升、秀帕</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防水涂料、防水卷材</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东方雨虹、</w:t>
            </w:r>
            <w:r>
              <w:rPr>
                <w:rFonts w:hint="eastAsia" w:ascii="宋体" w:hAnsi="宋体" w:cs="宋体"/>
                <w:color w:val="auto"/>
                <w:kern w:val="0"/>
                <w:szCs w:val="21"/>
                <w:highlight w:val="none"/>
              </w:rPr>
              <w:t>楼邦、</w:t>
            </w:r>
            <w:r>
              <w:rPr>
                <w:rFonts w:hint="eastAsia" w:ascii="宋体" w:hAnsi="宋体" w:cs="宋体"/>
                <w:color w:val="auto"/>
                <w:szCs w:val="21"/>
                <w:highlight w:val="none"/>
              </w:rPr>
              <w:t>德高</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钢质防火门</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Style w:val="180"/>
                <w:rFonts w:hint="default"/>
                <w:color w:val="auto"/>
                <w:highlight w:val="none"/>
              </w:rPr>
              <w:t>宇宙、</w:t>
            </w:r>
            <w:r>
              <w:rPr>
                <w:rStyle w:val="185"/>
                <w:rFonts w:hint="default"/>
                <w:color w:val="auto"/>
                <w:sz w:val="21"/>
                <w:szCs w:val="21"/>
                <w:highlight w:val="none"/>
              </w:rPr>
              <w:t>广州白云南粤、</w:t>
            </w:r>
            <w:r>
              <w:rPr>
                <w:rFonts w:hint="eastAsia" w:ascii="宋体" w:hAnsi="宋体" w:cs="宋体"/>
                <w:color w:val="auto"/>
                <w:szCs w:val="21"/>
                <w:highlight w:val="none"/>
              </w:rPr>
              <w:t>蓝盾</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Style w:val="180"/>
                <w:rFonts w:hint="default"/>
                <w:color w:val="auto"/>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Style w:val="180"/>
                <w:rFonts w:hint="default"/>
                <w:color w:val="auto"/>
                <w:highlight w:val="none"/>
              </w:rPr>
            </w:pPr>
            <w:r>
              <w:rPr>
                <w:rStyle w:val="180"/>
                <w:rFonts w:hint="default"/>
                <w:color w:val="auto"/>
                <w:highlight w:val="none"/>
              </w:rPr>
              <w:t>实木地板</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Style w:val="180"/>
                <w:rFonts w:hint="default"/>
                <w:color w:val="auto"/>
                <w:highlight w:val="none"/>
              </w:rPr>
            </w:pPr>
            <w:r>
              <w:rPr>
                <w:rStyle w:val="180"/>
                <w:rFonts w:hint="default"/>
                <w:color w:val="auto"/>
                <w:highlight w:val="none"/>
              </w:rPr>
              <w:t>瑞嘉、圣象、博典</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Style w:val="180"/>
                <w:rFonts w:hint="default"/>
                <w:color w:val="auto"/>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835"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b/>
                <w:bCs/>
                <w:color w:val="auto"/>
                <w:szCs w:val="21"/>
                <w:highlight w:val="none"/>
              </w:rPr>
            </w:pPr>
            <w:r>
              <w:rPr>
                <w:rFonts w:hint="eastAsia" w:ascii="宋体" w:hAnsi="宋体" w:cs="宋体"/>
                <w:color w:val="auto"/>
                <w:szCs w:val="21"/>
                <w:highlight w:val="none"/>
              </w:rPr>
              <w:t>23</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地板胶</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Style w:val="180"/>
                <w:rFonts w:hint="default"/>
                <w:color w:val="auto"/>
                <w:highlight w:val="none"/>
              </w:rPr>
              <w:t>法国洁福、</w:t>
            </w:r>
            <w:r>
              <w:rPr>
                <w:rStyle w:val="185"/>
                <w:rFonts w:hint="default"/>
                <w:color w:val="auto"/>
                <w:sz w:val="21"/>
                <w:szCs w:val="21"/>
                <w:highlight w:val="none"/>
              </w:rPr>
              <w:t>得嘉、艾宝龙、美国阿姆斯壮、秦力</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b/>
                <w:bCs/>
                <w:color w:val="auto"/>
                <w:szCs w:val="21"/>
                <w:highlight w:val="none"/>
              </w:rPr>
              <w:t>二</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电气系统</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b/>
                <w:bCs/>
                <w:color w:val="auto"/>
                <w:szCs w:val="21"/>
                <w:highlight w:val="none"/>
              </w:rPr>
            </w:pP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b/>
                <w:bCs/>
                <w:color w:val="auto"/>
                <w:szCs w:val="21"/>
                <w:highlight w:val="none"/>
              </w:rPr>
            </w:pPr>
          </w:p>
        </w:tc>
      </w:tr>
      <w:tr>
        <w:tblPrEx>
          <w:tblCellMar>
            <w:top w:w="0" w:type="dxa"/>
            <w:left w:w="0" w:type="dxa"/>
            <w:bottom w:w="0" w:type="dxa"/>
            <w:right w:w="0" w:type="dxa"/>
          </w:tblCellMar>
        </w:tblPrEx>
        <w:trPr>
          <w:trHeight w:val="61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配电箱、控制箱内开关元件及附件</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施耐德、西门子、ABB、正泰</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635"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配电箱箱体，控制柜箱体，等电位箱</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东莞基业、友恒、旺洪</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80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电缆、电线</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番禺电缆厂、广州南洋电缆、广州电缆厂、荔湾电线厂</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650" w:hRule="exact"/>
          <w:jc w:val="center"/>
        </w:trPr>
        <w:tc>
          <w:tcPr>
            <w:tcW w:w="58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46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桥架、金属线槽、镀锌电线管</w:t>
            </w:r>
          </w:p>
        </w:tc>
        <w:tc>
          <w:tcPr>
            <w:tcW w:w="345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联塑、中兴、一通、韦恩</w:t>
            </w:r>
          </w:p>
        </w:tc>
        <w:tc>
          <w:tcPr>
            <w:tcW w:w="229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PVC电线管、线槽</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联塑、、一通、韦恩、中兴</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开关、插座类</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施耐德、松本、西门子、TCL</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排气扇</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金铃、正野、绿岛风、BNN</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68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照明灯具</w:t>
            </w:r>
            <w:r>
              <w:rPr>
                <w:rFonts w:hint="eastAsia" w:ascii="宋体" w:hAnsi="宋体" w:cs="宋体"/>
                <w:color w:val="auto"/>
                <w:kern w:val="0"/>
                <w:szCs w:val="21"/>
                <w:highlight w:val="none"/>
              </w:rPr>
              <w:t>、光源</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佛山照明、松下电工、三雄、飞利浦</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b/>
                <w:color w:val="auto"/>
                <w:kern w:val="0"/>
                <w:szCs w:val="21"/>
                <w:highlight w:val="none"/>
              </w:rPr>
              <w:t>三</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给排水系统</w:t>
            </w:r>
          </w:p>
        </w:tc>
        <w:tc>
          <w:tcPr>
            <w:tcW w:w="345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229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冷、热水给水铜管</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中德合资天力、宁波永亨、汇嘉</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670" w:hRule="exact"/>
          <w:jc w:val="center"/>
        </w:trPr>
        <w:tc>
          <w:tcPr>
            <w:tcW w:w="58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46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不锈钢地漏、UPVC雨水斗</w:t>
            </w:r>
          </w:p>
        </w:tc>
        <w:tc>
          <w:tcPr>
            <w:tcW w:w="345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喜多美、</w:t>
            </w:r>
            <w:r>
              <w:rPr>
                <w:rFonts w:hint="eastAsia" w:ascii="宋体" w:hAnsi="宋体" w:cs="宋体"/>
                <w:color w:val="auto"/>
                <w:szCs w:val="21"/>
                <w:highlight w:val="none"/>
              </w:rPr>
              <w:t>联塑、顾地</w:t>
            </w:r>
          </w:p>
        </w:tc>
        <w:tc>
          <w:tcPr>
            <w:tcW w:w="229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65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UPVC排水管、PPR水管、HPDE管</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锋牌、联塑、顾地</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670" w:hRule="exact"/>
          <w:jc w:val="center"/>
        </w:trPr>
        <w:tc>
          <w:tcPr>
            <w:tcW w:w="58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46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洗手盘、座厕等卫生洁具（含五金件）</w:t>
            </w:r>
          </w:p>
        </w:tc>
        <w:tc>
          <w:tcPr>
            <w:tcW w:w="345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东鹏、箭牌</w:t>
            </w:r>
            <w:r>
              <w:rPr>
                <w:rFonts w:hint="eastAsia" w:ascii="宋体" w:hAnsi="宋体" w:cs="宋体"/>
                <w:color w:val="auto"/>
                <w:kern w:val="0"/>
                <w:szCs w:val="21"/>
                <w:highlight w:val="none"/>
              </w:rPr>
              <w:t>、鹰牌、钻石</w:t>
            </w:r>
          </w:p>
        </w:tc>
        <w:tc>
          <w:tcPr>
            <w:tcW w:w="229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760" w:hRule="exact"/>
          <w:jc w:val="center"/>
        </w:trPr>
        <w:tc>
          <w:tcPr>
            <w:tcW w:w="58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46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洗手台盘冷热水混合龙头、单冷龙头</w:t>
            </w:r>
          </w:p>
        </w:tc>
        <w:tc>
          <w:tcPr>
            <w:tcW w:w="345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箭牌</w:t>
            </w:r>
            <w:r>
              <w:rPr>
                <w:rFonts w:hint="eastAsia" w:ascii="宋体" w:hAnsi="宋体" w:cs="宋体"/>
                <w:color w:val="auto"/>
                <w:kern w:val="0"/>
                <w:szCs w:val="21"/>
                <w:highlight w:val="none"/>
              </w:rPr>
              <w:t>、</w:t>
            </w:r>
            <w:r>
              <w:rPr>
                <w:rFonts w:hint="eastAsia" w:ascii="宋体" w:hAnsi="宋体" w:cs="宋体"/>
                <w:color w:val="auto"/>
                <w:szCs w:val="21"/>
                <w:highlight w:val="none"/>
              </w:rPr>
              <w:t>广州水暖、开平朝阳、九牧</w:t>
            </w:r>
          </w:p>
        </w:tc>
        <w:tc>
          <w:tcPr>
            <w:tcW w:w="229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246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不锈钢刷手池</w:t>
            </w:r>
          </w:p>
        </w:tc>
        <w:tc>
          <w:tcPr>
            <w:tcW w:w="345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福州国德、航列特、广州唯迪</w:t>
            </w:r>
          </w:p>
        </w:tc>
        <w:tc>
          <w:tcPr>
            <w:tcW w:w="229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246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洗手台感应式龙头</w:t>
            </w:r>
          </w:p>
        </w:tc>
        <w:tc>
          <w:tcPr>
            <w:tcW w:w="345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箭牌</w:t>
            </w:r>
            <w:r>
              <w:rPr>
                <w:rFonts w:hint="eastAsia" w:ascii="宋体" w:hAnsi="宋体" w:cs="宋体"/>
                <w:color w:val="auto"/>
                <w:kern w:val="0"/>
                <w:szCs w:val="21"/>
                <w:highlight w:val="none"/>
              </w:rPr>
              <w:t>、</w:t>
            </w:r>
            <w:r>
              <w:rPr>
                <w:rFonts w:hint="eastAsia" w:ascii="宋体" w:hAnsi="宋体" w:cs="宋体"/>
                <w:color w:val="auto"/>
                <w:szCs w:val="21"/>
                <w:highlight w:val="none"/>
              </w:rPr>
              <w:t>广州水暖、乐迪、九牧</w:t>
            </w:r>
          </w:p>
        </w:tc>
        <w:tc>
          <w:tcPr>
            <w:tcW w:w="229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b/>
                <w:color w:val="auto"/>
                <w:kern w:val="0"/>
                <w:szCs w:val="21"/>
                <w:highlight w:val="none"/>
              </w:rPr>
              <w:t>四</w:t>
            </w:r>
          </w:p>
        </w:tc>
        <w:tc>
          <w:tcPr>
            <w:tcW w:w="246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b/>
                <w:bCs/>
                <w:color w:val="auto"/>
                <w:szCs w:val="21"/>
                <w:highlight w:val="none"/>
              </w:rPr>
              <w:t>弱电系统</w:t>
            </w:r>
          </w:p>
        </w:tc>
        <w:tc>
          <w:tcPr>
            <w:tcW w:w="345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Style w:val="180"/>
                <w:rFonts w:hint="default"/>
                <w:color w:val="auto"/>
                <w:highlight w:val="none"/>
              </w:rPr>
            </w:pPr>
          </w:p>
        </w:tc>
        <w:tc>
          <w:tcPr>
            <w:tcW w:w="229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Style w:val="180"/>
                <w:rFonts w:hint="default"/>
                <w:color w:val="auto"/>
                <w:highlight w:val="none"/>
              </w:rPr>
            </w:pP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w:t>
            </w:r>
          </w:p>
        </w:tc>
        <w:tc>
          <w:tcPr>
            <w:tcW w:w="246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主机柜</w:t>
            </w:r>
          </w:p>
        </w:tc>
        <w:tc>
          <w:tcPr>
            <w:tcW w:w="345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顺通、金盾、博顺兴</w:t>
            </w:r>
          </w:p>
        </w:tc>
        <w:tc>
          <w:tcPr>
            <w:tcW w:w="229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670" w:hRule="exact"/>
          <w:jc w:val="center"/>
        </w:trPr>
        <w:tc>
          <w:tcPr>
            <w:tcW w:w="58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2</w:t>
            </w:r>
          </w:p>
        </w:tc>
        <w:tc>
          <w:tcPr>
            <w:tcW w:w="246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光纤线，超五类、六类非屏蔽双绞线</w:t>
            </w:r>
          </w:p>
        </w:tc>
        <w:tc>
          <w:tcPr>
            <w:tcW w:w="345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康普、康宁、山泽</w:t>
            </w:r>
            <w:r>
              <w:rPr>
                <w:rStyle w:val="180"/>
                <w:rFonts w:hint="default"/>
                <w:color w:val="auto"/>
                <w:highlight w:val="none"/>
              </w:rPr>
              <w:t>、万泰科技</w:t>
            </w:r>
          </w:p>
        </w:tc>
        <w:tc>
          <w:tcPr>
            <w:tcW w:w="229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46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210" w:firstLineChars="10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信息插座</w:t>
            </w:r>
          </w:p>
        </w:tc>
        <w:tc>
          <w:tcPr>
            <w:tcW w:w="345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Style w:val="180"/>
                <w:rFonts w:hint="default"/>
                <w:color w:val="auto"/>
                <w:highlight w:val="none"/>
              </w:rPr>
              <w:t>康普、安普</w:t>
            </w:r>
            <w:r>
              <w:rPr>
                <w:rStyle w:val="185"/>
                <w:rFonts w:hint="default"/>
                <w:color w:val="auto"/>
                <w:sz w:val="21"/>
                <w:szCs w:val="21"/>
                <w:highlight w:val="none"/>
              </w:rPr>
              <w:t>、施耐德</w:t>
            </w:r>
          </w:p>
        </w:tc>
        <w:tc>
          <w:tcPr>
            <w:tcW w:w="229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710" w:hRule="exact"/>
          <w:jc w:val="center"/>
        </w:trPr>
        <w:tc>
          <w:tcPr>
            <w:tcW w:w="58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4</w:t>
            </w:r>
          </w:p>
        </w:tc>
        <w:tc>
          <w:tcPr>
            <w:tcW w:w="246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应急照明灯具、集中控制集中电源</w:t>
            </w:r>
          </w:p>
        </w:tc>
        <w:tc>
          <w:tcPr>
            <w:tcW w:w="345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三雄、西默、泛海三江</w:t>
            </w:r>
          </w:p>
        </w:tc>
        <w:tc>
          <w:tcPr>
            <w:tcW w:w="229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725" w:hRule="exact"/>
          <w:jc w:val="center"/>
        </w:trPr>
        <w:tc>
          <w:tcPr>
            <w:tcW w:w="58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5</w:t>
            </w:r>
          </w:p>
        </w:tc>
        <w:tc>
          <w:tcPr>
            <w:tcW w:w="246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桥架、金属线槽、镀锌电线管</w:t>
            </w:r>
          </w:p>
        </w:tc>
        <w:tc>
          <w:tcPr>
            <w:tcW w:w="345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联塑、中兴、一通、韦恩</w:t>
            </w:r>
          </w:p>
        </w:tc>
        <w:tc>
          <w:tcPr>
            <w:tcW w:w="229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应急广播及背景音乐扬声器</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威康、泛海三江、海湾</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9</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无线AP、无线控制器</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华为、cisco 、H3C</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10</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网络存储设备</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海康威视、霍尼韦尔、华为</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11</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储存硬盘</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希捷、西部数据、东芝</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715"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12</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六类配线架、理线架、模块、光纤配线架、理线架</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Style w:val="180"/>
                <w:rFonts w:hint="default"/>
                <w:color w:val="auto"/>
                <w:highlight w:val="none"/>
              </w:rPr>
              <w:t>康普、安普、</w:t>
            </w:r>
            <w:r>
              <w:rPr>
                <w:rStyle w:val="185"/>
                <w:rFonts w:hint="default"/>
                <w:color w:val="auto"/>
                <w:sz w:val="21"/>
                <w:szCs w:val="21"/>
                <w:highlight w:val="none"/>
              </w:rPr>
              <w:t>德特威勒</w:t>
            </w:r>
            <w:r>
              <w:rPr>
                <w:rFonts w:hint="eastAsia" w:ascii="宋体" w:hAnsi="宋体" w:cs="宋体"/>
                <w:color w:val="auto"/>
                <w:kern w:val="0"/>
                <w:szCs w:val="21"/>
                <w:highlight w:val="none"/>
              </w:rPr>
              <w:t>、山泽</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Style w:val="180"/>
                <w:rFonts w:hint="default"/>
                <w:color w:val="auto"/>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13</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彩色半球固定摄像机</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海康威视、霍尼韦尔、博世</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875"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14</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门禁控制器、读卡器、电锁（带门磁开关）</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霍尼韦尔、海康威视、博世</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b/>
                <w:color w:val="auto"/>
                <w:kern w:val="0"/>
                <w:szCs w:val="21"/>
                <w:highlight w:val="none"/>
              </w:rPr>
              <w:t>五</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b/>
                <w:color w:val="auto"/>
                <w:kern w:val="0"/>
                <w:szCs w:val="21"/>
                <w:highlight w:val="none"/>
              </w:rPr>
              <w:t>通风空调系统</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p>
        </w:tc>
      </w:tr>
      <w:tr>
        <w:tblPrEx>
          <w:tblCellMar>
            <w:top w:w="0" w:type="dxa"/>
            <w:left w:w="0" w:type="dxa"/>
            <w:bottom w:w="0" w:type="dxa"/>
            <w:right w:w="0" w:type="dxa"/>
          </w:tblCellMar>
        </w:tblPrEx>
        <w:trPr>
          <w:trHeight w:val="785"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460"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宋体" w:hAnsi="宋体"/>
                <w:color w:val="auto"/>
                <w:sz w:val="21"/>
                <w:szCs w:val="21"/>
                <w:highlight w:val="none"/>
              </w:rPr>
            </w:pPr>
            <w:r>
              <w:rPr>
                <w:rFonts w:hint="eastAsia" w:ascii="宋体" w:hAnsi="宋体"/>
                <w:color w:val="auto"/>
                <w:sz w:val="21"/>
                <w:szCs w:val="21"/>
                <w:highlight w:val="none"/>
              </w:rPr>
              <w:t>变频多联式空调机、风机盘管、温控器</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大金、三凌、LG</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新风柜机</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绿岛风、天加、德通</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风口、风阀、消声器、散流器</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云丰、百成、南方</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6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镀锌焊接钢管、无缝钢管</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广州钢管厂、珠江钢管厂、浙江隆达</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冷凝水管UPVC</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广东联塑、上海逸通、上海瑞好</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67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镀锌薄钢板、不锈钢板</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Style w:val="180"/>
                <w:rFonts w:hint="default"/>
                <w:color w:val="auto"/>
                <w:highlight w:val="none"/>
              </w:rPr>
              <w:t>鞍钢、浦项（张家港）</w:t>
            </w:r>
            <w:r>
              <w:rPr>
                <w:rStyle w:val="185"/>
                <w:rFonts w:hint="default"/>
                <w:color w:val="auto"/>
                <w:sz w:val="21"/>
                <w:szCs w:val="21"/>
                <w:highlight w:val="none"/>
              </w:rPr>
              <w:t>、攀钢、宝钢</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冷凝铜管</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飞轮、华鸿、海亮</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775" w:hRule="exact"/>
          <w:jc w:val="center"/>
        </w:trPr>
        <w:tc>
          <w:tcPr>
            <w:tcW w:w="587" w:type="dxa"/>
            <w:tcBorders>
              <w:top w:val="single" w:color="auto" w:sz="4" w:space="0"/>
              <w:left w:val="single" w:color="auto" w:sz="4" w:space="0"/>
              <w:bottom w:val="single" w:color="auto" w:sz="4" w:space="0"/>
              <w:right w:val="single" w:color="auto" w:sz="4" w:space="0"/>
            </w:tcBorders>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通风机、送排风机、补风机、排烟机等风机</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九洲、绿岛风、德通</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685" w:hRule="exact"/>
          <w:jc w:val="center"/>
        </w:trPr>
        <w:tc>
          <w:tcPr>
            <w:tcW w:w="587" w:type="dxa"/>
            <w:tcBorders>
              <w:top w:val="single" w:color="auto" w:sz="4" w:space="0"/>
              <w:left w:val="single" w:color="auto" w:sz="4" w:space="0"/>
              <w:bottom w:val="single" w:color="auto" w:sz="4" w:space="0"/>
              <w:right w:val="single" w:color="auto" w:sz="4" w:space="0"/>
            </w:tcBorders>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保温材料（B1级橡塑复合隔热材料）</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阿乐斯、华美、福乐斯</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tcPr>
          <w:p>
            <w:pPr>
              <w:jc w:val="center"/>
              <w:textAlignment w:val="center"/>
              <w:rPr>
                <w:rFonts w:hint="eastAsia" w:ascii="宋体" w:hAnsi="宋体" w:cs="宋体"/>
                <w:color w:val="auto"/>
                <w:kern w:val="0"/>
                <w:szCs w:val="21"/>
                <w:highlight w:val="none"/>
              </w:rPr>
            </w:pPr>
            <w:r>
              <w:rPr>
                <w:rFonts w:hint="eastAsia" w:ascii="宋体" w:hAnsi="宋体" w:cs="宋体"/>
                <w:b/>
                <w:bCs/>
                <w:color w:val="auto"/>
                <w:kern w:val="0"/>
                <w:szCs w:val="21"/>
                <w:highlight w:val="none"/>
              </w:rPr>
              <w:t>六</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b/>
                <w:color w:val="auto"/>
                <w:kern w:val="0"/>
                <w:szCs w:val="21"/>
                <w:highlight w:val="none"/>
              </w:rPr>
              <w:t>火灾自动报警系统</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火灾自动报警系统主机</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泛海三江/西门子/海湾</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2</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感烟探测器、短路隔离器</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泛海三江/西门子/海湾</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3</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消防专用电话分机</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泛海三江/西门子/海湾</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4</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火灾声光报警器</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泛海三江/西门子/海湾</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95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5</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单输入单输出模块、单输入模块、双输入双输出模块、隔离模块</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泛海三江/西门子/海湾</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905"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6</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手动报警按钮(带电话插孔)、紧急启停按钮</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西门子、泛海三江、海湾</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7</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消防接线箱</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泛海三江/西门子/海湾</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8</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消防线缆</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泛海三江/西门子/海湾</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9</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火灾集中报警控制器</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泛海三江/西门子/海湾</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10</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消防电源监控系统设备</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泛海三江/西门子/海湾</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b/>
                <w:bCs/>
                <w:color w:val="auto"/>
                <w:szCs w:val="21"/>
                <w:highlight w:val="none"/>
              </w:rPr>
              <w:t>七</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b/>
                <w:color w:val="auto"/>
                <w:kern w:val="0"/>
                <w:szCs w:val="21"/>
                <w:highlight w:val="none"/>
              </w:rPr>
              <w:t>消防水系统</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70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阀门</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宁波埃美柯、永泉、</w:t>
            </w:r>
            <w:r>
              <w:rPr>
                <w:rStyle w:val="180"/>
                <w:rFonts w:hint="default"/>
                <w:color w:val="auto"/>
                <w:highlight w:val="none"/>
              </w:rPr>
              <w:t>福建恒广、</w:t>
            </w:r>
            <w:r>
              <w:rPr>
                <w:rStyle w:val="185"/>
                <w:rFonts w:hint="default"/>
                <w:color w:val="auto"/>
                <w:sz w:val="21"/>
                <w:szCs w:val="21"/>
                <w:highlight w:val="none"/>
              </w:rPr>
              <w:t>永泉、冠龙、广一</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6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2</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内外热浸镀锌钢管</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广州荣钢、广州钢管厂、珠江钢管厂</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775"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3</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消火栓、灭火器放置箱（内含灭火器）</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Style w:val="180"/>
                <w:rFonts w:hint="default"/>
                <w:color w:val="auto"/>
                <w:highlight w:val="none"/>
              </w:rPr>
              <w:t>广州东江、东莞浙安、</w:t>
            </w:r>
            <w:r>
              <w:rPr>
                <w:rStyle w:val="185"/>
                <w:rFonts w:hint="default"/>
                <w:color w:val="auto"/>
                <w:sz w:val="21"/>
                <w:szCs w:val="21"/>
                <w:highlight w:val="none"/>
              </w:rPr>
              <w:t>上海金盾、天广消防、广东胜捷、闽山、泰昌</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625"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4</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Y型过滤器、阀门、信号闸阀</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上海冠龙/广州越海/天津塘沽</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74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防毒面具、灭火器</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Style w:val="180"/>
                <w:rFonts w:hint="default"/>
                <w:color w:val="auto"/>
                <w:highlight w:val="none"/>
              </w:rPr>
              <w:t>福建恒广、</w:t>
            </w:r>
            <w:r>
              <w:rPr>
                <w:rStyle w:val="185"/>
                <w:rFonts w:hint="default"/>
                <w:color w:val="auto"/>
                <w:sz w:val="21"/>
                <w:szCs w:val="21"/>
                <w:highlight w:val="none"/>
              </w:rPr>
              <w:t>广东胜捷、闽山、泰昌、</w:t>
            </w:r>
            <w:r>
              <w:rPr>
                <w:rFonts w:hint="eastAsia" w:ascii="宋体" w:hAnsi="宋体" w:cs="宋体"/>
                <w:color w:val="auto"/>
                <w:kern w:val="0"/>
                <w:szCs w:val="21"/>
                <w:highlight w:val="none"/>
              </w:rPr>
              <w:t>广州东江、天广消防</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755"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喷淋头</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广东胜捷、广东平安、</w:t>
            </w:r>
            <w:r>
              <w:rPr>
                <w:rFonts w:hint="eastAsia" w:ascii="宋体" w:hAnsi="宋体" w:cs="宋体"/>
                <w:color w:val="auto"/>
                <w:szCs w:val="21"/>
                <w:highlight w:val="none"/>
              </w:rPr>
              <w:t>桂安、闽山、天广消防</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bl>
    <w:p>
      <w:pPr>
        <w:adjustRightInd w:val="0"/>
        <w:snapToGrid w:val="0"/>
        <w:spacing w:line="360" w:lineRule="auto"/>
        <w:rPr>
          <w:rFonts w:hint="eastAsia" w:ascii="宋体" w:hAnsi="宋体" w:cs="宋体"/>
          <w:b/>
          <w:color w:val="auto"/>
          <w:szCs w:val="21"/>
          <w:highlight w:val="none"/>
        </w:rPr>
      </w:pPr>
    </w:p>
    <w:p>
      <w:pPr>
        <w:adjustRightInd w:val="0"/>
        <w:snapToGrid w:val="0"/>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八、施工原则</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1、工程项目施工必须遵循国家及相关部门和医疗卫生行业现代化医院，特别是现代化口腔医院建设、施工的现行标准、规范和条例。</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2、各个功能区域必须满足相应专业的科室工作使用要求。</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3、诊疗区内的人流、物流要体现以人为本的管理意识。</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4、要体现高效、节能意识。</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5、要体现可持续发展的现代化口腔医院的理念。</w:t>
      </w:r>
    </w:p>
    <w:p>
      <w:pPr>
        <w:adjustRightInd w:val="0"/>
        <w:snapToGrid w:val="0"/>
        <w:spacing w:line="360" w:lineRule="auto"/>
        <w:jc w:val="left"/>
        <w:rPr>
          <w:rFonts w:hint="eastAsia" w:ascii="宋体" w:hAnsi="宋体" w:cs="宋体"/>
          <w:bCs/>
          <w:color w:val="auto"/>
          <w:szCs w:val="21"/>
          <w:highlight w:val="none"/>
        </w:rPr>
      </w:pPr>
      <w:r>
        <w:rPr>
          <w:rFonts w:hint="eastAsia" w:ascii="宋体" w:hAnsi="宋体" w:cs="宋体"/>
          <w:b/>
          <w:color w:val="auto"/>
          <w:szCs w:val="21"/>
          <w:highlight w:val="none"/>
        </w:rPr>
        <w:t>九、施工实施要求</w:t>
      </w:r>
      <w:bookmarkStart w:id="29" w:name="_Toc447970107"/>
      <w:bookmarkStart w:id="30" w:name="_Toc448924637"/>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1、现场勘察</w:t>
      </w:r>
      <w:bookmarkEnd w:id="29"/>
      <w:bookmarkEnd w:id="30"/>
      <w:r>
        <w:rPr>
          <w:rFonts w:hint="eastAsia" w:ascii="宋体" w:hAnsi="宋体" w:cs="宋体"/>
          <w:b/>
          <w:color w:val="auto"/>
          <w:szCs w:val="21"/>
          <w:highlight w:val="none"/>
        </w:rPr>
        <w:t>及图纸汇审：</w:t>
      </w:r>
      <w:r>
        <w:rPr>
          <w:rFonts w:hint="eastAsia" w:ascii="宋体" w:hAnsi="宋体" w:cs="宋体"/>
          <w:color w:val="auto"/>
          <w:szCs w:val="21"/>
          <w:highlight w:val="none"/>
        </w:rPr>
        <w:t>投标人在收到中标通知书后，在联合深化设计期间应主动联系招标人，组织现场二次勘察，参加招标人组织的图纸汇审会议，并提出工程施工设计图的施工重点难点，并与有关各方研讨后，深化设计施工图纸和细化实施方案。</w:t>
      </w:r>
      <w:bookmarkStart w:id="31" w:name="_Toc448924638"/>
      <w:bookmarkStart w:id="32" w:name="_Toc447970108"/>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2、施工要求：</w:t>
      </w:r>
      <w:r>
        <w:rPr>
          <w:rFonts w:hint="eastAsia" w:ascii="宋体" w:hAnsi="宋体" w:cs="宋体"/>
          <w:color w:val="auto"/>
          <w:szCs w:val="21"/>
          <w:highlight w:val="none"/>
        </w:rPr>
        <w:t>工程项目施工工艺及流程必须符合《南方医科大学口腔医院（广东省口腔医院）番禺院区二楼C区及三楼A、B、C区改造项目施工设计图》的设计要求。</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3、施工人员管理</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3.1中标人必须提交进场人员名单及身份证复印件给招标人备案,且必须在招标人所属有关部门办理出入证。</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3.2中标人必须确保施工人员严格遵守招标人一切规章制度,自觉接受检查,无证人员一律不得进入施工现场,施工人员未经批准不得进入其他区域，不得对招标人的其他人员和单位进行滋扰。</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3.3投标人中标后进场施工时应自行解决施工人员的宿舍、食堂与生活设施等场地问题，不得在招标人的场地区域内住宿和煮食。</w:t>
      </w:r>
    </w:p>
    <w:p>
      <w:pPr>
        <w:adjustRightInd w:val="0"/>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4、施工及工地管理</w:t>
      </w:r>
      <w:bookmarkEnd w:id="31"/>
      <w:bookmarkEnd w:id="32"/>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4.1投标人</w:t>
      </w:r>
      <w:r>
        <w:rPr>
          <w:rFonts w:hint="eastAsia" w:ascii="宋体" w:hAnsi="宋体" w:cs="宋体"/>
          <w:bCs/>
          <w:color w:val="auto"/>
          <w:szCs w:val="21"/>
          <w:highlight w:val="none"/>
        </w:rPr>
        <w:t>中标后在</w:t>
      </w:r>
      <w:r>
        <w:rPr>
          <w:rFonts w:hint="eastAsia" w:ascii="宋体" w:hAnsi="宋体" w:cs="宋体"/>
          <w:color w:val="auto"/>
          <w:szCs w:val="21"/>
          <w:highlight w:val="none"/>
        </w:rPr>
        <w:t>施工时必须严格按国家现行的建设工程相关标准及技术规范施工。</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4.2严格按照已经确认的施工方案组织施工，并接受招标人对工程质量、工期、安全、文明施工、环保及工地纪律的监督和管理。</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投标人在中标后应完善施工技术方案，根据工程内容、现场情况及相应的工程施工规范编制工程技术方案，方案应包括每个项目内容的施工前准备、具体的操作工艺、成品保护、相关注意事项、工序衔接、交叉施工的相关措施等内容。</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4.4招标人不提供临设及材料加工场地,临时设施及材料加工由中标人在实施现场以外自行解决,其费用由中标人自理。</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4.5投标人</w:t>
      </w:r>
      <w:r>
        <w:rPr>
          <w:rFonts w:hint="eastAsia" w:ascii="宋体" w:hAnsi="宋体" w:cs="宋体"/>
          <w:bCs/>
          <w:color w:val="auto"/>
          <w:szCs w:val="21"/>
          <w:highlight w:val="none"/>
        </w:rPr>
        <w:t>中标后</w:t>
      </w:r>
      <w:r>
        <w:rPr>
          <w:rFonts w:hint="eastAsia" w:ascii="宋体" w:hAnsi="宋体" w:cs="宋体"/>
          <w:color w:val="auto"/>
          <w:szCs w:val="21"/>
          <w:highlight w:val="none"/>
        </w:rPr>
        <w:t>应确保项目现场的清洁卫生，建筑垃圾必须当日清理干净,不得留在现场过夜。</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4.6投标人</w:t>
      </w:r>
      <w:r>
        <w:rPr>
          <w:rFonts w:hint="eastAsia" w:ascii="宋体" w:hAnsi="宋体" w:cs="宋体"/>
          <w:bCs/>
          <w:color w:val="auto"/>
          <w:szCs w:val="21"/>
          <w:highlight w:val="none"/>
        </w:rPr>
        <w:t>中标后</w:t>
      </w:r>
      <w:r>
        <w:rPr>
          <w:rFonts w:hint="eastAsia" w:ascii="宋体" w:hAnsi="宋体" w:cs="宋体"/>
          <w:color w:val="auto"/>
          <w:szCs w:val="21"/>
          <w:highlight w:val="none"/>
        </w:rPr>
        <w:t>须严格遵守招标人现场和人员管理的规定,安全生产,文明施工。如因措施不当造成人身安全或工伤伤亡事故及采购方财产损坏、丢失等一切责任由中标人负责。工程施工要求以安全第一、安全设施自备自负，应达到劳动保障部门的安全标准要求。</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4.7施工用水、用电由招标人指定驳接点，由中标人自行布置线管；临时用电、用水必须符合工地管理规范。</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施工所用的机械工具由中标人自备及自费运到施工工地，进场后进行必要的性能安全检查，完工后从工地自费搬出运走，施工所用的材料及机械工具由招标人提供适当的场所存放并由中标人负责自行保管，不得随便存放，以免造成不必要的丢失、损坏。</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4.9投标人</w:t>
      </w:r>
      <w:r>
        <w:rPr>
          <w:rFonts w:hint="eastAsia" w:ascii="宋体" w:hAnsi="宋体" w:cs="宋体"/>
          <w:bCs/>
          <w:color w:val="auto"/>
          <w:szCs w:val="21"/>
          <w:highlight w:val="none"/>
        </w:rPr>
        <w:t>中标后</w:t>
      </w:r>
      <w:r>
        <w:rPr>
          <w:rFonts w:hint="eastAsia" w:ascii="宋体" w:hAnsi="宋体" w:cs="宋体"/>
          <w:color w:val="auto"/>
          <w:szCs w:val="21"/>
          <w:highlight w:val="none"/>
        </w:rPr>
        <w:t>在施工过程中要有防止噪音、粉尘及环境污染措施，不得影响大楼内及邻近的住户和人员生活；不得对环境造成影响、产生污染；如因此被项目所在地相关行政管理部门处罚，罚款由中标人承担。</w:t>
      </w:r>
    </w:p>
    <w:p>
      <w:pPr>
        <w:tabs>
          <w:tab w:val="left" w:pos="0"/>
          <w:tab w:val="left" w:pos="420"/>
        </w:tabs>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4.10在</w:t>
      </w:r>
      <w:r>
        <w:rPr>
          <w:rFonts w:hint="eastAsia" w:ascii="宋体" w:hAnsi="宋体" w:cs="宋体"/>
          <w:color w:val="auto"/>
          <w:szCs w:val="21"/>
          <w:highlight w:val="none"/>
          <w:shd w:val="clear" w:color="auto" w:fill="FFFFFF"/>
        </w:rPr>
        <w:t>施工现场不得使用大型机械；不得与工地现场其他项目的施工单位及施工人员发生冲突或打架等恶性事件，要服从监理单位和招标人现场负责人的管理。</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4.11投标人</w:t>
      </w:r>
      <w:r>
        <w:rPr>
          <w:rFonts w:hint="eastAsia" w:ascii="宋体" w:hAnsi="宋体" w:cs="宋体"/>
          <w:bCs/>
          <w:color w:val="auto"/>
          <w:szCs w:val="21"/>
          <w:highlight w:val="none"/>
        </w:rPr>
        <w:t>中标后</w:t>
      </w:r>
      <w:r>
        <w:rPr>
          <w:rFonts w:hint="eastAsia" w:ascii="宋体" w:hAnsi="宋体" w:cs="宋体"/>
          <w:color w:val="auto"/>
          <w:szCs w:val="21"/>
          <w:highlight w:val="none"/>
        </w:rPr>
        <w:t>在施工过程中如有人对施工有投诉，其工地项目负责人应马上处理，和平解决问题。</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4.12投标人</w:t>
      </w:r>
      <w:r>
        <w:rPr>
          <w:rFonts w:hint="eastAsia" w:ascii="宋体" w:hAnsi="宋体" w:cs="宋体"/>
          <w:bCs/>
          <w:color w:val="auto"/>
          <w:szCs w:val="21"/>
          <w:highlight w:val="none"/>
        </w:rPr>
        <w:t>中标后</w:t>
      </w:r>
      <w:r>
        <w:rPr>
          <w:rFonts w:hint="eastAsia" w:ascii="宋体" w:hAnsi="宋体" w:cs="宋体"/>
          <w:color w:val="auto"/>
          <w:szCs w:val="21"/>
          <w:highlight w:val="none"/>
        </w:rPr>
        <w:t>在施工过程中，如遇到需与外部相关的单位协调的问题时，应自行解决，招标人只负责协助。</w:t>
      </w:r>
      <w:bookmarkStart w:id="33" w:name="_Toc447970109"/>
      <w:bookmarkStart w:id="34" w:name="_Toc448924639"/>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4.13投标人</w:t>
      </w:r>
      <w:r>
        <w:rPr>
          <w:rFonts w:hint="eastAsia" w:ascii="宋体" w:hAnsi="宋体" w:cs="宋体"/>
          <w:bCs/>
          <w:color w:val="auto"/>
          <w:szCs w:val="21"/>
          <w:highlight w:val="none"/>
        </w:rPr>
        <w:t>中标后在施工期间应严格遵守《中华人民共和国安全生产法》（国家主席70号令）、《建设工程安全生产管理条例》（中华人民共和国国务院令第393号）以及文明施工、深夜施工、环保和城管、计划生育等规定，建立规章制度和防护措施。若违反以上规定，由此造成的经济和法律责任，均由中标人负责。</w:t>
      </w:r>
    </w:p>
    <w:p>
      <w:pPr>
        <w:adjustRightInd w:val="0"/>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5、安全要求</w:t>
      </w:r>
      <w:bookmarkEnd w:id="33"/>
      <w:bookmarkEnd w:id="34"/>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本项目在实施期间要保证施工用电、消防安全，遵守文明施工管理规定。</w:t>
      </w:r>
      <w:bookmarkStart w:id="35" w:name="_Toc425860818"/>
      <w:bookmarkStart w:id="36" w:name="_Toc420941469"/>
      <w:bookmarkStart w:id="37" w:name="_Toc383120385"/>
      <w:bookmarkStart w:id="38" w:name="_Toc383037145"/>
    </w:p>
    <w:p>
      <w:pPr>
        <w:adjustRightInd w:val="0"/>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5.1 环境保护</w:t>
      </w:r>
      <w:bookmarkEnd w:id="35"/>
      <w:bookmarkEnd w:id="36"/>
      <w:bookmarkEnd w:id="37"/>
      <w:bookmarkEnd w:id="38"/>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为加强施工现场的环境卫生管理，维护施工现场整洁卫生，根据招标人有关卫生管理的要求，规定如下：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5.1.1施工现场做到“工完料尽，场地清”。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5.1.2施工垃圾、废旧材料及时外运。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5.1.3施工作业区应设分类垃圾回收箱或桶，防止零散垃圾废物随手丢弃。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5.1.4建立施工环境卫生检查制度，对检查出的问题，应及时落实整改。</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5.1.5</w:t>
      </w:r>
      <w:bookmarkStart w:id="39" w:name="_Toc383120386"/>
      <w:bookmarkStart w:id="40" w:name="_Toc383037146"/>
      <w:bookmarkStart w:id="41" w:name="_Toc420941470"/>
      <w:bookmarkStart w:id="42" w:name="_Toc425860819"/>
      <w:r>
        <w:rPr>
          <w:rFonts w:hint="eastAsia" w:ascii="宋体" w:hAnsi="宋体" w:cs="宋体"/>
          <w:color w:val="auto"/>
          <w:szCs w:val="21"/>
          <w:highlight w:val="none"/>
        </w:rPr>
        <w:t>中标人必须对工地实行全封闭管理，并采取有效措施严禁大厦其他人员进入工地，确保人身安全。</w:t>
      </w:r>
    </w:p>
    <w:p>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5.2 消防</w:t>
      </w:r>
      <w:bookmarkEnd w:id="39"/>
      <w:bookmarkEnd w:id="40"/>
      <w:bookmarkEnd w:id="41"/>
      <w:bookmarkEnd w:id="42"/>
      <w:r>
        <w:rPr>
          <w:rFonts w:hint="eastAsia" w:ascii="宋体" w:hAnsi="宋体" w:cs="宋体"/>
          <w:b/>
          <w:color w:val="auto"/>
          <w:szCs w:val="21"/>
          <w:highlight w:val="none"/>
        </w:rPr>
        <w:t>及用电安全</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施工过程中可能会有装饰脱落、高空坠物，电缆接头漏电或绝缘层老化等导致的伤人、触电或短路引起火灾等事故发生，因此现场要注意以下事项和应急处置措施：</w:t>
      </w:r>
    </w:p>
    <w:p>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5.2.1注意事项：</w:t>
      </w:r>
    </w:p>
    <w:p>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 xml:space="preserve">5.2.1.1施工现场牢固树立安全第一、质量第一的思想，杜绝一切事故发生，实现零投诉、零事故目标。  </w:t>
      </w:r>
    </w:p>
    <w:p>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5.2.1.2施工现场必须材料、物品摆放整齐，垃圾废物随时清理，着装整齐、行为礼貌，做到安全、文明施工。</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5.2.1.3施工现场必须要设置安全防火设施，施工动火要经过招标人和监理单位批准，严格遵守工地动火条例。</w:t>
      </w:r>
    </w:p>
    <w:p>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5.2.1.4施工现场要摆放安全标示、警告牌，采取防护隔离措施。现场施工管理负责人要做好监督管理工作，各项工作开始前负责人要警示、警告现场施工人员注意事项，确保人身财产安全。</w:t>
      </w:r>
      <w:bookmarkStart w:id="43" w:name="_Toc371856395"/>
    </w:p>
    <w:p>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5.2.2处置</w:t>
      </w:r>
      <w:bookmarkEnd w:id="43"/>
      <w:r>
        <w:rPr>
          <w:rFonts w:hint="eastAsia" w:ascii="宋体" w:hAnsi="宋体" w:cs="宋体"/>
          <w:b/>
          <w:color w:val="auto"/>
          <w:szCs w:val="21"/>
          <w:highlight w:val="none"/>
        </w:rPr>
        <w:t>措施：</w:t>
      </w:r>
    </w:p>
    <w:p>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5.2.2.1当发生安全事故时，现场负责人在第一时间向监理单位和招标人负责人报告。5.2.2.2发生伤人情况时，要及时将受伤人员送医救治，向监理单位和招标人负责人报告并拨打医疗急救电话，第一时间封锁现场，做好现场保护工作，等待招标人负责人来进行统一协调工作。</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5.2.2.3发生火灾情况时，要及时进行扑救，向监理单位和招标人负责人报告并及时拨打消防报警电话，及时疏散现场人员和转移财产。对有触电或灼伤等伤亡人员时，要及时送医或拨打医疗急救电话，配合消防和医疗人员进行救灾，以及事后调查。</w:t>
      </w:r>
    </w:p>
    <w:p>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5.3文明施工管理</w:t>
      </w:r>
    </w:p>
    <w:p>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5.3.1强化安全文明意识，加强安全生产，开展标准化文明施工。</w:t>
      </w:r>
    </w:p>
    <w:p>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5.3.2施工人员在离开现场时要切断电动工具的电源；</w:t>
      </w:r>
    </w:p>
    <w:p>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5.3.3施工人员在施工现场必须严格遵守制度规定，不得损害任何安全设备设施，凡挪动与消防和其它设施有关的设备必须先向招标人提出书面申请报告，在得到批准后方可进行。</w:t>
      </w:r>
    </w:p>
    <w:p>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5.3.4施工用梯、脚手架需架设牢固，操作人员在梯、架上不要多人上下，较高位置操作时要使用安全带。</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5.3.5装卸、搬运大件线缆等材料时，要轻拿轻放，防止挤手压脚及其它事故发生。</w:t>
      </w:r>
    </w:p>
    <w:p>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5.3.6使用电钻、工作灯等电器时，要按规范进行接电和操作，经试运转正常后再开始操作。</w:t>
      </w:r>
    </w:p>
    <w:p>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5.3.7施工中要注意用电、防火安全。</w:t>
      </w:r>
    </w:p>
    <w:p>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5.3.8施工人员着装得体，不准穿拖鞋、短裤及背心入场。</w:t>
      </w:r>
    </w:p>
    <w:p>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5.3.9严格控制火源使用，施工场地禁止吸烟。</w:t>
      </w:r>
    </w:p>
    <w:p>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5.3.10保持清洁现场，工具、材料分类堆放整齐。</w:t>
      </w:r>
    </w:p>
    <w:p>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5.3.11各种设备的包装纸板等及时清理干净运出场外。</w:t>
      </w:r>
    </w:p>
    <w:p>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5.3.12随时清理工地现场的废料，禁止乱扔乱放。</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6、电气、管线安装要求严格按行业安装规范施工。</w:t>
      </w:r>
    </w:p>
    <w:p>
      <w:pPr>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十</w:t>
      </w:r>
      <w:r>
        <w:rPr>
          <w:rFonts w:hint="eastAsia" w:ascii="宋体" w:hAnsi="宋体" w:cs="宋体"/>
          <w:b/>
          <w:bCs/>
          <w:color w:val="auto"/>
          <w:szCs w:val="21"/>
          <w:highlight w:val="none"/>
        </w:rPr>
        <w:t>、质量保修期：</w:t>
      </w:r>
    </w:p>
    <w:p>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1、工程项目质量</w:t>
      </w:r>
      <w:r>
        <w:rPr>
          <w:rFonts w:hint="eastAsia" w:ascii="宋体" w:hAnsi="宋体" w:cs="宋体"/>
          <w:b/>
          <w:bCs/>
          <w:color w:val="auto"/>
          <w:szCs w:val="21"/>
          <w:highlight w:val="none"/>
        </w:rPr>
        <w:t>标准</w:t>
      </w:r>
    </w:p>
    <w:p>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1.1必须符合国家和行业现行质量验收标准（GB50300-2013建筑工程施工质量验收统一标准）和《工程施工质量验收规范》，达到合格工程质量标准。</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1.2</w:t>
      </w:r>
      <w:r>
        <w:rPr>
          <w:rFonts w:hint="eastAsia" w:ascii="宋体" w:hAnsi="宋体" w:cs="宋体"/>
          <w:bCs/>
          <w:color w:val="auto"/>
          <w:szCs w:val="21"/>
          <w:highlight w:val="none"/>
        </w:rPr>
        <w:t>本工程以施工设计图纸和施工说明、设计变更、国家制订的施工和验收标准及有关规范为质量评定验收标准。</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1.3工程技术要求：按相关国家、省、市和行业的法律法规、技术规范进行施工和验收。</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工程质量要求：确保达到合格工程。承包人在施工中如果存在工程质量不符合国家相关规范和招响应文件的有关规定的情况，招标人要求停工或返工时，承包人须无条件立即执行，并承担由此产生的各种费用，工期不予顺延。</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1.5投标人中标后在施工前要向招标人申报施工方案，经审批后严格执行，每道工序需符合相应的规范要求并申报，经招标人驻现场人员签字确认后才进入下道工序。</w:t>
      </w:r>
    </w:p>
    <w:p>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2、质量验收方式</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 工程项目的隐蔽工程和竣工验收由中标人、招标人、设计单位、工程监理单位共同进行；</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2.2工程竣工后中标人负责编制竣工图纸及相关文件(此项费用不再向招标人收取),设计单位负责审核；</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2.3验收合格后四方签署验收合格证书,工程才能交付给招标人使用。</w:t>
      </w:r>
    </w:p>
    <w:p>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3、质量保修期限</w:t>
      </w:r>
    </w:p>
    <w:p>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3.1工程质量保修期，按《建设工程质量管理条例》规定，</w:t>
      </w:r>
      <w:r>
        <w:rPr>
          <w:rFonts w:hint="eastAsia" w:ascii="宋体" w:hAnsi="宋体" w:cs="宋体"/>
          <w:b/>
          <w:color w:val="auto"/>
          <w:szCs w:val="21"/>
          <w:highlight w:val="none"/>
        </w:rPr>
        <w:t>质量保修期为两年</w:t>
      </w:r>
      <w:r>
        <w:rPr>
          <w:rFonts w:hint="eastAsia" w:ascii="宋体" w:hAnsi="宋体" w:cs="宋体"/>
          <w:color w:val="auto"/>
          <w:szCs w:val="21"/>
          <w:highlight w:val="none"/>
        </w:rPr>
        <w:t>。</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3.2工程质量保修期从工程竣工验收双方签字确认之日起计算,单项竣工验收的工程，按单项工程分别计算质量保修期。</w:t>
      </w:r>
    </w:p>
    <w:p>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4、质量保修责任</w:t>
      </w:r>
    </w:p>
    <w:p>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color w:val="auto"/>
          <w:szCs w:val="21"/>
          <w:highlight w:val="none"/>
        </w:rPr>
        <w:t>4.1</w:t>
      </w:r>
      <w:r>
        <w:rPr>
          <w:rFonts w:hint="eastAsia" w:ascii="宋体" w:hAnsi="宋体" w:cs="宋体"/>
          <w:bCs/>
          <w:color w:val="auto"/>
          <w:kern w:val="0"/>
          <w:szCs w:val="21"/>
          <w:highlight w:val="none"/>
        </w:rPr>
        <w:t>属于保修范围的项目，中标人应在接到招标人通知后的8小时内派人到现场保修。</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kern w:val="0"/>
          <w:szCs w:val="21"/>
          <w:highlight w:val="none"/>
        </w:rPr>
        <w:t>4</w:t>
      </w:r>
      <w:r>
        <w:rPr>
          <w:rFonts w:hint="eastAsia" w:ascii="宋体" w:hAnsi="宋体" w:cs="宋体"/>
          <w:bCs/>
          <w:color w:val="auto"/>
          <w:szCs w:val="21"/>
          <w:highlight w:val="none"/>
        </w:rPr>
        <w:t>.2</w:t>
      </w:r>
      <w:r>
        <w:rPr>
          <w:rFonts w:hint="eastAsia" w:ascii="宋体" w:hAnsi="宋体" w:cs="宋体"/>
          <w:bCs/>
          <w:color w:val="auto"/>
          <w:kern w:val="0"/>
          <w:szCs w:val="21"/>
          <w:highlight w:val="none"/>
        </w:rPr>
        <w:t>发生紧急抢修事故的</w:t>
      </w:r>
      <w:r>
        <w:rPr>
          <w:rFonts w:hint="eastAsia" w:ascii="宋体" w:hAnsi="宋体" w:cs="宋体"/>
          <w:bCs/>
          <w:color w:val="auto"/>
          <w:szCs w:val="21"/>
          <w:highlight w:val="none"/>
        </w:rPr>
        <w:t>，中标人在接到通知后，应立即赶赴现场进行抢修。</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4.3</w:t>
      </w:r>
      <w:r>
        <w:rPr>
          <w:rFonts w:hint="eastAsia" w:ascii="宋体" w:hAnsi="宋体" w:cs="宋体"/>
          <w:color w:val="auto"/>
          <w:szCs w:val="21"/>
          <w:highlight w:val="none"/>
        </w:rPr>
        <w:t>在保修期内出现的质量问题,中标人在接到招标人的通知后,三天内完成返修,费用由中标人负责。如中标人接到通知三天后不进行返修,招标人自行维修,费用从质量保证金中扣除。</w:t>
      </w:r>
    </w:p>
    <w:p>
      <w:pPr>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十一、资料与归档</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color w:val="auto"/>
          <w:szCs w:val="21"/>
          <w:highlight w:val="none"/>
        </w:rPr>
        <w:t>投标人必须对施工项目所需的资料和文件进行收集和整理。并加以分析调研选用。</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本项目工程竣工验收后30个工作天内向招标人提供完整的竣工验收资料、竣工图纸及竣工图电子文件光盘，竣工验收资料须按工程档案管理的有关要求编制成册。在完成上述工作后10天内提供工程结算书及相关资料统一送招标人审核，确认后办理结算手续。</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3、中标人向招标人提交竣工验收报告时，应当向招标人出具质量保修书；质量保修书应明确招标人工程的保修范围、保修期限和保修责任等。</w:t>
      </w:r>
    </w:p>
    <w:p>
      <w:pPr>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十二、项目工期及延期条件及要求</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1、项目工期为120个日历日，完工日期以招标人签认的时间为准。</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2、招标人末能在规定时间内办理的相关手续,经得招标人同意后，工期可相应顺延。</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3、项目实施过程中,出现下列情形,经招标人确认,工期可以顺延：</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3.1不可力抗因素；</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3.2由于设计变更,致使工程量重大增加者(超过总量的10%)；</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3.3工程款不能按时或逾期支付者。</w:t>
      </w:r>
    </w:p>
    <w:p>
      <w:pPr>
        <w:numPr>
          <w:ilvl w:val="0"/>
          <w:numId w:val="6"/>
        </w:num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招标人欢迎各投标人根据各企业实际情况提出缩短工期的标书。投标因赶工而需要增加的费用应包含在投标报价中。</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5、如未按期完工，超出时间，超出每日按按合同金额的千分之三进行计算罚金，罚金在工程结算款中扣除。</w:t>
      </w:r>
    </w:p>
    <w:p>
      <w:pPr>
        <w:pStyle w:val="4"/>
        <w:spacing w:line="360" w:lineRule="auto"/>
        <w:ind w:firstLine="0"/>
        <w:rPr>
          <w:rFonts w:hint="eastAsia" w:ascii="宋体" w:hAnsi="宋体" w:cs="宋体"/>
          <w:b/>
          <w:bCs/>
          <w:color w:val="auto"/>
          <w:highlight w:val="none"/>
        </w:rPr>
      </w:pPr>
      <w:r>
        <w:rPr>
          <w:rFonts w:hint="eastAsia" w:ascii="宋体" w:hAnsi="宋体" w:cs="宋体"/>
          <w:b/>
          <w:bCs/>
          <w:color w:val="auto"/>
          <w:highlight w:val="none"/>
        </w:rPr>
        <w:t>十三、合同承包及调整方式</w:t>
      </w:r>
    </w:p>
    <w:p>
      <w:pPr>
        <w:tabs>
          <w:tab w:val="left" w:pos="993"/>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1、合同承包方式：招标文件所附工程内容的报价实行固定总价包干、措施项目费包干。</w:t>
      </w:r>
    </w:p>
    <w:p>
      <w:pPr>
        <w:tabs>
          <w:tab w:val="left" w:pos="993"/>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2、合同调整方式：合同总价与工程最终结算金额可按以下约定执行：</w:t>
      </w:r>
    </w:p>
    <w:p>
      <w:pPr>
        <w:tabs>
          <w:tab w:val="left" w:pos="993"/>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2.1中标价除招标人要求的设计变更和招标文件、投标答疑允许的调整范围外，其余不得以市场价格变化、人员工资福利调整以及其他政策性文件的下达等原因而调整。</w:t>
      </w:r>
    </w:p>
    <w:p>
      <w:pPr>
        <w:tabs>
          <w:tab w:val="left" w:pos="993"/>
        </w:tabs>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2.2由于中标人原因，导致对工程项目的修改、变更，由中标人负全责和相关费用；由于非中标人原因，由招标人造成的工程项目修改、变更，按以下方式结算：</w:t>
      </w:r>
    </w:p>
    <w:p>
      <w:pPr>
        <w:tabs>
          <w:tab w:val="left" w:pos="993"/>
        </w:tabs>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2.2.1合同中已有使用于变更工程的单价，按合同已有的单价变更合同价款。</w:t>
      </w:r>
    </w:p>
    <w:p>
      <w:pPr>
        <w:tabs>
          <w:tab w:val="left" w:pos="993"/>
        </w:tabs>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2.2.2合同中已有类似于变更工程的单价，可参照类似单价变更合同价款。</w:t>
      </w:r>
    </w:p>
    <w:p>
      <w:pPr>
        <w:tabs>
          <w:tab w:val="left" w:pos="993"/>
        </w:tabs>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2.2.3合同中没有使用或类似变更工程的单价，按照广东省建设工程计价依据、工程所在地造价管理机构有关规定和发布的价格信息，依据工程变更签证，由中标人提出适当的变更价格，按本报价说明的规定编制预算经招标人支付部门审核后结算；结算单价按中标价与中介预算价的相应比例折算执行。</w:t>
      </w:r>
    </w:p>
    <w:p>
      <w:pPr>
        <w:pStyle w:val="4"/>
        <w:spacing w:line="360" w:lineRule="auto"/>
        <w:ind w:firstLine="0"/>
        <w:rPr>
          <w:rFonts w:hint="eastAsia" w:ascii="宋体" w:hAnsi="宋体" w:cs="宋体"/>
          <w:b/>
          <w:bCs/>
          <w:color w:val="auto"/>
          <w:highlight w:val="none"/>
        </w:rPr>
      </w:pPr>
      <w:r>
        <w:rPr>
          <w:rFonts w:hint="eastAsia" w:ascii="宋体" w:hAnsi="宋体" w:cs="宋体"/>
          <w:b/>
          <w:bCs/>
          <w:color w:val="auto"/>
          <w:highlight w:val="none"/>
        </w:rPr>
        <w:t>十四、付款方式</w:t>
      </w:r>
    </w:p>
    <w:p>
      <w:pPr>
        <w:tabs>
          <w:tab w:val="left" w:pos="993"/>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1、合同签订后5日内，中标人按合同总价的5%向招标人提交履约保函；</w:t>
      </w:r>
    </w:p>
    <w:p>
      <w:pPr>
        <w:tabs>
          <w:tab w:val="left" w:pos="420"/>
        </w:tabs>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2、工程款于合同签订后招标人分五期支付给中标人。</w:t>
      </w:r>
    </w:p>
    <w:p>
      <w:pPr>
        <w:tabs>
          <w:tab w:val="left" w:pos="420"/>
        </w:tabs>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2.1第一期工程进度款于乙方进场施工后20工作日内招标人凭中标人提供的20％总工程款的等额发票支付给中标人；</w:t>
      </w:r>
    </w:p>
    <w:p>
      <w:pPr>
        <w:tabs>
          <w:tab w:val="left" w:pos="420"/>
        </w:tabs>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2.2第二期工程进度款于工程完成60％进度后（由监理单位确认），招标人凭中标人提供的40％总工程款的等额发票支付给中标人；</w:t>
      </w:r>
    </w:p>
    <w:p>
      <w:pPr>
        <w:tabs>
          <w:tab w:val="left" w:pos="420"/>
        </w:tabs>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2.3第三期工程进度款于工程全部完工验收合格后，招标人凭中标人提供的20％总工程款的等额发票支付给中标人；</w:t>
      </w:r>
    </w:p>
    <w:p>
      <w:pPr>
        <w:tabs>
          <w:tab w:val="left" w:pos="420"/>
        </w:tabs>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2.4第四期工程进度款于中标人</w:t>
      </w:r>
      <w:r>
        <w:rPr>
          <w:rFonts w:hint="eastAsia" w:ascii="宋体" w:hAnsi="宋体" w:cs="宋体"/>
          <w:bCs/>
          <w:color w:val="auto"/>
          <w:szCs w:val="21"/>
          <w:highlight w:val="none"/>
        </w:rPr>
        <w:t>向招标人提交工程结算资料、</w:t>
      </w:r>
      <w:r>
        <w:rPr>
          <w:rFonts w:hint="eastAsia" w:ascii="宋体" w:hAnsi="宋体" w:cs="宋体"/>
          <w:color w:val="auto"/>
          <w:szCs w:val="21"/>
          <w:highlight w:val="none"/>
        </w:rPr>
        <w:t>工程结算书，经有资质的咨询公司审核后支付，金额支付到审核结算造价金额的97%。招标人凭中标人提供的等额发票支付给中标人，同时解冻银行履约保函。</w:t>
      </w:r>
    </w:p>
    <w:p>
      <w:pPr>
        <w:tabs>
          <w:tab w:val="left" w:pos="420"/>
        </w:tabs>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2.5第五期工程款作为质量保证金，金额为审核结算造价金额的3%，于工程验收合格满二年且没有发现质量问题，招标人凭中标人提供的等额发票支付给中标人。</w:t>
      </w:r>
    </w:p>
    <w:p>
      <w:pPr>
        <w:tabs>
          <w:tab w:val="left" w:pos="420"/>
        </w:tabs>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中标人凭以下有效的文件由招标人在规定时间内支付合同价款。</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3.1合同复印件；</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3.2中标人开具的正式发票；</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3.3进场通知单或工程进度报告或验收报告及第三方结算审核报告（加盖招标人公章）；</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3.4中标通知书。</w:t>
      </w:r>
    </w:p>
    <w:p>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十</w:t>
      </w:r>
      <w:r>
        <w:rPr>
          <w:rFonts w:hint="eastAsia" w:ascii="宋体" w:hAnsi="宋体" w:cs="宋体"/>
          <w:b/>
          <w:color w:val="auto"/>
          <w:szCs w:val="21"/>
          <w:highlight w:val="none"/>
          <w:lang w:val="en-US" w:eastAsia="zh-CN"/>
        </w:rPr>
        <w:t>五</w:t>
      </w:r>
      <w:r>
        <w:rPr>
          <w:rFonts w:hint="eastAsia" w:ascii="宋体" w:hAnsi="宋体" w:cs="宋体"/>
          <w:b/>
          <w:color w:val="auto"/>
          <w:szCs w:val="21"/>
          <w:highlight w:val="none"/>
        </w:rPr>
        <w:t>、其他要求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中标人项目负责人必须全盘掌握建设项目施工的工作进展情况，保持通讯畅通，能随时答复招标人的询问。</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2、中</w:t>
      </w:r>
      <w:r>
        <w:rPr>
          <w:rFonts w:hint="eastAsia" w:ascii="宋体" w:hAnsi="宋体" w:cs="宋体"/>
          <w:color w:val="auto"/>
          <w:szCs w:val="21"/>
          <w:highlight w:val="none"/>
        </w:rPr>
        <w:t>标人在项目实施所在地应设有</w:t>
      </w:r>
      <w:r>
        <w:rPr>
          <w:rFonts w:hint="eastAsia" w:ascii="宋体" w:hAnsi="宋体" w:cs="宋体"/>
          <w:color w:val="auto"/>
          <w:szCs w:val="21"/>
          <w:highlight w:val="none"/>
          <w:lang w:val="en-US" w:eastAsia="zh-CN"/>
        </w:rPr>
        <w:t>固定</w:t>
      </w:r>
      <w:r>
        <w:rPr>
          <w:rFonts w:hint="eastAsia" w:ascii="宋体" w:hAnsi="宋体" w:cs="宋体"/>
          <w:color w:val="auto"/>
          <w:szCs w:val="21"/>
          <w:highlight w:val="none"/>
        </w:rPr>
        <w:t>的办公场所或售后服务机构（提供房屋产权证或租赁合同）。</w:t>
      </w:r>
    </w:p>
    <w:p>
      <w:pPr>
        <w:spacing w:line="360" w:lineRule="auto"/>
        <w:outlineLvl w:val="2"/>
        <w:rPr>
          <w:rFonts w:hint="eastAsia" w:ascii="宋体" w:hAnsi="宋体" w:cs="宋体"/>
          <w:b/>
          <w:color w:val="auto"/>
          <w:szCs w:val="21"/>
          <w:highlight w:val="none"/>
        </w:rPr>
      </w:pPr>
      <w:r>
        <w:rPr>
          <w:rFonts w:hint="eastAsia" w:ascii="宋体" w:hAnsi="宋体" w:cs="宋体"/>
          <w:b/>
          <w:color w:val="auto"/>
          <w:szCs w:val="21"/>
          <w:highlight w:val="none"/>
        </w:rPr>
        <w:t>十</w:t>
      </w:r>
      <w:r>
        <w:rPr>
          <w:rFonts w:hint="eastAsia" w:ascii="宋体" w:hAnsi="宋体" w:cs="宋体"/>
          <w:b/>
          <w:color w:val="auto"/>
          <w:szCs w:val="21"/>
          <w:highlight w:val="none"/>
          <w:lang w:val="en-US" w:eastAsia="zh-CN"/>
        </w:rPr>
        <w:t>六</w:t>
      </w:r>
      <w:r>
        <w:rPr>
          <w:rFonts w:hint="eastAsia" w:ascii="宋体" w:hAnsi="宋体" w:cs="宋体"/>
          <w:b/>
          <w:color w:val="auto"/>
          <w:szCs w:val="21"/>
          <w:highlight w:val="none"/>
        </w:rPr>
        <w:t>、售后服务</w:t>
      </w:r>
    </w:p>
    <w:p>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1、中标人于项目竣工后，应指定质保负责人，其通信工具应保持畅通。</w:t>
      </w:r>
    </w:p>
    <w:p>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2、建设项目在质保期内出现质量问题中标人必须无条件进行修复，不准以任何理由拒绝。</w:t>
      </w:r>
    </w:p>
    <w:p>
      <w:pPr>
        <w:spacing w:line="360" w:lineRule="auto"/>
        <w:ind w:left="1"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3、中标人必须协助招标人了解隐蔽工程的情况，必要时要协助招标人解决施工</w:t>
      </w:r>
      <w:r>
        <w:rPr>
          <w:rFonts w:hint="eastAsia" w:ascii="宋体" w:hAnsi="宋体" w:cs="宋体"/>
          <w:color w:val="auto"/>
          <w:szCs w:val="21"/>
          <w:highlight w:val="none"/>
        </w:rPr>
        <w:t>项目中</w:t>
      </w:r>
      <w:r>
        <w:rPr>
          <w:rFonts w:hint="eastAsia" w:ascii="宋体" w:hAnsi="宋体" w:cs="宋体"/>
          <w:bCs/>
          <w:color w:val="auto"/>
          <w:szCs w:val="21"/>
          <w:highlight w:val="none"/>
        </w:rPr>
        <w:t>的疑难问题。</w:t>
      </w:r>
    </w:p>
    <w:p>
      <w:pPr>
        <w:spacing w:line="360" w:lineRule="auto"/>
        <w:ind w:left="-19" w:leftChars="-9"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4、中标人接到招标人的质保维修通知后，必须在4小时内响应，8小时内派出技术人员前往现场勘察并给出解决方案，三天内完成修复。</w:t>
      </w:r>
    </w:p>
    <w:p>
      <w:pPr>
        <w:pStyle w:val="182"/>
        <w:tabs>
          <w:tab w:val="center" w:pos="900"/>
          <w:tab w:val="right" w:pos="5387"/>
          <w:tab w:val="clear" w:pos="4820"/>
          <w:tab w:val="clear" w:pos="9639"/>
        </w:tabs>
        <w:spacing w:before="0" w:line="240" w:lineRule="auto"/>
        <w:rPr>
          <w:rFonts w:ascii="宋体" w:hAnsi="宋体" w:cs="宋体"/>
          <w:b w:val="0"/>
          <w:caps w:val="0"/>
          <w:snapToGrid w:val="0"/>
          <w:color w:val="auto"/>
          <w:spacing w:val="-6"/>
          <w:kern w:val="24"/>
          <w:position w:val="-5"/>
          <w:szCs w:val="24"/>
          <w:highlight w:val="none"/>
          <w:lang w:val="en-US" w:eastAsia="zh-CN"/>
        </w:rPr>
      </w:pPr>
    </w:p>
    <w:p>
      <w:pPr>
        <w:pStyle w:val="20"/>
        <w:rPr>
          <w:rFonts w:ascii="宋体" w:hAnsi="宋体" w:cs="宋体"/>
          <w:snapToGrid w:val="0"/>
          <w:color w:val="auto"/>
          <w:spacing w:val="-6"/>
          <w:kern w:val="24"/>
          <w:position w:val="-5"/>
          <w:sz w:val="24"/>
          <w:szCs w:val="24"/>
          <w:highlight w:val="none"/>
        </w:rPr>
      </w:pPr>
    </w:p>
    <w:p>
      <w:pPr>
        <w:pStyle w:val="139"/>
        <w:outlineLvl w:val="0"/>
        <w:rPr>
          <w:rStyle w:val="105"/>
          <w:rFonts w:hint="eastAsia" w:ascii="宋体" w:hAnsi="宋体" w:cs="宋体"/>
          <w:bCs/>
          <w:color w:val="auto"/>
          <w:highlight w:val="none"/>
        </w:rPr>
      </w:pPr>
      <w:bookmarkStart w:id="44" w:name="_Toc105014639"/>
      <w:r>
        <w:rPr>
          <w:rStyle w:val="105"/>
          <w:rFonts w:hint="eastAsia" w:ascii="宋体" w:hAnsi="宋体" w:cs="宋体"/>
          <w:bCs/>
          <w:color w:val="auto"/>
          <w:highlight w:val="none"/>
        </w:rPr>
        <w:br w:type="page"/>
      </w:r>
      <w:r>
        <w:rPr>
          <w:rStyle w:val="105"/>
          <w:rFonts w:hint="eastAsia" w:ascii="宋体" w:hAnsi="宋体" w:cs="宋体"/>
          <w:bCs/>
          <w:color w:val="auto"/>
          <w:highlight w:val="none"/>
        </w:rPr>
        <w:t>第六章  图纸及勘察资料</w:t>
      </w:r>
      <w:bookmarkEnd w:id="44"/>
    </w:p>
    <w:p>
      <w:pPr>
        <w:spacing w:line="360" w:lineRule="auto"/>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另册。</w:t>
      </w:r>
    </w:p>
    <w:p>
      <w:pPr>
        <w:pStyle w:val="155"/>
        <w:rPr>
          <w:rFonts w:hint="eastAsia" w:ascii="宋体" w:hAnsi="宋体" w:cs="宋体"/>
          <w:color w:val="auto"/>
          <w:highlight w:val="none"/>
        </w:rPr>
      </w:pPr>
    </w:p>
    <w:p>
      <w:pPr>
        <w:pStyle w:val="155"/>
        <w:rPr>
          <w:rFonts w:hint="eastAsia" w:ascii="宋体" w:hAnsi="宋体" w:cs="宋体"/>
          <w:color w:val="auto"/>
          <w:highlight w:val="none"/>
        </w:rPr>
      </w:pPr>
    </w:p>
    <w:p>
      <w:pPr>
        <w:pStyle w:val="155"/>
        <w:rPr>
          <w:rFonts w:hint="eastAsia" w:ascii="宋体" w:hAnsi="宋体" w:cs="宋体"/>
          <w:color w:val="auto"/>
          <w:highlight w:val="none"/>
        </w:rPr>
      </w:pPr>
    </w:p>
    <w:p>
      <w:pPr>
        <w:pStyle w:val="139"/>
        <w:outlineLvl w:val="0"/>
        <w:rPr>
          <w:rStyle w:val="105"/>
          <w:rFonts w:hint="eastAsia" w:ascii="宋体" w:hAnsi="宋体" w:cs="宋体"/>
          <w:bCs/>
          <w:color w:val="auto"/>
          <w:highlight w:val="none"/>
        </w:rPr>
      </w:pPr>
      <w:bookmarkStart w:id="45" w:name="_Toc105014640"/>
      <w:r>
        <w:rPr>
          <w:rStyle w:val="105"/>
          <w:rFonts w:hint="eastAsia" w:ascii="宋体" w:hAnsi="宋体" w:cs="宋体"/>
          <w:bCs/>
          <w:color w:val="auto"/>
          <w:highlight w:val="none"/>
        </w:rPr>
        <w:br w:type="page"/>
      </w:r>
      <w:r>
        <w:rPr>
          <w:rStyle w:val="105"/>
          <w:rFonts w:hint="eastAsia" w:ascii="宋体" w:hAnsi="宋体" w:cs="宋体"/>
          <w:bCs/>
          <w:color w:val="auto"/>
          <w:highlight w:val="none"/>
        </w:rPr>
        <w:t>第七章  工程量清单</w:t>
      </w:r>
      <w:bookmarkEnd w:id="45"/>
    </w:p>
    <w:p>
      <w:pPr>
        <w:pStyle w:val="83"/>
        <w:spacing w:after="0" w:line="360" w:lineRule="auto"/>
        <w:ind w:firstLine="0"/>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另册。</w:t>
      </w:r>
    </w:p>
    <w:p>
      <w:pPr>
        <w:pStyle w:val="83"/>
        <w:spacing w:after="0" w:line="360" w:lineRule="auto"/>
        <w:ind w:firstLine="0"/>
        <w:rPr>
          <w:rStyle w:val="105"/>
          <w:rFonts w:hint="eastAsia" w:ascii="宋体" w:hAnsi="宋体" w:cs="宋体"/>
          <w:color w:val="auto"/>
          <w:sz w:val="24"/>
          <w:szCs w:val="24"/>
          <w:highlight w:val="none"/>
        </w:rPr>
      </w:pPr>
    </w:p>
    <w:p>
      <w:pPr>
        <w:pStyle w:val="83"/>
        <w:spacing w:after="0" w:line="360" w:lineRule="auto"/>
        <w:ind w:firstLine="0"/>
        <w:rPr>
          <w:rStyle w:val="105"/>
          <w:rFonts w:hint="eastAsia" w:ascii="宋体" w:hAnsi="宋体" w:cs="宋体"/>
          <w:color w:val="auto"/>
          <w:sz w:val="24"/>
          <w:szCs w:val="24"/>
          <w:highlight w:val="none"/>
        </w:rPr>
      </w:pPr>
    </w:p>
    <w:p>
      <w:pPr>
        <w:pStyle w:val="83"/>
        <w:spacing w:after="0" w:line="360" w:lineRule="auto"/>
        <w:ind w:firstLine="0"/>
        <w:rPr>
          <w:rStyle w:val="105"/>
          <w:rFonts w:hint="eastAsia" w:ascii="宋体" w:hAnsi="宋体" w:cs="宋体"/>
          <w:color w:val="auto"/>
          <w:sz w:val="24"/>
          <w:highlight w:val="none"/>
        </w:rPr>
      </w:pPr>
    </w:p>
    <w:p>
      <w:pPr>
        <w:pStyle w:val="139"/>
        <w:outlineLvl w:val="0"/>
        <w:rPr>
          <w:rStyle w:val="105"/>
          <w:rFonts w:hint="eastAsia" w:ascii="宋体" w:hAnsi="宋体" w:cs="宋体"/>
          <w:bCs/>
          <w:color w:val="auto"/>
          <w:highlight w:val="none"/>
        </w:rPr>
      </w:pPr>
      <w:bookmarkStart w:id="46" w:name="_Toc105014641"/>
      <w:r>
        <w:rPr>
          <w:rStyle w:val="105"/>
          <w:rFonts w:hint="eastAsia" w:ascii="宋体" w:hAnsi="宋体" w:cs="宋体"/>
          <w:bCs/>
          <w:color w:val="auto"/>
          <w:highlight w:val="none"/>
        </w:rPr>
        <w:br w:type="page"/>
      </w:r>
      <w:r>
        <w:rPr>
          <w:rStyle w:val="105"/>
          <w:rFonts w:hint="eastAsia" w:ascii="宋体" w:hAnsi="宋体" w:cs="宋体"/>
          <w:bCs/>
          <w:color w:val="auto"/>
          <w:highlight w:val="none"/>
        </w:rPr>
        <w:t>第八章  最高投标限价</w:t>
      </w:r>
      <w:bookmarkEnd w:id="46"/>
    </w:p>
    <w:p>
      <w:pPr>
        <w:spacing w:line="360" w:lineRule="auto"/>
        <w:ind w:firstLine="480"/>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pPr>
        <w:pStyle w:val="155"/>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r>
        <w:rPr>
          <w:rFonts w:hint="eastAsia" w:ascii="宋体" w:hAnsi="宋体" w:cs="宋体"/>
          <w:color w:val="auto"/>
          <w:sz w:val="24"/>
          <w:szCs w:val="24"/>
          <w:highlight w:val="none"/>
        </w:rPr>
        <w:t>详见《最高投标限价公布函》</w:t>
      </w:r>
    </w:p>
    <w:p>
      <w:pPr>
        <w:pStyle w:val="155"/>
        <w:spacing w:line="360" w:lineRule="auto"/>
        <w:rPr>
          <w:rFonts w:hint="eastAsia" w:ascii="宋体" w:hAnsi="宋体" w:cs="宋体"/>
          <w:color w:val="auto"/>
          <w:highlight w:val="none"/>
        </w:rPr>
      </w:pPr>
    </w:p>
    <w:sectPr>
      <w:footerReference r:id="rId17" w:type="default"/>
      <w:pgSz w:w="11906" w:h="16838"/>
      <w:pgMar w:top="1418" w:right="1701"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92"/>
      <w:jc w:val="right"/>
      <w:rPr>
        <w:rStyle w:val="1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92"/>
      <w:rPr>
        <w:rStyle w:val="130"/>
      </w:rPr>
    </w:pPr>
  </w:p>
  <w:p>
    <w:pPr>
      <w:pStyle w:val="16"/>
      <w:ind w:firstLine="392"/>
      <w:rPr>
        <w:rStyle w:val="105"/>
      </w:rPr>
    </w:pPr>
    <w:r>
      <w:rPr>
        <w:rStyle w:val="105"/>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92"/>
      <w:rPr>
        <w:rStyle w:val="105"/>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92"/>
      <w:jc w:val="right"/>
      <w:rPr>
        <w:rStyle w:val="13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rPr>
                              <w:lang w:val="en-US" w:eastAsia="zh-CN"/>
                            </w:rPr>
                            <w:t>4</w:t>
                          </w:r>
                          <w:r>
                            <w:rPr>
                              <w:lang w:val="en-US" w:eastAsia="zh-CN"/>
                            </w:rPr>
                            <w:fldChar w:fldCharType="end"/>
                          </w:r>
                          <w:r>
                            <w:t xml:space="preserve"> 页</w:t>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a8Ia8sBAACd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rFTbihxHGLE7/8+H75+fvy6xtZ&#10;Vq9XuUV9gBoz7wPmpuGtHzB99gM6s/JBRZu/qIlgHBt8vjZYDomI/Gi9Wq8rDAmMzRfEZw/PQ4T0&#10;TnpLstHQiBMsjeWnD5DG1DklV3P+ThtTpmjcXw7EzB6WuY8cs5WG/TAJ2vv2jHp6HH5DHe46Jea9&#10;w97mPZmNOBv72TiGqA8dUlsWXhDeHBOSKNxyhRF2KoxTK+qmDctr8fhesh7+qu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WvCGvLAQAAnQMAAA4AAAAAAAAAAQAgAAAAHgEAAGRycy9lMm9E&#10;b2MueG1sUEsFBgAAAAAGAAYAWQEAAFsFA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rPr>
                        <w:lang w:val="en-US" w:eastAsia="zh-CN"/>
                      </w:rPr>
                      <w:t>4</w:t>
                    </w:r>
                    <w:r>
                      <w:rPr>
                        <w:lang w:val="en-US" w:eastAsia="zh-CN"/>
                      </w:rP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92"/>
      <w:rPr>
        <w:rStyle w:val="105"/>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rPr>
                          </w:pPr>
                          <w:r>
                            <w:fldChar w:fldCharType="begin"/>
                          </w:r>
                          <w:r>
                            <w:instrText xml:space="preserve"> PAGE  \* MERGEFORMAT </w:instrText>
                          </w:r>
                          <w:r>
                            <w:fldChar w:fldCharType="separate"/>
                          </w:r>
                          <w:r>
                            <w:rPr>
                              <w:lang w:val="en-US" w:eastAsia="zh-CN"/>
                            </w:rPr>
                            <w:t>46</w:t>
                          </w:r>
                          <w:r>
                            <w:rPr>
                              <w:lang w:val="en-US" w:eastAsia="zh-CN"/>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6v9RrzAEAAJ0DAAAOAAAAAAAAAAEAIAAAAB4BAABkcnMvZTJv&#10;RG9jLnhtbFBLBQYAAAAABgAGAFkBAABcBQAAAAA=&#10;">
              <v:fill on="f" focussize="0,0"/>
              <v:stroke on="f"/>
              <v:imagedata o:title=""/>
              <o:lock v:ext="edit" aspectratio="f"/>
              <v:textbox inset="0mm,0mm,0mm,0mm" style="mso-fit-shape-to-text:t;">
                <w:txbxContent>
                  <w:p>
                    <w:pPr>
                      <w:pStyle w:val="16"/>
                      <w:rPr>
                        <w:rFonts w:hint="eastAsia"/>
                      </w:rPr>
                    </w:pPr>
                    <w:r>
                      <w:fldChar w:fldCharType="begin"/>
                    </w:r>
                    <w:r>
                      <w:instrText xml:space="preserve"> PAGE  \* MERGEFORMAT </w:instrText>
                    </w:r>
                    <w:r>
                      <w:fldChar w:fldCharType="separate"/>
                    </w:r>
                    <w:r>
                      <w:rPr>
                        <w:lang w:val="en-US" w:eastAsia="zh-CN"/>
                      </w:rPr>
                      <w:t>46</w:t>
                    </w:r>
                    <w:r>
                      <w:rPr>
                        <w:lang w:val="en-US"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Style w:val="13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rPr>
                              <w:lang w:val="en-US" w:eastAsia="zh-CN"/>
                            </w:rPr>
                            <w:t>49</w:t>
                          </w:r>
                          <w:r>
                            <w:rPr>
                              <w:lang w:val="en-US" w:eastAsia="zh-CN"/>
                            </w:rPr>
                            <w:fldChar w:fldCharType="end"/>
                          </w:r>
                          <w:r>
                            <w:t xml:space="preserve"> 页</w:t>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wEdRMsBAACd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SLm4Bzd9zixC8/vl9+/r78+kaW&#10;1c1NblEfoMbM+4C5aXjrB0yf/YDOrHxQ0eYvaiIYxwafrw2WQyIiP1qv1usKQwJj8wXx2cPzECG9&#10;k96SbDQ04gRLY/npA6QxdU7J1Zy/08aUKRr3lwMxs4dl7iPHbKVhP0yC9r49o54eh99Qh7tOiXnv&#10;sLd5T2YjzsZ+No4h6kOH1JaFF4Q3x4QkCrdcYYSdCuPUirppw/JaPL6XrIe/av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MBHUTLAQAAnQMAAA4AAAAAAAAAAQAgAAAAHgEAAGRycy9lMm9E&#10;b2MueG1sUEsFBgAAAAAGAAYAWQEAAFsFA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rPr>
                        <w:lang w:val="en-US" w:eastAsia="zh-CN"/>
                      </w:rPr>
                      <w:t>49</w:t>
                    </w:r>
                    <w:r>
                      <w:rPr>
                        <w:lang w:val="en-US" w:eastAsia="zh-CN"/>
                      </w:rPr>
                      <w:fldChar w:fldCharType="end"/>
                    </w:r>
                    <w:r>
                      <w:t xml:space="preserve"> 页</w:t>
                    </w:r>
                  </w:p>
                </w:txbxContent>
              </v:textbox>
            </v:shape>
          </w:pict>
        </mc:Fallback>
      </mc:AlternateContent>
    </w:r>
  </w:p>
  <w:p>
    <w:pPr>
      <w:pStyle w:val="16"/>
      <w:ind w:left="-4410" w:leftChars="-2100" w:right="-4439" w:rightChars="-2114"/>
      <w:rPr>
        <w:rStyle w:val="130"/>
      </w:rPr>
    </w:pPr>
  </w:p>
  <w:p>
    <w:pPr>
      <w:pStyle w:val="16"/>
      <w:ind w:right="360" w:firstLine="360"/>
      <w:jc w:val="center"/>
      <w:rPr>
        <w:rStyle w:val="105"/>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margin" w:hAnchor="text" w:xAlign="outside" w:y="1"/>
      <w:rPr>
        <w:rStyle w:val="130"/>
      </w:rPr>
    </w:pPr>
  </w:p>
  <w:p>
    <w:pPr>
      <w:pStyle w:val="16"/>
      <w:ind w:right="360" w:firstLine="360"/>
      <w:jc w:val="center"/>
      <w:rPr>
        <w:rStyle w:val="105"/>
      </w:rPr>
    </w:pPr>
    <w:r>
      <w:rPr>
        <w:rStyle w:val="105"/>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Style w:val="105"/>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rPr>
                              <w:lang w:val="en-US" w:eastAsia="zh-CN"/>
                            </w:rPr>
                            <w:t>48</w:t>
                          </w:r>
                          <w:r>
                            <w:rPr>
                              <w:lang w:val="en-US" w:eastAsia="zh-CN"/>
                            </w:rPr>
                            <w:fldChar w:fldCharType="end"/>
                          </w:r>
                          <w:r>
                            <w:t xml:space="preserve"> 页</w:t>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h5K53LAQAAnQMAAA4AAAAAAAAAAQAgAAAAHgEAAGRycy9lMm9E&#10;b2MueG1sUEsFBgAAAAAGAAYAWQEAAFsFA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rPr>
                        <w:lang w:val="en-US" w:eastAsia="zh-CN"/>
                      </w:rPr>
                      <w:t>48</w:t>
                    </w:r>
                    <w:r>
                      <w:rPr>
                        <w:lang w:val="en-US" w:eastAsia="zh-CN"/>
                      </w:rP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Style w:val="105"/>
        <w:rFonts w:ascii="宋体" w:hAnsi="宋体"/>
        <w:kern w:val="0"/>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rPr>
                              <w:lang w:val="en-US" w:eastAsia="zh-CN"/>
                            </w:rPr>
                            <w:t>55</w:t>
                          </w:r>
                          <w:r>
                            <w:rPr>
                              <w:lang w:val="en-US" w:eastAsia="zh-CN"/>
                            </w:rPr>
                            <w:fldChar w:fldCharType="end"/>
                          </w:r>
                          <w:r>
                            <w:t xml:space="preserve"> 页</w:t>
                          </w:r>
                        </w:p>
                      </w:txbxContent>
                    </wps:txbx>
                    <wps:bodyPr wrap="none" lIns="0" tIns="0" rIns="0" bIns="0" upright="1">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7XPrLLAQAAnQMAAA4AAAAAAAAAAQAgAAAAHgEAAGRycy9lMm9E&#10;b2MueG1sUEsFBgAAAAAGAAYAWQEAAFsFA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rPr>
                        <w:lang w:val="en-US" w:eastAsia="zh-CN"/>
                      </w:rPr>
                      <w:t>55</w:t>
                    </w:r>
                    <w:r>
                      <w:rPr>
                        <w:lang w:val="en-US" w:eastAsia="zh-CN"/>
                      </w:rP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92"/>
      <w:rPr>
        <w:rStyle w:val="10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92"/>
      <w:rPr>
        <w:rStyle w:val="105"/>
      </w:rPr>
    </w:pPr>
    <w:r>
      <w:rPr>
        <w:rStyle w:val="105"/>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rPr>
        <w:rStyle w:val="105"/>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rPr>
        <w:rStyle w:val="105"/>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Style w:val="105"/>
        <w:i/>
        <w:iCs/>
      </w:rPr>
    </w:pPr>
    <w:r>
      <w:rPr>
        <w:rStyle w:val="105"/>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rPr>
        <w:rStyle w:val="105"/>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5E872"/>
    <w:multiLevelType w:val="singleLevel"/>
    <w:tmpl w:val="B305E872"/>
    <w:lvl w:ilvl="0" w:tentative="0">
      <w:start w:val="1"/>
      <w:numFmt w:val="decimal"/>
      <w:suff w:val="nothing"/>
      <w:lvlText w:val="（%1）"/>
      <w:lvlJc w:val="left"/>
    </w:lvl>
  </w:abstractNum>
  <w:abstractNum w:abstractNumId="1">
    <w:nsid w:val="00000008"/>
    <w:multiLevelType w:val="multilevel"/>
    <w:tmpl w:val="00000008"/>
    <w:lvl w:ilvl="0" w:tentative="0">
      <w:start w:val="1"/>
      <w:numFmt w:val="decimal"/>
      <w:lvlText w:val="（%1）"/>
      <w:lvlJc w:val="left"/>
      <w:pPr>
        <w:ind w:left="1146"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0000000E"/>
    <w:multiLevelType w:val="multilevel"/>
    <w:tmpl w:val="0000000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59905B5"/>
    <w:multiLevelType w:val="multilevel"/>
    <w:tmpl w:val="259905B5"/>
    <w:lvl w:ilvl="0" w:tentative="0">
      <w:start w:val="1"/>
      <w:numFmt w:val="chineseCountingThousand"/>
      <w:pStyle w:val="149"/>
      <w:suff w:val="space"/>
      <w:lvlText w:val="第%1章"/>
      <w:lvlJc w:val="left"/>
      <w:pPr>
        <w:ind w:left="567" w:hanging="279"/>
      </w:pPr>
      <w:rPr>
        <w:rFonts w:ascii="宋体" w:eastAsia="宋体"/>
        <w:b/>
        <w:i w:val="0"/>
        <w:position w:val="0"/>
        <w:sz w:val="44"/>
      </w:rPr>
    </w:lvl>
    <w:lvl w:ilvl="1" w:tentative="0">
      <w:start w:val="1"/>
      <w:numFmt w:val="decimal"/>
      <w:suff w:val="space"/>
      <w:lvlText w:val="%1."/>
      <w:lvlJc w:val="left"/>
      <w:pPr>
        <w:ind w:left="454" w:hanging="454"/>
      </w:pPr>
      <w:rPr>
        <w:rFonts w:ascii="宋体" w:eastAsia="宋体"/>
        <w:b/>
        <w:i w:val="0"/>
        <w:sz w:val="32"/>
      </w:rPr>
    </w:lvl>
    <w:lvl w:ilvl="2" w:tentative="0">
      <w:start w:val="1"/>
      <w:numFmt w:val="decimal"/>
      <w:suff w:val="space"/>
      <w:lvlText w:val="%1.%2"/>
      <w:lvlJc w:val="left"/>
      <w:pPr>
        <w:ind w:left="454" w:hanging="454"/>
      </w:pPr>
      <w:rPr>
        <w:rFonts w:ascii="宋体" w:eastAsia="宋体"/>
        <w:b/>
        <w:i w:val="0"/>
        <w:sz w:val="28"/>
      </w:rPr>
    </w:lvl>
    <w:lvl w:ilvl="3" w:tentative="0">
      <w:start w:val="1"/>
      <w:numFmt w:val="decimal"/>
      <w:pStyle w:val="142"/>
      <w:suff w:val="space"/>
      <w:lvlText w:val="%1.%2.%3"/>
      <w:lvlJc w:val="left"/>
      <w:pPr>
        <w:ind w:left="284" w:hanging="284"/>
      </w:pPr>
      <w:rPr>
        <w:rFonts w:ascii="宋体" w:eastAsia="宋体"/>
        <w:b/>
        <w:i w:val="0"/>
        <w:sz w:val="28"/>
      </w:rPr>
    </w:lvl>
    <w:lvl w:ilvl="4" w:tentative="0">
      <w:start w:val="1"/>
      <w:numFmt w:val="decimal"/>
      <w:pStyle w:val="141"/>
      <w:suff w:val="space"/>
      <w:lvlText w:val="%1.%2.%3.%4"/>
      <w:lvlJc w:val="left"/>
      <w:pPr>
        <w:ind w:left="284" w:hanging="284"/>
      </w:pPr>
      <w:rPr>
        <w:rFonts w:ascii="宋体" w:eastAsia="宋体"/>
        <w:b/>
        <w:i w:val="0"/>
        <w:strike w:val="0"/>
        <w:dstrike w:val="0"/>
        <w:sz w:val="28"/>
      </w:rPr>
    </w:lvl>
    <w:lvl w:ilvl="5" w:tentative="0">
      <w:start w:val="1"/>
      <w:numFmt w:val="decimal"/>
      <w:suff w:val="space"/>
      <w:lvlText w:val="1.1.1.1.1.%1%2"/>
      <w:lvlJc w:val="left"/>
      <w:rPr>
        <w:rFonts w:ascii="宋体" w:eastAsia="宋体"/>
        <w:b/>
        <w:i w:val="0"/>
        <w:sz w:val="28"/>
      </w:rPr>
    </w:lvl>
    <w:lvl w:ilvl="6" w:tentative="0">
      <w:start w:val="1"/>
      <w:numFmt w:val="decimal"/>
      <w:pStyle w:val="156"/>
      <w:suff w:val="nothing"/>
      <w:lvlText w:val=""/>
      <w:lvlJc w:val="left"/>
    </w:lvl>
    <w:lvl w:ilvl="7" w:tentative="0">
      <w:start w:val="1"/>
      <w:numFmt w:val="decimal"/>
      <w:pStyle w:val="169"/>
      <w:suff w:val="nothing"/>
      <w:lvlText w:val=""/>
      <w:lvlJc w:val="left"/>
    </w:lvl>
    <w:lvl w:ilvl="8" w:tentative="0">
      <w:start w:val="1"/>
      <w:numFmt w:val="decimal"/>
      <w:pStyle w:val="91"/>
      <w:suff w:val="nothing"/>
      <w:lvlText w:val=""/>
      <w:lvlJc w:val="left"/>
    </w:lvl>
  </w:abstractNum>
  <w:abstractNum w:abstractNumId="4">
    <w:nsid w:val="60A73782"/>
    <w:multiLevelType w:val="singleLevel"/>
    <w:tmpl w:val="60A73782"/>
    <w:lvl w:ilvl="0" w:tentative="0">
      <w:start w:val="4"/>
      <w:numFmt w:val="decimal"/>
      <w:suff w:val="nothing"/>
      <w:lvlText w:val="%1、"/>
      <w:lvlJc w:val="left"/>
    </w:lvl>
  </w:abstractNum>
  <w:abstractNum w:abstractNumId="5">
    <w:nsid w:val="74FB0463"/>
    <w:multiLevelType w:val="multilevel"/>
    <w:tmpl w:val="74FB0463"/>
    <w:lvl w:ilvl="0" w:tentative="0">
      <w:start w:val="1"/>
      <w:numFmt w:val="decimal"/>
      <w:suff w:val="nothing"/>
      <w:lvlText w:val="第%1篇"/>
      <w:lvlJc w:val="left"/>
      <w:rPr>
        <w:spacing w:val="60"/>
      </w:rPr>
    </w:lvl>
    <w:lvl w:ilvl="1" w:tentative="0">
      <w:start w:val="1"/>
      <w:numFmt w:val="decimal"/>
      <w:suff w:val="nothing"/>
      <w:lvlText w:val=""/>
      <w:lvlJc w:val="left"/>
    </w:lvl>
    <w:lvl w:ilvl="2" w:tentative="0">
      <w:start w:val="1"/>
      <w:numFmt w:val="decimal"/>
      <w:suff w:val="nothing"/>
      <w:lvlText w:val=""/>
      <w:lvlJc w:val="left"/>
    </w:lvl>
    <w:lvl w:ilvl="3" w:tentative="0">
      <w:start w:val="1"/>
      <w:numFmt w:val="decimal"/>
      <w:suff w:val="nothing"/>
      <w:lvlText w:val=""/>
      <w:lvlJc w:val="left"/>
    </w:lvl>
    <w:lvl w:ilvl="4" w:tentative="0">
      <w:start w:val="1"/>
      <w:numFmt w:val="decimal"/>
      <w:suff w:val="nothing"/>
      <w:lvlText w:val=""/>
      <w:lvlJc w:val="center"/>
      <w:pPr>
        <w:ind w:firstLine="288"/>
      </w:pPr>
    </w:lvl>
    <w:lvl w:ilvl="5" w:tentative="0">
      <w:start w:val="1"/>
      <w:numFmt w:val="decimal"/>
      <w:pStyle w:val="154"/>
      <w:suff w:val="nothing"/>
      <w:lvlText w:val=""/>
      <w:lvlJc w:val="left"/>
    </w:lvl>
    <w:lvl w:ilvl="6" w:tentative="0">
      <w:start w:val="1"/>
      <w:numFmt w:val="decimal"/>
      <w:suff w:val="nothing"/>
      <w:lvlText w:val=""/>
      <w:lvlJc w:val="left"/>
    </w:lvl>
    <w:lvl w:ilvl="7" w:tentative="0">
      <w:start w:val="1"/>
      <w:numFmt w:val="decimal"/>
      <w:suff w:val="nothing"/>
      <w:lvlText w:val=""/>
      <w:lvlJc w:val="left"/>
    </w:lvl>
    <w:lvl w:ilvl="8" w:tentative="0">
      <w:start w:val="1"/>
      <w:numFmt w:val="decimal"/>
      <w:suff w:val="nothing"/>
      <w:lvlText w:val=""/>
      <w:lvlJc w:val="left"/>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ocumentProtection w:edit="trackedChanges" w:enforcement="0"/>
  <w:defaultTabStop w:val="420"/>
  <w:doNotUseMarginsForDrawingGridOrigin w:val="1"/>
  <w:drawingGridHorizontalOrigin w:val="1800"/>
  <w:drawingGridVerticalOrigin w:val="1440"/>
  <w:noPunctuationKerning w:val="1"/>
  <w:characterSpacingControl w:val="doNotCompress"/>
  <w:hdrShapeDefaults>
    <o:shapelayout v:ext="edit">
      <o:idmap v:ext="edit" data="1"/>
    </o:shapelayout>
  </w:hdrShapeDefaults>
  <w:endnotePr>
    <w:numFmt w:val="decimal"/>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wZDdhYmVjZTVmYjE1NWI1NWJiMWVjNjNhNDZiOTAifQ=="/>
    <w:docVar w:name="KSO_WPS_MARK_KEY" w:val="fa995e0f-ae25-4b17-a516-034c3c3b7ccf"/>
  </w:docVars>
  <w:rsids>
    <w:rsidRoot w:val="00172A27"/>
    <w:rsid w:val="00002BB1"/>
    <w:rsid w:val="00007125"/>
    <w:rsid w:val="00007F17"/>
    <w:rsid w:val="00010A0E"/>
    <w:rsid w:val="000131B4"/>
    <w:rsid w:val="00013E3B"/>
    <w:rsid w:val="000140F9"/>
    <w:rsid w:val="000150F9"/>
    <w:rsid w:val="0001678A"/>
    <w:rsid w:val="00017C46"/>
    <w:rsid w:val="00020D54"/>
    <w:rsid w:val="000237D9"/>
    <w:rsid w:val="00025835"/>
    <w:rsid w:val="00025D40"/>
    <w:rsid w:val="000260A9"/>
    <w:rsid w:val="0002717B"/>
    <w:rsid w:val="000312C5"/>
    <w:rsid w:val="0003349C"/>
    <w:rsid w:val="000337E6"/>
    <w:rsid w:val="0003426B"/>
    <w:rsid w:val="00035B14"/>
    <w:rsid w:val="0003707F"/>
    <w:rsid w:val="00040269"/>
    <w:rsid w:val="00042EA0"/>
    <w:rsid w:val="0004513C"/>
    <w:rsid w:val="0004527B"/>
    <w:rsid w:val="00045842"/>
    <w:rsid w:val="00046D08"/>
    <w:rsid w:val="000477C9"/>
    <w:rsid w:val="00047B9D"/>
    <w:rsid w:val="00047E32"/>
    <w:rsid w:val="00051B10"/>
    <w:rsid w:val="00052AA0"/>
    <w:rsid w:val="0005310E"/>
    <w:rsid w:val="00054EDB"/>
    <w:rsid w:val="000557EB"/>
    <w:rsid w:val="000568F5"/>
    <w:rsid w:val="00056D98"/>
    <w:rsid w:val="00056F2B"/>
    <w:rsid w:val="00057663"/>
    <w:rsid w:val="00061F95"/>
    <w:rsid w:val="00063021"/>
    <w:rsid w:val="000638F5"/>
    <w:rsid w:val="00065BE0"/>
    <w:rsid w:val="00066257"/>
    <w:rsid w:val="00067CA7"/>
    <w:rsid w:val="00071B50"/>
    <w:rsid w:val="00072EEC"/>
    <w:rsid w:val="000740DC"/>
    <w:rsid w:val="00074C04"/>
    <w:rsid w:val="0007593A"/>
    <w:rsid w:val="00077EE0"/>
    <w:rsid w:val="0008167B"/>
    <w:rsid w:val="000816AD"/>
    <w:rsid w:val="00082727"/>
    <w:rsid w:val="00083721"/>
    <w:rsid w:val="000846DA"/>
    <w:rsid w:val="00084B57"/>
    <w:rsid w:val="00086323"/>
    <w:rsid w:val="00087DB3"/>
    <w:rsid w:val="0009129B"/>
    <w:rsid w:val="000956FC"/>
    <w:rsid w:val="000969AD"/>
    <w:rsid w:val="000972E5"/>
    <w:rsid w:val="000A1A51"/>
    <w:rsid w:val="000A21FB"/>
    <w:rsid w:val="000A5B62"/>
    <w:rsid w:val="000A72AA"/>
    <w:rsid w:val="000B00C9"/>
    <w:rsid w:val="000B00F1"/>
    <w:rsid w:val="000B0272"/>
    <w:rsid w:val="000B0CB6"/>
    <w:rsid w:val="000B303D"/>
    <w:rsid w:val="000B357D"/>
    <w:rsid w:val="000B3770"/>
    <w:rsid w:val="000B7B0D"/>
    <w:rsid w:val="000C04E7"/>
    <w:rsid w:val="000C06D5"/>
    <w:rsid w:val="000C2008"/>
    <w:rsid w:val="000C44C7"/>
    <w:rsid w:val="000C6FD4"/>
    <w:rsid w:val="000D334C"/>
    <w:rsid w:val="000D3FEA"/>
    <w:rsid w:val="000D4262"/>
    <w:rsid w:val="000E03A5"/>
    <w:rsid w:val="000E137A"/>
    <w:rsid w:val="000E1832"/>
    <w:rsid w:val="000E1DF7"/>
    <w:rsid w:val="000E573E"/>
    <w:rsid w:val="000E5E82"/>
    <w:rsid w:val="000E602E"/>
    <w:rsid w:val="000E7958"/>
    <w:rsid w:val="000F1107"/>
    <w:rsid w:val="000F152D"/>
    <w:rsid w:val="000F26EC"/>
    <w:rsid w:val="000F2A89"/>
    <w:rsid w:val="000F31A2"/>
    <w:rsid w:val="000F365D"/>
    <w:rsid w:val="000F50F6"/>
    <w:rsid w:val="000F57D7"/>
    <w:rsid w:val="000F5882"/>
    <w:rsid w:val="000F68FA"/>
    <w:rsid w:val="000F6A25"/>
    <w:rsid w:val="0010051E"/>
    <w:rsid w:val="00101D1E"/>
    <w:rsid w:val="0010480A"/>
    <w:rsid w:val="0011023A"/>
    <w:rsid w:val="00115DEC"/>
    <w:rsid w:val="00116788"/>
    <w:rsid w:val="00117D2F"/>
    <w:rsid w:val="00120E73"/>
    <w:rsid w:val="00120F54"/>
    <w:rsid w:val="00122488"/>
    <w:rsid w:val="00124491"/>
    <w:rsid w:val="0012449C"/>
    <w:rsid w:val="00127E23"/>
    <w:rsid w:val="0013074E"/>
    <w:rsid w:val="00131E40"/>
    <w:rsid w:val="00131E57"/>
    <w:rsid w:val="00133387"/>
    <w:rsid w:val="00134006"/>
    <w:rsid w:val="001352F3"/>
    <w:rsid w:val="00136F1A"/>
    <w:rsid w:val="0014088E"/>
    <w:rsid w:val="00140B94"/>
    <w:rsid w:val="00140BEF"/>
    <w:rsid w:val="00140CBF"/>
    <w:rsid w:val="00141735"/>
    <w:rsid w:val="001433B2"/>
    <w:rsid w:val="00147569"/>
    <w:rsid w:val="00151099"/>
    <w:rsid w:val="00151BB9"/>
    <w:rsid w:val="0015254C"/>
    <w:rsid w:val="00153FB3"/>
    <w:rsid w:val="001541F5"/>
    <w:rsid w:val="00156B7F"/>
    <w:rsid w:val="00164082"/>
    <w:rsid w:val="001655A7"/>
    <w:rsid w:val="00166023"/>
    <w:rsid w:val="0016666B"/>
    <w:rsid w:val="00166BE2"/>
    <w:rsid w:val="00167170"/>
    <w:rsid w:val="00167F7B"/>
    <w:rsid w:val="00170D60"/>
    <w:rsid w:val="00172B64"/>
    <w:rsid w:val="0017466E"/>
    <w:rsid w:val="00183BB7"/>
    <w:rsid w:val="001843D9"/>
    <w:rsid w:val="00184690"/>
    <w:rsid w:val="0018771D"/>
    <w:rsid w:val="00190405"/>
    <w:rsid w:val="00190FDA"/>
    <w:rsid w:val="00192EB1"/>
    <w:rsid w:val="00194525"/>
    <w:rsid w:val="001A11AA"/>
    <w:rsid w:val="001A15FD"/>
    <w:rsid w:val="001A29C3"/>
    <w:rsid w:val="001A4C6C"/>
    <w:rsid w:val="001A77E0"/>
    <w:rsid w:val="001B10C3"/>
    <w:rsid w:val="001B11A6"/>
    <w:rsid w:val="001B30FB"/>
    <w:rsid w:val="001B3449"/>
    <w:rsid w:val="001B41F0"/>
    <w:rsid w:val="001B42C7"/>
    <w:rsid w:val="001B45B4"/>
    <w:rsid w:val="001B4EA8"/>
    <w:rsid w:val="001B582C"/>
    <w:rsid w:val="001B7E6E"/>
    <w:rsid w:val="001C3363"/>
    <w:rsid w:val="001C4621"/>
    <w:rsid w:val="001C6290"/>
    <w:rsid w:val="001C7D81"/>
    <w:rsid w:val="001D06E1"/>
    <w:rsid w:val="001D079D"/>
    <w:rsid w:val="001D1FE1"/>
    <w:rsid w:val="001D25B1"/>
    <w:rsid w:val="001D2DF6"/>
    <w:rsid w:val="001D4F7F"/>
    <w:rsid w:val="001D5499"/>
    <w:rsid w:val="001D6D98"/>
    <w:rsid w:val="001D77AD"/>
    <w:rsid w:val="001D7D71"/>
    <w:rsid w:val="001E0D02"/>
    <w:rsid w:val="001E2A9F"/>
    <w:rsid w:val="001E42D3"/>
    <w:rsid w:val="001E4C56"/>
    <w:rsid w:val="001E503E"/>
    <w:rsid w:val="001E507A"/>
    <w:rsid w:val="001F36D9"/>
    <w:rsid w:val="001F4190"/>
    <w:rsid w:val="001F57B0"/>
    <w:rsid w:val="00200BA0"/>
    <w:rsid w:val="002037F5"/>
    <w:rsid w:val="0020565F"/>
    <w:rsid w:val="00206E54"/>
    <w:rsid w:val="0020761F"/>
    <w:rsid w:val="00211031"/>
    <w:rsid w:val="0021140C"/>
    <w:rsid w:val="00214C56"/>
    <w:rsid w:val="00215DC4"/>
    <w:rsid w:val="002208F5"/>
    <w:rsid w:val="0022197C"/>
    <w:rsid w:val="0022305C"/>
    <w:rsid w:val="00223E67"/>
    <w:rsid w:val="00226195"/>
    <w:rsid w:val="00226BEB"/>
    <w:rsid w:val="00231417"/>
    <w:rsid w:val="00231FC8"/>
    <w:rsid w:val="00234B0F"/>
    <w:rsid w:val="00234D39"/>
    <w:rsid w:val="0023613F"/>
    <w:rsid w:val="002373FF"/>
    <w:rsid w:val="00240E3C"/>
    <w:rsid w:val="00243753"/>
    <w:rsid w:val="00243C8A"/>
    <w:rsid w:val="00243D12"/>
    <w:rsid w:val="00243E39"/>
    <w:rsid w:val="002454B2"/>
    <w:rsid w:val="00245760"/>
    <w:rsid w:val="00245765"/>
    <w:rsid w:val="0025086E"/>
    <w:rsid w:val="00250949"/>
    <w:rsid w:val="00250B5F"/>
    <w:rsid w:val="002515F5"/>
    <w:rsid w:val="00251A56"/>
    <w:rsid w:val="00251D05"/>
    <w:rsid w:val="002552F5"/>
    <w:rsid w:val="00256859"/>
    <w:rsid w:val="002574D7"/>
    <w:rsid w:val="00260023"/>
    <w:rsid w:val="002611E0"/>
    <w:rsid w:val="00261CAE"/>
    <w:rsid w:val="00266328"/>
    <w:rsid w:val="002676FA"/>
    <w:rsid w:val="00271510"/>
    <w:rsid w:val="002718F2"/>
    <w:rsid w:val="0027199F"/>
    <w:rsid w:val="00273521"/>
    <w:rsid w:val="002758F3"/>
    <w:rsid w:val="00277583"/>
    <w:rsid w:val="0027766C"/>
    <w:rsid w:val="00280FAB"/>
    <w:rsid w:val="0028251C"/>
    <w:rsid w:val="00284E4F"/>
    <w:rsid w:val="002850CF"/>
    <w:rsid w:val="00285416"/>
    <w:rsid w:val="00286189"/>
    <w:rsid w:val="002864BE"/>
    <w:rsid w:val="0029387B"/>
    <w:rsid w:val="002942A4"/>
    <w:rsid w:val="002943C5"/>
    <w:rsid w:val="00294BC9"/>
    <w:rsid w:val="002960C4"/>
    <w:rsid w:val="00297845"/>
    <w:rsid w:val="002A0A93"/>
    <w:rsid w:val="002A19BB"/>
    <w:rsid w:val="002A1BB3"/>
    <w:rsid w:val="002A1BFA"/>
    <w:rsid w:val="002A36A7"/>
    <w:rsid w:val="002A3FB7"/>
    <w:rsid w:val="002A4A68"/>
    <w:rsid w:val="002A6747"/>
    <w:rsid w:val="002B10DA"/>
    <w:rsid w:val="002B2F87"/>
    <w:rsid w:val="002B3911"/>
    <w:rsid w:val="002B7170"/>
    <w:rsid w:val="002C076A"/>
    <w:rsid w:val="002C3F52"/>
    <w:rsid w:val="002C4782"/>
    <w:rsid w:val="002C6CBB"/>
    <w:rsid w:val="002C6E8C"/>
    <w:rsid w:val="002C7FE3"/>
    <w:rsid w:val="002D328C"/>
    <w:rsid w:val="002D3F05"/>
    <w:rsid w:val="002D7AE0"/>
    <w:rsid w:val="002D7C77"/>
    <w:rsid w:val="002E2369"/>
    <w:rsid w:val="002E2CD6"/>
    <w:rsid w:val="002E3DF6"/>
    <w:rsid w:val="002E42B7"/>
    <w:rsid w:val="002E4A16"/>
    <w:rsid w:val="002E55C1"/>
    <w:rsid w:val="002E6F64"/>
    <w:rsid w:val="002F03E8"/>
    <w:rsid w:val="002F1D07"/>
    <w:rsid w:val="002F3B5C"/>
    <w:rsid w:val="002F497E"/>
    <w:rsid w:val="002F7175"/>
    <w:rsid w:val="002F7AB6"/>
    <w:rsid w:val="00300D02"/>
    <w:rsid w:val="0030144B"/>
    <w:rsid w:val="00302F4F"/>
    <w:rsid w:val="00304C98"/>
    <w:rsid w:val="003051A3"/>
    <w:rsid w:val="003062CD"/>
    <w:rsid w:val="00310962"/>
    <w:rsid w:val="003114FA"/>
    <w:rsid w:val="003128D6"/>
    <w:rsid w:val="003136B0"/>
    <w:rsid w:val="00316AC2"/>
    <w:rsid w:val="00320929"/>
    <w:rsid w:val="0032126D"/>
    <w:rsid w:val="003258F9"/>
    <w:rsid w:val="00325CB2"/>
    <w:rsid w:val="0033136B"/>
    <w:rsid w:val="00332FCC"/>
    <w:rsid w:val="00333E6C"/>
    <w:rsid w:val="00333FD1"/>
    <w:rsid w:val="003357D8"/>
    <w:rsid w:val="00335934"/>
    <w:rsid w:val="0033674F"/>
    <w:rsid w:val="00340219"/>
    <w:rsid w:val="00340461"/>
    <w:rsid w:val="00341332"/>
    <w:rsid w:val="003425D5"/>
    <w:rsid w:val="00343B35"/>
    <w:rsid w:val="0034478D"/>
    <w:rsid w:val="003458C4"/>
    <w:rsid w:val="00347EC8"/>
    <w:rsid w:val="003522AB"/>
    <w:rsid w:val="0035445D"/>
    <w:rsid w:val="00356C29"/>
    <w:rsid w:val="00361BC4"/>
    <w:rsid w:val="00365293"/>
    <w:rsid w:val="003662D8"/>
    <w:rsid w:val="00370165"/>
    <w:rsid w:val="00372564"/>
    <w:rsid w:val="00372ABE"/>
    <w:rsid w:val="00373090"/>
    <w:rsid w:val="0037319C"/>
    <w:rsid w:val="00373B1C"/>
    <w:rsid w:val="00375163"/>
    <w:rsid w:val="0037770B"/>
    <w:rsid w:val="0037776E"/>
    <w:rsid w:val="00377E69"/>
    <w:rsid w:val="00381046"/>
    <w:rsid w:val="003815AA"/>
    <w:rsid w:val="00381760"/>
    <w:rsid w:val="00381A79"/>
    <w:rsid w:val="00383BF4"/>
    <w:rsid w:val="00385831"/>
    <w:rsid w:val="00385F20"/>
    <w:rsid w:val="0038672C"/>
    <w:rsid w:val="00393286"/>
    <w:rsid w:val="00395078"/>
    <w:rsid w:val="003952B9"/>
    <w:rsid w:val="003A0329"/>
    <w:rsid w:val="003A0591"/>
    <w:rsid w:val="003A0AE5"/>
    <w:rsid w:val="003A21EB"/>
    <w:rsid w:val="003A4B80"/>
    <w:rsid w:val="003B5B7F"/>
    <w:rsid w:val="003B643A"/>
    <w:rsid w:val="003C0812"/>
    <w:rsid w:val="003C12A6"/>
    <w:rsid w:val="003C1E66"/>
    <w:rsid w:val="003D0064"/>
    <w:rsid w:val="003D00B7"/>
    <w:rsid w:val="003D0F11"/>
    <w:rsid w:val="003D145F"/>
    <w:rsid w:val="003D2057"/>
    <w:rsid w:val="003D2F7B"/>
    <w:rsid w:val="003D3DC4"/>
    <w:rsid w:val="003D5CBF"/>
    <w:rsid w:val="003D6887"/>
    <w:rsid w:val="003E11D0"/>
    <w:rsid w:val="003E18D1"/>
    <w:rsid w:val="003E2EF8"/>
    <w:rsid w:val="003E4602"/>
    <w:rsid w:val="003E4FE0"/>
    <w:rsid w:val="003E71C2"/>
    <w:rsid w:val="003F08A5"/>
    <w:rsid w:val="003F1F96"/>
    <w:rsid w:val="003F3FB9"/>
    <w:rsid w:val="003F5F2A"/>
    <w:rsid w:val="003F7CE0"/>
    <w:rsid w:val="00402511"/>
    <w:rsid w:val="004052B3"/>
    <w:rsid w:val="00406258"/>
    <w:rsid w:val="004064F6"/>
    <w:rsid w:val="00407CA2"/>
    <w:rsid w:val="0041071E"/>
    <w:rsid w:val="00410BA6"/>
    <w:rsid w:val="00411949"/>
    <w:rsid w:val="004129B4"/>
    <w:rsid w:val="00413C64"/>
    <w:rsid w:val="00414433"/>
    <w:rsid w:val="00416564"/>
    <w:rsid w:val="00416AAD"/>
    <w:rsid w:val="00417FB6"/>
    <w:rsid w:val="00420885"/>
    <w:rsid w:val="0042400A"/>
    <w:rsid w:val="00424DEE"/>
    <w:rsid w:val="00427276"/>
    <w:rsid w:val="004273C7"/>
    <w:rsid w:val="00427DBD"/>
    <w:rsid w:val="00431970"/>
    <w:rsid w:val="004331E8"/>
    <w:rsid w:val="00434052"/>
    <w:rsid w:val="00436588"/>
    <w:rsid w:val="004373B7"/>
    <w:rsid w:val="00437B91"/>
    <w:rsid w:val="004425B5"/>
    <w:rsid w:val="004434F5"/>
    <w:rsid w:val="0044355E"/>
    <w:rsid w:val="00443678"/>
    <w:rsid w:val="00443C0C"/>
    <w:rsid w:val="00444C14"/>
    <w:rsid w:val="00447FB5"/>
    <w:rsid w:val="004524A4"/>
    <w:rsid w:val="004546AD"/>
    <w:rsid w:val="004608E6"/>
    <w:rsid w:val="0046164E"/>
    <w:rsid w:val="00461981"/>
    <w:rsid w:val="004635F7"/>
    <w:rsid w:val="0046387F"/>
    <w:rsid w:val="00465E66"/>
    <w:rsid w:val="00472560"/>
    <w:rsid w:val="00473031"/>
    <w:rsid w:val="00474B5B"/>
    <w:rsid w:val="0047772B"/>
    <w:rsid w:val="004807AE"/>
    <w:rsid w:val="00482F13"/>
    <w:rsid w:val="00483643"/>
    <w:rsid w:val="00484ECB"/>
    <w:rsid w:val="00485264"/>
    <w:rsid w:val="00486C44"/>
    <w:rsid w:val="00486EB5"/>
    <w:rsid w:val="00490209"/>
    <w:rsid w:val="00492146"/>
    <w:rsid w:val="004A4DDB"/>
    <w:rsid w:val="004A6B01"/>
    <w:rsid w:val="004B234C"/>
    <w:rsid w:val="004B443A"/>
    <w:rsid w:val="004B4F0A"/>
    <w:rsid w:val="004B4F8B"/>
    <w:rsid w:val="004B5117"/>
    <w:rsid w:val="004B6BAB"/>
    <w:rsid w:val="004C07D4"/>
    <w:rsid w:val="004C11A6"/>
    <w:rsid w:val="004C2E5F"/>
    <w:rsid w:val="004C2F7C"/>
    <w:rsid w:val="004C4F7A"/>
    <w:rsid w:val="004D4463"/>
    <w:rsid w:val="004D70CC"/>
    <w:rsid w:val="004E58B4"/>
    <w:rsid w:val="004E5EE4"/>
    <w:rsid w:val="004E631B"/>
    <w:rsid w:val="004E68C5"/>
    <w:rsid w:val="004F18A1"/>
    <w:rsid w:val="004F27DF"/>
    <w:rsid w:val="004F53BA"/>
    <w:rsid w:val="004F5846"/>
    <w:rsid w:val="004F58AC"/>
    <w:rsid w:val="004F611B"/>
    <w:rsid w:val="004F67BC"/>
    <w:rsid w:val="00500FE5"/>
    <w:rsid w:val="00502DAA"/>
    <w:rsid w:val="0050308C"/>
    <w:rsid w:val="0051120D"/>
    <w:rsid w:val="00512EC9"/>
    <w:rsid w:val="0052035D"/>
    <w:rsid w:val="00521C8B"/>
    <w:rsid w:val="00522B80"/>
    <w:rsid w:val="005237A0"/>
    <w:rsid w:val="0052451C"/>
    <w:rsid w:val="005274E8"/>
    <w:rsid w:val="005275AC"/>
    <w:rsid w:val="00530E18"/>
    <w:rsid w:val="005331E2"/>
    <w:rsid w:val="00541771"/>
    <w:rsid w:val="00542467"/>
    <w:rsid w:val="005438F0"/>
    <w:rsid w:val="00544060"/>
    <w:rsid w:val="0054541C"/>
    <w:rsid w:val="00545EAE"/>
    <w:rsid w:val="0054635F"/>
    <w:rsid w:val="00551DB0"/>
    <w:rsid w:val="0055260D"/>
    <w:rsid w:val="005536BE"/>
    <w:rsid w:val="0055558B"/>
    <w:rsid w:val="00556F31"/>
    <w:rsid w:val="00561EE4"/>
    <w:rsid w:val="00563025"/>
    <w:rsid w:val="00563173"/>
    <w:rsid w:val="00564323"/>
    <w:rsid w:val="005679BA"/>
    <w:rsid w:val="00567C06"/>
    <w:rsid w:val="00571877"/>
    <w:rsid w:val="0057264B"/>
    <w:rsid w:val="0057360B"/>
    <w:rsid w:val="0057389F"/>
    <w:rsid w:val="00573AA0"/>
    <w:rsid w:val="005747A2"/>
    <w:rsid w:val="00574DA7"/>
    <w:rsid w:val="005762F1"/>
    <w:rsid w:val="00576519"/>
    <w:rsid w:val="00580784"/>
    <w:rsid w:val="00583266"/>
    <w:rsid w:val="00584666"/>
    <w:rsid w:val="00587C73"/>
    <w:rsid w:val="0059068A"/>
    <w:rsid w:val="005929EC"/>
    <w:rsid w:val="00593E2C"/>
    <w:rsid w:val="00594D4A"/>
    <w:rsid w:val="00594EFF"/>
    <w:rsid w:val="00597F59"/>
    <w:rsid w:val="005A3A86"/>
    <w:rsid w:val="005A58BF"/>
    <w:rsid w:val="005A58D5"/>
    <w:rsid w:val="005A66FD"/>
    <w:rsid w:val="005A7DE2"/>
    <w:rsid w:val="005B0774"/>
    <w:rsid w:val="005B0CC6"/>
    <w:rsid w:val="005B2CB6"/>
    <w:rsid w:val="005B3778"/>
    <w:rsid w:val="005B5C4C"/>
    <w:rsid w:val="005B5DA5"/>
    <w:rsid w:val="005B6A37"/>
    <w:rsid w:val="005C08FB"/>
    <w:rsid w:val="005C7514"/>
    <w:rsid w:val="005D0053"/>
    <w:rsid w:val="005D522D"/>
    <w:rsid w:val="005D5750"/>
    <w:rsid w:val="005D5CD2"/>
    <w:rsid w:val="005D6ABE"/>
    <w:rsid w:val="005E0B60"/>
    <w:rsid w:val="005E0C1B"/>
    <w:rsid w:val="005E2CBE"/>
    <w:rsid w:val="005E2CD5"/>
    <w:rsid w:val="005E33D2"/>
    <w:rsid w:val="005E58DE"/>
    <w:rsid w:val="005E5B14"/>
    <w:rsid w:val="005E5DC3"/>
    <w:rsid w:val="005E7117"/>
    <w:rsid w:val="005E7B91"/>
    <w:rsid w:val="005F464D"/>
    <w:rsid w:val="005F51E5"/>
    <w:rsid w:val="006000EE"/>
    <w:rsid w:val="006003A8"/>
    <w:rsid w:val="006003F6"/>
    <w:rsid w:val="00602D61"/>
    <w:rsid w:val="00603A56"/>
    <w:rsid w:val="006059FF"/>
    <w:rsid w:val="00607539"/>
    <w:rsid w:val="00610D7D"/>
    <w:rsid w:val="00615322"/>
    <w:rsid w:val="00620D7E"/>
    <w:rsid w:val="00621201"/>
    <w:rsid w:val="00621688"/>
    <w:rsid w:val="006223D8"/>
    <w:rsid w:val="00623A1C"/>
    <w:rsid w:val="00624FBA"/>
    <w:rsid w:val="00632012"/>
    <w:rsid w:val="00637568"/>
    <w:rsid w:val="00642D1C"/>
    <w:rsid w:val="006432FF"/>
    <w:rsid w:val="00644BAC"/>
    <w:rsid w:val="00645138"/>
    <w:rsid w:val="00645708"/>
    <w:rsid w:val="00646832"/>
    <w:rsid w:val="00647877"/>
    <w:rsid w:val="00647AB5"/>
    <w:rsid w:val="006518FF"/>
    <w:rsid w:val="006531B5"/>
    <w:rsid w:val="006538C5"/>
    <w:rsid w:val="006557EA"/>
    <w:rsid w:val="00657B32"/>
    <w:rsid w:val="00661A6C"/>
    <w:rsid w:val="006647B3"/>
    <w:rsid w:val="00665612"/>
    <w:rsid w:val="00666F53"/>
    <w:rsid w:val="00667BD7"/>
    <w:rsid w:val="00670A13"/>
    <w:rsid w:val="00674424"/>
    <w:rsid w:val="006749AB"/>
    <w:rsid w:val="006750E8"/>
    <w:rsid w:val="00675B59"/>
    <w:rsid w:val="006769E3"/>
    <w:rsid w:val="00681388"/>
    <w:rsid w:val="00681EF4"/>
    <w:rsid w:val="00682557"/>
    <w:rsid w:val="0068286C"/>
    <w:rsid w:val="006839D7"/>
    <w:rsid w:val="00683E8B"/>
    <w:rsid w:val="0068405C"/>
    <w:rsid w:val="00684D8A"/>
    <w:rsid w:val="00685A53"/>
    <w:rsid w:val="00685B74"/>
    <w:rsid w:val="0068749B"/>
    <w:rsid w:val="0068789A"/>
    <w:rsid w:val="00687D2B"/>
    <w:rsid w:val="00690D23"/>
    <w:rsid w:val="006922FD"/>
    <w:rsid w:val="00694F2E"/>
    <w:rsid w:val="00696E47"/>
    <w:rsid w:val="006A0B94"/>
    <w:rsid w:val="006A201F"/>
    <w:rsid w:val="006A21B9"/>
    <w:rsid w:val="006A3022"/>
    <w:rsid w:val="006A348B"/>
    <w:rsid w:val="006A3C0E"/>
    <w:rsid w:val="006B0C1F"/>
    <w:rsid w:val="006B205F"/>
    <w:rsid w:val="006B4F15"/>
    <w:rsid w:val="006C0835"/>
    <w:rsid w:val="006C150D"/>
    <w:rsid w:val="006C302E"/>
    <w:rsid w:val="006C32DF"/>
    <w:rsid w:val="006C4911"/>
    <w:rsid w:val="006C66D8"/>
    <w:rsid w:val="006D432D"/>
    <w:rsid w:val="006E18BE"/>
    <w:rsid w:val="006E23A7"/>
    <w:rsid w:val="006E4235"/>
    <w:rsid w:val="006E594B"/>
    <w:rsid w:val="006E6A3B"/>
    <w:rsid w:val="006E77F9"/>
    <w:rsid w:val="006E7D4F"/>
    <w:rsid w:val="006F0C77"/>
    <w:rsid w:val="006F11DE"/>
    <w:rsid w:val="006F12E0"/>
    <w:rsid w:val="006F1D42"/>
    <w:rsid w:val="006F2167"/>
    <w:rsid w:val="006F228B"/>
    <w:rsid w:val="006F266E"/>
    <w:rsid w:val="006F4235"/>
    <w:rsid w:val="006F70AD"/>
    <w:rsid w:val="007016E4"/>
    <w:rsid w:val="00701DC4"/>
    <w:rsid w:val="007058ED"/>
    <w:rsid w:val="007062C3"/>
    <w:rsid w:val="00706928"/>
    <w:rsid w:val="007073A1"/>
    <w:rsid w:val="00711405"/>
    <w:rsid w:val="007118FC"/>
    <w:rsid w:val="00715F47"/>
    <w:rsid w:val="00715F92"/>
    <w:rsid w:val="007172A8"/>
    <w:rsid w:val="00717E8F"/>
    <w:rsid w:val="007200AE"/>
    <w:rsid w:val="007206ED"/>
    <w:rsid w:val="00721086"/>
    <w:rsid w:val="00723D28"/>
    <w:rsid w:val="0072546F"/>
    <w:rsid w:val="0072686D"/>
    <w:rsid w:val="00730E00"/>
    <w:rsid w:val="00732774"/>
    <w:rsid w:val="00734872"/>
    <w:rsid w:val="00734A81"/>
    <w:rsid w:val="00734C9C"/>
    <w:rsid w:val="0073750F"/>
    <w:rsid w:val="00740CEE"/>
    <w:rsid w:val="00741B02"/>
    <w:rsid w:val="00742563"/>
    <w:rsid w:val="00743778"/>
    <w:rsid w:val="00743AEC"/>
    <w:rsid w:val="0074476B"/>
    <w:rsid w:val="007451BF"/>
    <w:rsid w:val="00745653"/>
    <w:rsid w:val="00745BAB"/>
    <w:rsid w:val="007512F1"/>
    <w:rsid w:val="00751441"/>
    <w:rsid w:val="007522C5"/>
    <w:rsid w:val="007528A2"/>
    <w:rsid w:val="00756210"/>
    <w:rsid w:val="0075641C"/>
    <w:rsid w:val="00756C52"/>
    <w:rsid w:val="00757B5D"/>
    <w:rsid w:val="00762142"/>
    <w:rsid w:val="007628F6"/>
    <w:rsid w:val="00762C0F"/>
    <w:rsid w:val="00764012"/>
    <w:rsid w:val="007664B7"/>
    <w:rsid w:val="0076687A"/>
    <w:rsid w:val="00766B6D"/>
    <w:rsid w:val="007672EE"/>
    <w:rsid w:val="00771ED4"/>
    <w:rsid w:val="00772898"/>
    <w:rsid w:val="007757BB"/>
    <w:rsid w:val="0077665F"/>
    <w:rsid w:val="00781BD9"/>
    <w:rsid w:val="00783627"/>
    <w:rsid w:val="0078400F"/>
    <w:rsid w:val="0078464D"/>
    <w:rsid w:val="0078464E"/>
    <w:rsid w:val="007864D1"/>
    <w:rsid w:val="007875DA"/>
    <w:rsid w:val="007875EC"/>
    <w:rsid w:val="007877F8"/>
    <w:rsid w:val="007925E1"/>
    <w:rsid w:val="0079355F"/>
    <w:rsid w:val="00793BC9"/>
    <w:rsid w:val="00794169"/>
    <w:rsid w:val="00794410"/>
    <w:rsid w:val="00797E7E"/>
    <w:rsid w:val="007A12BB"/>
    <w:rsid w:val="007A3B66"/>
    <w:rsid w:val="007B0633"/>
    <w:rsid w:val="007B206C"/>
    <w:rsid w:val="007B2266"/>
    <w:rsid w:val="007B2452"/>
    <w:rsid w:val="007B288B"/>
    <w:rsid w:val="007B5B91"/>
    <w:rsid w:val="007C041B"/>
    <w:rsid w:val="007C3AF1"/>
    <w:rsid w:val="007C6DCE"/>
    <w:rsid w:val="007C7C08"/>
    <w:rsid w:val="007D12E4"/>
    <w:rsid w:val="007D12E6"/>
    <w:rsid w:val="007D4C66"/>
    <w:rsid w:val="007D5756"/>
    <w:rsid w:val="007D6E5E"/>
    <w:rsid w:val="007D7958"/>
    <w:rsid w:val="007D7A75"/>
    <w:rsid w:val="007E0246"/>
    <w:rsid w:val="007E034E"/>
    <w:rsid w:val="007E0DDD"/>
    <w:rsid w:val="007E0EB3"/>
    <w:rsid w:val="007E1D80"/>
    <w:rsid w:val="007E29B2"/>
    <w:rsid w:val="007E2E1B"/>
    <w:rsid w:val="007E3288"/>
    <w:rsid w:val="007E383D"/>
    <w:rsid w:val="007E658A"/>
    <w:rsid w:val="007F25BC"/>
    <w:rsid w:val="007F2DDB"/>
    <w:rsid w:val="007F3C3C"/>
    <w:rsid w:val="007F6289"/>
    <w:rsid w:val="007F6A8F"/>
    <w:rsid w:val="00801151"/>
    <w:rsid w:val="008020F7"/>
    <w:rsid w:val="0080480D"/>
    <w:rsid w:val="00807278"/>
    <w:rsid w:val="00811635"/>
    <w:rsid w:val="0081201F"/>
    <w:rsid w:val="00813655"/>
    <w:rsid w:val="00815577"/>
    <w:rsid w:val="00816543"/>
    <w:rsid w:val="00817EB9"/>
    <w:rsid w:val="008217AC"/>
    <w:rsid w:val="00822A54"/>
    <w:rsid w:val="00823499"/>
    <w:rsid w:val="00824D9C"/>
    <w:rsid w:val="0082527E"/>
    <w:rsid w:val="00825FF6"/>
    <w:rsid w:val="008264CA"/>
    <w:rsid w:val="00826941"/>
    <w:rsid w:val="0083078C"/>
    <w:rsid w:val="00831814"/>
    <w:rsid w:val="008325F5"/>
    <w:rsid w:val="00833080"/>
    <w:rsid w:val="00833A75"/>
    <w:rsid w:val="00834A71"/>
    <w:rsid w:val="00851423"/>
    <w:rsid w:val="00851CC1"/>
    <w:rsid w:val="00853ECE"/>
    <w:rsid w:val="008550D2"/>
    <w:rsid w:val="0085534F"/>
    <w:rsid w:val="00856D22"/>
    <w:rsid w:val="00861A32"/>
    <w:rsid w:val="00861D5A"/>
    <w:rsid w:val="00862D19"/>
    <w:rsid w:val="008631E1"/>
    <w:rsid w:val="00864BC2"/>
    <w:rsid w:val="00864F50"/>
    <w:rsid w:val="008655D7"/>
    <w:rsid w:val="00865842"/>
    <w:rsid w:val="00867758"/>
    <w:rsid w:val="00870D9F"/>
    <w:rsid w:val="0087291E"/>
    <w:rsid w:val="00875301"/>
    <w:rsid w:val="008754AF"/>
    <w:rsid w:val="00876200"/>
    <w:rsid w:val="0088370F"/>
    <w:rsid w:val="00883A5D"/>
    <w:rsid w:val="008844C6"/>
    <w:rsid w:val="00884AE1"/>
    <w:rsid w:val="00887F00"/>
    <w:rsid w:val="0089149D"/>
    <w:rsid w:val="00892176"/>
    <w:rsid w:val="0089370B"/>
    <w:rsid w:val="00893D6A"/>
    <w:rsid w:val="008944D6"/>
    <w:rsid w:val="008977C2"/>
    <w:rsid w:val="008A0920"/>
    <w:rsid w:val="008A7784"/>
    <w:rsid w:val="008B088A"/>
    <w:rsid w:val="008B0C19"/>
    <w:rsid w:val="008B17D6"/>
    <w:rsid w:val="008B280D"/>
    <w:rsid w:val="008B2BA0"/>
    <w:rsid w:val="008B395F"/>
    <w:rsid w:val="008B6487"/>
    <w:rsid w:val="008C1441"/>
    <w:rsid w:val="008C15D7"/>
    <w:rsid w:val="008C213F"/>
    <w:rsid w:val="008C3829"/>
    <w:rsid w:val="008C4707"/>
    <w:rsid w:val="008C4F4B"/>
    <w:rsid w:val="008C5FC0"/>
    <w:rsid w:val="008C7F9B"/>
    <w:rsid w:val="008D01EA"/>
    <w:rsid w:val="008D13A2"/>
    <w:rsid w:val="008D19E1"/>
    <w:rsid w:val="008D4894"/>
    <w:rsid w:val="008D4EF0"/>
    <w:rsid w:val="008E06F5"/>
    <w:rsid w:val="008E13AB"/>
    <w:rsid w:val="008E2A56"/>
    <w:rsid w:val="008E308F"/>
    <w:rsid w:val="008E4270"/>
    <w:rsid w:val="008E6DF3"/>
    <w:rsid w:val="008F1487"/>
    <w:rsid w:val="008F1B8F"/>
    <w:rsid w:val="008F42D0"/>
    <w:rsid w:val="008F53CA"/>
    <w:rsid w:val="008F5CA4"/>
    <w:rsid w:val="008F648B"/>
    <w:rsid w:val="008F6A4A"/>
    <w:rsid w:val="00900AF9"/>
    <w:rsid w:val="00901868"/>
    <w:rsid w:val="00903279"/>
    <w:rsid w:val="00904227"/>
    <w:rsid w:val="00906584"/>
    <w:rsid w:val="00911858"/>
    <w:rsid w:val="0091193D"/>
    <w:rsid w:val="00911CC0"/>
    <w:rsid w:val="009135FC"/>
    <w:rsid w:val="00915A9D"/>
    <w:rsid w:val="009172DD"/>
    <w:rsid w:val="0092127B"/>
    <w:rsid w:val="00921BF0"/>
    <w:rsid w:val="0092428B"/>
    <w:rsid w:val="00925B9B"/>
    <w:rsid w:val="00926076"/>
    <w:rsid w:val="00926DFF"/>
    <w:rsid w:val="009301CA"/>
    <w:rsid w:val="00930B6B"/>
    <w:rsid w:val="00931107"/>
    <w:rsid w:val="00934B3C"/>
    <w:rsid w:val="00935A00"/>
    <w:rsid w:val="0093718F"/>
    <w:rsid w:val="00940FEA"/>
    <w:rsid w:val="00941212"/>
    <w:rsid w:val="009412CA"/>
    <w:rsid w:val="00943E76"/>
    <w:rsid w:val="009455D0"/>
    <w:rsid w:val="009503FB"/>
    <w:rsid w:val="00950CD2"/>
    <w:rsid w:val="00952C4A"/>
    <w:rsid w:val="00955CBC"/>
    <w:rsid w:val="00956619"/>
    <w:rsid w:val="0095705D"/>
    <w:rsid w:val="0096079F"/>
    <w:rsid w:val="009612C6"/>
    <w:rsid w:val="00961F74"/>
    <w:rsid w:val="00964223"/>
    <w:rsid w:val="0096644A"/>
    <w:rsid w:val="00970671"/>
    <w:rsid w:val="009775A6"/>
    <w:rsid w:val="0097762C"/>
    <w:rsid w:val="0098317A"/>
    <w:rsid w:val="00984948"/>
    <w:rsid w:val="00984A1F"/>
    <w:rsid w:val="009904B1"/>
    <w:rsid w:val="00990BA7"/>
    <w:rsid w:val="00992002"/>
    <w:rsid w:val="00993B63"/>
    <w:rsid w:val="00993E36"/>
    <w:rsid w:val="00994767"/>
    <w:rsid w:val="00994CB7"/>
    <w:rsid w:val="009959C6"/>
    <w:rsid w:val="009A2B81"/>
    <w:rsid w:val="009A55B1"/>
    <w:rsid w:val="009B0F23"/>
    <w:rsid w:val="009B40D8"/>
    <w:rsid w:val="009B42EB"/>
    <w:rsid w:val="009B6DB8"/>
    <w:rsid w:val="009B74AE"/>
    <w:rsid w:val="009B7950"/>
    <w:rsid w:val="009C346F"/>
    <w:rsid w:val="009C4BE9"/>
    <w:rsid w:val="009C56E0"/>
    <w:rsid w:val="009D018A"/>
    <w:rsid w:val="009D1F39"/>
    <w:rsid w:val="009D2F16"/>
    <w:rsid w:val="009D34AD"/>
    <w:rsid w:val="009D4EBC"/>
    <w:rsid w:val="009D620A"/>
    <w:rsid w:val="009D6D42"/>
    <w:rsid w:val="009E1571"/>
    <w:rsid w:val="009E17E1"/>
    <w:rsid w:val="009E195B"/>
    <w:rsid w:val="009E38AA"/>
    <w:rsid w:val="009E3B1D"/>
    <w:rsid w:val="009E5C7A"/>
    <w:rsid w:val="009E61A5"/>
    <w:rsid w:val="009E7C82"/>
    <w:rsid w:val="009F03F1"/>
    <w:rsid w:val="009F2668"/>
    <w:rsid w:val="009F3696"/>
    <w:rsid w:val="009F5329"/>
    <w:rsid w:val="009F60A8"/>
    <w:rsid w:val="009F67D8"/>
    <w:rsid w:val="00A01D86"/>
    <w:rsid w:val="00A02655"/>
    <w:rsid w:val="00A027D0"/>
    <w:rsid w:val="00A0339B"/>
    <w:rsid w:val="00A048CE"/>
    <w:rsid w:val="00A0509D"/>
    <w:rsid w:val="00A13AE4"/>
    <w:rsid w:val="00A14E99"/>
    <w:rsid w:val="00A14ECF"/>
    <w:rsid w:val="00A15ABD"/>
    <w:rsid w:val="00A175F3"/>
    <w:rsid w:val="00A1763C"/>
    <w:rsid w:val="00A20BCF"/>
    <w:rsid w:val="00A22517"/>
    <w:rsid w:val="00A229A1"/>
    <w:rsid w:val="00A23327"/>
    <w:rsid w:val="00A247E4"/>
    <w:rsid w:val="00A24F70"/>
    <w:rsid w:val="00A264DE"/>
    <w:rsid w:val="00A27926"/>
    <w:rsid w:val="00A308D2"/>
    <w:rsid w:val="00A31E3D"/>
    <w:rsid w:val="00A32E3E"/>
    <w:rsid w:val="00A33AD0"/>
    <w:rsid w:val="00A34BCB"/>
    <w:rsid w:val="00A350DC"/>
    <w:rsid w:val="00A351ED"/>
    <w:rsid w:val="00A35619"/>
    <w:rsid w:val="00A365BD"/>
    <w:rsid w:val="00A375EE"/>
    <w:rsid w:val="00A4093F"/>
    <w:rsid w:val="00A42211"/>
    <w:rsid w:val="00A44493"/>
    <w:rsid w:val="00A4532E"/>
    <w:rsid w:val="00A4556A"/>
    <w:rsid w:val="00A50D4E"/>
    <w:rsid w:val="00A51AF1"/>
    <w:rsid w:val="00A51F13"/>
    <w:rsid w:val="00A52EF2"/>
    <w:rsid w:val="00A54F75"/>
    <w:rsid w:val="00A55433"/>
    <w:rsid w:val="00A60E5C"/>
    <w:rsid w:val="00A651B8"/>
    <w:rsid w:val="00A65D73"/>
    <w:rsid w:val="00A66AE5"/>
    <w:rsid w:val="00A75F08"/>
    <w:rsid w:val="00A76186"/>
    <w:rsid w:val="00A81AE4"/>
    <w:rsid w:val="00A8242B"/>
    <w:rsid w:val="00A835F7"/>
    <w:rsid w:val="00A84800"/>
    <w:rsid w:val="00A86030"/>
    <w:rsid w:val="00A86594"/>
    <w:rsid w:val="00A8786C"/>
    <w:rsid w:val="00A91C37"/>
    <w:rsid w:val="00A922CF"/>
    <w:rsid w:val="00A92A9D"/>
    <w:rsid w:val="00A92D43"/>
    <w:rsid w:val="00A931D8"/>
    <w:rsid w:val="00A9358F"/>
    <w:rsid w:val="00A949A6"/>
    <w:rsid w:val="00A94F1F"/>
    <w:rsid w:val="00A955A4"/>
    <w:rsid w:val="00A972F9"/>
    <w:rsid w:val="00AA0451"/>
    <w:rsid w:val="00AA22A4"/>
    <w:rsid w:val="00AA2408"/>
    <w:rsid w:val="00AA29A8"/>
    <w:rsid w:val="00AA3C24"/>
    <w:rsid w:val="00AA6128"/>
    <w:rsid w:val="00AA6904"/>
    <w:rsid w:val="00AB038B"/>
    <w:rsid w:val="00AB2434"/>
    <w:rsid w:val="00AB2908"/>
    <w:rsid w:val="00AB2DAB"/>
    <w:rsid w:val="00AB4670"/>
    <w:rsid w:val="00AB4B0C"/>
    <w:rsid w:val="00AB4E30"/>
    <w:rsid w:val="00AB6382"/>
    <w:rsid w:val="00AB6D8B"/>
    <w:rsid w:val="00AB7337"/>
    <w:rsid w:val="00AC03FD"/>
    <w:rsid w:val="00AC070E"/>
    <w:rsid w:val="00AC1215"/>
    <w:rsid w:val="00AC4E57"/>
    <w:rsid w:val="00AD0939"/>
    <w:rsid w:val="00AD0A61"/>
    <w:rsid w:val="00AD20E3"/>
    <w:rsid w:val="00AD4833"/>
    <w:rsid w:val="00AD594D"/>
    <w:rsid w:val="00AD7BAB"/>
    <w:rsid w:val="00AE2200"/>
    <w:rsid w:val="00AE3ABC"/>
    <w:rsid w:val="00AE41E0"/>
    <w:rsid w:val="00AE437B"/>
    <w:rsid w:val="00AE6F5D"/>
    <w:rsid w:val="00AF0BA5"/>
    <w:rsid w:val="00AF2814"/>
    <w:rsid w:val="00AF3662"/>
    <w:rsid w:val="00AF3E02"/>
    <w:rsid w:val="00AF4061"/>
    <w:rsid w:val="00AF54B8"/>
    <w:rsid w:val="00AF6447"/>
    <w:rsid w:val="00AF76E1"/>
    <w:rsid w:val="00B04577"/>
    <w:rsid w:val="00B04D93"/>
    <w:rsid w:val="00B14BA5"/>
    <w:rsid w:val="00B15A67"/>
    <w:rsid w:val="00B1718E"/>
    <w:rsid w:val="00B17E61"/>
    <w:rsid w:val="00B200C3"/>
    <w:rsid w:val="00B21A6E"/>
    <w:rsid w:val="00B236F5"/>
    <w:rsid w:val="00B2377B"/>
    <w:rsid w:val="00B239DD"/>
    <w:rsid w:val="00B24F04"/>
    <w:rsid w:val="00B257CC"/>
    <w:rsid w:val="00B258A8"/>
    <w:rsid w:val="00B25955"/>
    <w:rsid w:val="00B25C73"/>
    <w:rsid w:val="00B27792"/>
    <w:rsid w:val="00B331FD"/>
    <w:rsid w:val="00B357B6"/>
    <w:rsid w:val="00B3606C"/>
    <w:rsid w:val="00B36429"/>
    <w:rsid w:val="00B37518"/>
    <w:rsid w:val="00B376B3"/>
    <w:rsid w:val="00B404F6"/>
    <w:rsid w:val="00B409CE"/>
    <w:rsid w:val="00B41AF3"/>
    <w:rsid w:val="00B41B0D"/>
    <w:rsid w:val="00B505FB"/>
    <w:rsid w:val="00B50FD0"/>
    <w:rsid w:val="00B52D7B"/>
    <w:rsid w:val="00B539C5"/>
    <w:rsid w:val="00B54421"/>
    <w:rsid w:val="00B54CD4"/>
    <w:rsid w:val="00B55370"/>
    <w:rsid w:val="00B55942"/>
    <w:rsid w:val="00B56A59"/>
    <w:rsid w:val="00B56E48"/>
    <w:rsid w:val="00B6158A"/>
    <w:rsid w:val="00B64299"/>
    <w:rsid w:val="00B64595"/>
    <w:rsid w:val="00B64EC1"/>
    <w:rsid w:val="00B6683C"/>
    <w:rsid w:val="00B71518"/>
    <w:rsid w:val="00B71EB5"/>
    <w:rsid w:val="00B7245D"/>
    <w:rsid w:val="00B741E0"/>
    <w:rsid w:val="00B76612"/>
    <w:rsid w:val="00B80E7E"/>
    <w:rsid w:val="00B82957"/>
    <w:rsid w:val="00B83139"/>
    <w:rsid w:val="00B838DD"/>
    <w:rsid w:val="00B83D25"/>
    <w:rsid w:val="00B83E71"/>
    <w:rsid w:val="00B84494"/>
    <w:rsid w:val="00B84C3B"/>
    <w:rsid w:val="00B8535D"/>
    <w:rsid w:val="00B86C25"/>
    <w:rsid w:val="00B879DB"/>
    <w:rsid w:val="00B87AD6"/>
    <w:rsid w:val="00B93165"/>
    <w:rsid w:val="00B94744"/>
    <w:rsid w:val="00B94A34"/>
    <w:rsid w:val="00B97E8E"/>
    <w:rsid w:val="00BA415A"/>
    <w:rsid w:val="00BA461D"/>
    <w:rsid w:val="00BA48EF"/>
    <w:rsid w:val="00BA4A72"/>
    <w:rsid w:val="00BA51CE"/>
    <w:rsid w:val="00BA7914"/>
    <w:rsid w:val="00BB0E26"/>
    <w:rsid w:val="00BB14FE"/>
    <w:rsid w:val="00BB1613"/>
    <w:rsid w:val="00BB350B"/>
    <w:rsid w:val="00BB5E4F"/>
    <w:rsid w:val="00BB5EA5"/>
    <w:rsid w:val="00BB5FDD"/>
    <w:rsid w:val="00BB6659"/>
    <w:rsid w:val="00BB7D6F"/>
    <w:rsid w:val="00BC0F33"/>
    <w:rsid w:val="00BC17CE"/>
    <w:rsid w:val="00BC280A"/>
    <w:rsid w:val="00BC34CD"/>
    <w:rsid w:val="00BC45BF"/>
    <w:rsid w:val="00BC47A2"/>
    <w:rsid w:val="00BC57CD"/>
    <w:rsid w:val="00BC753D"/>
    <w:rsid w:val="00BC7DA3"/>
    <w:rsid w:val="00BD106F"/>
    <w:rsid w:val="00BD23BD"/>
    <w:rsid w:val="00BD334B"/>
    <w:rsid w:val="00BD38EF"/>
    <w:rsid w:val="00BD43ED"/>
    <w:rsid w:val="00BD4CB5"/>
    <w:rsid w:val="00BD4E2F"/>
    <w:rsid w:val="00BD53A0"/>
    <w:rsid w:val="00BD5EFA"/>
    <w:rsid w:val="00BD7A39"/>
    <w:rsid w:val="00BF0A3E"/>
    <w:rsid w:val="00BF301F"/>
    <w:rsid w:val="00BF3154"/>
    <w:rsid w:val="00C00945"/>
    <w:rsid w:val="00C03221"/>
    <w:rsid w:val="00C05860"/>
    <w:rsid w:val="00C05BAF"/>
    <w:rsid w:val="00C067F7"/>
    <w:rsid w:val="00C07A5E"/>
    <w:rsid w:val="00C1278F"/>
    <w:rsid w:val="00C1725B"/>
    <w:rsid w:val="00C210FB"/>
    <w:rsid w:val="00C22AEA"/>
    <w:rsid w:val="00C231ED"/>
    <w:rsid w:val="00C23B27"/>
    <w:rsid w:val="00C23B9C"/>
    <w:rsid w:val="00C2578E"/>
    <w:rsid w:val="00C2599C"/>
    <w:rsid w:val="00C26E4E"/>
    <w:rsid w:val="00C27438"/>
    <w:rsid w:val="00C32018"/>
    <w:rsid w:val="00C346A1"/>
    <w:rsid w:val="00C34D03"/>
    <w:rsid w:val="00C34DB2"/>
    <w:rsid w:val="00C35038"/>
    <w:rsid w:val="00C35296"/>
    <w:rsid w:val="00C373D7"/>
    <w:rsid w:val="00C375FF"/>
    <w:rsid w:val="00C37605"/>
    <w:rsid w:val="00C37892"/>
    <w:rsid w:val="00C4064B"/>
    <w:rsid w:val="00C40EA2"/>
    <w:rsid w:val="00C41392"/>
    <w:rsid w:val="00C41C10"/>
    <w:rsid w:val="00C43456"/>
    <w:rsid w:val="00C45985"/>
    <w:rsid w:val="00C46223"/>
    <w:rsid w:val="00C46A8A"/>
    <w:rsid w:val="00C47375"/>
    <w:rsid w:val="00C4767B"/>
    <w:rsid w:val="00C5211A"/>
    <w:rsid w:val="00C52EC9"/>
    <w:rsid w:val="00C55A3E"/>
    <w:rsid w:val="00C55F43"/>
    <w:rsid w:val="00C575E0"/>
    <w:rsid w:val="00C57F0F"/>
    <w:rsid w:val="00C613EC"/>
    <w:rsid w:val="00C62B4C"/>
    <w:rsid w:val="00C62C4D"/>
    <w:rsid w:val="00C62E7C"/>
    <w:rsid w:val="00C65C84"/>
    <w:rsid w:val="00C67290"/>
    <w:rsid w:val="00C67D6F"/>
    <w:rsid w:val="00C7187E"/>
    <w:rsid w:val="00C71BB8"/>
    <w:rsid w:val="00C73E0A"/>
    <w:rsid w:val="00C74DBD"/>
    <w:rsid w:val="00C75037"/>
    <w:rsid w:val="00C80E6D"/>
    <w:rsid w:val="00C81894"/>
    <w:rsid w:val="00C82AB1"/>
    <w:rsid w:val="00C83041"/>
    <w:rsid w:val="00C849F9"/>
    <w:rsid w:val="00C876E9"/>
    <w:rsid w:val="00C90BE1"/>
    <w:rsid w:val="00C91AB1"/>
    <w:rsid w:val="00C91ACA"/>
    <w:rsid w:val="00C92136"/>
    <w:rsid w:val="00C92EE8"/>
    <w:rsid w:val="00C933C9"/>
    <w:rsid w:val="00C933CB"/>
    <w:rsid w:val="00C93A52"/>
    <w:rsid w:val="00C9565E"/>
    <w:rsid w:val="00C97FFB"/>
    <w:rsid w:val="00CA1CFB"/>
    <w:rsid w:val="00CA4B1E"/>
    <w:rsid w:val="00CA5459"/>
    <w:rsid w:val="00CA5D28"/>
    <w:rsid w:val="00CB14AF"/>
    <w:rsid w:val="00CB3561"/>
    <w:rsid w:val="00CB37DB"/>
    <w:rsid w:val="00CB48BC"/>
    <w:rsid w:val="00CB4E3B"/>
    <w:rsid w:val="00CB6B49"/>
    <w:rsid w:val="00CC20F8"/>
    <w:rsid w:val="00CC2832"/>
    <w:rsid w:val="00CC3A2B"/>
    <w:rsid w:val="00CC65C0"/>
    <w:rsid w:val="00CC6B50"/>
    <w:rsid w:val="00CD0A97"/>
    <w:rsid w:val="00CD3380"/>
    <w:rsid w:val="00CD3C97"/>
    <w:rsid w:val="00CD5739"/>
    <w:rsid w:val="00CD5AAA"/>
    <w:rsid w:val="00CD6322"/>
    <w:rsid w:val="00CD6E9A"/>
    <w:rsid w:val="00CD7E03"/>
    <w:rsid w:val="00CE1022"/>
    <w:rsid w:val="00CE42F2"/>
    <w:rsid w:val="00CE6171"/>
    <w:rsid w:val="00CE647E"/>
    <w:rsid w:val="00CE76CC"/>
    <w:rsid w:val="00CF4079"/>
    <w:rsid w:val="00CF5120"/>
    <w:rsid w:val="00CF5B8F"/>
    <w:rsid w:val="00D00416"/>
    <w:rsid w:val="00D007B4"/>
    <w:rsid w:val="00D02F50"/>
    <w:rsid w:val="00D05778"/>
    <w:rsid w:val="00D05D57"/>
    <w:rsid w:val="00D06A58"/>
    <w:rsid w:val="00D06EB2"/>
    <w:rsid w:val="00D100A6"/>
    <w:rsid w:val="00D11C74"/>
    <w:rsid w:val="00D139F3"/>
    <w:rsid w:val="00D14C41"/>
    <w:rsid w:val="00D14C5C"/>
    <w:rsid w:val="00D22A74"/>
    <w:rsid w:val="00D233FD"/>
    <w:rsid w:val="00D240CE"/>
    <w:rsid w:val="00D24CFA"/>
    <w:rsid w:val="00D24EFE"/>
    <w:rsid w:val="00D3199D"/>
    <w:rsid w:val="00D31D69"/>
    <w:rsid w:val="00D32E37"/>
    <w:rsid w:val="00D337CB"/>
    <w:rsid w:val="00D36976"/>
    <w:rsid w:val="00D37F4F"/>
    <w:rsid w:val="00D42500"/>
    <w:rsid w:val="00D42AB4"/>
    <w:rsid w:val="00D45D6A"/>
    <w:rsid w:val="00D46D53"/>
    <w:rsid w:val="00D5182B"/>
    <w:rsid w:val="00D52C68"/>
    <w:rsid w:val="00D576EA"/>
    <w:rsid w:val="00D57ABD"/>
    <w:rsid w:val="00D60366"/>
    <w:rsid w:val="00D62213"/>
    <w:rsid w:val="00D67982"/>
    <w:rsid w:val="00D71173"/>
    <w:rsid w:val="00D71E92"/>
    <w:rsid w:val="00D72780"/>
    <w:rsid w:val="00D75B55"/>
    <w:rsid w:val="00D770BE"/>
    <w:rsid w:val="00D801A9"/>
    <w:rsid w:val="00D80C27"/>
    <w:rsid w:val="00D832BF"/>
    <w:rsid w:val="00D84C20"/>
    <w:rsid w:val="00D84DC2"/>
    <w:rsid w:val="00D85A0A"/>
    <w:rsid w:val="00D85AAF"/>
    <w:rsid w:val="00D87C47"/>
    <w:rsid w:val="00D87E40"/>
    <w:rsid w:val="00D9033E"/>
    <w:rsid w:val="00D924EA"/>
    <w:rsid w:val="00D929F1"/>
    <w:rsid w:val="00D939E7"/>
    <w:rsid w:val="00D93C37"/>
    <w:rsid w:val="00D93F55"/>
    <w:rsid w:val="00D954D7"/>
    <w:rsid w:val="00D957FD"/>
    <w:rsid w:val="00D97540"/>
    <w:rsid w:val="00DA0892"/>
    <w:rsid w:val="00DA3213"/>
    <w:rsid w:val="00DA4E0C"/>
    <w:rsid w:val="00DA5917"/>
    <w:rsid w:val="00DB084B"/>
    <w:rsid w:val="00DB1256"/>
    <w:rsid w:val="00DB1396"/>
    <w:rsid w:val="00DB1FE7"/>
    <w:rsid w:val="00DB4BDE"/>
    <w:rsid w:val="00DB4DC9"/>
    <w:rsid w:val="00DB5EE7"/>
    <w:rsid w:val="00DB7CB2"/>
    <w:rsid w:val="00DC2026"/>
    <w:rsid w:val="00DC2996"/>
    <w:rsid w:val="00DC3A4D"/>
    <w:rsid w:val="00DC4925"/>
    <w:rsid w:val="00DC5CC7"/>
    <w:rsid w:val="00DC63BE"/>
    <w:rsid w:val="00DC748A"/>
    <w:rsid w:val="00DC7B29"/>
    <w:rsid w:val="00DD073D"/>
    <w:rsid w:val="00DD1831"/>
    <w:rsid w:val="00DD2162"/>
    <w:rsid w:val="00DD2CEB"/>
    <w:rsid w:val="00DD36AE"/>
    <w:rsid w:val="00DE0256"/>
    <w:rsid w:val="00DE0F77"/>
    <w:rsid w:val="00DE1DC3"/>
    <w:rsid w:val="00DE27C9"/>
    <w:rsid w:val="00DE4074"/>
    <w:rsid w:val="00DF0219"/>
    <w:rsid w:val="00DF14D1"/>
    <w:rsid w:val="00DF1F68"/>
    <w:rsid w:val="00DF2747"/>
    <w:rsid w:val="00DF2E1E"/>
    <w:rsid w:val="00DF5442"/>
    <w:rsid w:val="00DF5FA2"/>
    <w:rsid w:val="00DF6315"/>
    <w:rsid w:val="00DF64C9"/>
    <w:rsid w:val="00DF7EF8"/>
    <w:rsid w:val="00E0226B"/>
    <w:rsid w:val="00E02A80"/>
    <w:rsid w:val="00E03ED1"/>
    <w:rsid w:val="00E04B51"/>
    <w:rsid w:val="00E04E15"/>
    <w:rsid w:val="00E05690"/>
    <w:rsid w:val="00E07B28"/>
    <w:rsid w:val="00E12750"/>
    <w:rsid w:val="00E20DE6"/>
    <w:rsid w:val="00E21184"/>
    <w:rsid w:val="00E220AB"/>
    <w:rsid w:val="00E232F5"/>
    <w:rsid w:val="00E25D34"/>
    <w:rsid w:val="00E25F39"/>
    <w:rsid w:val="00E26BE6"/>
    <w:rsid w:val="00E30090"/>
    <w:rsid w:val="00E3156C"/>
    <w:rsid w:val="00E315F0"/>
    <w:rsid w:val="00E447D5"/>
    <w:rsid w:val="00E4575E"/>
    <w:rsid w:val="00E469E5"/>
    <w:rsid w:val="00E500B1"/>
    <w:rsid w:val="00E52A2E"/>
    <w:rsid w:val="00E53330"/>
    <w:rsid w:val="00E555CF"/>
    <w:rsid w:val="00E55DC9"/>
    <w:rsid w:val="00E614D8"/>
    <w:rsid w:val="00E62EE6"/>
    <w:rsid w:val="00E65801"/>
    <w:rsid w:val="00E66215"/>
    <w:rsid w:val="00E66735"/>
    <w:rsid w:val="00E67A79"/>
    <w:rsid w:val="00E67C89"/>
    <w:rsid w:val="00E7016E"/>
    <w:rsid w:val="00E70554"/>
    <w:rsid w:val="00E70B1D"/>
    <w:rsid w:val="00E77581"/>
    <w:rsid w:val="00E8043B"/>
    <w:rsid w:val="00E8193C"/>
    <w:rsid w:val="00E82500"/>
    <w:rsid w:val="00E835A8"/>
    <w:rsid w:val="00E84434"/>
    <w:rsid w:val="00E855B0"/>
    <w:rsid w:val="00E868AD"/>
    <w:rsid w:val="00E86A56"/>
    <w:rsid w:val="00E86AD0"/>
    <w:rsid w:val="00E87B33"/>
    <w:rsid w:val="00E87D74"/>
    <w:rsid w:val="00E90249"/>
    <w:rsid w:val="00E9263E"/>
    <w:rsid w:val="00E92736"/>
    <w:rsid w:val="00E92C4D"/>
    <w:rsid w:val="00E948A6"/>
    <w:rsid w:val="00E95183"/>
    <w:rsid w:val="00E968AB"/>
    <w:rsid w:val="00E97639"/>
    <w:rsid w:val="00E97DEA"/>
    <w:rsid w:val="00EA0266"/>
    <w:rsid w:val="00EA0FFA"/>
    <w:rsid w:val="00EA2687"/>
    <w:rsid w:val="00EA5575"/>
    <w:rsid w:val="00EA5EF3"/>
    <w:rsid w:val="00EB0B7F"/>
    <w:rsid w:val="00EB2262"/>
    <w:rsid w:val="00EB25FF"/>
    <w:rsid w:val="00EB2762"/>
    <w:rsid w:val="00EB38D5"/>
    <w:rsid w:val="00EB3A15"/>
    <w:rsid w:val="00EB4E0E"/>
    <w:rsid w:val="00EB543C"/>
    <w:rsid w:val="00EB780D"/>
    <w:rsid w:val="00EC137C"/>
    <w:rsid w:val="00EC5263"/>
    <w:rsid w:val="00ED2380"/>
    <w:rsid w:val="00ED4A3D"/>
    <w:rsid w:val="00ED6340"/>
    <w:rsid w:val="00ED6DA8"/>
    <w:rsid w:val="00EE11CC"/>
    <w:rsid w:val="00EE144C"/>
    <w:rsid w:val="00EE1CBF"/>
    <w:rsid w:val="00EE1D12"/>
    <w:rsid w:val="00EE1D3B"/>
    <w:rsid w:val="00EE2330"/>
    <w:rsid w:val="00EE5E62"/>
    <w:rsid w:val="00EE661E"/>
    <w:rsid w:val="00EE7336"/>
    <w:rsid w:val="00EF0D34"/>
    <w:rsid w:val="00EF124D"/>
    <w:rsid w:val="00EF190E"/>
    <w:rsid w:val="00EF3685"/>
    <w:rsid w:val="00EF3BE5"/>
    <w:rsid w:val="00EF425C"/>
    <w:rsid w:val="00EF52BD"/>
    <w:rsid w:val="00EF5CB4"/>
    <w:rsid w:val="00EF749F"/>
    <w:rsid w:val="00EF7FF3"/>
    <w:rsid w:val="00F01B51"/>
    <w:rsid w:val="00F04841"/>
    <w:rsid w:val="00F06873"/>
    <w:rsid w:val="00F07388"/>
    <w:rsid w:val="00F1186F"/>
    <w:rsid w:val="00F137BD"/>
    <w:rsid w:val="00F15CAD"/>
    <w:rsid w:val="00F17B9C"/>
    <w:rsid w:val="00F20AD1"/>
    <w:rsid w:val="00F235DF"/>
    <w:rsid w:val="00F27B71"/>
    <w:rsid w:val="00F31590"/>
    <w:rsid w:val="00F32BB1"/>
    <w:rsid w:val="00F33ACC"/>
    <w:rsid w:val="00F359A5"/>
    <w:rsid w:val="00F362CD"/>
    <w:rsid w:val="00F42C7B"/>
    <w:rsid w:val="00F441B6"/>
    <w:rsid w:val="00F511EC"/>
    <w:rsid w:val="00F51829"/>
    <w:rsid w:val="00F56B1E"/>
    <w:rsid w:val="00F56C15"/>
    <w:rsid w:val="00F600A3"/>
    <w:rsid w:val="00F60BFD"/>
    <w:rsid w:val="00F6144A"/>
    <w:rsid w:val="00F61559"/>
    <w:rsid w:val="00F6339F"/>
    <w:rsid w:val="00F6362B"/>
    <w:rsid w:val="00F67A83"/>
    <w:rsid w:val="00F70B1D"/>
    <w:rsid w:val="00F71E7C"/>
    <w:rsid w:val="00F72E5F"/>
    <w:rsid w:val="00F73D1B"/>
    <w:rsid w:val="00F75460"/>
    <w:rsid w:val="00F75EA1"/>
    <w:rsid w:val="00F76369"/>
    <w:rsid w:val="00F76D54"/>
    <w:rsid w:val="00F774C1"/>
    <w:rsid w:val="00F812AA"/>
    <w:rsid w:val="00F818CA"/>
    <w:rsid w:val="00F83546"/>
    <w:rsid w:val="00F848C3"/>
    <w:rsid w:val="00F84A6F"/>
    <w:rsid w:val="00F875C7"/>
    <w:rsid w:val="00F87B0D"/>
    <w:rsid w:val="00F90A79"/>
    <w:rsid w:val="00F91934"/>
    <w:rsid w:val="00F920C2"/>
    <w:rsid w:val="00F97AC2"/>
    <w:rsid w:val="00FA11FF"/>
    <w:rsid w:val="00FA16C6"/>
    <w:rsid w:val="00FA508E"/>
    <w:rsid w:val="00FA66D5"/>
    <w:rsid w:val="00FA74F8"/>
    <w:rsid w:val="00FB04D6"/>
    <w:rsid w:val="00FB1D27"/>
    <w:rsid w:val="00FB3919"/>
    <w:rsid w:val="00FB6597"/>
    <w:rsid w:val="00FB6F86"/>
    <w:rsid w:val="00FC0100"/>
    <w:rsid w:val="00FC3DB7"/>
    <w:rsid w:val="00FC3E89"/>
    <w:rsid w:val="00FC43ED"/>
    <w:rsid w:val="00FD030A"/>
    <w:rsid w:val="00FD1540"/>
    <w:rsid w:val="00FD46BE"/>
    <w:rsid w:val="00FD6569"/>
    <w:rsid w:val="00FD7E44"/>
    <w:rsid w:val="00FE0E6F"/>
    <w:rsid w:val="00FE1E7E"/>
    <w:rsid w:val="00FE69E0"/>
    <w:rsid w:val="00FF22EA"/>
    <w:rsid w:val="00FF2C8D"/>
    <w:rsid w:val="00FF2ED4"/>
    <w:rsid w:val="00FF4CF5"/>
    <w:rsid w:val="00FF4E4C"/>
    <w:rsid w:val="00FF5254"/>
    <w:rsid w:val="00FF6EC8"/>
    <w:rsid w:val="00FF74E8"/>
    <w:rsid w:val="01064C9A"/>
    <w:rsid w:val="0132669F"/>
    <w:rsid w:val="0147778C"/>
    <w:rsid w:val="014A454E"/>
    <w:rsid w:val="015367B7"/>
    <w:rsid w:val="018A1427"/>
    <w:rsid w:val="018A7679"/>
    <w:rsid w:val="01B0149D"/>
    <w:rsid w:val="01C02750"/>
    <w:rsid w:val="01CD2B81"/>
    <w:rsid w:val="01D86994"/>
    <w:rsid w:val="020C20FA"/>
    <w:rsid w:val="02125874"/>
    <w:rsid w:val="02217FDE"/>
    <w:rsid w:val="022D34BF"/>
    <w:rsid w:val="02335D24"/>
    <w:rsid w:val="024261A6"/>
    <w:rsid w:val="024D1F11"/>
    <w:rsid w:val="02663C42"/>
    <w:rsid w:val="02863A2C"/>
    <w:rsid w:val="02936A01"/>
    <w:rsid w:val="02B01361"/>
    <w:rsid w:val="02BF56BE"/>
    <w:rsid w:val="02D212D8"/>
    <w:rsid w:val="032F2286"/>
    <w:rsid w:val="034C4DB4"/>
    <w:rsid w:val="03790BAD"/>
    <w:rsid w:val="03802AE2"/>
    <w:rsid w:val="039B7B55"/>
    <w:rsid w:val="03A82039"/>
    <w:rsid w:val="03BA25E1"/>
    <w:rsid w:val="03C3224E"/>
    <w:rsid w:val="03C51E1F"/>
    <w:rsid w:val="0405748B"/>
    <w:rsid w:val="041E22FB"/>
    <w:rsid w:val="04456A8D"/>
    <w:rsid w:val="046E56D3"/>
    <w:rsid w:val="046F06A5"/>
    <w:rsid w:val="04786083"/>
    <w:rsid w:val="049525BD"/>
    <w:rsid w:val="049727D9"/>
    <w:rsid w:val="049A5E25"/>
    <w:rsid w:val="04AF7B6F"/>
    <w:rsid w:val="04BA2023"/>
    <w:rsid w:val="04BC3FEE"/>
    <w:rsid w:val="04DC40AC"/>
    <w:rsid w:val="04DD3F64"/>
    <w:rsid w:val="04DF457F"/>
    <w:rsid w:val="053973EC"/>
    <w:rsid w:val="05663F59"/>
    <w:rsid w:val="058226BE"/>
    <w:rsid w:val="058B39C0"/>
    <w:rsid w:val="05902EEE"/>
    <w:rsid w:val="05B9052D"/>
    <w:rsid w:val="05D356D9"/>
    <w:rsid w:val="05D45367"/>
    <w:rsid w:val="05E57574"/>
    <w:rsid w:val="05EB2AD6"/>
    <w:rsid w:val="05EC445F"/>
    <w:rsid w:val="05F27A4D"/>
    <w:rsid w:val="061340E1"/>
    <w:rsid w:val="061D2A41"/>
    <w:rsid w:val="063B3DCA"/>
    <w:rsid w:val="064D5C09"/>
    <w:rsid w:val="06A055B6"/>
    <w:rsid w:val="06DF0467"/>
    <w:rsid w:val="06DF3A74"/>
    <w:rsid w:val="06E520C5"/>
    <w:rsid w:val="06E93094"/>
    <w:rsid w:val="06E96BF0"/>
    <w:rsid w:val="072A2FCD"/>
    <w:rsid w:val="07B74F40"/>
    <w:rsid w:val="07BA233A"/>
    <w:rsid w:val="07C136C9"/>
    <w:rsid w:val="07D52F9C"/>
    <w:rsid w:val="07E33CE1"/>
    <w:rsid w:val="07F9391A"/>
    <w:rsid w:val="083E4D1A"/>
    <w:rsid w:val="08436EE8"/>
    <w:rsid w:val="08471F3C"/>
    <w:rsid w:val="085B3B1D"/>
    <w:rsid w:val="085B58CB"/>
    <w:rsid w:val="08683CDA"/>
    <w:rsid w:val="086C7AD9"/>
    <w:rsid w:val="0874698D"/>
    <w:rsid w:val="087A577E"/>
    <w:rsid w:val="087D5842"/>
    <w:rsid w:val="087E117B"/>
    <w:rsid w:val="08874912"/>
    <w:rsid w:val="089F399C"/>
    <w:rsid w:val="08B651F8"/>
    <w:rsid w:val="08C5161C"/>
    <w:rsid w:val="08CA47FF"/>
    <w:rsid w:val="08DF67EC"/>
    <w:rsid w:val="08F8136C"/>
    <w:rsid w:val="09043B58"/>
    <w:rsid w:val="09095327"/>
    <w:rsid w:val="09172B79"/>
    <w:rsid w:val="092D2935"/>
    <w:rsid w:val="09646A02"/>
    <w:rsid w:val="096622D6"/>
    <w:rsid w:val="097077A7"/>
    <w:rsid w:val="098A290C"/>
    <w:rsid w:val="098E7FF9"/>
    <w:rsid w:val="099F7A3A"/>
    <w:rsid w:val="09B23C11"/>
    <w:rsid w:val="09DF42DA"/>
    <w:rsid w:val="09EB2C7F"/>
    <w:rsid w:val="09F204B1"/>
    <w:rsid w:val="0A015E54"/>
    <w:rsid w:val="0A1E4E03"/>
    <w:rsid w:val="0A870BFA"/>
    <w:rsid w:val="0A911A78"/>
    <w:rsid w:val="0A9450C5"/>
    <w:rsid w:val="0AAC0660"/>
    <w:rsid w:val="0AB15C77"/>
    <w:rsid w:val="0ABA0FCF"/>
    <w:rsid w:val="0AD57BB7"/>
    <w:rsid w:val="0AD656DD"/>
    <w:rsid w:val="0B055FA8"/>
    <w:rsid w:val="0B1526A9"/>
    <w:rsid w:val="0B3F7726"/>
    <w:rsid w:val="0B462863"/>
    <w:rsid w:val="0B7A250D"/>
    <w:rsid w:val="0B860EB1"/>
    <w:rsid w:val="0B955598"/>
    <w:rsid w:val="0BA02F5A"/>
    <w:rsid w:val="0BAE168B"/>
    <w:rsid w:val="0BAE7A49"/>
    <w:rsid w:val="0BD47E6F"/>
    <w:rsid w:val="0BD643AC"/>
    <w:rsid w:val="0BE65DF4"/>
    <w:rsid w:val="0C2E636E"/>
    <w:rsid w:val="0C555D95"/>
    <w:rsid w:val="0C5B0590"/>
    <w:rsid w:val="0C8A62FF"/>
    <w:rsid w:val="0C96517A"/>
    <w:rsid w:val="0C9879D0"/>
    <w:rsid w:val="0CA5180B"/>
    <w:rsid w:val="0CAA736B"/>
    <w:rsid w:val="0CAB03D8"/>
    <w:rsid w:val="0CAC2B9A"/>
    <w:rsid w:val="0CC27F03"/>
    <w:rsid w:val="0CE51C08"/>
    <w:rsid w:val="0CEF0CD8"/>
    <w:rsid w:val="0D183D8B"/>
    <w:rsid w:val="0D26201E"/>
    <w:rsid w:val="0D4728C2"/>
    <w:rsid w:val="0D4A5F0F"/>
    <w:rsid w:val="0D5A5E0D"/>
    <w:rsid w:val="0D7C5CDA"/>
    <w:rsid w:val="0D8458C4"/>
    <w:rsid w:val="0D920316"/>
    <w:rsid w:val="0D970D4B"/>
    <w:rsid w:val="0DDE3937"/>
    <w:rsid w:val="0E0160EC"/>
    <w:rsid w:val="0E155313"/>
    <w:rsid w:val="0E19600D"/>
    <w:rsid w:val="0E2B2FEA"/>
    <w:rsid w:val="0E36409E"/>
    <w:rsid w:val="0E3E46D3"/>
    <w:rsid w:val="0E4532A6"/>
    <w:rsid w:val="0E512820"/>
    <w:rsid w:val="0E620525"/>
    <w:rsid w:val="0E6352A9"/>
    <w:rsid w:val="0E645158"/>
    <w:rsid w:val="0E8056B0"/>
    <w:rsid w:val="0E870499"/>
    <w:rsid w:val="0E8D69FB"/>
    <w:rsid w:val="0E9953A0"/>
    <w:rsid w:val="0EA15F0C"/>
    <w:rsid w:val="0EAE6622"/>
    <w:rsid w:val="0EB43F87"/>
    <w:rsid w:val="0EC248F6"/>
    <w:rsid w:val="0ECF491D"/>
    <w:rsid w:val="0EF47FDA"/>
    <w:rsid w:val="0EF855C2"/>
    <w:rsid w:val="0F29420B"/>
    <w:rsid w:val="0F4A0EB9"/>
    <w:rsid w:val="0F4E1CE6"/>
    <w:rsid w:val="0F773599"/>
    <w:rsid w:val="0F7F1712"/>
    <w:rsid w:val="0F8539DB"/>
    <w:rsid w:val="0FB7448E"/>
    <w:rsid w:val="0FD055D3"/>
    <w:rsid w:val="100B53B2"/>
    <w:rsid w:val="10142F30"/>
    <w:rsid w:val="10303AE2"/>
    <w:rsid w:val="105C0433"/>
    <w:rsid w:val="105D08E7"/>
    <w:rsid w:val="10686EC2"/>
    <w:rsid w:val="1097590F"/>
    <w:rsid w:val="109B53FF"/>
    <w:rsid w:val="10B22749"/>
    <w:rsid w:val="10B464C1"/>
    <w:rsid w:val="10F26C5C"/>
    <w:rsid w:val="11024432"/>
    <w:rsid w:val="110A5C13"/>
    <w:rsid w:val="110E5BD1"/>
    <w:rsid w:val="1125116C"/>
    <w:rsid w:val="11280B5C"/>
    <w:rsid w:val="11386B66"/>
    <w:rsid w:val="11531247"/>
    <w:rsid w:val="116457F1"/>
    <w:rsid w:val="11800151"/>
    <w:rsid w:val="11825E91"/>
    <w:rsid w:val="11BD0246"/>
    <w:rsid w:val="11BD3153"/>
    <w:rsid w:val="11C03C24"/>
    <w:rsid w:val="11DC679D"/>
    <w:rsid w:val="12080872"/>
    <w:rsid w:val="12097C8E"/>
    <w:rsid w:val="123A16FC"/>
    <w:rsid w:val="125C0BBE"/>
    <w:rsid w:val="125F420A"/>
    <w:rsid w:val="12745F08"/>
    <w:rsid w:val="12850FAA"/>
    <w:rsid w:val="129465AA"/>
    <w:rsid w:val="129C0FBA"/>
    <w:rsid w:val="12A2529E"/>
    <w:rsid w:val="12A87EC0"/>
    <w:rsid w:val="12CA3D79"/>
    <w:rsid w:val="12D65C9D"/>
    <w:rsid w:val="12E72E82"/>
    <w:rsid w:val="12FA570C"/>
    <w:rsid w:val="132711CC"/>
    <w:rsid w:val="13394518"/>
    <w:rsid w:val="1342030D"/>
    <w:rsid w:val="1347731D"/>
    <w:rsid w:val="13737F6D"/>
    <w:rsid w:val="13964088"/>
    <w:rsid w:val="140E7C96"/>
    <w:rsid w:val="14293E20"/>
    <w:rsid w:val="14320636"/>
    <w:rsid w:val="14353475"/>
    <w:rsid w:val="143A4F2F"/>
    <w:rsid w:val="14456033"/>
    <w:rsid w:val="146C3610"/>
    <w:rsid w:val="147E4E1C"/>
    <w:rsid w:val="14D424F0"/>
    <w:rsid w:val="14E66D8F"/>
    <w:rsid w:val="14F21366"/>
    <w:rsid w:val="150115A9"/>
    <w:rsid w:val="15030BCF"/>
    <w:rsid w:val="15037CE0"/>
    <w:rsid w:val="15082937"/>
    <w:rsid w:val="151505A6"/>
    <w:rsid w:val="15260536"/>
    <w:rsid w:val="15627B85"/>
    <w:rsid w:val="158E49EC"/>
    <w:rsid w:val="159420DC"/>
    <w:rsid w:val="159F14ED"/>
    <w:rsid w:val="15AB21AA"/>
    <w:rsid w:val="15AE6974"/>
    <w:rsid w:val="15AF7257"/>
    <w:rsid w:val="15C03212"/>
    <w:rsid w:val="15C90318"/>
    <w:rsid w:val="15CC565E"/>
    <w:rsid w:val="15D13671"/>
    <w:rsid w:val="15D32DC7"/>
    <w:rsid w:val="15D77DC6"/>
    <w:rsid w:val="15D8055B"/>
    <w:rsid w:val="15F83458"/>
    <w:rsid w:val="160B74A2"/>
    <w:rsid w:val="162B0FD3"/>
    <w:rsid w:val="16530826"/>
    <w:rsid w:val="16781D3E"/>
    <w:rsid w:val="168822A1"/>
    <w:rsid w:val="168E1562"/>
    <w:rsid w:val="169528F0"/>
    <w:rsid w:val="16B33193"/>
    <w:rsid w:val="16B74615"/>
    <w:rsid w:val="16C3745D"/>
    <w:rsid w:val="16C75144"/>
    <w:rsid w:val="16DF7EB2"/>
    <w:rsid w:val="16FC296F"/>
    <w:rsid w:val="17002816"/>
    <w:rsid w:val="170863DE"/>
    <w:rsid w:val="170A0BE8"/>
    <w:rsid w:val="172B18D6"/>
    <w:rsid w:val="173F7A3F"/>
    <w:rsid w:val="17485BB5"/>
    <w:rsid w:val="176C53FF"/>
    <w:rsid w:val="177D281F"/>
    <w:rsid w:val="17A06135"/>
    <w:rsid w:val="17AF79E2"/>
    <w:rsid w:val="17BE4C81"/>
    <w:rsid w:val="17C52D61"/>
    <w:rsid w:val="17DE3E23"/>
    <w:rsid w:val="17F77378"/>
    <w:rsid w:val="18025BA1"/>
    <w:rsid w:val="182205D0"/>
    <w:rsid w:val="1849280B"/>
    <w:rsid w:val="18497FB6"/>
    <w:rsid w:val="18784278"/>
    <w:rsid w:val="187B12B6"/>
    <w:rsid w:val="189349DC"/>
    <w:rsid w:val="18D210F7"/>
    <w:rsid w:val="18D22C8A"/>
    <w:rsid w:val="18D314AE"/>
    <w:rsid w:val="18DA6CE0"/>
    <w:rsid w:val="18E831AB"/>
    <w:rsid w:val="1901426D"/>
    <w:rsid w:val="19347A52"/>
    <w:rsid w:val="195919B3"/>
    <w:rsid w:val="19600F94"/>
    <w:rsid w:val="19A03A86"/>
    <w:rsid w:val="19A64F64"/>
    <w:rsid w:val="19B67387"/>
    <w:rsid w:val="19ED659F"/>
    <w:rsid w:val="19EF2361"/>
    <w:rsid w:val="1A045DC3"/>
    <w:rsid w:val="1A2972F9"/>
    <w:rsid w:val="1A310B82"/>
    <w:rsid w:val="1A591822"/>
    <w:rsid w:val="1A78055F"/>
    <w:rsid w:val="1A7A42D7"/>
    <w:rsid w:val="1A9D5599"/>
    <w:rsid w:val="1AA475A6"/>
    <w:rsid w:val="1AAB0827"/>
    <w:rsid w:val="1AAC1FB7"/>
    <w:rsid w:val="1AC9611D"/>
    <w:rsid w:val="1AD02149"/>
    <w:rsid w:val="1ADD26C7"/>
    <w:rsid w:val="1ADD46BA"/>
    <w:rsid w:val="1ADE4866"/>
    <w:rsid w:val="1AFA0F74"/>
    <w:rsid w:val="1B03673C"/>
    <w:rsid w:val="1B0921EA"/>
    <w:rsid w:val="1B267FBB"/>
    <w:rsid w:val="1B2E1125"/>
    <w:rsid w:val="1B356450"/>
    <w:rsid w:val="1B9105A4"/>
    <w:rsid w:val="1B970EB9"/>
    <w:rsid w:val="1BAA0812"/>
    <w:rsid w:val="1BAD5120"/>
    <w:rsid w:val="1BE13EE2"/>
    <w:rsid w:val="1BE55780"/>
    <w:rsid w:val="1BF9122C"/>
    <w:rsid w:val="1BFE63BB"/>
    <w:rsid w:val="1C227CFF"/>
    <w:rsid w:val="1C4C4FEB"/>
    <w:rsid w:val="1C8925AF"/>
    <w:rsid w:val="1CBF5FD1"/>
    <w:rsid w:val="1CCB706C"/>
    <w:rsid w:val="1CDA72AF"/>
    <w:rsid w:val="1CED59FC"/>
    <w:rsid w:val="1CF77E61"/>
    <w:rsid w:val="1D070509"/>
    <w:rsid w:val="1D291FE4"/>
    <w:rsid w:val="1D392227"/>
    <w:rsid w:val="1D39783C"/>
    <w:rsid w:val="1D483B5E"/>
    <w:rsid w:val="1D807E56"/>
    <w:rsid w:val="1D8B03B7"/>
    <w:rsid w:val="1D9B13BF"/>
    <w:rsid w:val="1DCD737A"/>
    <w:rsid w:val="1DD66418"/>
    <w:rsid w:val="1DE40399"/>
    <w:rsid w:val="1E012619"/>
    <w:rsid w:val="1E072BFB"/>
    <w:rsid w:val="1E6F5D7F"/>
    <w:rsid w:val="1E7275D3"/>
    <w:rsid w:val="1E7E3C6A"/>
    <w:rsid w:val="1E9A2358"/>
    <w:rsid w:val="1EBE022C"/>
    <w:rsid w:val="1EBF3D51"/>
    <w:rsid w:val="1EDF6DFF"/>
    <w:rsid w:val="1EF06916"/>
    <w:rsid w:val="1EF1268E"/>
    <w:rsid w:val="1F0F4665"/>
    <w:rsid w:val="1F264D9F"/>
    <w:rsid w:val="1F3F5AEF"/>
    <w:rsid w:val="1F4629DA"/>
    <w:rsid w:val="1F5A46D7"/>
    <w:rsid w:val="1F653E37"/>
    <w:rsid w:val="1F6B41EE"/>
    <w:rsid w:val="1F703EFB"/>
    <w:rsid w:val="1F775289"/>
    <w:rsid w:val="1F8359DC"/>
    <w:rsid w:val="1FCF6E73"/>
    <w:rsid w:val="1FD5745E"/>
    <w:rsid w:val="1FF04E49"/>
    <w:rsid w:val="2025103E"/>
    <w:rsid w:val="20315438"/>
    <w:rsid w:val="205E01F7"/>
    <w:rsid w:val="2093457E"/>
    <w:rsid w:val="20AB27F6"/>
    <w:rsid w:val="20B87907"/>
    <w:rsid w:val="210A0FFC"/>
    <w:rsid w:val="211936A0"/>
    <w:rsid w:val="21222891"/>
    <w:rsid w:val="21466CC1"/>
    <w:rsid w:val="21486EDD"/>
    <w:rsid w:val="21515666"/>
    <w:rsid w:val="21837F15"/>
    <w:rsid w:val="219A0DBB"/>
    <w:rsid w:val="219C2D85"/>
    <w:rsid w:val="21BA145D"/>
    <w:rsid w:val="21C660D9"/>
    <w:rsid w:val="21E95A3E"/>
    <w:rsid w:val="21F50649"/>
    <w:rsid w:val="221F667C"/>
    <w:rsid w:val="221F7512"/>
    <w:rsid w:val="223B70F0"/>
    <w:rsid w:val="22436E7B"/>
    <w:rsid w:val="226715E5"/>
    <w:rsid w:val="22C33DA5"/>
    <w:rsid w:val="22E07327"/>
    <w:rsid w:val="22F56BF1"/>
    <w:rsid w:val="230010F2"/>
    <w:rsid w:val="230672B6"/>
    <w:rsid w:val="230C3F3A"/>
    <w:rsid w:val="23190147"/>
    <w:rsid w:val="23195423"/>
    <w:rsid w:val="232E5C5F"/>
    <w:rsid w:val="233A0AA7"/>
    <w:rsid w:val="233B264A"/>
    <w:rsid w:val="233D40F4"/>
    <w:rsid w:val="23465B60"/>
    <w:rsid w:val="23567486"/>
    <w:rsid w:val="238166D6"/>
    <w:rsid w:val="239B11B8"/>
    <w:rsid w:val="23D20CE0"/>
    <w:rsid w:val="23D76E41"/>
    <w:rsid w:val="23E6738A"/>
    <w:rsid w:val="24004477"/>
    <w:rsid w:val="241C01AD"/>
    <w:rsid w:val="2431225C"/>
    <w:rsid w:val="245E2574"/>
    <w:rsid w:val="246062EC"/>
    <w:rsid w:val="246F652F"/>
    <w:rsid w:val="24C02D5A"/>
    <w:rsid w:val="24CE594B"/>
    <w:rsid w:val="24DE730D"/>
    <w:rsid w:val="24EC7B7F"/>
    <w:rsid w:val="24F15268"/>
    <w:rsid w:val="25001523"/>
    <w:rsid w:val="250C6474"/>
    <w:rsid w:val="2515405E"/>
    <w:rsid w:val="25286E61"/>
    <w:rsid w:val="25292B82"/>
    <w:rsid w:val="25341526"/>
    <w:rsid w:val="25357778"/>
    <w:rsid w:val="25382DC5"/>
    <w:rsid w:val="253A4D8F"/>
    <w:rsid w:val="255A71DF"/>
    <w:rsid w:val="255F65A3"/>
    <w:rsid w:val="2561056D"/>
    <w:rsid w:val="256242E5"/>
    <w:rsid w:val="2572277A"/>
    <w:rsid w:val="25723F15"/>
    <w:rsid w:val="25840AA2"/>
    <w:rsid w:val="25C27580"/>
    <w:rsid w:val="25D46364"/>
    <w:rsid w:val="25E46AA9"/>
    <w:rsid w:val="25F11A7B"/>
    <w:rsid w:val="25F413E1"/>
    <w:rsid w:val="26064C71"/>
    <w:rsid w:val="26107F03"/>
    <w:rsid w:val="261455E0"/>
    <w:rsid w:val="261E645E"/>
    <w:rsid w:val="26274109"/>
    <w:rsid w:val="265A39FD"/>
    <w:rsid w:val="266E5080"/>
    <w:rsid w:val="268E1A66"/>
    <w:rsid w:val="269B7AAF"/>
    <w:rsid w:val="273109ED"/>
    <w:rsid w:val="27383550"/>
    <w:rsid w:val="27394124"/>
    <w:rsid w:val="275A267C"/>
    <w:rsid w:val="27662D26"/>
    <w:rsid w:val="276B56D3"/>
    <w:rsid w:val="276F11A4"/>
    <w:rsid w:val="277154ED"/>
    <w:rsid w:val="277763FA"/>
    <w:rsid w:val="2778394C"/>
    <w:rsid w:val="2794527C"/>
    <w:rsid w:val="279664C8"/>
    <w:rsid w:val="279C62C0"/>
    <w:rsid w:val="27D668C5"/>
    <w:rsid w:val="27E2526A"/>
    <w:rsid w:val="27EB411E"/>
    <w:rsid w:val="27F3632B"/>
    <w:rsid w:val="280E2503"/>
    <w:rsid w:val="2816568A"/>
    <w:rsid w:val="28173165"/>
    <w:rsid w:val="283C7070"/>
    <w:rsid w:val="284E2C71"/>
    <w:rsid w:val="285D2B42"/>
    <w:rsid w:val="28661211"/>
    <w:rsid w:val="286F11F3"/>
    <w:rsid w:val="28813C00"/>
    <w:rsid w:val="289E73E3"/>
    <w:rsid w:val="28AB56E4"/>
    <w:rsid w:val="28AE18EE"/>
    <w:rsid w:val="28C85760"/>
    <w:rsid w:val="29001E4B"/>
    <w:rsid w:val="29403D0A"/>
    <w:rsid w:val="29444B29"/>
    <w:rsid w:val="295959FF"/>
    <w:rsid w:val="295B1778"/>
    <w:rsid w:val="296A7465"/>
    <w:rsid w:val="296D5007"/>
    <w:rsid w:val="296E14AB"/>
    <w:rsid w:val="29736AC1"/>
    <w:rsid w:val="2976210D"/>
    <w:rsid w:val="297B7724"/>
    <w:rsid w:val="2A086905"/>
    <w:rsid w:val="2A0A5BA1"/>
    <w:rsid w:val="2A583806"/>
    <w:rsid w:val="2A6B5E6B"/>
    <w:rsid w:val="2A7F3244"/>
    <w:rsid w:val="2A801147"/>
    <w:rsid w:val="2AA17648"/>
    <w:rsid w:val="2AA53905"/>
    <w:rsid w:val="2AA9206F"/>
    <w:rsid w:val="2AC05D36"/>
    <w:rsid w:val="2ACB0237"/>
    <w:rsid w:val="2AF43C32"/>
    <w:rsid w:val="2B25203D"/>
    <w:rsid w:val="2B255B99"/>
    <w:rsid w:val="2B400C25"/>
    <w:rsid w:val="2B4029D3"/>
    <w:rsid w:val="2B7319D4"/>
    <w:rsid w:val="2B7A540B"/>
    <w:rsid w:val="2B843B99"/>
    <w:rsid w:val="2B9770FB"/>
    <w:rsid w:val="2B997EBC"/>
    <w:rsid w:val="2C041C52"/>
    <w:rsid w:val="2C2E0A7D"/>
    <w:rsid w:val="2C3B112F"/>
    <w:rsid w:val="2C43609D"/>
    <w:rsid w:val="2C594250"/>
    <w:rsid w:val="2C852C33"/>
    <w:rsid w:val="2CA96F56"/>
    <w:rsid w:val="2CB25B52"/>
    <w:rsid w:val="2CBC077F"/>
    <w:rsid w:val="2CCD0092"/>
    <w:rsid w:val="2CE51A84"/>
    <w:rsid w:val="2CFC6DCE"/>
    <w:rsid w:val="2D0637A8"/>
    <w:rsid w:val="2D1D2BCA"/>
    <w:rsid w:val="2D270819"/>
    <w:rsid w:val="2D296F93"/>
    <w:rsid w:val="2D3447B9"/>
    <w:rsid w:val="2D5467E0"/>
    <w:rsid w:val="2DC72F38"/>
    <w:rsid w:val="2DE961C8"/>
    <w:rsid w:val="2DF92500"/>
    <w:rsid w:val="2DFC4C81"/>
    <w:rsid w:val="2DFE26D1"/>
    <w:rsid w:val="2E0B3C17"/>
    <w:rsid w:val="2E150147"/>
    <w:rsid w:val="2E3F7D20"/>
    <w:rsid w:val="2E445076"/>
    <w:rsid w:val="2E4E3407"/>
    <w:rsid w:val="2E50411F"/>
    <w:rsid w:val="2E5F13C2"/>
    <w:rsid w:val="2E9402F8"/>
    <w:rsid w:val="2EA4771D"/>
    <w:rsid w:val="2EC456C9"/>
    <w:rsid w:val="2ED973C6"/>
    <w:rsid w:val="2F0B779C"/>
    <w:rsid w:val="2F0E4B96"/>
    <w:rsid w:val="2F1D27DA"/>
    <w:rsid w:val="2F391C13"/>
    <w:rsid w:val="2F3A598B"/>
    <w:rsid w:val="2F511653"/>
    <w:rsid w:val="2F6349C1"/>
    <w:rsid w:val="2F634EE2"/>
    <w:rsid w:val="2F772DF4"/>
    <w:rsid w:val="2F80299B"/>
    <w:rsid w:val="2FA63021"/>
    <w:rsid w:val="2FA80594"/>
    <w:rsid w:val="2FD162F0"/>
    <w:rsid w:val="2FDC6A42"/>
    <w:rsid w:val="2FFF10AF"/>
    <w:rsid w:val="30085A89"/>
    <w:rsid w:val="30240B15"/>
    <w:rsid w:val="3039422C"/>
    <w:rsid w:val="304D2582"/>
    <w:rsid w:val="30534DD6"/>
    <w:rsid w:val="30555D5A"/>
    <w:rsid w:val="305E56A9"/>
    <w:rsid w:val="307355F9"/>
    <w:rsid w:val="30747439"/>
    <w:rsid w:val="307D6477"/>
    <w:rsid w:val="30843362"/>
    <w:rsid w:val="30963095"/>
    <w:rsid w:val="30AD0B0B"/>
    <w:rsid w:val="30C3032E"/>
    <w:rsid w:val="30DB7300"/>
    <w:rsid w:val="30DC13F0"/>
    <w:rsid w:val="30F658E4"/>
    <w:rsid w:val="310B75DF"/>
    <w:rsid w:val="31152915"/>
    <w:rsid w:val="311F752F"/>
    <w:rsid w:val="31374878"/>
    <w:rsid w:val="313C1E20"/>
    <w:rsid w:val="314D7BF8"/>
    <w:rsid w:val="315E2965"/>
    <w:rsid w:val="318079F9"/>
    <w:rsid w:val="31B5579D"/>
    <w:rsid w:val="31CD02A2"/>
    <w:rsid w:val="31D20CC7"/>
    <w:rsid w:val="31F311C2"/>
    <w:rsid w:val="31F819C3"/>
    <w:rsid w:val="32250B75"/>
    <w:rsid w:val="32364B30"/>
    <w:rsid w:val="3253123E"/>
    <w:rsid w:val="32543208"/>
    <w:rsid w:val="32873093"/>
    <w:rsid w:val="32B51EF8"/>
    <w:rsid w:val="32BE43B0"/>
    <w:rsid w:val="32DF6F75"/>
    <w:rsid w:val="330971C6"/>
    <w:rsid w:val="332826CA"/>
    <w:rsid w:val="3329252B"/>
    <w:rsid w:val="334119DE"/>
    <w:rsid w:val="334A6C02"/>
    <w:rsid w:val="33577A48"/>
    <w:rsid w:val="335E60EC"/>
    <w:rsid w:val="336B086B"/>
    <w:rsid w:val="33705109"/>
    <w:rsid w:val="337F1A8A"/>
    <w:rsid w:val="33AD12D4"/>
    <w:rsid w:val="33F35D4B"/>
    <w:rsid w:val="340842AA"/>
    <w:rsid w:val="345507E9"/>
    <w:rsid w:val="34553383"/>
    <w:rsid w:val="34627E5E"/>
    <w:rsid w:val="34803011"/>
    <w:rsid w:val="348957C0"/>
    <w:rsid w:val="34C603ED"/>
    <w:rsid w:val="34CF6B76"/>
    <w:rsid w:val="34D80DC2"/>
    <w:rsid w:val="34DB4078"/>
    <w:rsid w:val="34DE3E9A"/>
    <w:rsid w:val="34E22D4D"/>
    <w:rsid w:val="34ED3768"/>
    <w:rsid w:val="35154ED0"/>
    <w:rsid w:val="351E78DD"/>
    <w:rsid w:val="3523633E"/>
    <w:rsid w:val="35375BA9"/>
    <w:rsid w:val="353A0493"/>
    <w:rsid w:val="35435B15"/>
    <w:rsid w:val="355A6A4F"/>
    <w:rsid w:val="355E6877"/>
    <w:rsid w:val="35BA3ADA"/>
    <w:rsid w:val="35C6441D"/>
    <w:rsid w:val="35E825E5"/>
    <w:rsid w:val="360016DD"/>
    <w:rsid w:val="3605272D"/>
    <w:rsid w:val="360F36CE"/>
    <w:rsid w:val="3652180C"/>
    <w:rsid w:val="366178B7"/>
    <w:rsid w:val="36617CA1"/>
    <w:rsid w:val="36653DD5"/>
    <w:rsid w:val="36666547"/>
    <w:rsid w:val="3667175C"/>
    <w:rsid w:val="368C2F70"/>
    <w:rsid w:val="368E4F3A"/>
    <w:rsid w:val="368F0CB2"/>
    <w:rsid w:val="36A04C6E"/>
    <w:rsid w:val="36A302BA"/>
    <w:rsid w:val="36A5763D"/>
    <w:rsid w:val="36A75FFC"/>
    <w:rsid w:val="36A95D1D"/>
    <w:rsid w:val="36AA49C4"/>
    <w:rsid w:val="36BA51AA"/>
    <w:rsid w:val="36D50AF0"/>
    <w:rsid w:val="370C5E5F"/>
    <w:rsid w:val="37306AE8"/>
    <w:rsid w:val="37313B18"/>
    <w:rsid w:val="373F0BD2"/>
    <w:rsid w:val="37485E2D"/>
    <w:rsid w:val="37555A58"/>
    <w:rsid w:val="376C68FE"/>
    <w:rsid w:val="37895702"/>
    <w:rsid w:val="378D6FA0"/>
    <w:rsid w:val="37A34A15"/>
    <w:rsid w:val="37D470E3"/>
    <w:rsid w:val="37F039D3"/>
    <w:rsid w:val="38003C16"/>
    <w:rsid w:val="38037262"/>
    <w:rsid w:val="38156F95"/>
    <w:rsid w:val="38180E94"/>
    <w:rsid w:val="384F4255"/>
    <w:rsid w:val="385E093C"/>
    <w:rsid w:val="38823FEF"/>
    <w:rsid w:val="38974C56"/>
    <w:rsid w:val="38A10829"/>
    <w:rsid w:val="38A1796E"/>
    <w:rsid w:val="38A345A1"/>
    <w:rsid w:val="38B62526"/>
    <w:rsid w:val="38CC4E53"/>
    <w:rsid w:val="38CF5396"/>
    <w:rsid w:val="391D0741"/>
    <w:rsid w:val="392A4F7E"/>
    <w:rsid w:val="39593A99"/>
    <w:rsid w:val="39846181"/>
    <w:rsid w:val="399D5494"/>
    <w:rsid w:val="39A6259B"/>
    <w:rsid w:val="39BD78E5"/>
    <w:rsid w:val="39C66799"/>
    <w:rsid w:val="39E13D03"/>
    <w:rsid w:val="39EB26A4"/>
    <w:rsid w:val="39EB36B5"/>
    <w:rsid w:val="3A0B4AF4"/>
    <w:rsid w:val="3A173499"/>
    <w:rsid w:val="3A233F4D"/>
    <w:rsid w:val="3A290D5D"/>
    <w:rsid w:val="3A3B7187"/>
    <w:rsid w:val="3A5913BB"/>
    <w:rsid w:val="3A5E556F"/>
    <w:rsid w:val="3A614714"/>
    <w:rsid w:val="3A6164C2"/>
    <w:rsid w:val="3A7379F9"/>
    <w:rsid w:val="3A95616C"/>
    <w:rsid w:val="3AC663BE"/>
    <w:rsid w:val="3B383D59"/>
    <w:rsid w:val="3B3B31B7"/>
    <w:rsid w:val="3B53405D"/>
    <w:rsid w:val="3B583B73"/>
    <w:rsid w:val="3B675D5A"/>
    <w:rsid w:val="3B6A75F8"/>
    <w:rsid w:val="3B7C4D86"/>
    <w:rsid w:val="3B886B17"/>
    <w:rsid w:val="3BAE70BC"/>
    <w:rsid w:val="3BB54A13"/>
    <w:rsid w:val="3BC35686"/>
    <w:rsid w:val="3BC9431F"/>
    <w:rsid w:val="3BCB0097"/>
    <w:rsid w:val="3C0161AE"/>
    <w:rsid w:val="3C28373B"/>
    <w:rsid w:val="3C2D412E"/>
    <w:rsid w:val="3C357C06"/>
    <w:rsid w:val="3C495460"/>
    <w:rsid w:val="3C5F4C83"/>
    <w:rsid w:val="3C6F7834"/>
    <w:rsid w:val="3C7A52D5"/>
    <w:rsid w:val="3C805F8B"/>
    <w:rsid w:val="3C9B22E4"/>
    <w:rsid w:val="3C9E1C4F"/>
    <w:rsid w:val="3CB87A58"/>
    <w:rsid w:val="3CB964D3"/>
    <w:rsid w:val="3CBB7CB3"/>
    <w:rsid w:val="3CE84C49"/>
    <w:rsid w:val="3D213ED4"/>
    <w:rsid w:val="3D225118"/>
    <w:rsid w:val="3D55462F"/>
    <w:rsid w:val="3D563FC7"/>
    <w:rsid w:val="3D5B32AB"/>
    <w:rsid w:val="3DA417FD"/>
    <w:rsid w:val="3DA63134"/>
    <w:rsid w:val="3DC63D47"/>
    <w:rsid w:val="3DE10046"/>
    <w:rsid w:val="3E1718FD"/>
    <w:rsid w:val="3E1C72D0"/>
    <w:rsid w:val="3E2A39D2"/>
    <w:rsid w:val="3E331252"/>
    <w:rsid w:val="3E356B0A"/>
    <w:rsid w:val="3E444C3E"/>
    <w:rsid w:val="3E493D07"/>
    <w:rsid w:val="3E5F0F6A"/>
    <w:rsid w:val="3E612200"/>
    <w:rsid w:val="3E686071"/>
    <w:rsid w:val="3E802A97"/>
    <w:rsid w:val="3E8D2F84"/>
    <w:rsid w:val="3E9E1A93"/>
    <w:rsid w:val="3EB84D68"/>
    <w:rsid w:val="3EBC460F"/>
    <w:rsid w:val="3EC11C25"/>
    <w:rsid w:val="3EDD158F"/>
    <w:rsid w:val="3EED2A1A"/>
    <w:rsid w:val="3F1D32FF"/>
    <w:rsid w:val="3F2D2AB1"/>
    <w:rsid w:val="3F350199"/>
    <w:rsid w:val="3F4025D5"/>
    <w:rsid w:val="3F4032BB"/>
    <w:rsid w:val="3F5E1222"/>
    <w:rsid w:val="3F6C411F"/>
    <w:rsid w:val="3F7371FE"/>
    <w:rsid w:val="3FAB6D01"/>
    <w:rsid w:val="3FBD419A"/>
    <w:rsid w:val="3FF73B50"/>
    <w:rsid w:val="402E32EA"/>
    <w:rsid w:val="404265F8"/>
    <w:rsid w:val="404339FD"/>
    <w:rsid w:val="40532D51"/>
    <w:rsid w:val="405A7C3B"/>
    <w:rsid w:val="408F179A"/>
    <w:rsid w:val="40B06B13"/>
    <w:rsid w:val="40C652D1"/>
    <w:rsid w:val="40D91972"/>
    <w:rsid w:val="40E85247"/>
    <w:rsid w:val="41046039"/>
    <w:rsid w:val="4107150A"/>
    <w:rsid w:val="41175B2C"/>
    <w:rsid w:val="411D7FA1"/>
    <w:rsid w:val="413848F8"/>
    <w:rsid w:val="413E755D"/>
    <w:rsid w:val="414803DC"/>
    <w:rsid w:val="415E055B"/>
    <w:rsid w:val="416D1BF0"/>
    <w:rsid w:val="41873D75"/>
    <w:rsid w:val="419929E5"/>
    <w:rsid w:val="41BB525D"/>
    <w:rsid w:val="42223CF3"/>
    <w:rsid w:val="424F600E"/>
    <w:rsid w:val="426205C2"/>
    <w:rsid w:val="42770F78"/>
    <w:rsid w:val="427D14FA"/>
    <w:rsid w:val="428B139C"/>
    <w:rsid w:val="4298644F"/>
    <w:rsid w:val="42C03D90"/>
    <w:rsid w:val="42D53EF1"/>
    <w:rsid w:val="42DB108A"/>
    <w:rsid w:val="42DC36C1"/>
    <w:rsid w:val="42E72C06"/>
    <w:rsid w:val="42E81A47"/>
    <w:rsid w:val="43170066"/>
    <w:rsid w:val="43211644"/>
    <w:rsid w:val="432D7889"/>
    <w:rsid w:val="43367DEF"/>
    <w:rsid w:val="43374CD4"/>
    <w:rsid w:val="43457AAF"/>
    <w:rsid w:val="436A0E13"/>
    <w:rsid w:val="4395644C"/>
    <w:rsid w:val="43970571"/>
    <w:rsid w:val="439C056B"/>
    <w:rsid w:val="439E6A72"/>
    <w:rsid w:val="43A55FFB"/>
    <w:rsid w:val="43F32881"/>
    <w:rsid w:val="440C3942"/>
    <w:rsid w:val="441246C5"/>
    <w:rsid w:val="441D5B50"/>
    <w:rsid w:val="442C7B41"/>
    <w:rsid w:val="445175A7"/>
    <w:rsid w:val="445B21D4"/>
    <w:rsid w:val="448D60CE"/>
    <w:rsid w:val="44B042CE"/>
    <w:rsid w:val="44B10CC7"/>
    <w:rsid w:val="44B40AAB"/>
    <w:rsid w:val="44BE2144"/>
    <w:rsid w:val="44D2693A"/>
    <w:rsid w:val="44D53D34"/>
    <w:rsid w:val="44D91E82"/>
    <w:rsid w:val="44DA759D"/>
    <w:rsid w:val="44E623E5"/>
    <w:rsid w:val="44EE129A"/>
    <w:rsid w:val="44EF485A"/>
    <w:rsid w:val="45084F4F"/>
    <w:rsid w:val="45125B2E"/>
    <w:rsid w:val="4515782D"/>
    <w:rsid w:val="45527291"/>
    <w:rsid w:val="45561319"/>
    <w:rsid w:val="455A248C"/>
    <w:rsid w:val="45682DFA"/>
    <w:rsid w:val="456F6F3D"/>
    <w:rsid w:val="457A6562"/>
    <w:rsid w:val="45AC0F39"/>
    <w:rsid w:val="45AC718B"/>
    <w:rsid w:val="45B4789B"/>
    <w:rsid w:val="45B84997"/>
    <w:rsid w:val="45CF4B73"/>
    <w:rsid w:val="45D97826"/>
    <w:rsid w:val="46222FA9"/>
    <w:rsid w:val="46252A2C"/>
    <w:rsid w:val="46282E28"/>
    <w:rsid w:val="462967F2"/>
    <w:rsid w:val="462F542D"/>
    <w:rsid w:val="463B050F"/>
    <w:rsid w:val="46470C62"/>
    <w:rsid w:val="465766EB"/>
    <w:rsid w:val="46D71FE6"/>
    <w:rsid w:val="46E95465"/>
    <w:rsid w:val="46EB5A91"/>
    <w:rsid w:val="47003DBD"/>
    <w:rsid w:val="47063B7B"/>
    <w:rsid w:val="47084895"/>
    <w:rsid w:val="47182731"/>
    <w:rsid w:val="47206D0A"/>
    <w:rsid w:val="4729044D"/>
    <w:rsid w:val="473064BB"/>
    <w:rsid w:val="47341A6F"/>
    <w:rsid w:val="4734568A"/>
    <w:rsid w:val="47482EE3"/>
    <w:rsid w:val="47574ED5"/>
    <w:rsid w:val="476C3C35"/>
    <w:rsid w:val="47AC4D0B"/>
    <w:rsid w:val="47F46C1C"/>
    <w:rsid w:val="481334F1"/>
    <w:rsid w:val="481A105A"/>
    <w:rsid w:val="48253225"/>
    <w:rsid w:val="484C5486"/>
    <w:rsid w:val="485B0952"/>
    <w:rsid w:val="485B09F4"/>
    <w:rsid w:val="485F1311"/>
    <w:rsid w:val="48F52967"/>
    <w:rsid w:val="49170DBF"/>
    <w:rsid w:val="49437E06"/>
    <w:rsid w:val="49555444"/>
    <w:rsid w:val="49557B3A"/>
    <w:rsid w:val="495E69EE"/>
    <w:rsid w:val="496038EF"/>
    <w:rsid w:val="496941FF"/>
    <w:rsid w:val="49920446"/>
    <w:rsid w:val="49971F00"/>
    <w:rsid w:val="49997A26"/>
    <w:rsid w:val="49A32653"/>
    <w:rsid w:val="49A87567"/>
    <w:rsid w:val="4A1575E9"/>
    <w:rsid w:val="4A2F2139"/>
    <w:rsid w:val="4A301A0D"/>
    <w:rsid w:val="4A341C3D"/>
    <w:rsid w:val="4A45370A"/>
    <w:rsid w:val="4A471230"/>
    <w:rsid w:val="4A88268F"/>
    <w:rsid w:val="4A9D52F4"/>
    <w:rsid w:val="4AB97C54"/>
    <w:rsid w:val="4ABA169A"/>
    <w:rsid w:val="4ABF34BD"/>
    <w:rsid w:val="4AC322C0"/>
    <w:rsid w:val="4AC46A3A"/>
    <w:rsid w:val="4AC46D25"/>
    <w:rsid w:val="4AC9433B"/>
    <w:rsid w:val="4B054C48"/>
    <w:rsid w:val="4B12687A"/>
    <w:rsid w:val="4B1503DE"/>
    <w:rsid w:val="4B193F45"/>
    <w:rsid w:val="4B225175"/>
    <w:rsid w:val="4B3F0159"/>
    <w:rsid w:val="4B4A51F9"/>
    <w:rsid w:val="4B4E2A92"/>
    <w:rsid w:val="4B6422B6"/>
    <w:rsid w:val="4B6A71C8"/>
    <w:rsid w:val="4B6E0A3F"/>
    <w:rsid w:val="4B6E7767"/>
    <w:rsid w:val="4B8B7843"/>
    <w:rsid w:val="4BA624D6"/>
    <w:rsid w:val="4BA6467C"/>
    <w:rsid w:val="4BAD1567"/>
    <w:rsid w:val="4BB1271E"/>
    <w:rsid w:val="4BBF1667"/>
    <w:rsid w:val="4BC23E1F"/>
    <w:rsid w:val="4BC46941"/>
    <w:rsid w:val="4BCF3BD3"/>
    <w:rsid w:val="4BE805A7"/>
    <w:rsid w:val="4BF90C50"/>
    <w:rsid w:val="4C243E62"/>
    <w:rsid w:val="4C251041"/>
    <w:rsid w:val="4C532DE7"/>
    <w:rsid w:val="4CD05CDB"/>
    <w:rsid w:val="4CD64AED"/>
    <w:rsid w:val="4CFD2732"/>
    <w:rsid w:val="4D123296"/>
    <w:rsid w:val="4D124BBA"/>
    <w:rsid w:val="4D207734"/>
    <w:rsid w:val="4D2E0486"/>
    <w:rsid w:val="4D36558C"/>
    <w:rsid w:val="4D4D3EB8"/>
    <w:rsid w:val="4D677E3B"/>
    <w:rsid w:val="4DA30E74"/>
    <w:rsid w:val="4DA32269"/>
    <w:rsid w:val="4DC57322"/>
    <w:rsid w:val="4DD23507"/>
    <w:rsid w:val="4DD43DBE"/>
    <w:rsid w:val="4DD95D87"/>
    <w:rsid w:val="4DEA4CF4"/>
    <w:rsid w:val="4DEF5C6D"/>
    <w:rsid w:val="4E141D71"/>
    <w:rsid w:val="4E546038"/>
    <w:rsid w:val="4E655E36"/>
    <w:rsid w:val="4E7B5851"/>
    <w:rsid w:val="4E8F21E4"/>
    <w:rsid w:val="4EA8628F"/>
    <w:rsid w:val="4EB106E8"/>
    <w:rsid w:val="4ECA2430"/>
    <w:rsid w:val="4EDD03B5"/>
    <w:rsid w:val="4EEA2F6B"/>
    <w:rsid w:val="4F03593F"/>
    <w:rsid w:val="4F097485"/>
    <w:rsid w:val="4F231B40"/>
    <w:rsid w:val="4F440B41"/>
    <w:rsid w:val="4F6939F7"/>
    <w:rsid w:val="4F892929"/>
    <w:rsid w:val="4F921368"/>
    <w:rsid w:val="4F934F18"/>
    <w:rsid w:val="4FC30C27"/>
    <w:rsid w:val="4FCE41A2"/>
    <w:rsid w:val="4FD712A8"/>
    <w:rsid w:val="500024B1"/>
    <w:rsid w:val="500472D3"/>
    <w:rsid w:val="5012408F"/>
    <w:rsid w:val="50265D8C"/>
    <w:rsid w:val="50564BEE"/>
    <w:rsid w:val="50EA0B67"/>
    <w:rsid w:val="50EE4067"/>
    <w:rsid w:val="50F10148"/>
    <w:rsid w:val="51087240"/>
    <w:rsid w:val="511B3417"/>
    <w:rsid w:val="51205B1A"/>
    <w:rsid w:val="51281F4E"/>
    <w:rsid w:val="512978E2"/>
    <w:rsid w:val="514209A3"/>
    <w:rsid w:val="5144471C"/>
    <w:rsid w:val="51621046"/>
    <w:rsid w:val="517B3EB5"/>
    <w:rsid w:val="519478E5"/>
    <w:rsid w:val="51D57A6A"/>
    <w:rsid w:val="51DA0BDC"/>
    <w:rsid w:val="51F577C4"/>
    <w:rsid w:val="52081BED"/>
    <w:rsid w:val="52273A0E"/>
    <w:rsid w:val="52304CA0"/>
    <w:rsid w:val="52320A18"/>
    <w:rsid w:val="523227C6"/>
    <w:rsid w:val="523D047A"/>
    <w:rsid w:val="524A3FB4"/>
    <w:rsid w:val="52642B9B"/>
    <w:rsid w:val="52720E14"/>
    <w:rsid w:val="52754DA9"/>
    <w:rsid w:val="52772529"/>
    <w:rsid w:val="52846D9A"/>
    <w:rsid w:val="52860D64"/>
    <w:rsid w:val="5290573F"/>
    <w:rsid w:val="52CD6993"/>
    <w:rsid w:val="52CF270B"/>
    <w:rsid w:val="52E361B6"/>
    <w:rsid w:val="52F537F4"/>
    <w:rsid w:val="52FC2DD4"/>
    <w:rsid w:val="52FC44ED"/>
    <w:rsid w:val="530529F2"/>
    <w:rsid w:val="530E3915"/>
    <w:rsid w:val="5333542D"/>
    <w:rsid w:val="53395DD6"/>
    <w:rsid w:val="5345477B"/>
    <w:rsid w:val="534B7333"/>
    <w:rsid w:val="536536CD"/>
    <w:rsid w:val="53692166"/>
    <w:rsid w:val="538452A3"/>
    <w:rsid w:val="5389269B"/>
    <w:rsid w:val="538C0E30"/>
    <w:rsid w:val="538C5F06"/>
    <w:rsid w:val="53A771E4"/>
    <w:rsid w:val="53B51901"/>
    <w:rsid w:val="53BF0089"/>
    <w:rsid w:val="53C03E02"/>
    <w:rsid w:val="540865BD"/>
    <w:rsid w:val="5415414D"/>
    <w:rsid w:val="541D3002"/>
    <w:rsid w:val="542329FF"/>
    <w:rsid w:val="54244390"/>
    <w:rsid w:val="544762D1"/>
    <w:rsid w:val="54773FDF"/>
    <w:rsid w:val="547A7B7E"/>
    <w:rsid w:val="549E2395"/>
    <w:rsid w:val="54AA6F8B"/>
    <w:rsid w:val="54F41FB5"/>
    <w:rsid w:val="55026E3C"/>
    <w:rsid w:val="55164621"/>
    <w:rsid w:val="55256612"/>
    <w:rsid w:val="55384597"/>
    <w:rsid w:val="55410A66"/>
    <w:rsid w:val="55592760"/>
    <w:rsid w:val="55BB6F76"/>
    <w:rsid w:val="55CA2BAB"/>
    <w:rsid w:val="55CE0A58"/>
    <w:rsid w:val="55F83D27"/>
    <w:rsid w:val="55F935FB"/>
    <w:rsid w:val="56556031"/>
    <w:rsid w:val="56660C90"/>
    <w:rsid w:val="56835CE6"/>
    <w:rsid w:val="568B4DCA"/>
    <w:rsid w:val="568F5819"/>
    <w:rsid w:val="56B20949"/>
    <w:rsid w:val="56B95D55"/>
    <w:rsid w:val="56E90B94"/>
    <w:rsid w:val="56EF20CA"/>
    <w:rsid w:val="56F444EE"/>
    <w:rsid w:val="570D0629"/>
    <w:rsid w:val="5711371D"/>
    <w:rsid w:val="57201787"/>
    <w:rsid w:val="57250B4B"/>
    <w:rsid w:val="57337133"/>
    <w:rsid w:val="575B27BF"/>
    <w:rsid w:val="576A2A02"/>
    <w:rsid w:val="57A44166"/>
    <w:rsid w:val="57BD2100"/>
    <w:rsid w:val="57BF6515"/>
    <w:rsid w:val="57C22777"/>
    <w:rsid w:val="57EA3B43"/>
    <w:rsid w:val="58030761"/>
    <w:rsid w:val="587A2200"/>
    <w:rsid w:val="588675CA"/>
    <w:rsid w:val="58A957AC"/>
    <w:rsid w:val="58AB32D2"/>
    <w:rsid w:val="58C61EBA"/>
    <w:rsid w:val="58DC16DE"/>
    <w:rsid w:val="58DD5B79"/>
    <w:rsid w:val="58E95FEA"/>
    <w:rsid w:val="58EF7663"/>
    <w:rsid w:val="592267C3"/>
    <w:rsid w:val="59457283"/>
    <w:rsid w:val="594E7013"/>
    <w:rsid w:val="59764D3D"/>
    <w:rsid w:val="59934492"/>
    <w:rsid w:val="59AC3B2A"/>
    <w:rsid w:val="59C21551"/>
    <w:rsid w:val="5A0802B0"/>
    <w:rsid w:val="5A0C5FF2"/>
    <w:rsid w:val="5A157CD6"/>
    <w:rsid w:val="5A1B2993"/>
    <w:rsid w:val="5A201A9E"/>
    <w:rsid w:val="5A2C0443"/>
    <w:rsid w:val="5A5F4374"/>
    <w:rsid w:val="5A6A4AC7"/>
    <w:rsid w:val="5A700F6C"/>
    <w:rsid w:val="5A834BE0"/>
    <w:rsid w:val="5A8E2EAB"/>
    <w:rsid w:val="5AB93E26"/>
    <w:rsid w:val="5AC24243"/>
    <w:rsid w:val="5AF820D3"/>
    <w:rsid w:val="5B046CCA"/>
    <w:rsid w:val="5B2B24A8"/>
    <w:rsid w:val="5B4121AC"/>
    <w:rsid w:val="5B432946"/>
    <w:rsid w:val="5B462B7B"/>
    <w:rsid w:val="5B4E6197"/>
    <w:rsid w:val="5B5E47F5"/>
    <w:rsid w:val="5B6F4A8B"/>
    <w:rsid w:val="5B7F03CF"/>
    <w:rsid w:val="5B900847"/>
    <w:rsid w:val="5BB14B2D"/>
    <w:rsid w:val="5BE663CF"/>
    <w:rsid w:val="5C06788A"/>
    <w:rsid w:val="5C076A71"/>
    <w:rsid w:val="5C0E56CC"/>
    <w:rsid w:val="5C1473E0"/>
    <w:rsid w:val="5C1949F7"/>
    <w:rsid w:val="5C2A2C44"/>
    <w:rsid w:val="5C361105"/>
    <w:rsid w:val="5C43428B"/>
    <w:rsid w:val="5C4C6B7A"/>
    <w:rsid w:val="5C6245A4"/>
    <w:rsid w:val="5C657C3C"/>
    <w:rsid w:val="5C87555C"/>
    <w:rsid w:val="5CB85FBE"/>
    <w:rsid w:val="5CC6692D"/>
    <w:rsid w:val="5CFC7093"/>
    <w:rsid w:val="5D0134C1"/>
    <w:rsid w:val="5D094A6B"/>
    <w:rsid w:val="5D243653"/>
    <w:rsid w:val="5D3C099D"/>
    <w:rsid w:val="5D6574AD"/>
    <w:rsid w:val="5DBC024C"/>
    <w:rsid w:val="5DD0090F"/>
    <w:rsid w:val="5DD86E62"/>
    <w:rsid w:val="5DEA03F9"/>
    <w:rsid w:val="5DF13D33"/>
    <w:rsid w:val="5E57322C"/>
    <w:rsid w:val="5E58313B"/>
    <w:rsid w:val="5E5D3B0F"/>
    <w:rsid w:val="5E6F4DA2"/>
    <w:rsid w:val="5E9652BC"/>
    <w:rsid w:val="5E9B5B97"/>
    <w:rsid w:val="5EC724E8"/>
    <w:rsid w:val="5EF01A3F"/>
    <w:rsid w:val="5EF75688"/>
    <w:rsid w:val="5F9920D6"/>
    <w:rsid w:val="5F9978DE"/>
    <w:rsid w:val="5F9C3975"/>
    <w:rsid w:val="5FB52C88"/>
    <w:rsid w:val="5FBB029F"/>
    <w:rsid w:val="5FD96977"/>
    <w:rsid w:val="5FF437B1"/>
    <w:rsid w:val="600A2FD4"/>
    <w:rsid w:val="600A6B30"/>
    <w:rsid w:val="60270862"/>
    <w:rsid w:val="605955D5"/>
    <w:rsid w:val="606868C1"/>
    <w:rsid w:val="606B61BE"/>
    <w:rsid w:val="606F4BE5"/>
    <w:rsid w:val="60A965BD"/>
    <w:rsid w:val="60AB4F96"/>
    <w:rsid w:val="60C31615"/>
    <w:rsid w:val="60C5514D"/>
    <w:rsid w:val="60F07726"/>
    <w:rsid w:val="610E6FE2"/>
    <w:rsid w:val="61256045"/>
    <w:rsid w:val="61273712"/>
    <w:rsid w:val="612A08FC"/>
    <w:rsid w:val="612E2CF2"/>
    <w:rsid w:val="612E4AA0"/>
    <w:rsid w:val="61447E20"/>
    <w:rsid w:val="61493688"/>
    <w:rsid w:val="61785D1C"/>
    <w:rsid w:val="61A15272"/>
    <w:rsid w:val="61B74A96"/>
    <w:rsid w:val="61BE22AB"/>
    <w:rsid w:val="61C264D4"/>
    <w:rsid w:val="61C4752C"/>
    <w:rsid w:val="61C827FF"/>
    <w:rsid w:val="61C8748B"/>
    <w:rsid w:val="61CD42B9"/>
    <w:rsid w:val="62304EC4"/>
    <w:rsid w:val="62465E1A"/>
    <w:rsid w:val="624C78D4"/>
    <w:rsid w:val="62604D16"/>
    <w:rsid w:val="6263077A"/>
    <w:rsid w:val="62B3706C"/>
    <w:rsid w:val="62C84A81"/>
    <w:rsid w:val="62CB0B89"/>
    <w:rsid w:val="62CE653B"/>
    <w:rsid w:val="62E53885"/>
    <w:rsid w:val="62F35B65"/>
    <w:rsid w:val="630006BE"/>
    <w:rsid w:val="63071A4D"/>
    <w:rsid w:val="630B32EB"/>
    <w:rsid w:val="63100572"/>
    <w:rsid w:val="636B5B38"/>
    <w:rsid w:val="639257DF"/>
    <w:rsid w:val="63B55761"/>
    <w:rsid w:val="63BA6ABF"/>
    <w:rsid w:val="63BE2F70"/>
    <w:rsid w:val="63E92F01"/>
    <w:rsid w:val="641E704E"/>
    <w:rsid w:val="642E6359"/>
    <w:rsid w:val="64526CF8"/>
    <w:rsid w:val="64801AB7"/>
    <w:rsid w:val="64890910"/>
    <w:rsid w:val="64B330A9"/>
    <w:rsid w:val="64D07675"/>
    <w:rsid w:val="650A75D2"/>
    <w:rsid w:val="65272EEA"/>
    <w:rsid w:val="65351598"/>
    <w:rsid w:val="654914FD"/>
    <w:rsid w:val="654C6FBE"/>
    <w:rsid w:val="655A1D56"/>
    <w:rsid w:val="655E31F6"/>
    <w:rsid w:val="656C3B40"/>
    <w:rsid w:val="658D5DCB"/>
    <w:rsid w:val="659F0707"/>
    <w:rsid w:val="65B809BA"/>
    <w:rsid w:val="65E240AB"/>
    <w:rsid w:val="65E322FD"/>
    <w:rsid w:val="65E9368C"/>
    <w:rsid w:val="65EB2F60"/>
    <w:rsid w:val="65EF06E6"/>
    <w:rsid w:val="66014531"/>
    <w:rsid w:val="660B1854"/>
    <w:rsid w:val="661A1A97"/>
    <w:rsid w:val="66287D10"/>
    <w:rsid w:val="662A244F"/>
    <w:rsid w:val="663761A5"/>
    <w:rsid w:val="667747F4"/>
    <w:rsid w:val="669E4AF0"/>
    <w:rsid w:val="66BC66AA"/>
    <w:rsid w:val="66BE688B"/>
    <w:rsid w:val="66BF24AF"/>
    <w:rsid w:val="66D0416B"/>
    <w:rsid w:val="66DE5A65"/>
    <w:rsid w:val="66EA796E"/>
    <w:rsid w:val="670544F5"/>
    <w:rsid w:val="670C7592"/>
    <w:rsid w:val="670F2C7E"/>
    <w:rsid w:val="6712276E"/>
    <w:rsid w:val="671D1438"/>
    <w:rsid w:val="67226E55"/>
    <w:rsid w:val="673D5A3D"/>
    <w:rsid w:val="67544B35"/>
    <w:rsid w:val="6759214B"/>
    <w:rsid w:val="67872E62"/>
    <w:rsid w:val="678E6299"/>
    <w:rsid w:val="67966EFB"/>
    <w:rsid w:val="67971AC0"/>
    <w:rsid w:val="67AF7FBD"/>
    <w:rsid w:val="67D234E5"/>
    <w:rsid w:val="67D34C9C"/>
    <w:rsid w:val="67D50BE7"/>
    <w:rsid w:val="67F72090"/>
    <w:rsid w:val="68040309"/>
    <w:rsid w:val="68420E31"/>
    <w:rsid w:val="68490BA5"/>
    <w:rsid w:val="68550180"/>
    <w:rsid w:val="68594FDE"/>
    <w:rsid w:val="685E210F"/>
    <w:rsid w:val="685E3EBD"/>
    <w:rsid w:val="68637725"/>
    <w:rsid w:val="68686AEA"/>
    <w:rsid w:val="686B0388"/>
    <w:rsid w:val="68DA02E1"/>
    <w:rsid w:val="68E17FFB"/>
    <w:rsid w:val="68E567BC"/>
    <w:rsid w:val="69083E29"/>
    <w:rsid w:val="691D5AC7"/>
    <w:rsid w:val="694309FE"/>
    <w:rsid w:val="6949471D"/>
    <w:rsid w:val="69744E6F"/>
    <w:rsid w:val="69871EC7"/>
    <w:rsid w:val="69A637A8"/>
    <w:rsid w:val="69AE1F1D"/>
    <w:rsid w:val="69D779E7"/>
    <w:rsid w:val="69DA57C5"/>
    <w:rsid w:val="69E14DA6"/>
    <w:rsid w:val="6A026ACA"/>
    <w:rsid w:val="6A5C267E"/>
    <w:rsid w:val="6AD40467"/>
    <w:rsid w:val="6B0845B4"/>
    <w:rsid w:val="6B210FDB"/>
    <w:rsid w:val="6B3358AF"/>
    <w:rsid w:val="6B3C7DBA"/>
    <w:rsid w:val="6B43383E"/>
    <w:rsid w:val="6B5624D6"/>
    <w:rsid w:val="6B636247"/>
    <w:rsid w:val="6B7A3955"/>
    <w:rsid w:val="6B833C3B"/>
    <w:rsid w:val="6B8A321B"/>
    <w:rsid w:val="6B947BF6"/>
    <w:rsid w:val="6BBB422C"/>
    <w:rsid w:val="6BC02799"/>
    <w:rsid w:val="6BE02C52"/>
    <w:rsid w:val="6BEC65DB"/>
    <w:rsid w:val="6BF15664"/>
    <w:rsid w:val="6C004177"/>
    <w:rsid w:val="6C4433CA"/>
    <w:rsid w:val="6C570E95"/>
    <w:rsid w:val="6C643A6C"/>
    <w:rsid w:val="6C64581A"/>
    <w:rsid w:val="6C6D7FA7"/>
    <w:rsid w:val="6C9C1458"/>
    <w:rsid w:val="6C9D2ADA"/>
    <w:rsid w:val="6CA16A6E"/>
    <w:rsid w:val="6CC1587C"/>
    <w:rsid w:val="6CC664D5"/>
    <w:rsid w:val="6CDB566F"/>
    <w:rsid w:val="6D06192C"/>
    <w:rsid w:val="6D102FDC"/>
    <w:rsid w:val="6D154D66"/>
    <w:rsid w:val="6D52182C"/>
    <w:rsid w:val="6D6A6E60"/>
    <w:rsid w:val="6D6D4BA2"/>
    <w:rsid w:val="6D9823AF"/>
    <w:rsid w:val="6DDB2BBF"/>
    <w:rsid w:val="6DE05374"/>
    <w:rsid w:val="6E054DDB"/>
    <w:rsid w:val="6E0D7EC3"/>
    <w:rsid w:val="6E1A0886"/>
    <w:rsid w:val="6E315BD0"/>
    <w:rsid w:val="6E407BC1"/>
    <w:rsid w:val="6E6E2980"/>
    <w:rsid w:val="6E7016C7"/>
    <w:rsid w:val="6E751F61"/>
    <w:rsid w:val="6E8E4DD0"/>
    <w:rsid w:val="6E962359"/>
    <w:rsid w:val="6EA05A19"/>
    <w:rsid w:val="6EA63EC8"/>
    <w:rsid w:val="6EB236F3"/>
    <w:rsid w:val="6EBA3E17"/>
    <w:rsid w:val="6EBD7464"/>
    <w:rsid w:val="6EBF7CC3"/>
    <w:rsid w:val="6ED30A35"/>
    <w:rsid w:val="6ED3543C"/>
    <w:rsid w:val="6ED44ED9"/>
    <w:rsid w:val="6ED577BF"/>
    <w:rsid w:val="6EF2535F"/>
    <w:rsid w:val="6F0260ED"/>
    <w:rsid w:val="6F3920FF"/>
    <w:rsid w:val="6F55769C"/>
    <w:rsid w:val="6F7B5355"/>
    <w:rsid w:val="6F83507F"/>
    <w:rsid w:val="6FBA00BC"/>
    <w:rsid w:val="6FD760E3"/>
    <w:rsid w:val="6FDE1F16"/>
    <w:rsid w:val="6FDE5A92"/>
    <w:rsid w:val="6FEF5D43"/>
    <w:rsid w:val="70213C84"/>
    <w:rsid w:val="70231548"/>
    <w:rsid w:val="7026309C"/>
    <w:rsid w:val="705636CC"/>
    <w:rsid w:val="705A67E5"/>
    <w:rsid w:val="705C0937"/>
    <w:rsid w:val="70695950"/>
    <w:rsid w:val="70781894"/>
    <w:rsid w:val="70943FC3"/>
    <w:rsid w:val="70BB4675"/>
    <w:rsid w:val="70BD374B"/>
    <w:rsid w:val="70CE6C84"/>
    <w:rsid w:val="70D4539F"/>
    <w:rsid w:val="70D47B01"/>
    <w:rsid w:val="70F002E9"/>
    <w:rsid w:val="710B75D3"/>
    <w:rsid w:val="711A3653"/>
    <w:rsid w:val="71367772"/>
    <w:rsid w:val="71551BD5"/>
    <w:rsid w:val="7169742F"/>
    <w:rsid w:val="71754026"/>
    <w:rsid w:val="718A5D23"/>
    <w:rsid w:val="71BE777B"/>
    <w:rsid w:val="71DD22F7"/>
    <w:rsid w:val="71EF5B86"/>
    <w:rsid w:val="720B444D"/>
    <w:rsid w:val="720C7FDC"/>
    <w:rsid w:val="72187D67"/>
    <w:rsid w:val="72396872"/>
    <w:rsid w:val="72431062"/>
    <w:rsid w:val="72593B1F"/>
    <w:rsid w:val="72826FAD"/>
    <w:rsid w:val="728C5ACB"/>
    <w:rsid w:val="728E539F"/>
    <w:rsid w:val="729F75AC"/>
    <w:rsid w:val="72A204A0"/>
    <w:rsid w:val="72CE60E3"/>
    <w:rsid w:val="72ED47BB"/>
    <w:rsid w:val="73397A01"/>
    <w:rsid w:val="7395481F"/>
    <w:rsid w:val="73C117A4"/>
    <w:rsid w:val="73C55B11"/>
    <w:rsid w:val="74116287"/>
    <w:rsid w:val="74185868"/>
    <w:rsid w:val="74212243"/>
    <w:rsid w:val="74400593"/>
    <w:rsid w:val="744F19D3"/>
    <w:rsid w:val="7460720F"/>
    <w:rsid w:val="74784559"/>
    <w:rsid w:val="74A50B8B"/>
    <w:rsid w:val="74AE7F7A"/>
    <w:rsid w:val="74AF50ED"/>
    <w:rsid w:val="74B80DF9"/>
    <w:rsid w:val="74B92BD0"/>
    <w:rsid w:val="74F31CD7"/>
    <w:rsid w:val="75041948"/>
    <w:rsid w:val="750C4CA1"/>
    <w:rsid w:val="751628FF"/>
    <w:rsid w:val="751C1388"/>
    <w:rsid w:val="751E2DB2"/>
    <w:rsid w:val="752D33CD"/>
    <w:rsid w:val="753C1700"/>
    <w:rsid w:val="75530B22"/>
    <w:rsid w:val="75DA0F67"/>
    <w:rsid w:val="75F34E92"/>
    <w:rsid w:val="76106CB0"/>
    <w:rsid w:val="76460006"/>
    <w:rsid w:val="764F753B"/>
    <w:rsid w:val="766E7BEE"/>
    <w:rsid w:val="76780840"/>
    <w:rsid w:val="76796366"/>
    <w:rsid w:val="767E1A94"/>
    <w:rsid w:val="768C6951"/>
    <w:rsid w:val="768F16E6"/>
    <w:rsid w:val="769B35A3"/>
    <w:rsid w:val="76AD64CC"/>
    <w:rsid w:val="76B45724"/>
    <w:rsid w:val="76FA191A"/>
    <w:rsid w:val="77020109"/>
    <w:rsid w:val="770E2F52"/>
    <w:rsid w:val="771F076D"/>
    <w:rsid w:val="77510B0F"/>
    <w:rsid w:val="776B03F9"/>
    <w:rsid w:val="778D55CE"/>
    <w:rsid w:val="778E5ED3"/>
    <w:rsid w:val="779B3146"/>
    <w:rsid w:val="779D297C"/>
    <w:rsid w:val="779F1DFC"/>
    <w:rsid w:val="77A40B71"/>
    <w:rsid w:val="77B358A8"/>
    <w:rsid w:val="77C6382D"/>
    <w:rsid w:val="77ED2B68"/>
    <w:rsid w:val="782355E9"/>
    <w:rsid w:val="78283BA0"/>
    <w:rsid w:val="786030FA"/>
    <w:rsid w:val="78AC734A"/>
    <w:rsid w:val="78C25DA2"/>
    <w:rsid w:val="78E026CC"/>
    <w:rsid w:val="78E94394"/>
    <w:rsid w:val="79444A09"/>
    <w:rsid w:val="7998331C"/>
    <w:rsid w:val="79A8143C"/>
    <w:rsid w:val="79AC1C2C"/>
    <w:rsid w:val="79BA4CCB"/>
    <w:rsid w:val="79BE3B5A"/>
    <w:rsid w:val="79C36276"/>
    <w:rsid w:val="79D12015"/>
    <w:rsid w:val="79E038C9"/>
    <w:rsid w:val="79F444EC"/>
    <w:rsid w:val="79F77CCE"/>
    <w:rsid w:val="7A202B71"/>
    <w:rsid w:val="7A487241"/>
    <w:rsid w:val="7A7E03EF"/>
    <w:rsid w:val="7A835A05"/>
    <w:rsid w:val="7A9C0875"/>
    <w:rsid w:val="7AB67B89"/>
    <w:rsid w:val="7AD00EBE"/>
    <w:rsid w:val="7AD62029"/>
    <w:rsid w:val="7AF27D45"/>
    <w:rsid w:val="7B0363F4"/>
    <w:rsid w:val="7B0558BB"/>
    <w:rsid w:val="7B0A1B69"/>
    <w:rsid w:val="7B272EC1"/>
    <w:rsid w:val="7B454A69"/>
    <w:rsid w:val="7B786BEC"/>
    <w:rsid w:val="7B8C6B3B"/>
    <w:rsid w:val="7B9B449C"/>
    <w:rsid w:val="7BA07EF1"/>
    <w:rsid w:val="7BA567D3"/>
    <w:rsid w:val="7BC37575"/>
    <w:rsid w:val="7BC97448"/>
    <w:rsid w:val="7BCE0035"/>
    <w:rsid w:val="7C0C3E4A"/>
    <w:rsid w:val="7C0C530A"/>
    <w:rsid w:val="7C2F6354"/>
    <w:rsid w:val="7C3972B8"/>
    <w:rsid w:val="7C3B2379"/>
    <w:rsid w:val="7C852425"/>
    <w:rsid w:val="7C8B6DF3"/>
    <w:rsid w:val="7CB6633E"/>
    <w:rsid w:val="7CD460A4"/>
    <w:rsid w:val="7CDE33C7"/>
    <w:rsid w:val="7CFE75C5"/>
    <w:rsid w:val="7D0356AE"/>
    <w:rsid w:val="7D162B61"/>
    <w:rsid w:val="7D76724D"/>
    <w:rsid w:val="7D7D498E"/>
    <w:rsid w:val="7DEE6429"/>
    <w:rsid w:val="7DF748F9"/>
    <w:rsid w:val="7DF9223C"/>
    <w:rsid w:val="7E14573B"/>
    <w:rsid w:val="7E3A2967"/>
    <w:rsid w:val="7E464D80"/>
    <w:rsid w:val="7E4B05E8"/>
    <w:rsid w:val="7E4B4B69"/>
    <w:rsid w:val="7E502C4A"/>
    <w:rsid w:val="7E5D66DD"/>
    <w:rsid w:val="7E9B4C68"/>
    <w:rsid w:val="7E9C0E44"/>
    <w:rsid w:val="7F3D2627"/>
    <w:rsid w:val="7F403EC5"/>
    <w:rsid w:val="7F5259A6"/>
    <w:rsid w:val="7F7818B1"/>
    <w:rsid w:val="7F7973D7"/>
    <w:rsid w:val="7F7B4EFD"/>
    <w:rsid w:val="7F8518D8"/>
    <w:rsid w:val="7F867444"/>
    <w:rsid w:val="7F9D0D9F"/>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4"/>
    <w:qFormat/>
    <w:uiPriority w:val="0"/>
    <w:pPr>
      <w:keepNext/>
      <w:keepLines/>
      <w:widowControl w:val="0"/>
      <w:spacing w:before="120" w:after="120" w:line="415" w:lineRule="auto"/>
      <w:ind w:left="454"/>
      <w:jc w:val="center"/>
      <w:outlineLvl w:val="1"/>
    </w:pPr>
    <w:rPr>
      <w:rFonts w:ascii="Arial" w:hAnsi="Arial"/>
      <w:b/>
      <w:color w:val="000000"/>
      <w:sz w:val="24"/>
      <w:szCs w:val="24"/>
    </w:rPr>
  </w:style>
  <w:style w:type="paragraph" w:styleId="5">
    <w:name w:val="heading 3"/>
    <w:basedOn w:val="1"/>
    <w:link w:val="34"/>
    <w:qFormat/>
    <w:uiPriority w:val="99"/>
    <w:pPr>
      <w:spacing w:before="100" w:beforeAutospacing="1" w:after="100" w:afterAutospacing="1"/>
      <w:jc w:val="left"/>
      <w:textAlignment w:val="auto"/>
      <w:outlineLvl w:val="2"/>
    </w:pPr>
    <w:rPr>
      <w:rFonts w:ascii="宋体" w:hAnsi="宋体"/>
      <w:kern w:val="0"/>
      <w:sz w:val="27"/>
      <w:szCs w:val="27"/>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4">
    <w:name w:val="Normal Indent"/>
    <w:basedOn w:val="1"/>
    <w:next w:val="1"/>
    <w:unhideWhenUsed/>
    <w:qFormat/>
    <w:uiPriority w:val="0"/>
    <w:pPr>
      <w:widowControl w:val="0"/>
      <w:ind w:firstLine="420"/>
      <w:textAlignment w:val="auto"/>
    </w:pPr>
    <w:rPr>
      <w:rFonts w:ascii="Times New Roman" w:hAnsi="Times New Roman"/>
      <w:szCs w:val="21"/>
    </w:rPr>
  </w:style>
  <w:style w:type="paragraph" w:styleId="6">
    <w:name w:val="Document Map"/>
    <w:basedOn w:val="1"/>
    <w:link w:val="35"/>
    <w:unhideWhenUsed/>
    <w:qFormat/>
    <w:uiPriority w:val="99"/>
    <w:rPr>
      <w:rFonts w:ascii="宋体"/>
      <w:sz w:val="18"/>
      <w:szCs w:val="18"/>
    </w:rPr>
  </w:style>
  <w:style w:type="paragraph" w:styleId="7">
    <w:name w:val="annotation text"/>
    <w:basedOn w:val="1"/>
    <w:next w:val="1"/>
    <w:link w:val="36"/>
    <w:unhideWhenUsed/>
    <w:qFormat/>
    <w:uiPriority w:val="0"/>
    <w:pPr>
      <w:jc w:val="left"/>
    </w:pPr>
  </w:style>
  <w:style w:type="paragraph" w:styleId="8">
    <w:name w:val="Body Text 3"/>
    <w:basedOn w:val="1"/>
    <w:link w:val="37"/>
    <w:unhideWhenUsed/>
    <w:qFormat/>
    <w:uiPriority w:val="99"/>
    <w:pPr>
      <w:widowControl w:val="0"/>
      <w:spacing w:after="120"/>
      <w:textAlignment w:val="auto"/>
    </w:pPr>
    <w:rPr>
      <w:sz w:val="16"/>
      <w:szCs w:val="16"/>
    </w:rPr>
  </w:style>
  <w:style w:type="paragraph" w:styleId="9">
    <w:name w:val="Body Text"/>
    <w:basedOn w:val="1"/>
    <w:link w:val="38"/>
    <w:unhideWhenUsed/>
    <w:qFormat/>
    <w:uiPriority w:val="99"/>
    <w:pPr>
      <w:spacing w:after="120"/>
    </w:pPr>
  </w:style>
  <w:style w:type="paragraph" w:styleId="10">
    <w:name w:val="Body Text Indent"/>
    <w:basedOn w:val="1"/>
    <w:next w:val="11"/>
    <w:qFormat/>
    <w:uiPriority w:val="0"/>
    <w:pPr>
      <w:ind w:firstLine="570"/>
    </w:pPr>
    <w:rPr>
      <w:kern w:val="0"/>
      <w:sz w:val="28"/>
      <w:szCs w:val="20"/>
    </w:rPr>
  </w:style>
  <w:style w:type="paragraph" w:styleId="11">
    <w:name w:val="envelope return"/>
    <w:basedOn w:val="1"/>
    <w:qFormat/>
    <w:uiPriority w:val="0"/>
    <w:pPr>
      <w:snapToGrid w:val="0"/>
    </w:pPr>
    <w:rPr>
      <w:rFonts w:ascii="Arial" w:hAnsi="Arial"/>
      <w:szCs w:val="24"/>
    </w:rPr>
  </w:style>
  <w:style w:type="paragraph" w:styleId="12">
    <w:name w:val="toc 3"/>
    <w:basedOn w:val="1"/>
    <w:next w:val="1"/>
    <w:unhideWhenUsed/>
    <w:qFormat/>
    <w:uiPriority w:val="39"/>
    <w:pPr>
      <w:ind w:left="840" w:leftChars="400"/>
    </w:pPr>
  </w:style>
  <w:style w:type="paragraph" w:styleId="13">
    <w:name w:val="Plain Text"/>
    <w:basedOn w:val="1"/>
    <w:next w:val="1"/>
    <w:link w:val="39"/>
    <w:qFormat/>
    <w:uiPriority w:val="99"/>
    <w:rPr>
      <w:rFonts w:ascii="宋体" w:hAnsi="Courier New" w:eastAsia="楷体_GB2312"/>
      <w:szCs w:val="24"/>
    </w:rPr>
  </w:style>
  <w:style w:type="paragraph" w:styleId="14">
    <w:name w:val="Date"/>
    <w:basedOn w:val="1"/>
    <w:next w:val="1"/>
    <w:link w:val="40"/>
    <w:qFormat/>
    <w:uiPriority w:val="0"/>
    <w:rPr>
      <w:rFonts w:ascii="Times New Roman" w:hAnsi="Times New Roman"/>
      <w:kern w:val="0"/>
      <w:sz w:val="20"/>
      <w:szCs w:val="20"/>
    </w:rPr>
  </w:style>
  <w:style w:type="paragraph" w:styleId="15">
    <w:name w:val="Balloon Text"/>
    <w:basedOn w:val="1"/>
    <w:link w:val="41"/>
    <w:unhideWhenUsed/>
    <w:qFormat/>
    <w:uiPriority w:val="99"/>
    <w:rPr>
      <w:sz w:val="18"/>
      <w:szCs w:val="18"/>
    </w:rPr>
  </w:style>
  <w:style w:type="paragraph" w:styleId="16">
    <w:name w:val="footer"/>
    <w:basedOn w:val="1"/>
    <w:link w:val="42"/>
    <w:qFormat/>
    <w:uiPriority w:val="99"/>
    <w:pPr>
      <w:tabs>
        <w:tab w:val="center" w:pos="4153"/>
        <w:tab w:val="right" w:pos="8306"/>
      </w:tabs>
      <w:snapToGrid w:val="0"/>
      <w:jc w:val="left"/>
    </w:pPr>
    <w:rPr>
      <w:kern w:val="0"/>
      <w:sz w:val="18"/>
      <w:szCs w:val="18"/>
    </w:rPr>
  </w:style>
  <w:style w:type="paragraph" w:styleId="17">
    <w:name w:val="header"/>
    <w:basedOn w:val="1"/>
    <w:link w:val="43"/>
    <w:qFormat/>
    <w:uiPriority w:val="99"/>
    <w:pPr>
      <w:pBdr>
        <w:bottom w:val="single" w:color="000000" w:sz="6" w:space="1"/>
      </w:pBdr>
      <w:tabs>
        <w:tab w:val="center" w:pos="4153"/>
        <w:tab w:val="right" w:pos="8306"/>
      </w:tabs>
      <w:snapToGrid w:val="0"/>
      <w:jc w:val="center"/>
    </w:pPr>
    <w:rPr>
      <w:kern w:val="0"/>
      <w:sz w:val="18"/>
      <w:szCs w:val="18"/>
    </w:rPr>
  </w:style>
  <w:style w:type="paragraph" w:styleId="18">
    <w:name w:val="toc 1"/>
    <w:basedOn w:val="1"/>
    <w:next w:val="1"/>
    <w:unhideWhenUsed/>
    <w:qFormat/>
    <w:uiPriority w:val="39"/>
  </w:style>
  <w:style w:type="paragraph" w:styleId="19">
    <w:name w:val="index heading"/>
    <w:basedOn w:val="1"/>
    <w:next w:val="20"/>
    <w:qFormat/>
    <w:uiPriority w:val="0"/>
  </w:style>
  <w:style w:type="paragraph" w:styleId="20">
    <w:name w:val="index 1"/>
    <w:basedOn w:val="1"/>
    <w:next w:val="1"/>
    <w:qFormat/>
    <w:uiPriority w:val="0"/>
    <w:pPr>
      <w:jc w:val="center"/>
    </w:pPr>
  </w:style>
  <w:style w:type="paragraph" w:styleId="21">
    <w:name w:val="toc 2"/>
    <w:basedOn w:val="1"/>
    <w:next w:val="1"/>
    <w:unhideWhenUsed/>
    <w:qFormat/>
    <w:uiPriority w:val="39"/>
    <w:pPr>
      <w:ind w:left="420" w:leftChars="200"/>
    </w:pPr>
  </w:style>
  <w:style w:type="paragraph" w:styleId="22">
    <w:name w:val="Normal (Web)"/>
    <w:basedOn w:val="1"/>
    <w:unhideWhenUsed/>
    <w:qFormat/>
    <w:uiPriority w:val="99"/>
    <w:pPr>
      <w:widowControl w:val="0"/>
      <w:textAlignment w:val="auto"/>
    </w:pPr>
    <w:rPr>
      <w:rFonts w:ascii="仿宋_GB2312" w:eastAsia="仿宋_GB2312" w:cs="宋体"/>
      <w:sz w:val="24"/>
      <w:szCs w:val="24"/>
    </w:rPr>
  </w:style>
  <w:style w:type="paragraph" w:styleId="23">
    <w:name w:val="Title"/>
    <w:basedOn w:val="1"/>
    <w:link w:val="44"/>
    <w:qFormat/>
    <w:uiPriority w:val="0"/>
    <w:pPr>
      <w:spacing w:before="120" w:after="60"/>
      <w:jc w:val="center"/>
    </w:pPr>
    <w:rPr>
      <w:rFonts w:ascii="Arial" w:hAnsi="Arial"/>
      <w:b/>
      <w:kern w:val="0"/>
      <w:sz w:val="44"/>
      <w:szCs w:val="20"/>
    </w:rPr>
  </w:style>
  <w:style w:type="paragraph" w:styleId="24">
    <w:name w:val="annotation subject"/>
    <w:basedOn w:val="7"/>
    <w:next w:val="7"/>
    <w:link w:val="45"/>
    <w:unhideWhenUsed/>
    <w:qFormat/>
    <w:uiPriority w:val="0"/>
    <w:rPr>
      <w:b/>
      <w:bCs/>
    </w:rPr>
  </w:style>
  <w:style w:type="paragraph" w:styleId="25">
    <w:name w:val="Body Text First Indent"/>
    <w:basedOn w:val="9"/>
    <w:link w:val="46"/>
    <w:qFormat/>
    <w:uiPriority w:val="0"/>
    <w:pPr>
      <w:widowControl w:val="0"/>
      <w:ind w:firstLine="420"/>
      <w:textAlignment w:val="auto"/>
    </w:pPr>
    <w:rPr>
      <w:rFonts w:ascii="Times New Roman" w:hAnsi="Times New Roman"/>
      <w:kern w:val="0"/>
      <w:sz w:val="20"/>
      <w:szCs w:val="20"/>
    </w:rPr>
  </w:style>
  <w:style w:type="paragraph" w:styleId="26">
    <w:name w:val="Body Text First Indent 2"/>
    <w:basedOn w:val="10"/>
    <w:qFormat/>
    <w:uiPriority w:val="0"/>
    <w:pPr>
      <w:spacing w:after="120"/>
      <w:ind w:left="420" w:leftChars="200" w:firstLine="420" w:firstLineChars="200"/>
    </w:pPr>
    <w:rPr>
      <w:sz w:val="20"/>
      <w:szCs w:val="24"/>
    </w:rPr>
  </w:style>
  <w:style w:type="table" w:styleId="28">
    <w:name w:val="Table Grid"/>
    <w:basedOn w:val="27"/>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0"/>
    <w:rPr>
      <w:b/>
    </w:rPr>
  </w:style>
  <w:style w:type="character" w:styleId="31">
    <w:name w:val="FollowedHyperlink"/>
    <w:qFormat/>
    <w:uiPriority w:val="0"/>
    <w:rPr>
      <w:color w:val="954F72"/>
      <w:u w:val="single"/>
    </w:rPr>
  </w:style>
  <w:style w:type="character" w:styleId="32">
    <w:name w:val="Hyperlink"/>
    <w:qFormat/>
    <w:uiPriority w:val="99"/>
    <w:rPr>
      <w:rFonts w:ascii="微软雅黑" w:hAnsi="微软雅黑" w:eastAsia="微软雅黑"/>
      <w:color w:val="337AB7"/>
    </w:rPr>
  </w:style>
  <w:style w:type="character" w:styleId="33">
    <w:name w:val="annotation reference"/>
    <w:unhideWhenUsed/>
    <w:qFormat/>
    <w:uiPriority w:val="99"/>
    <w:rPr>
      <w:sz w:val="21"/>
      <w:szCs w:val="21"/>
    </w:rPr>
  </w:style>
  <w:style w:type="character" w:customStyle="1" w:styleId="34">
    <w:name w:val="标题 3 Char"/>
    <w:link w:val="5"/>
    <w:qFormat/>
    <w:uiPriority w:val="99"/>
    <w:rPr>
      <w:rFonts w:ascii="宋体" w:hAnsi="宋体"/>
      <w:sz w:val="27"/>
      <w:szCs w:val="27"/>
    </w:rPr>
  </w:style>
  <w:style w:type="character" w:customStyle="1" w:styleId="35">
    <w:name w:val="文档结构图 Char"/>
    <w:link w:val="6"/>
    <w:semiHidden/>
    <w:qFormat/>
    <w:uiPriority w:val="99"/>
    <w:rPr>
      <w:rFonts w:ascii="宋体" w:hAnsi="Calibri"/>
      <w:kern w:val="2"/>
      <w:sz w:val="18"/>
      <w:szCs w:val="18"/>
    </w:rPr>
  </w:style>
  <w:style w:type="character" w:customStyle="1" w:styleId="36">
    <w:name w:val="批注文字 Char"/>
    <w:link w:val="7"/>
    <w:qFormat/>
    <w:uiPriority w:val="0"/>
    <w:rPr>
      <w:rFonts w:ascii="Calibri" w:hAnsi="Calibri"/>
      <w:kern w:val="2"/>
      <w:sz w:val="21"/>
      <w:szCs w:val="22"/>
    </w:rPr>
  </w:style>
  <w:style w:type="character" w:customStyle="1" w:styleId="37">
    <w:name w:val="正文文本 3 Char1"/>
    <w:link w:val="8"/>
    <w:semiHidden/>
    <w:qFormat/>
    <w:uiPriority w:val="99"/>
    <w:rPr>
      <w:rFonts w:ascii="Calibri" w:hAnsi="Calibri"/>
      <w:kern w:val="2"/>
      <w:sz w:val="16"/>
      <w:szCs w:val="16"/>
    </w:rPr>
  </w:style>
  <w:style w:type="character" w:customStyle="1" w:styleId="38">
    <w:name w:val="正文文本 Char1"/>
    <w:link w:val="9"/>
    <w:qFormat/>
    <w:uiPriority w:val="99"/>
    <w:rPr>
      <w:rFonts w:ascii="Calibri" w:hAnsi="Calibri"/>
      <w:kern w:val="2"/>
      <w:sz w:val="21"/>
      <w:szCs w:val="22"/>
    </w:rPr>
  </w:style>
  <w:style w:type="character" w:customStyle="1" w:styleId="39">
    <w:name w:val="纯文本 Char"/>
    <w:link w:val="13"/>
    <w:qFormat/>
    <w:uiPriority w:val="99"/>
    <w:rPr>
      <w:rFonts w:ascii="宋体" w:hAnsi="Courier New" w:eastAsia="楷体_GB2312"/>
      <w:kern w:val="2"/>
      <w:sz w:val="21"/>
      <w:szCs w:val="24"/>
    </w:rPr>
  </w:style>
  <w:style w:type="character" w:customStyle="1" w:styleId="40">
    <w:name w:val="日期 Char"/>
    <w:link w:val="14"/>
    <w:qFormat/>
    <w:uiPriority w:val="0"/>
    <w:rPr>
      <w:rFonts w:ascii="Times New Roman" w:hAnsi="Times New Roman" w:eastAsia="宋体"/>
      <w:szCs w:val="20"/>
    </w:rPr>
  </w:style>
  <w:style w:type="character" w:customStyle="1" w:styleId="41">
    <w:name w:val="批注框文本 Char"/>
    <w:link w:val="15"/>
    <w:semiHidden/>
    <w:qFormat/>
    <w:uiPriority w:val="99"/>
    <w:rPr>
      <w:rFonts w:ascii="Calibri" w:hAnsi="Calibri"/>
      <w:kern w:val="2"/>
      <w:sz w:val="18"/>
      <w:szCs w:val="18"/>
    </w:rPr>
  </w:style>
  <w:style w:type="character" w:customStyle="1" w:styleId="42">
    <w:name w:val="页脚 Char"/>
    <w:link w:val="16"/>
    <w:qFormat/>
    <w:uiPriority w:val="99"/>
    <w:rPr>
      <w:rFonts w:ascii="Calibri" w:hAnsi="Calibri" w:eastAsia="宋体"/>
      <w:sz w:val="18"/>
      <w:szCs w:val="18"/>
    </w:rPr>
  </w:style>
  <w:style w:type="character" w:customStyle="1" w:styleId="43">
    <w:name w:val="页眉 Char"/>
    <w:link w:val="17"/>
    <w:qFormat/>
    <w:uiPriority w:val="99"/>
    <w:rPr>
      <w:rFonts w:ascii="Calibri" w:hAnsi="Calibri" w:eastAsia="宋体"/>
      <w:sz w:val="18"/>
      <w:szCs w:val="18"/>
    </w:rPr>
  </w:style>
  <w:style w:type="character" w:customStyle="1" w:styleId="44">
    <w:name w:val="标题 Char"/>
    <w:link w:val="23"/>
    <w:qFormat/>
    <w:uiPriority w:val="0"/>
    <w:rPr>
      <w:rFonts w:ascii="Arial" w:hAnsi="Arial" w:eastAsia="宋体"/>
      <w:b/>
      <w:sz w:val="44"/>
      <w:szCs w:val="20"/>
    </w:rPr>
  </w:style>
  <w:style w:type="character" w:customStyle="1" w:styleId="45">
    <w:name w:val="批注主题 Char"/>
    <w:link w:val="24"/>
    <w:qFormat/>
    <w:uiPriority w:val="0"/>
  </w:style>
  <w:style w:type="character" w:customStyle="1" w:styleId="46">
    <w:name w:val="正文首行缩进 Char1"/>
    <w:link w:val="25"/>
    <w:qFormat/>
    <w:uiPriority w:val="0"/>
  </w:style>
  <w:style w:type="paragraph" w:customStyle="1" w:styleId="47">
    <w:name w:val="PlainText"/>
    <w:basedOn w:val="1"/>
    <w:link w:val="48"/>
    <w:qFormat/>
    <w:uiPriority w:val="0"/>
    <w:rPr>
      <w:rFonts w:ascii="宋体" w:hAnsi="Courier New"/>
      <w:kern w:val="0"/>
      <w:sz w:val="20"/>
      <w:szCs w:val="20"/>
    </w:rPr>
  </w:style>
  <w:style w:type="character" w:customStyle="1" w:styleId="48">
    <w:name w:val="UserStyle_10"/>
    <w:link w:val="47"/>
    <w:qFormat/>
    <w:uiPriority w:val="0"/>
    <w:rPr>
      <w:rFonts w:ascii="宋体" w:hAnsi="Courier New" w:eastAsia="宋体"/>
      <w:szCs w:val="20"/>
    </w:rPr>
  </w:style>
  <w:style w:type="character" w:customStyle="1" w:styleId="49">
    <w:name w:val="UserStyle_6"/>
    <w:semiHidden/>
    <w:qFormat/>
    <w:uiPriority w:val="0"/>
    <w:rPr>
      <w:rFonts w:ascii="Calibri" w:hAnsi="Calibri" w:eastAsia="宋体"/>
    </w:rPr>
  </w:style>
  <w:style w:type="character" w:customStyle="1" w:styleId="50">
    <w:name w:val="UserStyle_3"/>
    <w:link w:val="51"/>
    <w:qFormat/>
    <w:uiPriority w:val="0"/>
    <w:rPr>
      <w:rFonts w:ascii="宋体" w:hAnsi="宋体" w:eastAsia="宋体"/>
      <w:szCs w:val="24"/>
      <w:u w:val="single"/>
    </w:rPr>
  </w:style>
  <w:style w:type="paragraph" w:customStyle="1" w:styleId="51">
    <w:name w:val="BodyText2"/>
    <w:basedOn w:val="1"/>
    <w:link w:val="50"/>
    <w:qFormat/>
    <w:uiPriority w:val="0"/>
    <w:rPr>
      <w:rFonts w:ascii="宋体" w:hAnsi="宋体"/>
      <w:kern w:val="0"/>
      <w:sz w:val="20"/>
      <w:szCs w:val="24"/>
      <w:u w:val="single"/>
    </w:rPr>
  </w:style>
  <w:style w:type="character" w:customStyle="1" w:styleId="52">
    <w:name w:val="UserStyle_17"/>
    <w:link w:val="53"/>
    <w:qFormat/>
    <w:uiPriority w:val="0"/>
    <w:rPr>
      <w:rFonts w:ascii="Times New Roman" w:hAnsi="Times New Roman" w:eastAsia="宋体"/>
      <w:sz w:val="18"/>
      <w:szCs w:val="18"/>
    </w:rPr>
  </w:style>
  <w:style w:type="paragraph" w:customStyle="1" w:styleId="53">
    <w:name w:val="Acetate"/>
    <w:basedOn w:val="1"/>
    <w:link w:val="52"/>
    <w:qFormat/>
    <w:uiPriority w:val="0"/>
    <w:rPr>
      <w:rFonts w:ascii="Times New Roman" w:hAnsi="Times New Roman"/>
      <w:kern w:val="0"/>
      <w:sz w:val="18"/>
      <w:szCs w:val="18"/>
    </w:rPr>
  </w:style>
  <w:style w:type="character" w:customStyle="1" w:styleId="54">
    <w:name w:val="htmlSamp"/>
    <w:qFormat/>
    <w:uiPriority w:val="0"/>
    <w:rPr>
      <w:rFonts w:ascii="Consolas" w:hAnsi="Consolas" w:eastAsia="Consolas"/>
      <w:sz w:val="21"/>
      <w:szCs w:val="21"/>
    </w:rPr>
  </w:style>
  <w:style w:type="character" w:customStyle="1" w:styleId="55">
    <w:name w:val="UserStyle_26"/>
    <w:qFormat/>
    <w:uiPriority w:val="0"/>
    <w:rPr>
      <w:rFonts w:ascii="Arial" w:hAnsi="Arial" w:eastAsia="宋体"/>
      <w:color w:val="000000"/>
      <w:szCs w:val="21"/>
    </w:rPr>
  </w:style>
  <w:style w:type="character" w:customStyle="1" w:styleId="56">
    <w:name w:val="UserStyle_35"/>
    <w:qFormat/>
    <w:uiPriority w:val="0"/>
    <w:rPr>
      <w:rFonts w:ascii="Arial" w:hAnsi="Arial" w:eastAsia="宋体"/>
      <w:b/>
      <w:color w:val="000000"/>
      <w:sz w:val="24"/>
      <w:szCs w:val="24"/>
    </w:rPr>
  </w:style>
  <w:style w:type="character" w:customStyle="1" w:styleId="57">
    <w:name w:val="UserStyle_24"/>
    <w:qFormat/>
    <w:uiPriority w:val="0"/>
    <w:rPr>
      <w:rFonts w:ascii="Arial" w:hAnsi="Arial" w:eastAsia="黑体"/>
      <w:szCs w:val="20"/>
    </w:rPr>
  </w:style>
  <w:style w:type="character" w:customStyle="1" w:styleId="58">
    <w:name w:val="UserStyle_22"/>
    <w:semiHidden/>
    <w:qFormat/>
    <w:uiPriority w:val="0"/>
    <w:rPr>
      <w:rFonts w:ascii="Calibri" w:hAnsi="Calibri" w:eastAsia="宋体"/>
    </w:rPr>
  </w:style>
  <w:style w:type="character" w:customStyle="1" w:styleId="59">
    <w:name w:val="UserStyle_37"/>
    <w:semiHidden/>
    <w:qFormat/>
    <w:uiPriority w:val="0"/>
    <w:rPr>
      <w:rFonts w:ascii="等线 Light" w:hAnsi="等线 Light" w:eastAsia="等线 Light" w:cs="Times New Roman"/>
      <w:b/>
      <w:bCs/>
      <w:sz w:val="28"/>
      <w:szCs w:val="28"/>
    </w:rPr>
  </w:style>
  <w:style w:type="character" w:customStyle="1" w:styleId="60">
    <w:name w:val="UserStyle_55"/>
    <w:qFormat/>
    <w:uiPriority w:val="0"/>
    <w:rPr>
      <w:rFonts w:ascii="宋体" w:hAnsi="宋体" w:eastAsia="宋体"/>
      <w:color w:val="000000"/>
      <w:sz w:val="24"/>
      <w:szCs w:val="24"/>
    </w:rPr>
  </w:style>
  <w:style w:type="character" w:customStyle="1" w:styleId="61">
    <w:name w:val="UserStyle_51"/>
    <w:semiHidden/>
    <w:qFormat/>
    <w:uiPriority w:val="0"/>
    <w:rPr>
      <w:rFonts w:ascii="Microsoft YaHei UI" w:hAnsi="Calibri" w:eastAsia="Microsoft YaHei UI"/>
      <w:sz w:val="18"/>
      <w:szCs w:val="18"/>
    </w:rPr>
  </w:style>
  <w:style w:type="character" w:customStyle="1" w:styleId="62">
    <w:name w:val="UserStyle_15"/>
    <w:semiHidden/>
    <w:qFormat/>
    <w:uiPriority w:val="0"/>
    <w:rPr>
      <w:rFonts w:ascii="等线 Light" w:hAnsi="等线 Light" w:eastAsia="等线 Light"/>
      <w:szCs w:val="21"/>
    </w:rPr>
  </w:style>
  <w:style w:type="character" w:customStyle="1" w:styleId="63">
    <w:name w:val="FootnoteReference"/>
    <w:qFormat/>
    <w:uiPriority w:val="0"/>
    <w:rPr>
      <w:vertAlign w:val="superscript"/>
    </w:rPr>
  </w:style>
  <w:style w:type="character" w:customStyle="1" w:styleId="64">
    <w:name w:val="UserStyle_30"/>
    <w:semiHidden/>
    <w:qFormat/>
    <w:uiPriority w:val="0"/>
    <w:rPr>
      <w:rFonts w:ascii="等线 Light" w:hAnsi="等线 Light" w:eastAsia="等线 Light" w:cs="Times New Roman"/>
      <w:b/>
      <w:bCs/>
      <w:sz w:val="32"/>
      <w:szCs w:val="32"/>
    </w:rPr>
  </w:style>
  <w:style w:type="character" w:customStyle="1" w:styleId="65">
    <w:name w:val="15"/>
    <w:qFormat/>
    <w:uiPriority w:val="0"/>
    <w:rPr>
      <w:rFonts w:hint="eastAsia" w:ascii="等线" w:hAnsi="等线" w:eastAsia="等线" w:cs="Times New Roman"/>
    </w:rPr>
  </w:style>
  <w:style w:type="character" w:customStyle="1" w:styleId="66">
    <w:name w:val="UserStyle_11"/>
    <w:semiHidden/>
    <w:qFormat/>
    <w:uiPriority w:val="0"/>
    <w:rPr>
      <w:rFonts w:ascii="Calibri" w:hAnsi="Calibri" w:eastAsia="宋体"/>
    </w:rPr>
  </w:style>
  <w:style w:type="character" w:customStyle="1" w:styleId="67">
    <w:name w:val="UserStyle_34"/>
    <w:link w:val="68"/>
    <w:qFormat/>
    <w:uiPriority w:val="0"/>
    <w:rPr>
      <w:rFonts w:ascii="Times New Roman" w:hAnsi="Times New Roman" w:eastAsia="宋体"/>
      <w:szCs w:val="20"/>
    </w:rPr>
  </w:style>
  <w:style w:type="paragraph" w:customStyle="1" w:styleId="68">
    <w:name w:val="EndnoteText"/>
    <w:basedOn w:val="1"/>
    <w:link w:val="67"/>
    <w:qFormat/>
    <w:uiPriority w:val="0"/>
    <w:pPr>
      <w:snapToGrid w:val="0"/>
      <w:jc w:val="left"/>
    </w:pPr>
    <w:rPr>
      <w:rFonts w:ascii="Times New Roman" w:hAnsi="Times New Roman"/>
      <w:kern w:val="0"/>
      <w:sz w:val="20"/>
      <w:szCs w:val="20"/>
    </w:rPr>
  </w:style>
  <w:style w:type="character" w:customStyle="1" w:styleId="69">
    <w:name w:val="正文文本 3 Char"/>
    <w:qFormat/>
    <w:uiPriority w:val="0"/>
    <w:rPr>
      <w:kern w:val="2"/>
      <w:sz w:val="16"/>
      <w:szCs w:val="16"/>
    </w:rPr>
  </w:style>
  <w:style w:type="character" w:customStyle="1" w:styleId="70">
    <w:name w:val="正文文本 Char"/>
    <w:qFormat/>
    <w:uiPriority w:val="0"/>
    <w:rPr>
      <w:rFonts w:eastAsia="宋体"/>
      <w:lang w:val="en-US" w:eastAsia="zh-CN" w:bidi="ar-SA"/>
    </w:rPr>
  </w:style>
  <w:style w:type="character" w:customStyle="1" w:styleId="71">
    <w:name w:val="UserStyle_13"/>
    <w:semiHidden/>
    <w:qFormat/>
    <w:uiPriority w:val="0"/>
    <w:rPr>
      <w:rFonts w:ascii="Calibri" w:hAnsi="Calibri" w:eastAsia="宋体" w:cs="Times New Roman"/>
      <w:b/>
      <w:bCs/>
      <w:sz w:val="28"/>
      <w:szCs w:val="28"/>
    </w:rPr>
  </w:style>
  <w:style w:type="character" w:customStyle="1" w:styleId="72">
    <w:name w:val="UserStyle_27"/>
    <w:link w:val="73"/>
    <w:qFormat/>
    <w:uiPriority w:val="0"/>
    <w:rPr>
      <w:rFonts w:ascii="Times New Roman" w:hAnsi="Times New Roman" w:eastAsia="宋体"/>
      <w:sz w:val="28"/>
      <w:szCs w:val="20"/>
    </w:rPr>
  </w:style>
  <w:style w:type="paragraph" w:customStyle="1" w:styleId="73">
    <w:name w:val="BodyTextIndent"/>
    <w:basedOn w:val="1"/>
    <w:link w:val="72"/>
    <w:qFormat/>
    <w:uiPriority w:val="0"/>
    <w:pPr>
      <w:ind w:firstLine="570"/>
    </w:pPr>
    <w:rPr>
      <w:rFonts w:ascii="Times New Roman" w:hAnsi="Times New Roman"/>
      <w:kern w:val="0"/>
      <w:sz w:val="28"/>
      <w:szCs w:val="20"/>
    </w:rPr>
  </w:style>
  <w:style w:type="character" w:customStyle="1" w:styleId="74">
    <w:name w:val="UserStyle_47"/>
    <w:link w:val="75"/>
    <w:qFormat/>
    <w:uiPriority w:val="0"/>
    <w:rPr>
      <w:rFonts w:ascii="宋体" w:hAnsi="宋体" w:eastAsia="宋体"/>
      <w:sz w:val="18"/>
      <w:szCs w:val="18"/>
    </w:rPr>
  </w:style>
  <w:style w:type="paragraph" w:customStyle="1" w:styleId="75">
    <w:name w:val="FootnoteText"/>
    <w:basedOn w:val="1"/>
    <w:link w:val="74"/>
    <w:qFormat/>
    <w:uiPriority w:val="0"/>
    <w:pPr>
      <w:snapToGrid w:val="0"/>
      <w:spacing w:line="360" w:lineRule="auto"/>
      <w:ind w:firstLine="523" w:firstLineChars="218"/>
      <w:jc w:val="left"/>
    </w:pPr>
    <w:rPr>
      <w:rFonts w:ascii="宋体" w:hAnsi="宋体"/>
      <w:kern w:val="0"/>
      <w:sz w:val="18"/>
      <w:szCs w:val="18"/>
    </w:rPr>
  </w:style>
  <w:style w:type="character" w:customStyle="1" w:styleId="76">
    <w:name w:val="UserStyle_36"/>
    <w:semiHidden/>
    <w:qFormat/>
    <w:uiPriority w:val="0"/>
    <w:rPr>
      <w:rFonts w:ascii="Calibri" w:hAnsi="Calibri" w:eastAsia="宋体"/>
    </w:rPr>
  </w:style>
  <w:style w:type="character" w:customStyle="1" w:styleId="77">
    <w:name w:val="UserStyle_48"/>
    <w:qFormat/>
    <w:uiPriority w:val="0"/>
    <w:rPr>
      <w:rFonts w:ascii="Arial" w:hAnsi="Arial" w:eastAsia="黑体" w:cs="Times New Roman"/>
      <w:b/>
      <w:bCs/>
      <w:sz w:val="24"/>
      <w:szCs w:val="24"/>
    </w:rPr>
  </w:style>
  <w:style w:type="character" w:customStyle="1" w:styleId="78">
    <w:name w:val="UserStyle_7"/>
    <w:link w:val="79"/>
    <w:qFormat/>
    <w:uiPriority w:val="0"/>
    <w:rPr>
      <w:rFonts w:ascii="宋体" w:hAnsi="宋体" w:eastAsia="宋体" w:cs="Times New Roman"/>
      <w:b/>
      <w:bCs/>
      <w:sz w:val="24"/>
      <w:szCs w:val="24"/>
    </w:rPr>
  </w:style>
  <w:style w:type="paragraph" w:customStyle="1" w:styleId="79">
    <w:name w:val="AnnotationSubject"/>
    <w:basedOn w:val="80"/>
    <w:next w:val="80"/>
    <w:link w:val="78"/>
    <w:qFormat/>
    <w:uiPriority w:val="0"/>
    <w:rPr>
      <w:b/>
      <w:bCs/>
    </w:rPr>
  </w:style>
  <w:style w:type="paragraph" w:customStyle="1" w:styleId="80">
    <w:name w:val="AnnotationText"/>
    <w:basedOn w:val="1"/>
    <w:link w:val="81"/>
    <w:qFormat/>
    <w:uiPriority w:val="0"/>
    <w:pPr>
      <w:spacing w:line="360" w:lineRule="auto"/>
      <w:ind w:firstLine="523" w:firstLineChars="218"/>
      <w:jc w:val="left"/>
    </w:pPr>
    <w:rPr>
      <w:rFonts w:ascii="宋体" w:hAnsi="宋体"/>
      <w:kern w:val="0"/>
      <w:sz w:val="24"/>
      <w:szCs w:val="24"/>
    </w:rPr>
  </w:style>
  <w:style w:type="character" w:customStyle="1" w:styleId="81">
    <w:name w:val="UserStyle_49"/>
    <w:link w:val="80"/>
    <w:qFormat/>
    <w:uiPriority w:val="0"/>
    <w:rPr>
      <w:rFonts w:ascii="宋体" w:hAnsi="宋体" w:eastAsia="宋体"/>
      <w:sz w:val="24"/>
      <w:szCs w:val="24"/>
    </w:rPr>
  </w:style>
  <w:style w:type="character" w:customStyle="1" w:styleId="82">
    <w:name w:val="UserStyle_5"/>
    <w:link w:val="83"/>
    <w:qFormat/>
    <w:uiPriority w:val="0"/>
  </w:style>
  <w:style w:type="paragraph" w:customStyle="1" w:styleId="83">
    <w:name w:val="BodyText1I"/>
    <w:basedOn w:val="84"/>
    <w:link w:val="82"/>
    <w:qFormat/>
    <w:uiPriority w:val="0"/>
    <w:pPr>
      <w:ind w:firstLine="420"/>
    </w:pPr>
  </w:style>
  <w:style w:type="paragraph" w:customStyle="1" w:styleId="84">
    <w:name w:val="BodyText"/>
    <w:basedOn w:val="1"/>
    <w:link w:val="85"/>
    <w:qFormat/>
    <w:uiPriority w:val="0"/>
    <w:pPr>
      <w:spacing w:after="120"/>
    </w:pPr>
    <w:rPr>
      <w:rFonts w:ascii="Times New Roman" w:hAnsi="Times New Roman"/>
      <w:kern w:val="0"/>
      <w:sz w:val="20"/>
      <w:szCs w:val="20"/>
    </w:rPr>
  </w:style>
  <w:style w:type="character" w:customStyle="1" w:styleId="85">
    <w:name w:val="UserStyle_20"/>
    <w:link w:val="84"/>
    <w:qFormat/>
    <w:uiPriority w:val="0"/>
    <w:rPr>
      <w:rFonts w:ascii="Times New Roman" w:hAnsi="Times New Roman" w:eastAsia="宋体"/>
      <w:szCs w:val="20"/>
    </w:rPr>
  </w:style>
  <w:style w:type="character" w:customStyle="1" w:styleId="86">
    <w:name w:val="AnnotationReference"/>
    <w:qFormat/>
    <w:uiPriority w:val="0"/>
    <w:rPr>
      <w:sz w:val="21"/>
      <w:szCs w:val="21"/>
    </w:rPr>
  </w:style>
  <w:style w:type="character" w:customStyle="1" w:styleId="87">
    <w:name w:val="UserStyle_18"/>
    <w:link w:val="88"/>
    <w:qFormat/>
    <w:uiPriority w:val="0"/>
    <w:rPr>
      <w:rFonts w:ascii="Times New Roman" w:hAnsi="Times New Roman" w:eastAsia="宋体"/>
      <w:color w:val="000000"/>
      <w:sz w:val="24"/>
      <w:szCs w:val="20"/>
    </w:rPr>
  </w:style>
  <w:style w:type="paragraph" w:customStyle="1" w:styleId="88">
    <w:name w:val="BodyTextIndent3"/>
    <w:basedOn w:val="1"/>
    <w:link w:val="87"/>
    <w:qFormat/>
    <w:uiPriority w:val="0"/>
    <w:pPr>
      <w:tabs>
        <w:tab w:val="left" w:pos="0"/>
      </w:tabs>
      <w:spacing w:line="400" w:lineRule="exact"/>
      <w:ind w:left="563" w:leftChars="228" w:hanging="84" w:hangingChars="35"/>
    </w:pPr>
    <w:rPr>
      <w:rFonts w:ascii="Times New Roman" w:hAnsi="Times New Roman"/>
      <w:color w:val="000000"/>
      <w:kern w:val="0"/>
      <w:sz w:val="24"/>
      <w:szCs w:val="20"/>
    </w:rPr>
  </w:style>
  <w:style w:type="character" w:customStyle="1" w:styleId="89">
    <w:name w:val="UserStyle_12"/>
    <w:qFormat/>
    <w:uiPriority w:val="0"/>
    <w:rPr>
      <w:rFonts w:ascii="等线 Light" w:hAnsi="等线 Light" w:eastAsia="等线 Light" w:cs="Times New Roman"/>
      <w:b/>
      <w:bCs/>
      <w:sz w:val="32"/>
      <w:szCs w:val="32"/>
    </w:rPr>
  </w:style>
  <w:style w:type="character" w:customStyle="1" w:styleId="90">
    <w:name w:val="UserStyle_0"/>
    <w:link w:val="91"/>
    <w:semiHidden/>
    <w:qFormat/>
    <w:uiPriority w:val="0"/>
    <w:rPr>
      <w:rFonts w:ascii="等线" w:hAnsi="Courier New"/>
    </w:rPr>
  </w:style>
  <w:style w:type="paragraph" w:customStyle="1" w:styleId="91">
    <w:name w:val="Heading9"/>
    <w:basedOn w:val="1"/>
    <w:next w:val="92"/>
    <w:link w:val="90"/>
    <w:qFormat/>
    <w:uiPriority w:val="0"/>
    <w:pPr>
      <w:keepNext/>
      <w:keepLines/>
      <w:numPr>
        <w:ilvl w:val="8"/>
        <w:numId w:val="1"/>
      </w:numPr>
      <w:spacing w:before="240" w:after="64" w:line="320" w:lineRule="auto"/>
    </w:pPr>
    <w:rPr>
      <w:rFonts w:ascii="等线" w:hAnsi="Courier New"/>
      <w:kern w:val="0"/>
      <w:sz w:val="20"/>
      <w:szCs w:val="20"/>
    </w:rPr>
  </w:style>
  <w:style w:type="paragraph" w:customStyle="1" w:styleId="92">
    <w:name w:val="NormalIndent"/>
    <w:basedOn w:val="1"/>
    <w:qFormat/>
    <w:uiPriority w:val="0"/>
    <w:pPr>
      <w:ind w:firstLine="420"/>
    </w:pPr>
    <w:rPr>
      <w:rFonts w:ascii="Times New Roman" w:hAnsi="Times New Roman"/>
      <w:szCs w:val="20"/>
    </w:rPr>
  </w:style>
  <w:style w:type="character" w:customStyle="1" w:styleId="93">
    <w:name w:val="文一 Char"/>
    <w:link w:val="94"/>
    <w:qFormat/>
    <w:uiPriority w:val="0"/>
    <w:rPr>
      <w:rFonts w:ascii="等线" w:hAnsi="Calibri" w:eastAsia="等线"/>
      <w:spacing w:val="4"/>
      <w:sz w:val="24"/>
      <w:szCs w:val="24"/>
    </w:rPr>
  </w:style>
  <w:style w:type="paragraph" w:customStyle="1" w:styleId="94">
    <w:name w:val="文一"/>
    <w:basedOn w:val="1"/>
    <w:next w:val="1"/>
    <w:link w:val="93"/>
    <w:qFormat/>
    <w:uiPriority w:val="0"/>
    <w:pPr>
      <w:widowControl w:val="0"/>
      <w:topLinePunct/>
      <w:adjustRightInd w:val="0"/>
      <w:snapToGrid w:val="0"/>
      <w:spacing w:line="360" w:lineRule="auto"/>
      <w:ind w:firstLine="200" w:firstLineChars="200"/>
      <w:textAlignment w:val="auto"/>
    </w:pPr>
    <w:rPr>
      <w:rFonts w:ascii="等线" w:eastAsia="等线"/>
      <w:spacing w:val="4"/>
      <w:kern w:val="0"/>
      <w:sz w:val="24"/>
      <w:szCs w:val="24"/>
    </w:rPr>
  </w:style>
  <w:style w:type="character" w:customStyle="1" w:styleId="95">
    <w:name w:val="UserStyle_4"/>
    <w:semiHidden/>
    <w:qFormat/>
    <w:uiPriority w:val="0"/>
    <w:rPr>
      <w:rFonts w:ascii="等线 Light" w:hAnsi="等线 Light" w:eastAsia="等线 Light" w:cs="Times New Roman"/>
      <w:b/>
      <w:bCs/>
      <w:sz w:val="24"/>
      <w:szCs w:val="24"/>
    </w:rPr>
  </w:style>
  <w:style w:type="character" w:customStyle="1" w:styleId="96">
    <w:name w:val="纯文本 字符1"/>
    <w:qFormat/>
    <w:uiPriority w:val="0"/>
    <w:rPr>
      <w:rFonts w:ascii="宋体" w:hAnsi="Courier New" w:eastAsia="宋体" w:cs="Times New Roman"/>
      <w:szCs w:val="20"/>
    </w:rPr>
  </w:style>
  <w:style w:type="character" w:customStyle="1" w:styleId="97">
    <w:name w:val="UserStyle_45"/>
    <w:link w:val="98"/>
    <w:qFormat/>
    <w:uiPriority w:val="0"/>
    <w:rPr>
      <w:rFonts w:ascii="Times New Roman" w:hAnsi="Times New Roman" w:eastAsia="宋体"/>
      <w:szCs w:val="20"/>
      <w:shd w:val="clear" w:color="auto" w:fill="000080"/>
    </w:rPr>
  </w:style>
  <w:style w:type="paragraph" w:customStyle="1" w:styleId="98">
    <w:name w:val="NavPane"/>
    <w:basedOn w:val="1"/>
    <w:link w:val="97"/>
    <w:qFormat/>
    <w:uiPriority w:val="0"/>
    <w:pPr>
      <w:shd w:val="clear" w:color="auto" w:fill="000080"/>
    </w:pPr>
    <w:rPr>
      <w:rFonts w:ascii="Times New Roman" w:hAnsi="Times New Roman"/>
      <w:kern w:val="0"/>
      <w:sz w:val="20"/>
      <w:szCs w:val="20"/>
    </w:rPr>
  </w:style>
  <w:style w:type="character" w:customStyle="1" w:styleId="99">
    <w:name w:val="UserStyle_43"/>
    <w:semiHidden/>
    <w:qFormat/>
    <w:uiPriority w:val="0"/>
    <w:rPr>
      <w:rFonts w:ascii="Calibri" w:hAnsi="Calibri" w:eastAsia="宋体" w:cs="Times New Roman"/>
      <w:b/>
      <w:bCs/>
      <w:sz w:val="24"/>
      <w:szCs w:val="24"/>
    </w:rPr>
  </w:style>
  <w:style w:type="character" w:customStyle="1" w:styleId="100">
    <w:name w:val="UserStyle_52"/>
    <w:semiHidden/>
    <w:qFormat/>
    <w:uiPriority w:val="0"/>
    <w:rPr>
      <w:rFonts w:ascii="Calibri" w:hAnsi="Calibri" w:eastAsia="宋体"/>
    </w:rPr>
  </w:style>
  <w:style w:type="character" w:customStyle="1" w:styleId="101">
    <w:name w:val="UserStyle_29"/>
    <w:semiHidden/>
    <w:qFormat/>
    <w:uiPriority w:val="0"/>
    <w:rPr>
      <w:rFonts w:ascii="Calibri" w:hAnsi="Calibri" w:eastAsia="宋体"/>
      <w:sz w:val="16"/>
      <w:szCs w:val="16"/>
    </w:rPr>
  </w:style>
  <w:style w:type="character" w:customStyle="1" w:styleId="102">
    <w:name w:val="UserStyle_19"/>
    <w:semiHidden/>
    <w:qFormat/>
    <w:uiPriority w:val="0"/>
    <w:rPr>
      <w:rFonts w:ascii="Calibri" w:hAnsi="Calibri" w:eastAsia="宋体"/>
      <w:sz w:val="18"/>
      <w:szCs w:val="18"/>
    </w:rPr>
  </w:style>
  <w:style w:type="character" w:customStyle="1" w:styleId="103">
    <w:name w:val="UserStyle_38"/>
    <w:semiHidden/>
    <w:qFormat/>
    <w:uiPriority w:val="0"/>
    <w:rPr>
      <w:rFonts w:ascii="等线 Light" w:hAnsi="等线 Light" w:eastAsia="等线 Light"/>
      <w:sz w:val="24"/>
      <w:szCs w:val="24"/>
    </w:rPr>
  </w:style>
  <w:style w:type="character" w:customStyle="1" w:styleId="104">
    <w:name w:val="UserStyle_28"/>
    <w:semiHidden/>
    <w:qFormat/>
    <w:uiPriority w:val="0"/>
    <w:rPr>
      <w:rFonts w:ascii="Calibri" w:hAnsi="Calibri" w:eastAsia="宋体" w:cs="Times New Roman"/>
      <w:b/>
      <w:bCs/>
      <w:sz w:val="32"/>
      <w:szCs w:val="32"/>
    </w:rPr>
  </w:style>
  <w:style w:type="character" w:customStyle="1" w:styleId="105">
    <w:name w:val="NormalCharacter"/>
    <w:qFormat/>
    <w:uiPriority w:val="0"/>
  </w:style>
  <w:style w:type="character" w:customStyle="1" w:styleId="106">
    <w:name w:val="正文首行缩进 Char"/>
    <w:qFormat/>
    <w:uiPriority w:val="99"/>
  </w:style>
  <w:style w:type="character" w:customStyle="1" w:styleId="107">
    <w:name w:val="HtmlDfn"/>
    <w:qFormat/>
    <w:uiPriority w:val="0"/>
    <w:rPr>
      <w:i/>
    </w:rPr>
  </w:style>
  <w:style w:type="character" w:customStyle="1" w:styleId="108">
    <w:name w:val="UserStyle_9"/>
    <w:semiHidden/>
    <w:qFormat/>
    <w:uiPriority w:val="0"/>
    <w:rPr>
      <w:rFonts w:ascii="Calibri" w:hAnsi="Calibri" w:eastAsia="宋体"/>
      <w:sz w:val="18"/>
      <w:szCs w:val="18"/>
    </w:rPr>
  </w:style>
  <w:style w:type="character" w:customStyle="1" w:styleId="109">
    <w:name w:val="UserStyle_21"/>
    <w:qFormat/>
    <w:uiPriority w:val="0"/>
  </w:style>
  <w:style w:type="character" w:customStyle="1" w:styleId="110">
    <w:name w:val="UserStyle_31"/>
    <w:qFormat/>
    <w:uiPriority w:val="0"/>
    <w:rPr>
      <w:rFonts w:ascii="Times New Roman" w:hAnsi="Times New Roman" w:eastAsia="宋体"/>
      <w:b/>
      <w:sz w:val="24"/>
      <w:szCs w:val="20"/>
    </w:rPr>
  </w:style>
  <w:style w:type="character" w:customStyle="1" w:styleId="111">
    <w:name w:val="UserStyle_14"/>
    <w:link w:val="112"/>
    <w:qFormat/>
    <w:uiPriority w:val="0"/>
    <w:rPr>
      <w:rFonts w:ascii="Times New Roman" w:hAnsi="Times New Roman" w:eastAsia="宋体"/>
      <w:color w:val="000000"/>
      <w:sz w:val="24"/>
      <w:szCs w:val="20"/>
    </w:rPr>
  </w:style>
  <w:style w:type="paragraph" w:customStyle="1" w:styleId="112">
    <w:name w:val="BodyTextIndent2"/>
    <w:basedOn w:val="1"/>
    <w:link w:val="111"/>
    <w:qFormat/>
    <w:uiPriority w:val="0"/>
    <w:pPr>
      <w:spacing w:line="400" w:lineRule="exact"/>
      <w:ind w:left="425"/>
    </w:pPr>
    <w:rPr>
      <w:rFonts w:ascii="Times New Roman" w:hAnsi="Times New Roman"/>
      <w:color w:val="000000"/>
      <w:kern w:val="0"/>
      <w:sz w:val="24"/>
      <w:szCs w:val="20"/>
    </w:rPr>
  </w:style>
  <w:style w:type="character" w:customStyle="1" w:styleId="113">
    <w:name w:val="UserStyle_25"/>
    <w:semiHidden/>
    <w:qFormat/>
    <w:uiPriority w:val="0"/>
    <w:rPr>
      <w:rFonts w:ascii="Calibri" w:hAnsi="Calibri" w:eastAsia="宋体"/>
      <w:sz w:val="18"/>
      <w:szCs w:val="18"/>
    </w:rPr>
  </w:style>
  <w:style w:type="character" w:customStyle="1" w:styleId="114">
    <w:name w:val="UserStyle_8"/>
    <w:qFormat/>
    <w:uiPriority w:val="0"/>
  </w:style>
  <w:style w:type="character" w:customStyle="1" w:styleId="115">
    <w:name w:val="正文文本1"/>
    <w:qFormat/>
    <w:uiPriority w:val="0"/>
    <w:rPr>
      <w:rFonts w:ascii="宋体" w:hAnsi="宋体" w:eastAsia="宋体" w:cs="宋体"/>
      <w:color w:val="000000"/>
      <w:spacing w:val="0"/>
      <w:w w:val="100"/>
      <w:position w:val="0"/>
      <w:sz w:val="19"/>
      <w:szCs w:val="19"/>
      <w:shd w:val="clear" w:color="auto" w:fill="FFFFFF"/>
      <w:lang w:val="zh-TW"/>
    </w:rPr>
  </w:style>
  <w:style w:type="character" w:customStyle="1" w:styleId="116">
    <w:name w:val="UserStyle_46"/>
    <w:semiHidden/>
    <w:qFormat/>
    <w:uiPriority w:val="0"/>
    <w:rPr>
      <w:rFonts w:ascii="Calibri" w:hAnsi="Calibri" w:eastAsia="宋体"/>
    </w:rPr>
  </w:style>
  <w:style w:type="character" w:customStyle="1" w:styleId="117">
    <w:name w:val="UserStyle_42"/>
    <w:qFormat/>
    <w:uiPriority w:val="0"/>
    <w:rPr>
      <w:rFonts w:ascii="宋体" w:hAnsi="宋体" w:eastAsia="宋体"/>
      <w:kern w:val="0"/>
      <w:sz w:val="27"/>
      <w:szCs w:val="27"/>
    </w:rPr>
  </w:style>
  <w:style w:type="character" w:customStyle="1" w:styleId="118">
    <w:name w:val="UserStyle_50"/>
    <w:qFormat/>
    <w:uiPriority w:val="0"/>
    <w:rPr>
      <w:rFonts w:ascii="Calibri" w:hAnsi="Calibri" w:eastAsia="宋体" w:cs="Times New Roman"/>
      <w:b/>
      <w:bCs/>
      <w:kern w:val="44"/>
      <w:sz w:val="44"/>
      <w:szCs w:val="44"/>
    </w:rPr>
  </w:style>
  <w:style w:type="character" w:customStyle="1" w:styleId="119">
    <w:name w:val="UserStyle_32"/>
    <w:qFormat/>
    <w:uiPriority w:val="0"/>
  </w:style>
  <w:style w:type="character" w:customStyle="1" w:styleId="120">
    <w:name w:val="UserStyle_39"/>
    <w:qFormat/>
    <w:uiPriority w:val="0"/>
    <w:rPr>
      <w:rFonts w:ascii="Arial" w:hAnsi="Arial" w:eastAsia="宋体"/>
      <w:color w:val="000000"/>
      <w:szCs w:val="21"/>
    </w:rPr>
  </w:style>
  <w:style w:type="character" w:customStyle="1" w:styleId="121">
    <w:name w:val="UserStyle_2"/>
    <w:semiHidden/>
    <w:qFormat/>
    <w:uiPriority w:val="0"/>
    <w:rPr>
      <w:rFonts w:ascii="Calibri" w:hAnsi="Calibri" w:eastAsia="宋体" w:cs="Times New Roman"/>
      <w:b/>
      <w:bCs/>
    </w:rPr>
  </w:style>
  <w:style w:type="character" w:customStyle="1" w:styleId="122">
    <w:name w:val="EndnoteReference"/>
    <w:qFormat/>
    <w:uiPriority w:val="0"/>
    <w:rPr>
      <w:vertAlign w:val="superscript"/>
    </w:rPr>
  </w:style>
  <w:style w:type="character" w:customStyle="1" w:styleId="123">
    <w:name w:val="UserStyle_53"/>
    <w:semiHidden/>
    <w:qFormat/>
    <w:uiPriority w:val="0"/>
    <w:rPr>
      <w:rFonts w:ascii="Calibri" w:hAnsi="Calibri" w:eastAsia="宋体"/>
      <w:sz w:val="18"/>
      <w:szCs w:val="18"/>
    </w:rPr>
  </w:style>
  <w:style w:type="character" w:customStyle="1" w:styleId="124">
    <w:name w:val="UserStyle_40"/>
    <w:qFormat/>
    <w:uiPriority w:val="0"/>
    <w:rPr>
      <w:rFonts w:ascii="Arial" w:hAnsi="Arial" w:eastAsia="黑体"/>
      <w:sz w:val="24"/>
      <w:szCs w:val="20"/>
    </w:rPr>
  </w:style>
  <w:style w:type="character" w:customStyle="1" w:styleId="125">
    <w:name w:val="UserStyle_54"/>
    <w:semiHidden/>
    <w:qFormat/>
    <w:uiPriority w:val="0"/>
    <w:rPr>
      <w:rFonts w:ascii="Calibri" w:hAnsi="Calibri" w:eastAsia="宋体"/>
    </w:rPr>
  </w:style>
  <w:style w:type="character" w:customStyle="1" w:styleId="126">
    <w:name w:val="UserStyle_16"/>
    <w:semiHidden/>
    <w:qFormat/>
    <w:uiPriority w:val="0"/>
    <w:rPr>
      <w:rFonts w:ascii="Calibri" w:hAnsi="Calibri" w:eastAsia="宋体"/>
    </w:rPr>
  </w:style>
  <w:style w:type="character" w:customStyle="1" w:styleId="127">
    <w:name w:val="HtmlCode"/>
    <w:qFormat/>
    <w:uiPriority w:val="0"/>
    <w:rPr>
      <w:rFonts w:ascii="Consolas" w:hAnsi="Consolas" w:eastAsia="Consolas"/>
      <w:color w:val="C7254E"/>
      <w:sz w:val="21"/>
      <w:szCs w:val="21"/>
      <w:bdr w:val="single" w:color="000000" w:sz="18" w:space="0"/>
      <w:shd w:val="clear" w:color="auto" w:fill="F9F2F4"/>
    </w:rPr>
  </w:style>
  <w:style w:type="character" w:customStyle="1" w:styleId="128">
    <w:name w:val="UserStyle_44"/>
    <w:qFormat/>
    <w:uiPriority w:val="0"/>
    <w:rPr>
      <w:rFonts w:ascii="Arial" w:hAnsi="Arial" w:eastAsia="宋体"/>
      <w:b/>
      <w:kern w:val="44"/>
      <w:sz w:val="28"/>
      <w:szCs w:val="28"/>
    </w:rPr>
  </w:style>
  <w:style w:type="character" w:customStyle="1" w:styleId="129">
    <w:name w:val="HtmlKbd"/>
    <w:qFormat/>
    <w:uiPriority w:val="0"/>
    <w:rPr>
      <w:rFonts w:ascii="Consolas" w:hAnsi="Consolas" w:eastAsia="Consolas"/>
      <w:color w:val="FFFFFF"/>
      <w:sz w:val="21"/>
      <w:szCs w:val="21"/>
      <w:shd w:val="clear" w:color="auto" w:fill="333333"/>
    </w:rPr>
  </w:style>
  <w:style w:type="character" w:customStyle="1" w:styleId="130">
    <w:name w:val="PageNumber"/>
    <w:qFormat/>
    <w:uiPriority w:val="0"/>
  </w:style>
  <w:style w:type="paragraph" w:customStyle="1" w:styleId="131">
    <w:name w:val="UserStyle_66"/>
    <w:qFormat/>
    <w:uiPriority w:val="0"/>
    <w:pPr>
      <w:spacing w:line="360" w:lineRule="auto"/>
      <w:ind w:firstLine="629"/>
      <w:jc w:val="both"/>
      <w:textAlignment w:val="baseline"/>
    </w:pPr>
    <w:rPr>
      <w:rFonts w:ascii="仿宋_GB2312" w:hAnsi="Calisto MT" w:eastAsia="仿宋_GB2312" w:cs="Times New Roman"/>
      <w:color w:val="000000"/>
      <w:sz w:val="32"/>
      <w:lang w:val="en-US" w:eastAsia="zh-CN" w:bidi="ar-SA"/>
    </w:rPr>
  </w:style>
  <w:style w:type="paragraph" w:customStyle="1" w:styleId="132">
    <w:name w:val="HtmlNormal"/>
    <w:basedOn w:val="1"/>
    <w:qFormat/>
    <w:uiPriority w:val="0"/>
    <w:rPr>
      <w:rFonts w:ascii="仿宋_GB2312" w:hAnsi="Times New Roman"/>
      <w:sz w:val="24"/>
      <w:szCs w:val="32"/>
    </w:rPr>
  </w:style>
  <w:style w:type="paragraph" w:customStyle="1" w:styleId="133">
    <w:name w:val="正文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UserStyle_67"/>
    <w:basedOn w:val="135"/>
    <w:qFormat/>
    <w:uiPriority w:val="0"/>
    <w:pPr>
      <w:ind w:firstLine="200" w:firstLineChars="200"/>
    </w:pPr>
    <w:rPr>
      <w:kern w:val="2"/>
    </w:rPr>
  </w:style>
  <w:style w:type="paragraph" w:customStyle="1" w:styleId="135">
    <w:name w:val="UserStyle_59"/>
    <w:next w:val="134"/>
    <w:qFormat/>
    <w:uiPriority w:val="0"/>
    <w:pPr>
      <w:textAlignment w:val="baseline"/>
    </w:pPr>
    <w:rPr>
      <w:rFonts w:ascii="宋体" w:hAnsi="Times New Roman" w:eastAsia="宋体" w:cs="Times New Roman"/>
      <w:sz w:val="24"/>
      <w:szCs w:val="24"/>
      <w:lang w:val="en-US" w:eastAsia="zh-CN" w:bidi="ar-SA"/>
    </w:rPr>
  </w:style>
  <w:style w:type="paragraph" w:customStyle="1" w:styleId="136">
    <w:name w:val="UserStyle_56"/>
    <w:qFormat/>
    <w:uiPriority w:val="0"/>
    <w:pPr>
      <w:textAlignment w:val="baseline"/>
    </w:pPr>
    <w:rPr>
      <w:rFonts w:ascii="等线" w:hAnsi="等线" w:eastAsia="等线" w:cs="Times New Roman"/>
      <w:lang w:val="en-US" w:eastAsia="zh-CN" w:bidi="ar-SA"/>
    </w:rPr>
  </w:style>
  <w:style w:type="paragraph" w:customStyle="1" w:styleId="137">
    <w:name w:val="TOC3"/>
    <w:basedOn w:val="1"/>
    <w:next w:val="1"/>
    <w:qFormat/>
    <w:uiPriority w:val="0"/>
    <w:pPr>
      <w:snapToGrid w:val="0"/>
      <w:spacing w:line="360" w:lineRule="auto"/>
      <w:ind w:left="400" w:leftChars="400"/>
      <w:jc w:val="left"/>
    </w:pPr>
    <w:rPr>
      <w:rFonts w:ascii="Times New Roman" w:hAnsi="Times New Roman"/>
      <w:sz w:val="24"/>
      <w:szCs w:val="20"/>
    </w:rPr>
  </w:style>
  <w:style w:type="paragraph" w:customStyle="1" w:styleId="138">
    <w:name w:val="UserStyle_70"/>
    <w:basedOn w:val="1"/>
    <w:qFormat/>
    <w:uiPriority w:val="0"/>
    <w:pPr>
      <w:spacing w:line="360" w:lineRule="auto"/>
      <w:jc w:val="center"/>
    </w:pPr>
    <w:rPr>
      <w:rFonts w:ascii="黑体" w:hAnsi="Times New Roman" w:eastAsia="黑体"/>
      <w:kern w:val="0"/>
      <w:sz w:val="24"/>
      <w:szCs w:val="20"/>
    </w:rPr>
  </w:style>
  <w:style w:type="paragraph" w:customStyle="1" w:styleId="139">
    <w:name w:val="Heading1"/>
    <w:basedOn w:val="23"/>
    <w:next w:val="83"/>
    <w:qFormat/>
    <w:uiPriority w:val="0"/>
    <w:pPr>
      <w:keepNext/>
      <w:keepLines/>
      <w:spacing w:after="120" w:line="360" w:lineRule="auto"/>
    </w:pPr>
    <w:rPr>
      <w:kern w:val="44"/>
      <w:sz w:val="28"/>
      <w:szCs w:val="28"/>
    </w:rPr>
  </w:style>
  <w:style w:type="paragraph" w:customStyle="1" w:styleId="140">
    <w:name w:val="封四"/>
    <w:basedOn w:val="94"/>
    <w:next w:val="94"/>
    <w:qFormat/>
    <w:uiPriority w:val="0"/>
    <w:pPr>
      <w:jc w:val="left"/>
    </w:pPr>
    <w:rPr>
      <w:sz w:val="30"/>
      <w:szCs w:val="30"/>
    </w:rPr>
  </w:style>
  <w:style w:type="paragraph" w:customStyle="1" w:styleId="141">
    <w:name w:val="Heading5"/>
    <w:basedOn w:val="142"/>
    <w:next w:val="92"/>
    <w:qFormat/>
    <w:uiPriority w:val="0"/>
    <w:pPr>
      <w:numPr>
        <w:ilvl w:val="4"/>
      </w:numPr>
      <w:spacing w:line="240" w:lineRule="exact"/>
    </w:pPr>
  </w:style>
  <w:style w:type="paragraph" w:customStyle="1" w:styleId="142">
    <w:name w:val="Heading4"/>
    <w:basedOn w:val="143"/>
    <w:next w:val="92"/>
    <w:qFormat/>
    <w:uiPriority w:val="0"/>
    <w:pPr>
      <w:keepNext/>
      <w:keepLines/>
      <w:numPr>
        <w:ilvl w:val="3"/>
        <w:numId w:val="1"/>
      </w:numPr>
      <w:spacing w:before="0" w:after="0" w:line="360" w:lineRule="auto"/>
    </w:pPr>
    <w:rPr>
      <w:rFonts w:ascii="Arial" w:hAnsi="Arial"/>
      <w:color w:val="000000"/>
      <w:kern w:val="2"/>
      <w:sz w:val="21"/>
      <w:szCs w:val="21"/>
    </w:rPr>
  </w:style>
  <w:style w:type="paragraph" w:customStyle="1" w:styleId="143">
    <w:name w:val="Heading3"/>
    <w:basedOn w:val="1"/>
    <w:next w:val="1"/>
    <w:qFormat/>
    <w:uiPriority w:val="0"/>
    <w:pPr>
      <w:spacing w:before="100" w:beforeAutospacing="1" w:after="100" w:afterAutospacing="1"/>
      <w:jc w:val="left"/>
    </w:pPr>
    <w:rPr>
      <w:rFonts w:ascii="宋体" w:hAnsi="宋体"/>
      <w:kern w:val="0"/>
      <w:sz w:val="27"/>
      <w:szCs w:val="27"/>
    </w:rPr>
  </w:style>
  <w:style w:type="paragraph" w:customStyle="1" w:styleId="144">
    <w:name w:val="List Paragraph"/>
    <w:basedOn w:val="1"/>
    <w:qFormat/>
    <w:uiPriority w:val="0"/>
    <w:pPr>
      <w:widowControl w:val="0"/>
      <w:ind w:firstLine="420" w:firstLineChars="200"/>
      <w:textAlignment w:val="auto"/>
    </w:pPr>
    <w:rPr>
      <w:szCs w:val="21"/>
    </w:rPr>
  </w:style>
  <w:style w:type="paragraph" w:customStyle="1" w:styleId="145">
    <w:name w:val="UserStyle_63"/>
    <w:basedOn w:val="1"/>
    <w:next w:val="1"/>
    <w:qFormat/>
    <w:uiPriority w:val="0"/>
    <w:pPr>
      <w:topLinePunct/>
      <w:snapToGrid w:val="0"/>
      <w:jc w:val="center"/>
    </w:pPr>
    <w:rPr>
      <w:rFonts w:ascii="Times New Roman" w:hAnsi="Times New Roman" w:eastAsia="黑体"/>
      <w:spacing w:val="4"/>
      <w:kern w:val="0"/>
      <w:sz w:val="30"/>
      <w:szCs w:val="30"/>
    </w:rPr>
  </w:style>
  <w:style w:type="paragraph" w:customStyle="1" w:styleId="146">
    <w:name w:val="UserStyle_75"/>
    <w:basedOn w:val="1"/>
    <w:qFormat/>
    <w:uiPriority w:val="0"/>
    <w:rPr>
      <w:rFonts w:ascii="Times New Roman" w:hAnsi="Times New Roman"/>
      <w:sz w:val="30"/>
      <w:szCs w:val="24"/>
    </w:rPr>
  </w:style>
  <w:style w:type="paragraph" w:customStyle="1" w:styleId="147">
    <w:name w:val="UserStyle_72"/>
    <w:basedOn w:val="98"/>
    <w:qFormat/>
    <w:uiPriority w:val="0"/>
    <w:rPr>
      <w:rFonts w:ascii="Tahoma" w:hAnsi="Tahoma"/>
      <w:sz w:val="24"/>
      <w:szCs w:val="24"/>
    </w:rPr>
  </w:style>
  <w:style w:type="paragraph" w:customStyle="1" w:styleId="148">
    <w:name w:val="Heading2"/>
    <w:basedOn w:val="1"/>
    <w:next w:val="92"/>
    <w:qFormat/>
    <w:uiPriority w:val="0"/>
    <w:pPr>
      <w:keepNext/>
      <w:keepLines/>
      <w:spacing w:before="120" w:after="120" w:line="415" w:lineRule="auto"/>
      <w:ind w:left="454"/>
      <w:jc w:val="center"/>
    </w:pPr>
    <w:rPr>
      <w:rFonts w:ascii="Arial" w:hAnsi="Arial"/>
      <w:color w:val="000000"/>
      <w:sz w:val="24"/>
      <w:szCs w:val="24"/>
    </w:rPr>
  </w:style>
  <w:style w:type="paragraph" w:customStyle="1" w:styleId="149">
    <w:name w:val="UserStyle_68"/>
    <w:basedOn w:val="1"/>
    <w:qFormat/>
    <w:uiPriority w:val="0"/>
    <w:pPr>
      <w:numPr>
        <w:ilvl w:val="0"/>
        <w:numId w:val="1"/>
      </w:numPr>
    </w:pPr>
    <w:rPr>
      <w:rFonts w:ascii="Times New Roman" w:hAnsi="Times New Roman"/>
      <w:sz w:val="24"/>
      <w:szCs w:val="24"/>
    </w:rPr>
  </w:style>
  <w:style w:type="paragraph" w:customStyle="1" w:styleId="150">
    <w:name w:val="TOC2"/>
    <w:basedOn w:val="1"/>
    <w:next w:val="1"/>
    <w:qFormat/>
    <w:uiPriority w:val="0"/>
    <w:pPr>
      <w:tabs>
        <w:tab w:val="right" w:leader="dot" w:pos="9060"/>
      </w:tabs>
      <w:snapToGrid w:val="0"/>
      <w:spacing w:line="360" w:lineRule="auto"/>
      <w:ind w:left="420" w:leftChars="200"/>
      <w:jc w:val="left"/>
    </w:pPr>
    <w:rPr>
      <w:rFonts w:ascii="Times New Roman" w:hAnsi="Times New Roman"/>
      <w:sz w:val="24"/>
      <w:szCs w:val="24"/>
    </w:rPr>
  </w:style>
  <w:style w:type="paragraph" w:customStyle="1" w:styleId="151">
    <w:name w:val="UserStyle_65"/>
    <w:basedOn w:val="139"/>
    <w:next w:val="1"/>
    <w:qFormat/>
    <w:uiPriority w:val="0"/>
    <w:pPr>
      <w:spacing w:before="480" w:after="0" w:line="276" w:lineRule="auto"/>
    </w:pPr>
    <w:rPr>
      <w:rFonts w:ascii="Cambria" w:hAnsi="Cambria"/>
      <w:color w:val="365F91"/>
      <w:kern w:val="0"/>
    </w:rPr>
  </w:style>
  <w:style w:type="paragraph" w:customStyle="1" w:styleId="152">
    <w:name w:val="179"/>
    <w:basedOn w:val="1"/>
    <w:qFormat/>
    <w:uiPriority w:val="0"/>
    <w:pPr>
      <w:ind w:firstLine="420" w:firstLineChars="200"/>
    </w:pPr>
    <w:rPr>
      <w:rFonts w:ascii="Times New Roman" w:hAnsi="Times New Roman"/>
      <w:szCs w:val="20"/>
    </w:rPr>
  </w:style>
  <w:style w:type="paragraph" w:customStyle="1" w:styleId="153">
    <w:name w:val="UserStyle_74"/>
    <w:basedOn w:val="1"/>
    <w:qFormat/>
    <w:uiPriority w:val="0"/>
    <w:rPr>
      <w:rFonts w:ascii="Tahoma" w:hAnsi="Tahoma"/>
      <w:sz w:val="24"/>
      <w:szCs w:val="20"/>
    </w:rPr>
  </w:style>
  <w:style w:type="paragraph" w:customStyle="1" w:styleId="154">
    <w:name w:val="Heading6"/>
    <w:basedOn w:val="1"/>
    <w:next w:val="1"/>
    <w:qFormat/>
    <w:uiPriority w:val="0"/>
    <w:pPr>
      <w:keepNext/>
      <w:keepLines/>
      <w:numPr>
        <w:ilvl w:val="5"/>
        <w:numId w:val="2"/>
      </w:numPr>
      <w:spacing w:before="240" w:after="64" w:line="320" w:lineRule="auto"/>
    </w:pPr>
    <w:rPr>
      <w:rFonts w:ascii="Arial" w:hAnsi="Arial" w:eastAsia="黑体"/>
      <w:sz w:val="24"/>
      <w:szCs w:val="24"/>
    </w:rPr>
  </w:style>
  <w:style w:type="paragraph" w:customStyle="1" w:styleId="155">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6">
    <w:name w:val="Heading7"/>
    <w:basedOn w:val="1"/>
    <w:next w:val="92"/>
    <w:qFormat/>
    <w:uiPriority w:val="0"/>
    <w:pPr>
      <w:keepNext/>
      <w:keepLines/>
      <w:numPr>
        <w:ilvl w:val="6"/>
        <w:numId w:val="1"/>
      </w:numPr>
      <w:spacing w:before="240" w:after="64" w:line="320" w:lineRule="auto"/>
    </w:pPr>
    <w:rPr>
      <w:rFonts w:ascii="Times New Roman" w:hAnsi="Times New Roman"/>
      <w:sz w:val="24"/>
      <w:szCs w:val="20"/>
    </w:rPr>
  </w:style>
  <w:style w:type="paragraph" w:customStyle="1" w:styleId="157">
    <w:name w:val="Revision"/>
    <w:unhideWhenUsed/>
    <w:qFormat/>
    <w:uiPriority w:val="99"/>
    <w:rPr>
      <w:rFonts w:ascii="Calibri" w:hAnsi="Calibri" w:eastAsia="宋体" w:cs="Times New Roman"/>
      <w:kern w:val="2"/>
      <w:sz w:val="21"/>
      <w:szCs w:val="22"/>
      <w:lang w:val="en-US" w:eastAsia="zh-CN" w:bidi="ar-SA"/>
    </w:rPr>
  </w:style>
  <w:style w:type="paragraph" w:customStyle="1" w:styleId="158">
    <w:name w:val="UserStyle_69"/>
    <w:basedOn w:val="131"/>
    <w:qFormat/>
    <w:uiPriority w:val="0"/>
    <w:pPr>
      <w:ind w:left="4094" w:right="607" w:firstLine="0"/>
      <w:jc w:val="center"/>
    </w:pPr>
  </w:style>
  <w:style w:type="paragraph" w:customStyle="1" w:styleId="159">
    <w:name w:val="封一"/>
    <w:basedOn w:val="94"/>
    <w:next w:val="94"/>
    <w:qFormat/>
    <w:uiPriority w:val="0"/>
    <w:pPr>
      <w:ind w:firstLine="0" w:firstLineChars="0"/>
      <w:jc w:val="center"/>
    </w:pPr>
    <w:rPr>
      <w:rFonts w:eastAsia="黑体"/>
      <w:b/>
      <w:sz w:val="84"/>
      <w:szCs w:val="84"/>
    </w:rPr>
  </w:style>
  <w:style w:type="paragraph" w:customStyle="1" w:styleId="160">
    <w:name w:val="UserStyle_73"/>
    <w:basedOn w:val="143"/>
    <w:qFormat/>
    <w:uiPriority w:val="0"/>
    <w:pPr>
      <w:keepNext/>
      <w:keepLines/>
      <w:spacing w:before="0" w:after="0"/>
      <w:ind w:left="1469" w:right="1542"/>
    </w:pPr>
    <w:rPr>
      <w:rFonts w:hAnsi="Times New Roman"/>
      <w:kern w:val="2"/>
      <w:sz w:val="44"/>
      <w:szCs w:val="21"/>
    </w:rPr>
  </w:style>
  <w:style w:type="paragraph" w:customStyle="1" w:styleId="161">
    <w:name w:val="正题"/>
    <w:basedOn w:val="94"/>
    <w:next w:val="94"/>
    <w:qFormat/>
    <w:uiPriority w:val="0"/>
    <w:pPr>
      <w:ind w:firstLine="0" w:firstLineChars="0"/>
      <w:jc w:val="center"/>
    </w:pPr>
    <w:rPr>
      <w:rFonts w:eastAsia="黑体"/>
      <w:b/>
      <w:sz w:val="36"/>
      <w:szCs w:val="36"/>
    </w:rPr>
  </w:style>
  <w:style w:type="paragraph" w:customStyle="1" w:styleId="162">
    <w:name w:val="UserStyle_60"/>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customStyle="1" w:styleId="163">
    <w:name w:val="封二"/>
    <w:basedOn w:val="94"/>
    <w:next w:val="94"/>
    <w:qFormat/>
    <w:uiPriority w:val="0"/>
    <w:pPr>
      <w:ind w:firstLine="0" w:firstLineChars="0"/>
      <w:jc w:val="center"/>
    </w:pPr>
    <w:rPr>
      <w:rFonts w:eastAsia="黑体"/>
      <w:b/>
      <w:sz w:val="36"/>
      <w:szCs w:val="36"/>
    </w:rPr>
  </w:style>
  <w:style w:type="paragraph" w:customStyle="1" w:styleId="164">
    <w:name w:val="UserStyle_62"/>
    <w:basedOn w:val="92"/>
    <w:qFormat/>
    <w:uiPriority w:val="0"/>
    <w:pPr>
      <w:ind w:firstLine="0"/>
    </w:pPr>
    <w:rPr>
      <w:rFonts w:ascii="仿宋_GB2312" w:eastAsia="仿宋_GB2312"/>
      <w:sz w:val="30"/>
      <w:szCs w:val="24"/>
    </w:rPr>
  </w:style>
  <w:style w:type="paragraph" w:customStyle="1" w:styleId="165">
    <w:name w:val="UserStyle_64"/>
    <w:basedOn w:val="1"/>
    <w:next w:val="1"/>
    <w:qFormat/>
    <w:uiPriority w:val="0"/>
    <w:pPr>
      <w:topLinePunct/>
      <w:snapToGrid w:val="0"/>
      <w:jc w:val="left"/>
    </w:pPr>
    <w:rPr>
      <w:rFonts w:ascii="黑体" w:hAnsi="宋体" w:eastAsia="黑体"/>
      <w:spacing w:val="4"/>
      <w:kern w:val="0"/>
      <w:sz w:val="24"/>
      <w:szCs w:val="24"/>
    </w:rPr>
  </w:style>
  <w:style w:type="paragraph" w:customStyle="1" w:styleId="166">
    <w:name w:val="UserStyle_76"/>
    <w:basedOn w:val="1"/>
    <w:qFormat/>
    <w:uiPriority w:val="0"/>
    <w:rPr>
      <w:rFonts w:ascii="Arial" w:hAnsi="Arial"/>
      <w:sz w:val="48"/>
      <w:szCs w:val="20"/>
    </w:rPr>
  </w:style>
  <w:style w:type="paragraph" w:customStyle="1" w:styleId="167">
    <w:name w:val="Index1"/>
    <w:basedOn w:val="1"/>
    <w:next w:val="1"/>
    <w:qFormat/>
    <w:uiPriority w:val="0"/>
    <w:rPr>
      <w:rFonts w:ascii="Times New Roman" w:hAnsi="Times New Roman" w:eastAsia="仿宋_GB2312"/>
      <w:sz w:val="28"/>
      <w:szCs w:val="20"/>
    </w:rPr>
  </w:style>
  <w:style w:type="paragraph" w:customStyle="1" w:styleId="168">
    <w:name w:val="UserStyle_61"/>
    <w:basedOn w:val="1"/>
    <w:qFormat/>
    <w:uiPriority w:val="0"/>
    <w:pPr>
      <w:spacing w:before="100" w:after="100"/>
      <w:ind w:left="360" w:right="360"/>
      <w:jc w:val="left"/>
    </w:pPr>
    <w:rPr>
      <w:rFonts w:ascii="Times New Roman" w:hAnsi="Times New Roman"/>
      <w:kern w:val="0"/>
      <w:sz w:val="24"/>
      <w:szCs w:val="20"/>
    </w:rPr>
  </w:style>
  <w:style w:type="paragraph" w:customStyle="1" w:styleId="169">
    <w:name w:val="Heading8"/>
    <w:basedOn w:val="1"/>
    <w:next w:val="92"/>
    <w:qFormat/>
    <w:uiPriority w:val="0"/>
    <w:pPr>
      <w:keepNext/>
      <w:keepLines/>
      <w:numPr>
        <w:ilvl w:val="7"/>
        <w:numId w:val="1"/>
      </w:numPr>
      <w:spacing w:before="240" w:after="64" w:line="320" w:lineRule="auto"/>
    </w:pPr>
    <w:rPr>
      <w:rFonts w:ascii="Arial" w:hAnsi="Arial" w:eastAsia="黑体"/>
      <w:sz w:val="24"/>
      <w:szCs w:val="20"/>
    </w:rPr>
  </w:style>
  <w:style w:type="paragraph" w:customStyle="1" w:styleId="170">
    <w:name w:val="页脚 New New New"/>
    <w:basedOn w:val="1"/>
    <w:qFormat/>
    <w:uiPriority w:val="0"/>
    <w:pPr>
      <w:widowControl w:val="0"/>
      <w:tabs>
        <w:tab w:val="center" w:pos="4153"/>
        <w:tab w:val="right" w:pos="8306"/>
      </w:tabs>
      <w:snapToGrid w:val="0"/>
      <w:jc w:val="left"/>
      <w:textAlignment w:val="auto"/>
    </w:pPr>
    <w:rPr>
      <w:rFonts w:ascii="Times New Roman" w:hAnsi="Times New Roman"/>
      <w:sz w:val="18"/>
      <w:szCs w:val="18"/>
    </w:rPr>
  </w:style>
  <w:style w:type="paragraph" w:customStyle="1" w:styleId="171">
    <w:name w:val="UserStyle_57"/>
    <w:basedOn w:val="1"/>
    <w:qFormat/>
    <w:uiPriority w:val="0"/>
    <w:pPr>
      <w:topLinePunct/>
      <w:snapToGrid w:val="0"/>
      <w:spacing w:line="360" w:lineRule="auto"/>
      <w:ind w:firstLine="200" w:firstLineChars="200"/>
    </w:pPr>
    <w:rPr>
      <w:spacing w:val="4"/>
      <w:kern w:val="0"/>
      <w:sz w:val="24"/>
      <w:szCs w:val="24"/>
    </w:rPr>
  </w:style>
  <w:style w:type="paragraph" w:customStyle="1" w:styleId="172">
    <w:name w:val="TOC1"/>
    <w:basedOn w:val="1"/>
    <w:next w:val="1"/>
    <w:qFormat/>
    <w:uiPriority w:val="0"/>
    <w:pPr>
      <w:tabs>
        <w:tab w:val="right" w:leader="dot" w:pos="9060"/>
      </w:tabs>
      <w:snapToGrid w:val="0"/>
      <w:spacing w:line="360" w:lineRule="auto"/>
      <w:jc w:val="left"/>
    </w:pPr>
    <w:rPr>
      <w:rFonts w:ascii="宋体" w:hAnsi="宋体"/>
      <w:kern w:val="0"/>
      <w:sz w:val="24"/>
      <w:szCs w:val="32"/>
    </w:rPr>
  </w:style>
  <w:style w:type="paragraph" w:customStyle="1" w:styleId="173">
    <w:name w:val="UserStyle_58"/>
    <w:basedOn w:val="135"/>
    <w:qFormat/>
    <w:uiPriority w:val="0"/>
    <w:pPr>
      <w:ind w:firstLine="420" w:firstLineChars="200"/>
    </w:pPr>
  </w:style>
  <w:style w:type="paragraph" w:customStyle="1" w:styleId="174">
    <w:name w:val="UserStyle_71"/>
    <w:semiHidden/>
    <w:qFormat/>
    <w:uiPriority w:val="0"/>
    <w:pPr>
      <w:textAlignment w:val="baseline"/>
    </w:pPr>
    <w:rPr>
      <w:rFonts w:ascii="Times New Roman" w:hAnsi="Times New Roman" w:eastAsia="宋体" w:cs="Times New Roman"/>
      <w:kern w:val="2"/>
      <w:sz w:val="21"/>
      <w:lang w:val="en-US" w:eastAsia="zh-CN" w:bidi="ar-SA"/>
    </w:rPr>
  </w:style>
  <w:style w:type="paragraph" w:customStyle="1" w:styleId="175">
    <w:name w:val="Other|1"/>
    <w:basedOn w:val="1"/>
    <w:qFormat/>
    <w:uiPriority w:val="0"/>
    <w:pPr>
      <w:widowControl w:val="0"/>
      <w:jc w:val="center"/>
    </w:pPr>
    <w:rPr>
      <w:rFonts w:ascii="宋体" w:hAnsi="宋体" w:cs="宋体"/>
      <w:sz w:val="20"/>
      <w:szCs w:val="20"/>
      <w:lang w:val="zh-TW" w:eastAsia="zh-TW" w:bidi="zh-TW"/>
    </w:rPr>
  </w:style>
  <w:style w:type="paragraph" w:customStyle="1" w:styleId="176">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Times New Roman" w:cs="Arial Unicode MS"/>
      <w:color w:val="000000"/>
      <w:kern w:val="2"/>
      <w:sz w:val="21"/>
      <w:szCs w:val="21"/>
      <w:lang w:val="en-US" w:eastAsia="zh-CN" w:bidi="ar-SA"/>
    </w:rPr>
  </w:style>
  <w:style w:type="paragraph" w:customStyle="1" w:styleId="177">
    <w:name w:val="Plain Text"/>
    <w:basedOn w:val="1"/>
    <w:qFormat/>
    <w:uiPriority w:val="0"/>
    <w:rPr>
      <w:rFonts w:ascii="宋体" w:hAnsi="Courier New"/>
      <w:szCs w:val="21"/>
    </w:rPr>
  </w:style>
  <w:style w:type="table" w:customStyle="1" w:styleId="178">
    <w:name w:val="TableNormal"/>
    <w:qFormat/>
    <w:uiPriority w:val="0"/>
    <w:tblPr>
      <w:tblCellMar>
        <w:top w:w="0" w:type="dxa"/>
        <w:left w:w="0" w:type="dxa"/>
        <w:bottom w:w="0" w:type="dxa"/>
        <w:right w:w="0" w:type="dxa"/>
      </w:tblCellMar>
    </w:tblPr>
  </w:style>
  <w:style w:type="table" w:customStyle="1" w:styleId="179">
    <w:name w:val="TableGrid"/>
    <w:basedOn w:val="178"/>
    <w:qFormat/>
    <w:uiPriority w:val="0"/>
    <w:tblPr>
      <w:tblCellMar>
        <w:top w:w="0" w:type="dxa"/>
        <w:left w:w="0" w:type="dxa"/>
        <w:bottom w:w="0" w:type="dxa"/>
        <w:right w:w="0" w:type="dxa"/>
      </w:tblCellMar>
    </w:tblPr>
  </w:style>
  <w:style w:type="character" w:customStyle="1" w:styleId="180">
    <w:name w:val="font01"/>
    <w:qFormat/>
    <w:uiPriority w:val="0"/>
    <w:rPr>
      <w:rFonts w:hint="eastAsia" w:ascii="宋体" w:hAnsi="宋体" w:eastAsia="宋体" w:cs="宋体"/>
      <w:color w:val="000000"/>
      <w:sz w:val="22"/>
      <w:szCs w:val="22"/>
      <w:u w:val="none"/>
    </w:rPr>
  </w:style>
  <w:style w:type="character" w:customStyle="1" w:styleId="181">
    <w:name w:val="font11"/>
    <w:qFormat/>
    <w:uiPriority w:val="0"/>
    <w:rPr>
      <w:rFonts w:hint="eastAsia" w:ascii="宋体" w:hAnsi="宋体" w:eastAsia="宋体" w:cs="宋体"/>
      <w:color w:val="000000"/>
      <w:sz w:val="22"/>
      <w:szCs w:val="22"/>
      <w:u w:val="none"/>
      <w:vertAlign w:val="superscript"/>
    </w:rPr>
  </w:style>
  <w:style w:type="paragraph" w:customStyle="1" w:styleId="182">
    <w:name w:val="Heading Left"/>
    <w:basedOn w:val="1"/>
    <w:qFormat/>
    <w:uiPriority w:val="0"/>
    <w:pPr>
      <w:tabs>
        <w:tab w:val="center" w:pos="4820"/>
        <w:tab w:val="right" w:pos="9639"/>
      </w:tabs>
      <w:spacing w:before="120" w:after="120" w:line="360" w:lineRule="auto"/>
      <w:jc w:val="left"/>
    </w:pPr>
    <w:rPr>
      <w:rFonts w:ascii="Arial" w:hAnsi="Arial" w:cs="Arial"/>
      <w:b/>
      <w:caps/>
      <w:sz w:val="24"/>
      <w:lang w:val="en-GB" w:eastAsia="en-US"/>
    </w:rPr>
  </w:style>
  <w:style w:type="paragraph" w:customStyle="1" w:styleId="183">
    <w:name w:val="文二"/>
    <w:basedOn w:val="1"/>
    <w:qFormat/>
    <w:uiPriority w:val="0"/>
    <w:pPr>
      <w:jc w:val="left"/>
    </w:pPr>
    <w:rPr>
      <w:rFonts w:ascii="宋体" w:hAnsi="宋体"/>
      <w:szCs w:val="21"/>
    </w:rPr>
  </w:style>
  <w:style w:type="character" w:customStyle="1" w:styleId="184">
    <w:name w:val="font61"/>
    <w:qFormat/>
    <w:uiPriority w:val="0"/>
    <w:rPr>
      <w:rFonts w:hint="eastAsia" w:ascii="新宋体" w:hAnsi="新宋体" w:eastAsia="新宋体" w:cs="新宋体"/>
      <w:color w:val="000000"/>
      <w:sz w:val="22"/>
      <w:szCs w:val="22"/>
      <w:u w:val="none"/>
    </w:rPr>
  </w:style>
  <w:style w:type="character" w:customStyle="1" w:styleId="185">
    <w:name w:val="font71"/>
    <w:qFormat/>
    <w:uiPriority w:val="0"/>
    <w:rPr>
      <w:rFonts w:hint="eastAsia" w:ascii="宋体" w:hAnsi="宋体" w:eastAsia="宋体" w:cs="宋体"/>
      <w:color w:val="000000"/>
      <w:sz w:val="22"/>
      <w:szCs w:val="22"/>
      <w:u w:val="none"/>
    </w:rPr>
  </w:style>
  <w:style w:type="character" w:customStyle="1" w:styleId="186">
    <w:name w:val="font112"/>
    <w:qFormat/>
    <w:uiPriority w:val="0"/>
    <w:rPr>
      <w:rFonts w:hint="eastAsia" w:ascii="新宋体" w:hAnsi="新宋体" w:eastAsia="新宋体" w:cs="新宋体"/>
      <w:color w:val="FF0000"/>
      <w:sz w:val="22"/>
      <w:szCs w:val="22"/>
      <w:u w:val="none"/>
    </w:rPr>
  </w:style>
  <w:style w:type="character" w:customStyle="1" w:styleId="187">
    <w:name w:val="font14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8658C3-C5EE-4C55-A53D-CC645CDF26A7}">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89</Pages>
  <Words>9721</Words>
  <Characters>55416</Characters>
  <Lines>461</Lines>
  <Paragraphs>130</Paragraphs>
  <TotalTime>28</TotalTime>
  <ScaleCrop>false</ScaleCrop>
  <LinksUpToDate>false</LinksUpToDate>
  <CharactersWithSpaces>65007</CharactersWithSpaces>
  <Application>WPS Office_12.1.0.15712_F1E327BC-269C-435d-A152-05C5408002CA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2023-10-13T01:53:00Z</dcterms:created>
  <dc:creator>Administrator</dc:creator>
  <cp:lastModifiedBy>国科-钟工</cp:lastModifiedBy>
  <cp:lastPrinted>2023-09-04T11:14:00Z</cp:lastPrinted>
  <dcterms:modified xsi:type="dcterms:W3CDTF">2023-10-16T07:33:39Z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E576E26A213245C2B6B040E53ECCE654_13</vt:lpwstr>
  </property>
</Properties>
</file>