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color w:val="auto"/>
          <w:spacing w:val="26"/>
          <w:sz w:val="44"/>
          <w:szCs w:val="44"/>
          <w:highlight w:val="none"/>
        </w:rPr>
      </w:pPr>
    </w:p>
    <w:p>
      <w:pPr>
        <w:spacing w:line="360" w:lineRule="auto"/>
        <w:jc w:val="center"/>
        <w:rPr>
          <w:rFonts w:hint="eastAsia" w:ascii="宋体" w:hAnsi="宋体" w:eastAsia="宋体" w:cs="宋体"/>
          <w:b/>
          <w:bCs/>
          <w:color w:val="auto"/>
          <w:spacing w:val="26"/>
          <w:sz w:val="40"/>
          <w:szCs w:val="40"/>
          <w:highlight w:val="none"/>
          <w:lang w:eastAsia="zh-CN"/>
        </w:rPr>
      </w:pPr>
      <w:r>
        <w:rPr>
          <w:rFonts w:hint="eastAsia" w:ascii="宋体" w:hAnsi="宋体" w:cs="宋体"/>
          <w:b/>
          <w:bCs/>
          <w:color w:val="auto"/>
          <w:spacing w:val="26"/>
          <w:sz w:val="40"/>
          <w:szCs w:val="40"/>
          <w:highlight w:val="none"/>
          <w:lang w:eastAsia="zh-CN"/>
        </w:rPr>
        <w:t>南方医科大学口腔医院（广东省口腔医院）番禺院区二楼C区及三楼A、B、C区改造项目</w:t>
      </w:r>
    </w:p>
    <w:p>
      <w:pPr>
        <w:spacing w:line="360" w:lineRule="auto"/>
        <w:rPr>
          <w:rFonts w:ascii="宋体" w:hAnsi="宋体" w:cs="宋体"/>
          <w:b/>
          <w:bCs/>
          <w:color w:val="auto"/>
          <w:spacing w:val="26"/>
          <w:sz w:val="52"/>
          <w:szCs w:val="110"/>
          <w:highlight w:val="none"/>
        </w:rPr>
      </w:pPr>
    </w:p>
    <w:p>
      <w:pPr>
        <w:pStyle w:val="2"/>
        <w:rPr>
          <w:color w:val="auto"/>
          <w:highlight w:val="none"/>
        </w:rPr>
      </w:pPr>
    </w:p>
    <w:p>
      <w:pPr>
        <w:spacing w:line="360" w:lineRule="auto"/>
        <w:rPr>
          <w:rFonts w:ascii="宋体" w:hAnsi="宋体" w:cs="宋体"/>
          <w:b/>
          <w:bCs/>
          <w:color w:val="auto"/>
          <w:spacing w:val="26"/>
          <w:sz w:val="44"/>
          <w:szCs w:val="110"/>
          <w:highlight w:val="none"/>
        </w:rPr>
      </w:pPr>
    </w:p>
    <w:p>
      <w:pPr>
        <w:spacing w:line="360" w:lineRule="auto"/>
        <w:jc w:val="center"/>
        <w:rPr>
          <w:rFonts w:ascii="宋体" w:hAnsi="宋体" w:cs="宋体"/>
          <w:b/>
          <w:bCs/>
          <w:color w:val="auto"/>
          <w:spacing w:val="26"/>
          <w:sz w:val="110"/>
          <w:szCs w:val="110"/>
          <w:highlight w:val="none"/>
        </w:rPr>
      </w:pPr>
      <w:r>
        <w:rPr>
          <w:rFonts w:hint="eastAsia" w:ascii="宋体" w:hAnsi="宋体" w:cs="宋体"/>
          <w:b/>
          <w:bCs/>
          <w:color w:val="auto"/>
          <w:spacing w:val="26"/>
          <w:sz w:val="110"/>
          <w:szCs w:val="110"/>
          <w:highlight w:val="none"/>
        </w:rPr>
        <w:t>招标公告</w:t>
      </w:r>
    </w:p>
    <w:p>
      <w:pPr>
        <w:spacing w:line="360" w:lineRule="auto"/>
        <w:ind w:firstLine="2560" w:firstLineChars="800"/>
        <w:rPr>
          <w:rFonts w:ascii="宋体" w:hAnsi="宋体" w:cs="宋体"/>
          <w:color w:val="auto"/>
          <w:sz w:val="32"/>
          <w:highlight w:val="none"/>
        </w:rPr>
      </w:pPr>
    </w:p>
    <w:p>
      <w:pPr>
        <w:spacing w:line="360" w:lineRule="auto"/>
        <w:rPr>
          <w:rFonts w:ascii="宋体" w:hAnsi="宋体" w:cs="宋体"/>
          <w:color w:val="auto"/>
          <w:sz w:val="52"/>
          <w:highlight w:val="none"/>
        </w:rPr>
      </w:pPr>
    </w:p>
    <w:p>
      <w:pPr>
        <w:pStyle w:val="2"/>
        <w:rPr>
          <w:rFonts w:ascii="宋体" w:hAnsi="宋体" w:cs="宋体"/>
          <w:color w:val="auto"/>
          <w:sz w:val="52"/>
          <w:highlight w:val="none"/>
        </w:rPr>
      </w:pPr>
    </w:p>
    <w:p>
      <w:pPr>
        <w:spacing w:line="360" w:lineRule="auto"/>
        <w:rPr>
          <w:rFonts w:ascii="宋体" w:hAnsi="宋体" w:cs="宋体"/>
          <w:color w:val="auto"/>
          <w:sz w:val="52"/>
          <w:highlight w:val="none"/>
        </w:rPr>
      </w:pPr>
    </w:p>
    <w:p>
      <w:pPr>
        <w:spacing w:line="360" w:lineRule="auto"/>
        <w:rPr>
          <w:rFonts w:ascii="宋体" w:hAnsi="宋体" w:cs="宋体"/>
          <w:color w:val="auto"/>
          <w:sz w:val="52"/>
          <w:highlight w:val="none"/>
        </w:rPr>
      </w:pPr>
    </w:p>
    <w:p>
      <w:pPr>
        <w:autoSpaceDE w:val="0"/>
        <w:autoSpaceDN w:val="0"/>
        <w:adjustRightInd w:val="0"/>
        <w:spacing w:line="360" w:lineRule="auto"/>
        <w:ind w:firstLine="1285" w:firstLineChars="400"/>
        <w:jc w:val="left"/>
        <w:rPr>
          <w:rFonts w:hint="eastAsia" w:ascii="宋体" w:hAnsi="宋体" w:eastAsia="宋体" w:cs="宋体"/>
          <w:b/>
          <w:bCs/>
          <w:color w:val="auto"/>
          <w:sz w:val="32"/>
          <w:szCs w:val="32"/>
          <w:highlight w:val="none"/>
          <w:u w:val="single"/>
          <w:lang w:eastAsia="zh-CN"/>
        </w:rPr>
      </w:pPr>
      <w:r>
        <w:rPr>
          <w:rFonts w:hint="eastAsia" w:ascii="宋体" w:hAnsi="宋体" w:cs="宋体"/>
          <w:b/>
          <w:bCs/>
          <w:color w:val="auto"/>
          <w:sz w:val="32"/>
          <w:szCs w:val="30"/>
          <w:highlight w:val="none"/>
          <w:lang w:val="zh-CN"/>
        </w:rPr>
        <w:t>招   标   人：</w:t>
      </w:r>
      <w:r>
        <w:rPr>
          <w:rFonts w:hint="eastAsia" w:ascii="宋体" w:hAnsi="宋体" w:cs="宋体"/>
          <w:b/>
          <w:bCs/>
          <w:color w:val="auto"/>
          <w:sz w:val="32"/>
          <w:szCs w:val="32"/>
          <w:highlight w:val="none"/>
          <w:u w:val="single"/>
          <w:lang w:eastAsia="zh-CN"/>
        </w:rPr>
        <w:t>南方医科大学口腔医院</w:t>
      </w:r>
    </w:p>
    <w:p>
      <w:pPr>
        <w:autoSpaceDE w:val="0"/>
        <w:autoSpaceDN w:val="0"/>
        <w:adjustRightInd w:val="0"/>
        <w:spacing w:line="360" w:lineRule="auto"/>
        <w:ind w:firstLine="1285" w:firstLineChars="400"/>
        <w:jc w:val="left"/>
        <w:rPr>
          <w:rFonts w:ascii="宋体" w:hAnsi="宋体" w:cs="宋体"/>
          <w:b/>
          <w:bCs/>
          <w:color w:val="auto"/>
          <w:sz w:val="32"/>
          <w:szCs w:val="30"/>
          <w:highlight w:val="none"/>
        </w:rPr>
      </w:pPr>
      <w:r>
        <w:rPr>
          <w:rFonts w:hint="eastAsia" w:ascii="宋体" w:hAnsi="宋体" w:cs="宋体"/>
          <w:b/>
          <w:bCs/>
          <w:color w:val="auto"/>
          <w:sz w:val="32"/>
          <w:szCs w:val="30"/>
          <w:highlight w:val="none"/>
          <w:lang w:val="zh-CN"/>
        </w:rPr>
        <w:t>招标代理机构：</w:t>
      </w:r>
      <w:r>
        <w:rPr>
          <w:rFonts w:hint="eastAsia" w:ascii="宋体" w:hAnsi="宋体" w:cs="宋体"/>
          <w:b/>
          <w:bCs/>
          <w:color w:val="auto"/>
          <w:sz w:val="32"/>
          <w:szCs w:val="32"/>
          <w:highlight w:val="none"/>
          <w:u w:val="single"/>
        </w:rPr>
        <w:t>广州市国科招标代理有限公司</w:t>
      </w:r>
    </w:p>
    <w:p>
      <w:pPr>
        <w:spacing w:line="360" w:lineRule="auto"/>
        <w:ind w:firstLine="1285" w:firstLineChars="400"/>
        <w:rPr>
          <w:rFonts w:hint="eastAsia" w:ascii="宋体" w:hAnsi="宋体" w:cs="宋体"/>
          <w:b/>
          <w:bCs/>
          <w:color w:val="auto"/>
          <w:sz w:val="32"/>
          <w:szCs w:val="30"/>
          <w:highlight w:val="none"/>
          <w:lang w:val="zh-CN"/>
        </w:rPr>
      </w:pPr>
      <w:r>
        <w:rPr>
          <w:rFonts w:hint="eastAsia" w:ascii="宋体" w:hAnsi="宋体" w:cs="宋体"/>
          <w:b/>
          <w:bCs/>
          <w:color w:val="auto"/>
          <w:sz w:val="32"/>
          <w:szCs w:val="30"/>
          <w:highlight w:val="none"/>
          <w:lang w:val="zh-CN"/>
        </w:rPr>
        <w:t>日        期：</w:t>
      </w:r>
      <w:r>
        <w:rPr>
          <w:rFonts w:hint="eastAsia" w:ascii="宋体" w:hAnsi="宋体" w:cs="宋体"/>
          <w:b/>
          <w:bCs/>
          <w:color w:val="auto"/>
          <w:sz w:val="32"/>
          <w:szCs w:val="30"/>
          <w:highlight w:val="none"/>
          <w:u w:val="single"/>
          <w:lang w:val="zh-CN"/>
        </w:rPr>
        <w:t>202</w:t>
      </w:r>
      <w:r>
        <w:rPr>
          <w:rFonts w:hint="eastAsia" w:ascii="宋体" w:hAnsi="宋体" w:cs="宋体"/>
          <w:b/>
          <w:bCs/>
          <w:color w:val="auto"/>
          <w:sz w:val="32"/>
          <w:szCs w:val="30"/>
          <w:highlight w:val="none"/>
          <w:u w:val="single"/>
        </w:rPr>
        <w:t>3</w:t>
      </w:r>
      <w:r>
        <w:rPr>
          <w:rFonts w:hint="eastAsia" w:ascii="宋体" w:hAnsi="宋体" w:cs="宋体"/>
          <w:b/>
          <w:bCs/>
          <w:color w:val="auto"/>
          <w:sz w:val="32"/>
          <w:szCs w:val="30"/>
          <w:highlight w:val="none"/>
          <w:lang w:val="zh-CN"/>
        </w:rPr>
        <w:t>年</w:t>
      </w:r>
      <w:r>
        <w:rPr>
          <w:rFonts w:hint="eastAsia" w:ascii="宋体" w:hAnsi="宋体" w:cs="宋体"/>
          <w:b/>
          <w:bCs/>
          <w:color w:val="auto"/>
          <w:sz w:val="32"/>
          <w:szCs w:val="30"/>
          <w:highlight w:val="none"/>
        </w:rPr>
        <w:t xml:space="preserve">  </w:t>
      </w:r>
      <w:r>
        <w:rPr>
          <w:rFonts w:hint="eastAsia" w:ascii="宋体" w:hAnsi="宋体" w:cs="宋体"/>
          <w:b/>
          <w:bCs/>
          <w:color w:val="auto"/>
          <w:sz w:val="32"/>
          <w:szCs w:val="30"/>
          <w:highlight w:val="none"/>
          <w:lang w:val="zh-CN"/>
        </w:rPr>
        <w:t>月</w:t>
      </w:r>
    </w:p>
    <w:p>
      <w:pPr>
        <w:pStyle w:val="2"/>
        <w:rPr>
          <w:rFonts w:hint="eastAsia" w:ascii="宋体" w:hAnsi="宋体" w:cs="宋体"/>
          <w:b/>
          <w:bCs/>
          <w:color w:val="auto"/>
          <w:sz w:val="32"/>
          <w:szCs w:val="30"/>
          <w:highlight w:val="none"/>
          <w:lang w:val="zh-CN"/>
        </w:rPr>
      </w:pPr>
    </w:p>
    <w:p>
      <w:pPr>
        <w:rPr>
          <w:rFonts w:hint="eastAsia" w:ascii="宋体" w:hAnsi="宋体" w:cs="宋体"/>
          <w:b/>
          <w:bCs/>
          <w:color w:val="auto"/>
          <w:sz w:val="32"/>
          <w:szCs w:val="30"/>
          <w:highlight w:val="none"/>
          <w:lang w:val="zh-CN"/>
        </w:rPr>
      </w:pPr>
    </w:p>
    <w:p>
      <w:pPr>
        <w:pStyle w:val="2"/>
        <w:rPr>
          <w:color w:val="auto"/>
          <w:highlight w:val="none"/>
        </w:rPr>
      </w:pPr>
    </w:p>
    <w:p/>
    <w:p>
      <w:pPr>
        <w:rPr>
          <w:rFonts w:hint="eastAsia"/>
          <w:b/>
          <w:bCs/>
          <w:color w:val="auto"/>
          <w:sz w:val="30"/>
          <w:szCs w:val="30"/>
          <w:highlight w:val="none"/>
          <w:lang w:eastAsia="zh-CN"/>
        </w:rPr>
      </w:pPr>
      <w:r>
        <w:rPr>
          <w:rFonts w:hint="eastAsia"/>
          <w:b/>
          <w:bCs/>
          <w:color w:val="auto"/>
          <w:sz w:val="30"/>
          <w:szCs w:val="30"/>
          <w:highlight w:val="none"/>
          <w:lang w:eastAsia="zh-CN"/>
        </w:rPr>
        <w:br w:type="page"/>
      </w:r>
    </w:p>
    <w:p>
      <w:pPr>
        <w:pStyle w:val="10"/>
        <w:spacing w:line="360" w:lineRule="auto"/>
        <w:jc w:val="center"/>
        <w:rPr>
          <w:b/>
          <w:bCs/>
          <w:color w:val="auto"/>
          <w:sz w:val="30"/>
          <w:szCs w:val="30"/>
          <w:highlight w:val="none"/>
        </w:rPr>
      </w:pPr>
      <w:bookmarkStart w:id="0" w:name="_GoBack"/>
      <w:bookmarkEnd w:id="0"/>
      <w:r>
        <w:rPr>
          <w:rFonts w:hint="eastAsia"/>
          <w:b/>
          <w:bCs/>
          <w:color w:val="auto"/>
          <w:sz w:val="30"/>
          <w:szCs w:val="30"/>
          <w:highlight w:val="none"/>
          <w:lang w:eastAsia="zh-CN"/>
        </w:rPr>
        <w:t>南方医科大学口腔医院（广东省口腔医院）番禺院区二楼C区及三楼A、B、C区改造项目</w:t>
      </w:r>
      <w:r>
        <w:rPr>
          <w:rFonts w:hint="eastAsia"/>
          <w:b/>
          <w:bCs/>
          <w:color w:val="auto"/>
          <w:sz w:val="30"/>
          <w:szCs w:val="30"/>
          <w:highlight w:val="none"/>
        </w:rPr>
        <w:t>招标公告</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根据</w:t>
      </w:r>
      <w:r>
        <w:rPr>
          <w:rFonts w:hint="eastAsia" w:ascii="宋体" w:hAnsi="宋体"/>
          <w:color w:val="auto"/>
          <w:sz w:val="24"/>
          <w:szCs w:val="24"/>
          <w:highlight w:val="none"/>
          <w:u w:val="single"/>
        </w:rPr>
        <w:t>相关文件</w:t>
      </w:r>
      <w:r>
        <w:rPr>
          <w:rFonts w:hint="eastAsia" w:ascii="宋体" w:hAnsi="宋体"/>
          <w:color w:val="auto"/>
          <w:sz w:val="24"/>
          <w:szCs w:val="24"/>
          <w:highlight w:val="none"/>
        </w:rPr>
        <w:t>批准，并且图纸和技术资料满足施工需要，</w:t>
      </w:r>
      <w:r>
        <w:rPr>
          <w:rFonts w:hint="eastAsia" w:ascii="宋体" w:hAnsi="宋体"/>
          <w:color w:val="auto"/>
          <w:sz w:val="24"/>
          <w:szCs w:val="24"/>
          <w:highlight w:val="none"/>
          <w:u w:val="single"/>
          <w:lang w:eastAsia="zh-CN"/>
        </w:rPr>
        <w:t>南方医科大学口腔医院</w:t>
      </w:r>
      <w:r>
        <w:rPr>
          <w:rFonts w:hint="eastAsia" w:ascii="宋体" w:hAnsi="宋体"/>
          <w:color w:val="auto"/>
          <w:sz w:val="24"/>
          <w:szCs w:val="24"/>
          <w:highlight w:val="none"/>
        </w:rPr>
        <w:t>现对</w:t>
      </w:r>
      <w:r>
        <w:rPr>
          <w:rFonts w:hint="eastAsia" w:ascii="宋体" w:hAnsi="宋体"/>
          <w:color w:val="auto"/>
          <w:sz w:val="24"/>
          <w:szCs w:val="24"/>
          <w:highlight w:val="none"/>
          <w:u w:val="single"/>
          <w:lang w:eastAsia="zh-CN"/>
        </w:rPr>
        <w:t>南方医科大学口腔医院（广东省口腔医院）番禺院区二楼C区及三楼A、B、C区改造项目</w:t>
      </w:r>
      <w:r>
        <w:rPr>
          <w:rFonts w:hint="eastAsia" w:ascii="宋体" w:hAnsi="宋体"/>
          <w:color w:val="auto"/>
          <w:sz w:val="24"/>
          <w:szCs w:val="24"/>
          <w:highlight w:val="none"/>
        </w:rPr>
        <w:t>进行施工总承包公开招标，选定承包人。</w:t>
      </w:r>
    </w:p>
    <w:p>
      <w:pPr>
        <w:spacing w:line="360" w:lineRule="auto"/>
        <w:ind w:firstLine="480" w:firstLineChars="200"/>
        <w:rPr>
          <w:rFonts w:hint="eastAsia" w:ascii="宋体" w:hAnsi="宋体"/>
          <w:color w:val="auto"/>
          <w:sz w:val="24"/>
          <w:szCs w:val="24"/>
          <w:highlight w:val="none"/>
          <w:u w:val="single"/>
          <w:lang w:eastAsia="zh-CN"/>
        </w:rPr>
      </w:pPr>
      <w:r>
        <w:rPr>
          <w:rFonts w:hint="eastAsia" w:ascii="宋体" w:hAnsi="宋体"/>
          <w:color w:val="auto"/>
          <w:sz w:val="24"/>
          <w:szCs w:val="24"/>
          <w:highlight w:val="none"/>
        </w:rPr>
        <w:t>一、工程名称：</w:t>
      </w:r>
      <w:r>
        <w:rPr>
          <w:rFonts w:hint="eastAsia" w:ascii="宋体" w:hAnsi="宋体"/>
          <w:color w:val="auto"/>
          <w:sz w:val="24"/>
          <w:szCs w:val="24"/>
          <w:highlight w:val="none"/>
          <w:u w:val="single"/>
          <w:lang w:eastAsia="zh-CN"/>
        </w:rPr>
        <w:t>南方医科大学口腔医院（广东省口腔医院）番禺院区二楼C区及三楼A、B、C区改造项目</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项目代码：</w:t>
      </w:r>
      <w:r>
        <w:rPr>
          <w:rFonts w:hint="eastAsia" w:ascii="宋体" w:hAnsi="宋体"/>
          <w:color w:val="auto"/>
          <w:sz w:val="24"/>
          <w:szCs w:val="24"/>
          <w:highlight w:val="none"/>
          <w:u w:val="single"/>
        </w:rPr>
        <w:t>2309-440113-23-01-266213</w:t>
      </w:r>
    </w:p>
    <w:p>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二、招标单位：</w:t>
      </w:r>
      <w:r>
        <w:rPr>
          <w:rFonts w:hint="eastAsia" w:ascii="宋体" w:hAnsi="宋体"/>
          <w:color w:val="auto"/>
          <w:sz w:val="24"/>
          <w:szCs w:val="24"/>
          <w:highlight w:val="none"/>
          <w:u w:val="single"/>
          <w:lang w:eastAsia="zh-CN"/>
        </w:rPr>
        <w:t>南方医科大学口腔医院</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联系人：</w:t>
      </w:r>
      <w:r>
        <w:rPr>
          <w:rFonts w:hint="eastAsia" w:ascii="宋体" w:hAnsi="宋体"/>
          <w:color w:val="auto"/>
          <w:sz w:val="24"/>
          <w:szCs w:val="24"/>
          <w:highlight w:val="none"/>
          <w:u w:val="single"/>
        </w:rPr>
        <w:t>刘老师</w:t>
      </w:r>
      <w:r>
        <w:rPr>
          <w:rFonts w:hint="eastAsia" w:ascii="宋体" w:hAnsi="宋体"/>
          <w:color w:val="auto"/>
          <w:sz w:val="24"/>
          <w:szCs w:val="24"/>
          <w:highlight w:val="none"/>
        </w:rPr>
        <w:t xml:space="preserve">     联系电话：</w:t>
      </w:r>
      <w:r>
        <w:rPr>
          <w:rFonts w:hint="eastAsia" w:ascii="宋体" w:hAnsi="宋体"/>
          <w:color w:val="auto"/>
          <w:sz w:val="24"/>
          <w:szCs w:val="24"/>
          <w:highlight w:val="none"/>
          <w:u w:val="single"/>
        </w:rPr>
        <w:t>020-84427043</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联系地址：</w:t>
      </w:r>
      <w:r>
        <w:rPr>
          <w:rFonts w:hint="eastAsia" w:ascii="宋体" w:hAnsi="宋体"/>
          <w:color w:val="auto"/>
          <w:sz w:val="24"/>
          <w:szCs w:val="24"/>
          <w:highlight w:val="none"/>
          <w:u w:val="single"/>
        </w:rPr>
        <w:t>广州市江南大道南366号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招标代理机构：</w:t>
      </w:r>
      <w:r>
        <w:rPr>
          <w:rFonts w:hint="eastAsia" w:ascii="宋体" w:hAnsi="宋体"/>
          <w:color w:val="auto"/>
          <w:sz w:val="24"/>
          <w:szCs w:val="24"/>
          <w:highlight w:val="none"/>
          <w:u w:val="single"/>
        </w:rPr>
        <w:t>广州市国科招标代理有限公司</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联系人：</w:t>
      </w:r>
      <w:r>
        <w:rPr>
          <w:rFonts w:hint="eastAsia" w:ascii="宋体" w:hAnsi="宋体"/>
          <w:color w:val="auto"/>
          <w:sz w:val="24"/>
          <w:szCs w:val="24"/>
          <w:highlight w:val="none"/>
          <w:u w:val="single"/>
        </w:rPr>
        <w:t>钟先生</w:t>
      </w:r>
      <w:r>
        <w:rPr>
          <w:rFonts w:hint="eastAsia" w:ascii="宋体" w:hAnsi="宋体"/>
          <w:color w:val="auto"/>
          <w:sz w:val="24"/>
          <w:szCs w:val="24"/>
          <w:highlight w:val="none"/>
        </w:rPr>
        <w:t xml:space="preserve">   联系电话：</w:t>
      </w:r>
      <w:r>
        <w:rPr>
          <w:rFonts w:hint="eastAsia" w:ascii="宋体" w:hAnsi="宋体"/>
          <w:color w:val="auto"/>
          <w:sz w:val="24"/>
          <w:szCs w:val="24"/>
          <w:highlight w:val="none"/>
          <w:u w:val="single"/>
        </w:rPr>
        <w:t>020-38364802</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联系地址：</w:t>
      </w:r>
      <w:r>
        <w:rPr>
          <w:rFonts w:hint="eastAsia" w:ascii="宋体" w:hAnsi="宋体"/>
          <w:color w:val="auto"/>
          <w:sz w:val="24"/>
          <w:szCs w:val="24"/>
          <w:highlight w:val="none"/>
          <w:u w:val="single"/>
        </w:rPr>
        <w:t>广州市先烈中路100号科学院大院9号楼东座2楼</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招标监督机构：</w:t>
      </w:r>
      <w:r>
        <w:rPr>
          <w:rFonts w:hint="eastAsia" w:ascii="宋体" w:hAnsi="宋体"/>
          <w:color w:val="auto"/>
          <w:sz w:val="24"/>
          <w:szCs w:val="24"/>
          <w:highlight w:val="none"/>
          <w:u w:val="single"/>
        </w:rPr>
        <w:t>广州市建设工程招标管理办公室</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监督电话：</w:t>
      </w:r>
      <w:r>
        <w:rPr>
          <w:rFonts w:hint="eastAsia" w:ascii="宋体" w:hAnsi="宋体"/>
          <w:color w:val="auto"/>
          <w:sz w:val="24"/>
          <w:szCs w:val="24"/>
          <w:highlight w:val="none"/>
          <w:u w:val="single"/>
        </w:rPr>
        <w:t>020-28866214</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联系地址：</w:t>
      </w:r>
      <w:r>
        <w:rPr>
          <w:rFonts w:hint="eastAsia" w:ascii="宋体" w:hAnsi="宋体"/>
          <w:color w:val="auto"/>
          <w:sz w:val="24"/>
          <w:szCs w:val="24"/>
          <w:highlight w:val="none"/>
          <w:u w:val="single"/>
        </w:rPr>
        <w:t>广州市天河区天润路333号3楼</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三、建设地点：</w:t>
      </w:r>
      <w:r>
        <w:rPr>
          <w:rFonts w:hint="eastAsia" w:ascii="宋体" w:hAnsi="宋体"/>
          <w:color w:val="auto"/>
          <w:sz w:val="24"/>
          <w:szCs w:val="24"/>
          <w:highlight w:val="none"/>
          <w:u w:val="single"/>
        </w:rPr>
        <w:t>广州市番禺区新艺路12号</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四、项目概况：</w:t>
      </w:r>
      <w:r>
        <w:rPr>
          <w:rFonts w:hint="eastAsia" w:ascii="宋体" w:hAnsi="宋体"/>
          <w:color w:val="auto"/>
          <w:sz w:val="24"/>
          <w:szCs w:val="24"/>
          <w:highlight w:val="none"/>
          <w:u w:val="single"/>
        </w:rPr>
        <w:t>按照南方医科大学口腔医院（广东省口腔医院）番禺院区的发展规划，现拟对番禺院区二楼C区（儿童口腔科）、三楼A、B、C区（牙体牙髓科）进行装修改造，装修总原则是充分考虑儿童口腔科、牙体牙髓科临床需求和专科特色，调整单间诊室面积，增加诊位数，设置必要的功能区。本建筑物为医疗建筑，建筑高度30.1米，属于一类高层民用建筑。目前该工程的平面图和施工图及效果图等设计工作已完成。装修改造面积约1700平方米，工程内容包括装修装饰、给排水、强弱电、空调通风、视频监控、消防（报警、消防栓和消防喷淋）和指引水牌等专业项目的施工。（具体内容以招标文件、工程量清单及招标图纸等资料为准）。</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五、标段划分及各标段招标内容、规模和最高投标限价：</w:t>
      </w:r>
    </w:p>
    <w:p>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rPr>
        <w:t>1.</w:t>
      </w:r>
      <w:r>
        <w:rPr>
          <w:rFonts w:hint="eastAsia" w:ascii="宋体" w:hAnsi="宋体"/>
          <w:color w:val="auto"/>
          <w:sz w:val="24"/>
          <w:szCs w:val="24"/>
          <w:highlight w:val="none"/>
        </w:rPr>
        <w:t>标段划分：</w:t>
      </w:r>
      <w:r>
        <w:rPr>
          <w:rFonts w:hint="eastAsia" w:ascii="宋体" w:hAnsi="宋体"/>
          <w:color w:val="auto"/>
          <w:sz w:val="24"/>
          <w:szCs w:val="24"/>
          <w:highlight w:val="none"/>
          <w:u w:val="single"/>
        </w:rPr>
        <w:t>本工程划分为1个标段。</w:t>
      </w:r>
    </w:p>
    <w:p>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rPr>
        <w:t>2.</w:t>
      </w:r>
      <w:r>
        <w:rPr>
          <w:rFonts w:hint="eastAsia" w:ascii="宋体" w:hAnsi="宋体"/>
          <w:color w:val="auto"/>
          <w:sz w:val="24"/>
          <w:szCs w:val="24"/>
          <w:highlight w:val="none"/>
        </w:rPr>
        <w:t>招标内容及规模：</w:t>
      </w:r>
      <w:r>
        <w:rPr>
          <w:rFonts w:hint="eastAsia" w:ascii="宋体" w:hAnsi="宋体"/>
          <w:color w:val="auto"/>
          <w:sz w:val="24"/>
          <w:szCs w:val="24"/>
          <w:highlight w:val="none"/>
          <w:u w:val="single"/>
        </w:rPr>
        <w:t>装修改造面积约1700方米，工程内容包括装修装饰、给排水、强弱电、空调通风、视频监控、消防（报警、消防栓和消防喷淋）和指引水牌等专业项目的施工。（具体内容以招标文件、工程量清单及招标图纸等资料为准）。</w:t>
      </w:r>
    </w:p>
    <w:p>
      <w:pPr>
        <w:spacing w:line="360" w:lineRule="auto"/>
        <w:ind w:firstLine="537" w:firstLineChars="224"/>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w:t>
      </w:r>
      <w:r>
        <w:rPr>
          <w:rFonts w:hint="eastAsia" w:ascii="宋体" w:hAnsi="宋体"/>
          <w:color w:val="auto"/>
          <w:sz w:val="24"/>
          <w:szCs w:val="24"/>
          <w:highlight w:val="none"/>
        </w:rPr>
        <w:t>最高投标限价：人民币</w:t>
      </w:r>
      <w:r>
        <w:rPr>
          <w:rFonts w:hint="default" w:ascii="宋体" w:hAnsi="宋体"/>
          <w:color w:val="auto"/>
          <w:sz w:val="24"/>
          <w:szCs w:val="24"/>
          <w:highlight w:val="none"/>
          <w:u w:val="single"/>
        </w:rPr>
        <w:t>4,564,372.93</w:t>
      </w:r>
      <w:r>
        <w:rPr>
          <w:rFonts w:hint="eastAsia" w:ascii="宋体" w:hAnsi="宋体"/>
          <w:color w:val="auto"/>
          <w:sz w:val="24"/>
          <w:szCs w:val="24"/>
          <w:highlight w:val="none"/>
        </w:rPr>
        <w:t>元</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六、资金来源：</w:t>
      </w:r>
      <w:r>
        <w:rPr>
          <w:rFonts w:hint="eastAsia" w:ascii="宋体" w:hAnsi="宋体"/>
          <w:color w:val="auto"/>
          <w:sz w:val="24"/>
          <w:szCs w:val="24"/>
          <w:highlight w:val="none"/>
          <w:u w:val="single"/>
        </w:rPr>
        <w:t>财政性资金。</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注：政府投资项目一律不得以建筑业企业带资承包的方式进行建设。</w:t>
      </w:r>
    </w:p>
    <w:p>
      <w:pPr>
        <w:spacing w:line="360" w:lineRule="auto"/>
        <w:ind w:firstLine="480" w:firstLineChars="200"/>
        <w:rPr>
          <w:rFonts w:ascii="宋体" w:hAnsi="宋体"/>
          <w:color w:val="auto"/>
          <w:sz w:val="24"/>
          <w:szCs w:val="24"/>
          <w:highlight w:val="none"/>
          <w:u w:val="single"/>
        </w:rPr>
      </w:pPr>
      <w:r>
        <w:rPr>
          <w:rFonts w:hint="eastAsia" w:ascii="宋体" w:hAnsi="宋体" w:cs="宋体"/>
          <w:color w:val="auto"/>
          <w:kern w:val="0"/>
          <w:sz w:val="24"/>
          <w:szCs w:val="24"/>
          <w:highlight w:val="none"/>
        </w:rPr>
        <w:t>七、</w:t>
      </w:r>
      <w:r>
        <w:rPr>
          <w:rFonts w:hint="eastAsia" w:ascii="宋体" w:hAnsi="宋体"/>
          <w:color w:val="auto"/>
          <w:sz w:val="24"/>
          <w:szCs w:val="24"/>
          <w:highlight w:val="none"/>
        </w:rPr>
        <w:t>公告发布日期、</w:t>
      </w:r>
      <w:r>
        <w:rPr>
          <w:rFonts w:hint="eastAsia" w:ascii="宋体" w:hAnsi="宋体" w:cs="宋体"/>
          <w:color w:val="auto"/>
          <w:sz w:val="24"/>
          <w:szCs w:val="24"/>
          <w:highlight w:val="none"/>
        </w:rPr>
        <w:t>递交投标文件时间与开标时间：</w:t>
      </w:r>
    </w:p>
    <w:p>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rPr>
        <w:t>1.</w:t>
      </w:r>
      <w:r>
        <w:rPr>
          <w:rFonts w:hint="eastAsia" w:ascii="宋体" w:hAnsi="宋体"/>
          <w:color w:val="auto"/>
          <w:sz w:val="24"/>
          <w:szCs w:val="24"/>
          <w:highlight w:val="none"/>
        </w:rPr>
        <w:t>公告发布日期（含本日）：</w:t>
      </w:r>
      <w:r>
        <w:rPr>
          <w:rFonts w:hint="eastAsia" w:ascii="宋体" w:hAnsi="宋体"/>
          <w:color w:val="auto"/>
          <w:sz w:val="24"/>
          <w:szCs w:val="24"/>
          <w:highlight w:val="none"/>
          <w:u w:val="single"/>
        </w:rPr>
        <w:t>2023年  月  日  时  分至2023年  月  日  时  分</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凡有意参加投标者，请登录</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交易平台网站下载电子招标文件。</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注：发布招标公告的时间为招标公告发出之日起至投标截止时间止。</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递交投标文件起始时间：</w:t>
      </w:r>
      <w:r>
        <w:rPr>
          <w:rFonts w:hint="eastAsia" w:ascii="宋体" w:hAnsi="宋体"/>
          <w:color w:val="auto"/>
          <w:sz w:val="24"/>
          <w:szCs w:val="24"/>
          <w:highlight w:val="none"/>
          <w:u w:val="single"/>
        </w:rPr>
        <w:t>2023年  月  日  时  分</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截止时间：</w:t>
      </w:r>
      <w:r>
        <w:rPr>
          <w:rFonts w:hint="eastAsia" w:ascii="宋体" w:hAnsi="宋体"/>
          <w:color w:val="auto"/>
          <w:sz w:val="24"/>
          <w:szCs w:val="24"/>
          <w:highlight w:val="none"/>
          <w:u w:val="single"/>
        </w:rPr>
        <w:t>2023年  月  日  时  分。</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递交投标文件备用光盘时间：</w:t>
      </w:r>
      <w:r>
        <w:rPr>
          <w:rFonts w:hint="eastAsia" w:ascii="宋体" w:hAnsi="宋体"/>
          <w:color w:val="auto"/>
          <w:sz w:val="24"/>
          <w:szCs w:val="24"/>
          <w:highlight w:val="none"/>
          <w:u w:val="single"/>
        </w:rPr>
        <w:t>2023年  月  日  时  分至2023年 月 日  时  分；</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递交投标文件备用光盘地点：广州交易集团有限公司（广州公共资源交易中心）开标室。</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3</w:t>
      </w:r>
      <w:r>
        <w:rPr>
          <w:rFonts w:ascii="宋体" w:hAnsi="宋体"/>
          <w:color w:val="auto"/>
          <w:sz w:val="24"/>
          <w:szCs w:val="24"/>
          <w:highlight w:val="none"/>
        </w:rPr>
        <w:t>.</w:t>
      </w:r>
      <w:r>
        <w:rPr>
          <w:rFonts w:hint="eastAsia" w:ascii="宋体" w:hAnsi="宋体"/>
          <w:color w:val="auto"/>
          <w:sz w:val="24"/>
          <w:szCs w:val="24"/>
          <w:highlight w:val="none"/>
        </w:rPr>
        <w:t>开标开始时间：</w:t>
      </w:r>
      <w:r>
        <w:rPr>
          <w:rFonts w:hint="eastAsia" w:ascii="宋体" w:hAnsi="宋体"/>
          <w:color w:val="auto"/>
          <w:sz w:val="24"/>
          <w:szCs w:val="24"/>
          <w:highlight w:val="none"/>
          <w:u w:val="single"/>
        </w:rPr>
        <w:t>2023年  月  日  时  分。</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5</w:t>
      </w:r>
      <w:r>
        <w:rPr>
          <w:rFonts w:ascii="宋体" w:hAnsi="宋体"/>
          <w:color w:val="auto"/>
          <w:sz w:val="24"/>
          <w:szCs w:val="24"/>
          <w:highlight w:val="none"/>
        </w:rPr>
        <w:t>.</w:t>
      </w:r>
      <w:r>
        <w:rPr>
          <w:rFonts w:hint="eastAsia" w:ascii="宋体" w:hAnsi="宋体"/>
          <w:color w:val="auto"/>
          <w:sz w:val="24"/>
          <w:szCs w:val="24"/>
          <w:highlight w:val="none"/>
        </w:rPr>
        <w:t>投标人通过</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交易平台递交电子投标文件。投标人应在递交投标文件截止时间前，登录</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交易平台网站办理网上投标登记手续。按照</w:t>
      </w:r>
      <w:r>
        <w:rPr>
          <w:rFonts w:hint="eastAsia" w:ascii="宋体" w:hAnsi="宋体" w:cs="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交易平台关于全流程电子化项目的相关指南进行操作。详见：</w:t>
      </w:r>
      <w:r>
        <w:rPr>
          <w:rFonts w:hint="eastAsia" w:ascii="宋体" w:hAnsi="宋体" w:cs="宋体"/>
          <w:color w:val="auto"/>
          <w:sz w:val="24"/>
          <w:szCs w:val="24"/>
          <w:highlight w:val="none"/>
          <w:u w:val="single"/>
        </w:rPr>
        <w:t>广州交易集团有限公司（广州公共资源交易中心）网站最新指引</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rPr>
        <w:t>6.</w:t>
      </w:r>
      <w:r>
        <w:rPr>
          <w:rFonts w:hint="eastAsia" w:ascii="宋体" w:hAnsi="宋体"/>
          <w:color w:val="auto"/>
          <w:sz w:val="24"/>
          <w:szCs w:val="24"/>
          <w:highlight w:val="none"/>
        </w:rPr>
        <w:t>在投标登记时，投标人应按要求在交易系统中填写《施工项目管理团队人员信息表》（详见本公告附件二），表中的项目管理团队人员信息作为投标文件的一部分，将由交易系统提取后供各相关单位在中标人履约时进行比对、查核。</w:t>
      </w:r>
    </w:p>
    <w:p>
      <w:pPr>
        <w:spacing w:line="360" w:lineRule="auto"/>
        <w:ind w:firstLine="480" w:firstLineChars="200"/>
        <w:rPr>
          <w:rFonts w:ascii="宋体" w:hAnsi="宋体"/>
          <w:color w:val="auto"/>
          <w:sz w:val="24"/>
          <w:szCs w:val="24"/>
          <w:highlight w:val="none"/>
          <w:u w:val="single"/>
        </w:rPr>
      </w:pPr>
      <w:r>
        <w:rPr>
          <w:rFonts w:hint="eastAsia" w:ascii="宋体" w:hAnsi="宋体" w:cs="宋体"/>
          <w:color w:val="auto"/>
          <w:kern w:val="0"/>
          <w:sz w:val="24"/>
          <w:szCs w:val="24"/>
          <w:highlight w:val="none"/>
        </w:rPr>
        <w:t>八、招标文件获取方式：</w:t>
      </w:r>
    </w:p>
    <w:p>
      <w:pPr>
        <w:spacing w:line="360" w:lineRule="auto"/>
        <w:ind w:firstLine="480" w:firstLineChars="200"/>
        <w:rPr>
          <w:rFonts w:ascii="宋体" w:hAnsi="宋体"/>
          <w:color w:val="auto"/>
          <w:sz w:val="24"/>
          <w:szCs w:val="24"/>
          <w:highlight w:val="none"/>
          <w:u w:val="single"/>
        </w:rPr>
      </w:pPr>
      <w:r>
        <w:rPr>
          <w:rFonts w:hint="eastAsia" w:ascii="宋体" w:hAnsi="宋体" w:cs="宋体"/>
          <w:color w:val="auto"/>
          <w:kern w:val="0"/>
          <w:sz w:val="24"/>
          <w:szCs w:val="24"/>
          <w:highlight w:val="none"/>
        </w:rPr>
        <w:t>本项目招标文件随招标公告一并在</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交易平台网站发布。招标文件</w:t>
      </w:r>
      <w:r>
        <w:rPr>
          <w:rFonts w:hint="eastAsia" w:ascii="宋体" w:hAnsi="宋体" w:cs="宋体"/>
          <w:color w:val="auto"/>
          <w:kern w:val="0"/>
          <w:sz w:val="24"/>
          <w:szCs w:val="24"/>
          <w:highlight w:val="none"/>
        </w:rPr>
        <w:t>一经在</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网站下载。</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九、投标人合格条件：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投标人参加投标的意思表达清楚，投标人代表被授权有效。</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投标人具有独立法人资格，按国家法律经营。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w:t>
      </w:r>
      <w:r>
        <w:rPr>
          <w:rFonts w:hint="eastAsia" w:ascii="宋体" w:hAnsi="宋体"/>
          <w:color w:val="auto"/>
          <w:sz w:val="24"/>
          <w:szCs w:val="24"/>
          <w:highlight w:val="none"/>
        </w:rPr>
        <w:t>投标人持有建设行政主管部门颁发的企业资质证书及安全生产许可证。</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投标人须具有承接本工程所需的以下资质：建筑工程施工总承包三级或以上资质。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投标人拟担任本工程项目负责人的人员为：</w:t>
      </w:r>
      <w:r>
        <w:rPr>
          <w:rFonts w:hint="eastAsia" w:ascii="宋体" w:hAnsi="宋体"/>
          <w:color w:val="auto"/>
          <w:sz w:val="24"/>
          <w:szCs w:val="24"/>
          <w:highlight w:val="none"/>
          <w:u w:val="single"/>
        </w:rPr>
        <w:t>建筑工程专业二级或以上注册建造师</w:t>
      </w:r>
      <w:r>
        <w:rPr>
          <w:rFonts w:hint="eastAsia" w:ascii="宋体" w:hAnsi="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tabs>
          <w:tab w:val="center" w:pos="441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②根据《住房和城乡建设部办公厅关于取消建造师临时执业证书的通知》（建办市〔2019〕50号）和《广东省住房和城乡建设厅关于取消二级建造师临时执业证书的通知》（粤建市[2019]153号），取消建造师临时执业证书。根据《住房和城乡建设部办公厅关于全面实行一级建造师电子注册证书的通知》（建办市[2021]40号）、《广东省建设执业资格注册中心关于启用新版二级建造师注册证书电子证照的通知》等相关规定要求，投标人应提供有效的建造师执业资格证书。打印建造师电子证书后，应在个人签字处手写本人签名</w:t>
      </w:r>
      <w:r>
        <w:rPr>
          <w:rFonts w:hint="eastAsia" w:ascii="宋体" w:hAnsi="宋体"/>
          <w:color w:val="auto"/>
          <w:sz w:val="24"/>
          <w:highlight w:val="none"/>
          <w:lang w:val="en-US" w:eastAsia="zh-CN"/>
        </w:rPr>
        <w:t>及日期</w:t>
      </w:r>
      <w:r>
        <w:rPr>
          <w:rFonts w:hint="eastAsia" w:ascii="宋体" w:hAnsi="宋体"/>
          <w:color w:val="auto"/>
          <w:sz w:val="24"/>
          <w:highlight w:val="none"/>
        </w:rPr>
        <w:t>，未手写签字或与图像笔迹不一致的，该电子证书无效。</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w:t>
      </w:r>
      <w:r>
        <w:rPr>
          <w:rFonts w:ascii="宋体" w:hAnsi="宋体" w:cs="宋体"/>
          <w:color w:val="auto"/>
          <w:sz w:val="24"/>
          <w:szCs w:val="24"/>
          <w:highlight w:val="none"/>
        </w:rPr>
        <w:t>.</w:t>
      </w:r>
      <w:r>
        <w:rPr>
          <w:rFonts w:hint="eastAsia" w:ascii="宋体" w:hAnsi="宋体"/>
          <w:color w:val="auto"/>
          <w:sz w:val="24"/>
          <w:szCs w:val="24"/>
          <w:highlight w:val="none"/>
        </w:rPr>
        <w:t>项目负责人持有在有效期内的安全生产考核合格证（B类）或建筑施工企业项目负责人安全生产考核合格证书。</w:t>
      </w:r>
    </w:p>
    <w:p>
      <w:pPr>
        <w:spacing w:line="360" w:lineRule="auto"/>
        <w:ind w:firstLine="480" w:firstLineChars="200"/>
        <w:rPr>
          <w:rFonts w:ascii="宋体" w:hAnsi="宋体"/>
          <w:color w:val="auto"/>
          <w:sz w:val="24"/>
          <w:szCs w:val="24"/>
          <w:highlight w:val="none"/>
          <w:u w:val="single"/>
        </w:rPr>
      </w:pPr>
      <w:r>
        <w:rPr>
          <w:rFonts w:ascii="宋体" w:hAnsi="宋体" w:cs="宋体"/>
          <w:color w:val="auto"/>
          <w:sz w:val="24"/>
          <w:szCs w:val="24"/>
          <w:highlight w:val="none"/>
        </w:rPr>
        <w:t>6.</w:t>
      </w:r>
      <w:r>
        <w:rPr>
          <w:rFonts w:hint="eastAsia" w:ascii="宋体" w:hAnsi="宋体"/>
          <w:color w:val="auto"/>
          <w:sz w:val="24"/>
          <w:szCs w:val="24"/>
          <w:highlight w:val="none"/>
        </w:rPr>
        <w:t>投标人拟担任本工程技术负责人的资格要求为：</w:t>
      </w:r>
      <w:r>
        <w:rPr>
          <w:rFonts w:hint="eastAsia" w:ascii="宋体" w:hAnsi="宋体"/>
          <w:color w:val="auto"/>
          <w:sz w:val="24"/>
          <w:szCs w:val="24"/>
          <w:highlight w:val="none"/>
          <w:u w:val="single"/>
        </w:rPr>
        <w:t>建筑工程</w:t>
      </w:r>
      <w:r>
        <w:rPr>
          <w:rFonts w:hint="eastAsia" w:ascii="宋体" w:hAnsi="宋体"/>
          <w:color w:val="auto"/>
          <w:sz w:val="24"/>
          <w:szCs w:val="24"/>
          <w:highlight w:val="none"/>
          <w:u w:val="single"/>
          <w:lang w:val="en-US" w:eastAsia="zh-CN"/>
        </w:rPr>
        <w:t>类</w:t>
      </w:r>
      <w:r>
        <w:rPr>
          <w:rFonts w:hint="eastAsia" w:ascii="宋体" w:hAnsi="宋体"/>
          <w:color w:val="auto"/>
          <w:sz w:val="24"/>
          <w:szCs w:val="24"/>
          <w:highlight w:val="none"/>
          <w:u w:val="single"/>
        </w:rPr>
        <w:t>专业中级或以上技术职称，且技术负责人和项目负责人不为同一人。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w:t>
      </w:r>
      <w:r>
        <w:rPr>
          <w:rFonts w:ascii="宋体" w:hAnsi="宋体" w:cs="宋体"/>
          <w:color w:val="auto"/>
          <w:sz w:val="24"/>
          <w:szCs w:val="24"/>
          <w:highlight w:val="none"/>
        </w:rPr>
        <w:t>.</w:t>
      </w:r>
      <w:r>
        <w:rPr>
          <w:rFonts w:hint="eastAsia" w:ascii="宋体" w:hAnsi="宋体"/>
          <w:bCs/>
          <w:color w:val="auto"/>
          <w:sz w:val="24"/>
          <w:szCs w:val="24"/>
          <w:highlight w:val="none"/>
        </w:rPr>
        <w:t>专职安全员须具有在有效期内的安全生产考核合格证（C类）或建筑施工企业专职安全生产管理人员安全生产考核合格证书（C3）</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w:t>
      </w:r>
      <w:r>
        <w:rPr>
          <w:rFonts w:ascii="宋体" w:hAnsi="宋体" w:cs="宋体"/>
          <w:color w:val="auto"/>
          <w:sz w:val="24"/>
          <w:szCs w:val="24"/>
          <w:highlight w:val="none"/>
        </w:rPr>
        <w:t>.</w:t>
      </w:r>
      <w:r>
        <w:rPr>
          <w:rFonts w:hint="eastAsia" w:ascii="宋体" w:hAnsi="宋体"/>
          <w:color w:val="auto"/>
          <w:sz w:val="24"/>
          <w:szCs w:val="24"/>
          <w:highlight w:val="none"/>
        </w:rPr>
        <w:t>投标人已按照附件一的内容签署盖章的投标人声明。</w:t>
      </w:r>
    </w:p>
    <w:p>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9</w:t>
      </w:r>
      <w:r>
        <w:rPr>
          <w:rFonts w:ascii="宋体" w:hAnsi="宋体" w:cs="宋体"/>
          <w:color w:val="auto"/>
          <w:sz w:val="24"/>
          <w:szCs w:val="24"/>
          <w:highlight w:val="none"/>
        </w:rPr>
        <w:t>.</w:t>
      </w:r>
      <w:r>
        <w:rPr>
          <w:rFonts w:hint="eastAsia" w:ascii="宋体" w:hAnsi="宋体"/>
          <w:color w:val="auto"/>
          <w:sz w:val="24"/>
          <w:szCs w:val="24"/>
          <w:highlight w:val="none"/>
        </w:rPr>
        <w:t>关于联合体投标：本项目</w:t>
      </w:r>
      <w:r>
        <w:rPr>
          <w:rFonts w:hint="eastAsia" w:ascii="宋体" w:hAnsi="宋体"/>
          <w:color w:val="auto"/>
          <w:sz w:val="24"/>
          <w:szCs w:val="24"/>
          <w:highlight w:val="none"/>
          <w:lang w:val="en-US" w:eastAsia="zh-CN"/>
        </w:rPr>
        <w:t>不</w:t>
      </w:r>
      <w:r>
        <w:rPr>
          <w:rFonts w:hint="eastAsia" w:ascii="宋体" w:hAnsi="宋体"/>
          <w:color w:val="auto"/>
          <w:sz w:val="24"/>
          <w:szCs w:val="24"/>
          <w:highlight w:val="none"/>
        </w:rPr>
        <w:t>接受联合体投标。</w:t>
      </w:r>
    </w:p>
    <w:p>
      <w:pPr>
        <w:spacing w:line="360" w:lineRule="auto"/>
        <w:ind w:firstLine="480" w:firstLineChars="200"/>
        <w:rPr>
          <w:rFonts w:ascii="宋体" w:hAnsi="宋体"/>
          <w:color w:val="auto"/>
          <w:sz w:val="24"/>
          <w:szCs w:val="24"/>
          <w:highlight w:val="none"/>
        </w:rPr>
      </w:pPr>
      <w:r>
        <w:rPr>
          <w:rFonts w:ascii="宋体" w:hAnsi="宋体" w:cs="宋体"/>
          <w:color w:val="auto"/>
          <w:sz w:val="24"/>
          <w:szCs w:val="24"/>
          <w:highlight w:val="none"/>
        </w:rPr>
        <w:t>10.</w:t>
      </w:r>
      <w:r>
        <w:rPr>
          <w:rFonts w:ascii="宋体" w:hAnsi="宋体"/>
          <w:bCs/>
          <w:color w:val="auto"/>
          <w:sz w:val="24"/>
          <w:szCs w:val="24"/>
          <w:highlight w:val="none"/>
        </w:rPr>
        <w:t>资格审查前，投标</w:t>
      </w:r>
      <w:r>
        <w:rPr>
          <w:rFonts w:ascii="宋体" w:hAnsi="宋体"/>
          <w:color w:val="auto"/>
          <w:sz w:val="24"/>
          <w:szCs w:val="24"/>
          <w:highlight w:val="none"/>
        </w:rPr>
        <w:t>人须在</w:t>
      </w:r>
      <w:r>
        <w:rPr>
          <w:rFonts w:hint="eastAsia" w:ascii="宋体" w:hAnsi="宋体"/>
          <w:color w:val="auto"/>
          <w:sz w:val="24"/>
          <w:szCs w:val="24"/>
          <w:highlight w:val="none"/>
        </w:rPr>
        <w:t>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（信用档案办理详见《广州市住建行业信用管理平台施工企业信息录入指引》</w:t>
      </w:r>
      <w:r>
        <w:rPr>
          <w:rFonts w:ascii="仿宋" w:hAnsi="仿宋" w:eastAsia="仿宋" w:cs="宋体"/>
          <w:b/>
          <w:color w:val="auto"/>
          <w:kern w:val="0"/>
          <w:sz w:val="24"/>
          <w:szCs w:val="24"/>
          <w:highlight w:val="none"/>
        </w:rPr>
        <w:t>http://zfcj.gz.gov.cn/zwgk/zsdwxxgkzl/gzsjzyglfwzx/bszy/content/post_8484886.html）</w:t>
      </w:r>
    </w:p>
    <w:p>
      <w:pPr>
        <w:spacing w:line="360" w:lineRule="auto"/>
        <w:ind w:firstLine="480" w:firstLineChars="200"/>
        <w:rPr>
          <w:rFonts w:ascii="宋体" w:hAnsi="宋体"/>
          <w:bCs/>
          <w:color w:val="auto"/>
          <w:sz w:val="24"/>
          <w:szCs w:val="24"/>
          <w:highlight w:val="none"/>
        </w:rPr>
      </w:pPr>
      <w:r>
        <w:rPr>
          <w:rFonts w:ascii="宋体" w:hAnsi="宋体"/>
          <w:color w:val="auto"/>
          <w:sz w:val="24"/>
          <w:szCs w:val="24"/>
          <w:highlight w:val="none"/>
        </w:rPr>
        <w:t>11.</w:t>
      </w:r>
      <w:r>
        <w:rPr>
          <w:rFonts w:hint="eastAsia" w:ascii="宋体" w:hAnsi="宋体"/>
          <w:bCs/>
          <w:color w:val="auto"/>
          <w:sz w:val="24"/>
          <w:szCs w:val="24"/>
          <w:highlight w:val="none"/>
        </w:rPr>
        <w:t>投标人未出现以下情形：与其它投标人的单位负责人为同一人或者存在控股、管理关系的（按投标人提供的《投标人声明》第八条内容进行评审）。如不同投标人出现单位负责人为同一人或者存在控股、管理关系的情形，则</w:t>
      </w:r>
      <w:r>
        <w:rPr>
          <w:rFonts w:hint="eastAsia" w:ascii="宋体" w:hAnsi="宋体"/>
          <w:bCs/>
          <w:color w:val="auto"/>
          <w:sz w:val="24"/>
          <w:szCs w:val="24"/>
          <w:highlight w:val="none"/>
          <w:u w:val="single"/>
        </w:rPr>
        <w:t>视为无效投标</w:t>
      </w:r>
      <w:r>
        <w:rPr>
          <w:rFonts w:hint="eastAsia" w:ascii="宋体" w:hAnsi="宋体"/>
          <w:bCs/>
          <w:color w:val="auto"/>
          <w:sz w:val="24"/>
          <w:szCs w:val="24"/>
          <w:highlight w:val="none"/>
        </w:rPr>
        <w:t>。</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12.</w:t>
      </w:r>
      <w:r>
        <w:rPr>
          <w:rFonts w:hint="eastAsia" w:ascii="宋体" w:hAnsi="宋体"/>
          <w:bCs/>
          <w:color w:val="auto"/>
          <w:sz w:val="24"/>
          <w:szCs w:val="24"/>
          <w:highlight w:val="none"/>
        </w:rPr>
        <w:t>未被列入拖欠农民工工资失信联合惩戒对象名单。</w:t>
      </w:r>
    </w:p>
    <w:p>
      <w:pPr>
        <w:spacing w:line="360" w:lineRule="auto"/>
        <w:ind w:firstLine="480" w:firstLineChars="200"/>
        <w:rPr>
          <w:rFonts w:ascii="宋体" w:hAnsi="宋体"/>
          <w:bCs/>
          <w:color w:val="auto"/>
          <w:sz w:val="24"/>
          <w:szCs w:val="24"/>
          <w:highlight w:val="none"/>
        </w:rPr>
      </w:pPr>
      <w:r>
        <w:rPr>
          <w:rFonts w:hint="eastAsia" w:ascii="宋体" w:hAnsi="宋体"/>
          <w:color w:val="auto"/>
          <w:sz w:val="24"/>
          <w:szCs w:val="24"/>
          <w:highlight w:val="none"/>
        </w:rPr>
        <w:t>注：未在招标公告第九条单列的资审合格条件，不作为资审不合格的依据。</w:t>
      </w:r>
    </w:p>
    <w:p>
      <w:pPr>
        <w:spacing w:line="360" w:lineRule="auto"/>
        <w:ind w:firstLine="480" w:firstLineChars="200"/>
        <w:rPr>
          <w:rFonts w:ascii="宋体" w:hAnsi="宋体"/>
          <w:bCs/>
          <w:color w:val="auto"/>
          <w:sz w:val="24"/>
          <w:szCs w:val="24"/>
          <w:highlight w:val="none"/>
        </w:rPr>
      </w:pPr>
      <w:r>
        <w:rPr>
          <w:rFonts w:hint="eastAsia" w:ascii="宋体" w:hAnsi="宋体" w:cs="宋体"/>
          <w:color w:val="auto"/>
          <w:sz w:val="24"/>
          <w:szCs w:val="24"/>
          <w:highlight w:val="none"/>
        </w:rPr>
        <w:t>十、资格审查方式：</w:t>
      </w:r>
    </w:p>
    <w:p>
      <w:pPr>
        <w:spacing w:line="360" w:lineRule="auto"/>
        <w:ind w:firstLine="480" w:firstLineChars="200"/>
        <w:rPr>
          <w:rFonts w:ascii="宋体" w:hAnsi="宋体"/>
          <w:bCs/>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pPr>
        <w:spacing w:line="360" w:lineRule="auto"/>
        <w:ind w:firstLine="480" w:firstLineChars="200"/>
        <w:rPr>
          <w:rFonts w:ascii="宋体" w:hAnsi="宋体"/>
          <w:bCs/>
          <w:color w:val="auto"/>
          <w:sz w:val="24"/>
          <w:szCs w:val="24"/>
          <w:highlight w:val="none"/>
        </w:rPr>
      </w:pPr>
      <w:r>
        <w:rPr>
          <w:rFonts w:hint="eastAsia" w:ascii="宋体" w:hAnsi="宋体"/>
          <w:color w:val="auto"/>
          <w:sz w:val="24"/>
          <w:szCs w:val="24"/>
          <w:highlight w:val="none"/>
        </w:rPr>
        <w:t>十一、资格审查结果将在</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交易平台和广东省招标投标监管网公示，</w:t>
      </w:r>
      <w:r>
        <w:rPr>
          <w:rFonts w:hint="eastAsia" w:ascii="宋体" w:hAnsi="宋体"/>
          <w:bCs/>
          <w:color w:val="auto"/>
          <w:sz w:val="24"/>
          <w:szCs w:val="24"/>
          <w:highlight w:val="none"/>
        </w:rPr>
        <w:t>公示时间不得少于3日。</w:t>
      </w:r>
    </w:p>
    <w:p>
      <w:pPr>
        <w:spacing w:line="360" w:lineRule="auto"/>
        <w:ind w:firstLine="480" w:firstLineChars="200"/>
        <w:rPr>
          <w:rFonts w:ascii="宋体" w:hAnsi="宋体"/>
          <w:bCs/>
          <w:color w:val="auto"/>
          <w:sz w:val="24"/>
          <w:szCs w:val="24"/>
          <w:highlight w:val="none"/>
        </w:rPr>
      </w:pPr>
      <w:r>
        <w:rPr>
          <w:rFonts w:hint="eastAsia" w:ascii="宋体" w:hAnsi="宋体"/>
          <w:color w:val="auto"/>
          <w:sz w:val="24"/>
          <w:szCs w:val="24"/>
          <w:highlight w:val="none"/>
        </w:rPr>
        <w:t>十二、满足资格审查合格条件的投标人不足3名或通过有效性审查的投标人不足3名时为招标失败。招标人分析招标失败原因，修正招标方案，报有关管理部门核准后，重新组织招标。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十四、</w:t>
      </w:r>
      <w:r>
        <w:rPr>
          <w:rFonts w:hint="eastAsia" w:ascii="宋体" w:hAnsi="宋体"/>
          <w:bCs/>
          <w:color w:val="auto"/>
          <w:sz w:val="24"/>
          <w:szCs w:val="24"/>
          <w:highlight w:val="none"/>
        </w:rPr>
        <w:t>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十五、</w:t>
      </w:r>
      <w:r>
        <w:rPr>
          <w:rFonts w:hint="eastAsia" w:ascii="宋体" w:hAnsi="宋体"/>
          <w:bCs/>
          <w:color w:val="auto"/>
          <w:sz w:val="24"/>
          <w:szCs w:val="24"/>
          <w:highlight w:val="none"/>
        </w:rPr>
        <w:t>潜在投标人或利害关系人对本招标公告、招标文件有异议的，应当在投标截止时间10日前向招标人书面提出。</w:t>
      </w:r>
    </w:p>
    <w:p>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异议受理部门：</w:t>
      </w:r>
      <w:r>
        <w:rPr>
          <w:rFonts w:hint="eastAsia" w:ascii="宋体" w:hAnsi="宋体"/>
          <w:color w:val="auto"/>
          <w:sz w:val="24"/>
          <w:szCs w:val="24"/>
          <w:highlight w:val="none"/>
          <w:u w:val="single"/>
          <w:lang w:eastAsia="zh-CN"/>
        </w:rPr>
        <w:t>南方医科大学口腔医院</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异议受理电话：</w:t>
      </w:r>
      <w:r>
        <w:rPr>
          <w:rFonts w:hint="eastAsia" w:ascii="宋体" w:hAnsi="宋体"/>
          <w:color w:val="auto"/>
          <w:sz w:val="24"/>
          <w:szCs w:val="24"/>
          <w:highlight w:val="none"/>
          <w:u w:val="single"/>
        </w:rPr>
        <w:t>020-84427043</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地址：</w:t>
      </w:r>
      <w:r>
        <w:rPr>
          <w:rFonts w:hint="eastAsia" w:ascii="宋体" w:hAnsi="宋体"/>
          <w:color w:val="auto"/>
          <w:sz w:val="24"/>
          <w:szCs w:val="24"/>
          <w:highlight w:val="none"/>
          <w:u w:val="single"/>
        </w:rPr>
        <w:t>广州市江南大道南366号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十六、本公告在</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网站（http://www.gzggzy.cn）、广东省招标投标监管网（http://zbtb.gd.gov.cn/#/index）和中国招标投标公共服务平台（http://www.cebpubservice.com）发布，本公告的修改、补充，在广州公共资源交易网发布。</w:t>
      </w:r>
      <w:r>
        <w:rPr>
          <w:rFonts w:hint="eastAsia" w:ascii="宋体" w:hAnsi="宋体"/>
          <w:color w:val="auto"/>
          <w:sz w:val="24"/>
          <w:szCs w:val="24"/>
          <w:highlight w:val="none"/>
          <w:u w:val="single"/>
        </w:rPr>
        <w:t>本公告在各法定媒体发布的文本如有不同之处，以在广州交易集团有限公司（广州公共资源交易中心）网站发布的文本为准。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十七、本招标公告及招标文件使用GZZB2018-3招标文件范本。本公告与范本内容不同之处均以下划线标明，所有标明下划线部分属于本公告的组成部分，同其他部分具有同样的效力。</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360" w:lineRule="auto"/>
        <w:ind w:firstLine="537" w:firstLineChars="224"/>
        <w:rPr>
          <w:rFonts w:ascii="宋体"/>
          <w:color w:val="auto"/>
          <w:sz w:val="24"/>
          <w:highlight w:val="none"/>
        </w:rPr>
      </w:pPr>
      <w:r>
        <w:rPr>
          <w:rFonts w:hint="eastAsia" w:ascii="宋体"/>
          <w:color w:val="auto"/>
          <w:sz w:val="24"/>
          <w:highlight w:val="none"/>
        </w:rPr>
        <w:t>十九、《投诉处理决定书》和《行政处理决定书》在</w:t>
      </w:r>
      <w:r>
        <w:rPr>
          <w:rFonts w:hint="eastAsia" w:ascii="宋体" w:hAnsi="宋体"/>
          <w:color w:val="auto"/>
          <w:sz w:val="24"/>
          <w:highlight w:val="none"/>
        </w:rPr>
        <w:t>广州市住房和城乡建设局</w:t>
      </w:r>
      <w:r>
        <w:rPr>
          <w:rFonts w:hint="eastAsia" w:ascii="宋体"/>
          <w:color w:val="auto"/>
          <w:sz w:val="24"/>
          <w:highlight w:val="none"/>
        </w:rPr>
        <w:t>网站上公布的，视为送达其他与决定书有关的当事人。</w:t>
      </w:r>
    </w:p>
    <w:p>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特别提示：投标人在本项目招标人的工程项目中存在下列行为的，将被拒绝一年内参与招标人后续工程投标。（注：自招标人发出通知之日起计）：</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1.将中标工程转包或者违法分包的；</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2.在中标工程中不执行质量、安全生产相关规定的，造成质量或安全事故的；</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3.存在围标或串标情形的；</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4.在投标文件中提供虚假材料的；</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5.存在行贿情形的；</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6.拖欠农民工工资的；</w:t>
      </w:r>
    </w:p>
    <w:p>
      <w:pPr>
        <w:spacing w:line="360" w:lineRule="auto"/>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7.未按照国家、省、市有关建筑施工实名制管理和工人工资支付分账管理的规定执行，被行政监管部门处罚的</w:t>
      </w:r>
      <w:r>
        <w:rPr>
          <w:rFonts w:hint="eastAsia" w:ascii="宋体" w:hAnsi="宋体"/>
          <w:color w:val="auto"/>
          <w:sz w:val="24"/>
          <w:highlight w:val="none"/>
          <w:lang w:eastAsia="zh-CN"/>
        </w:rPr>
        <w:t>；</w:t>
      </w:r>
    </w:p>
    <w:p>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highlight w:val="none"/>
        </w:rPr>
        <w:t>8.中标人在项目实施过程中选取的专业分包单位或劳务企业或劳务班组长与投标时不一致的（如有）。</w:t>
      </w:r>
    </w:p>
    <w:p>
      <w:pPr>
        <w:spacing w:line="360" w:lineRule="auto"/>
        <w:ind w:firstLine="480" w:firstLineChars="200"/>
        <w:jc w:val="right"/>
        <w:rPr>
          <w:rFonts w:ascii="宋体" w:hAnsi="宋体"/>
          <w:color w:val="auto"/>
          <w:sz w:val="24"/>
          <w:szCs w:val="24"/>
          <w:highlight w:val="none"/>
        </w:rPr>
      </w:pPr>
    </w:p>
    <w:p>
      <w:pPr>
        <w:spacing w:line="360" w:lineRule="auto"/>
        <w:ind w:firstLine="480" w:firstLineChars="200"/>
        <w:jc w:val="right"/>
        <w:rPr>
          <w:rFonts w:ascii="宋体" w:hAnsi="宋体"/>
          <w:color w:val="auto"/>
          <w:sz w:val="24"/>
          <w:szCs w:val="24"/>
          <w:highlight w:val="none"/>
        </w:rPr>
      </w:pPr>
    </w:p>
    <w:p>
      <w:pPr>
        <w:spacing w:line="360" w:lineRule="auto"/>
        <w:ind w:firstLine="480" w:firstLineChars="200"/>
        <w:jc w:val="righ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招标人：</w:t>
      </w:r>
      <w:r>
        <w:rPr>
          <w:rFonts w:hint="eastAsia" w:ascii="宋体" w:hAnsi="宋体"/>
          <w:color w:val="auto"/>
          <w:sz w:val="24"/>
          <w:szCs w:val="24"/>
          <w:highlight w:val="none"/>
          <w:lang w:eastAsia="zh-CN"/>
        </w:rPr>
        <w:t>南方医科大学口腔医院</w:t>
      </w:r>
    </w:p>
    <w:p>
      <w:pPr>
        <w:spacing w:line="360" w:lineRule="auto"/>
        <w:ind w:firstLine="480" w:firstLineChars="200"/>
        <w:jc w:val="right"/>
        <w:rPr>
          <w:rFonts w:ascii="宋体" w:hAnsi="宋体"/>
          <w:color w:val="auto"/>
          <w:sz w:val="24"/>
          <w:szCs w:val="24"/>
          <w:highlight w:val="none"/>
        </w:rPr>
      </w:pPr>
      <w:r>
        <w:rPr>
          <w:rFonts w:hint="eastAsia" w:ascii="宋体" w:hAnsi="宋体"/>
          <w:color w:val="auto"/>
          <w:sz w:val="24"/>
          <w:szCs w:val="24"/>
          <w:highlight w:val="none"/>
        </w:rPr>
        <w:t>招标代理：广州市国科招标代理有限公司</w:t>
      </w:r>
    </w:p>
    <w:p>
      <w:pPr>
        <w:spacing w:line="360" w:lineRule="auto"/>
        <w:ind w:firstLine="480" w:firstLineChars="200"/>
        <w:jc w:val="right"/>
        <w:rPr>
          <w:rFonts w:ascii="宋体" w:hAnsi="宋体"/>
          <w:b/>
          <w:bCs/>
          <w:color w:val="auto"/>
          <w:szCs w:val="21"/>
          <w:highlight w:val="none"/>
        </w:rPr>
      </w:pPr>
      <w:r>
        <w:rPr>
          <w:rFonts w:hint="eastAsia" w:ascii="宋体" w:hAnsi="宋体"/>
          <w:color w:val="auto"/>
          <w:sz w:val="24"/>
          <w:szCs w:val="24"/>
          <w:highlight w:val="none"/>
        </w:rPr>
        <w:t>2023年  月   日</w:t>
      </w:r>
    </w:p>
    <w:p>
      <w:pPr>
        <w:rPr>
          <w:rFonts w:ascii="宋体" w:hAnsi="宋体"/>
          <w:b/>
          <w:bCs/>
          <w:color w:val="auto"/>
          <w:szCs w:val="21"/>
          <w:highlight w:val="none"/>
        </w:rPr>
      </w:pPr>
    </w:p>
    <w:p>
      <w:pPr>
        <w:rPr>
          <w:rFonts w:ascii="宋体" w:hAnsi="宋体"/>
          <w:b/>
          <w:bCs/>
          <w:color w:val="auto"/>
          <w:szCs w:val="21"/>
          <w:highlight w:val="none"/>
        </w:rPr>
      </w:pPr>
      <w:r>
        <w:rPr>
          <w:rFonts w:hint="eastAsia" w:ascii="宋体" w:hAnsi="宋体"/>
          <w:b/>
          <w:bCs/>
          <w:color w:val="auto"/>
          <w:szCs w:val="21"/>
          <w:highlight w:val="none"/>
        </w:rPr>
        <w:br w:type="page"/>
      </w:r>
    </w:p>
    <w:p>
      <w:pPr>
        <w:spacing w:line="360" w:lineRule="auto"/>
        <w:rPr>
          <w:rFonts w:ascii="宋体" w:hAnsi="宋体"/>
          <w:b/>
          <w:bCs/>
          <w:color w:val="auto"/>
          <w:szCs w:val="21"/>
          <w:highlight w:val="none"/>
        </w:rPr>
      </w:pPr>
      <w:r>
        <w:rPr>
          <w:rFonts w:hint="eastAsia" w:ascii="宋体" w:hAnsi="宋体"/>
          <w:b/>
          <w:bCs/>
          <w:color w:val="auto"/>
          <w:szCs w:val="21"/>
          <w:highlight w:val="none"/>
        </w:rPr>
        <w:t>附件一：</w:t>
      </w:r>
    </w:p>
    <w:p>
      <w:pPr>
        <w:spacing w:line="360" w:lineRule="auto"/>
        <w:jc w:val="center"/>
        <w:rPr>
          <w:rFonts w:ascii="宋体" w:hAnsi="宋体"/>
          <w:b/>
          <w:color w:val="auto"/>
          <w:sz w:val="24"/>
          <w:szCs w:val="24"/>
          <w:highlight w:val="none"/>
        </w:rPr>
      </w:pPr>
      <w:r>
        <w:rPr>
          <w:rFonts w:hint="eastAsia" w:ascii="宋体" w:hAnsi="宋体"/>
          <w:b/>
          <w:color w:val="auto"/>
          <w:kern w:val="0"/>
          <w:sz w:val="24"/>
          <w:szCs w:val="24"/>
          <w:highlight w:val="none"/>
        </w:rPr>
        <w:t>投标人</w:t>
      </w:r>
      <w:r>
        <w:rPr>
          <w:rFonts w:hint="eastAsia" w:ascii="宋体" w:hAnsi="宋体"/>
          <w:b/>
          <w:color w:val="auto"/>
          <w:sz w:val="24"/>
          <w:szCs w:val="24"/>
          <w:highlight w:val="none"/>
        </w:rPr>
        <w:t>声明</w:t>
      </w:r>
    </w:p>
    <w:p>
      <w:pPr>
        <w:pStyle w:val="21"/>
        <w:ind w:firstLine="0"/>
        <w:rPr>
          <w:rFonts w:ascii="宋体" w:hAnsi="宋体" w:eastAsia="宋体"/>
          <w:color w:val="auto"/>
          <w:sz w:val="21"/>
          <w:szCs w:val="21"/>
          <w:highlight w:val="none"/>
        </w:rPr>
      </w:pPr>
      <w:r>
        <w:rPr>
          <w:rFonts w:hint="eastAsia" w:ascii="宋体" w:hAnsi="宋体" w:eastAsia="宋体"/>
          <w:color w:val="auto"/>
          <w:sz w:val="21"/>
          <w:szCs w:val="21"/>
          <w:highlight w:val="none"/>
        </w:rPr>
        <w:t>广州市住房和城乡建设局、本招标项目招标人及招标监管机构：</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hint="eastAsia" w:ascii="宋体" w:hAnsi="宋体" w:eastAsia="宋体"/>
          <w:color w:val="auto"/>
          <w:sz w:val="21"/>
          <w:szCs w:val="21"/>
          <w:highlight w:val="none"/>
          <w:u w:val="single"/>
        </w:rPr>
        <w:t xml:space="preserve">     （项目名称）     </w:t>
      </w:r>
      <w:r>
        <w:rPr>
          <w:rFonts w:hint="eastAsia" w:ascii="宋体" w:hAnsi="宋体" w:eastAsia="宋体"/>
          <w:color w:val="auto"/>
          <w:sz w:val="21"/>
          <w:szCs w:val="21"/>
          <w:highlight w:val="none"/>
        </w:rPr>
        <w:t>投标工作，作出郑重声明：</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一、本公司保证投标文件及其后提供的一切材料都是真实的。如我司成为本项目中标候选人，我司同意并授权招标人将我司投标文件商务部分文件的人员、业绩、奖项等资料进行公开。</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二、本公司保证在本项目投标中不与其他单位围标、串标，不出让投标资格，不向招标人或评标委员会成员行贿。</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（一）为招标人不具有独立法人资格的附属机构（单位）；</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（二）为本标段前期准备提供设计或咨询服务或者与本项目设计人或提供咨询服务的机构存在附属关系的；</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（三）为本标段监理人或者与本标段监理人存在隶属关系或者其他利害关系；</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（四）为本标段的代建人；</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（五）为本标段提供招标代理服务的；</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（六）与本标段的监理人或代建人或招标代理机构同为一个法定代表人的；</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（七）与本标段的监理人或代建人或招标代理机构互相控股或参股的；</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（八）与本标段的监理人或代建人或招标代理机构相互任职或工作的；</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（九）与本标段的检测机构有隶属关系或者其他利害关系；</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（十）与招标人存在利害关系且可能影响招标公正性； </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（十二）被责令停产停业、暂扣或者吊销许可证、暂扣或者吊销执照的（本项事实应当以根据《中华人民共和国行政处罚法》依法作出并已经生效的行政处罚决定为认定依据。）；</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（十三）进入清算程序，或被宣布破产，或其他丧失履约能力的情形；</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（十五）法律法规规定的其他情形。</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四、本公司保证：本项目拟派的项目负责人没有在其他在建项目中任施工单位项目负责人，本项目拟派的专职安全员没有在其他在建项目中任职。</w:t>
      </w:r>
    </w:p>
    <w:p>
      <w:pPr>
        <w:widowControl/>
        <w:spacing w:line="360" w:lineRule="auto"/>
        <w:ind w:firstLine="420" w:firstLineChars="200"/>
        <w:jc w:val="left"/>
        <w:rPr>
          <w:rStyle w:val="26"/>
          <w:rFonts w:ascii="宋体" w:hAnsi="宋体"/>
          <w:color w:val="auto"/>
          <w:highlight w:val="none"/>
        </w:rPr>
      </w:pPr>
      <w:r>
        <w:rPr>
          <w:rStyle w:val="26"/>
          <w:rFonts w:hint="eastAsia" w:ascii="宋体" w:hAnsi="宋体"/>
          <w:color w:val="auto"/>
          <w:kern w:val="0"/>
          <w:szCs w:val="21"/>
          <w:highlight w:val="none"/>
        </w:rPr>
        <w:t>五、本公司已经对投标时拟投入本项目的管理团队和专业技术人员进行了自查，保证拟投入的所有人员都是本单位正式人员，都在本单位缴纳社保，不存在持证人注册单位与</w:t>
      </w:r>
      <w:r>
        <w:rPr>
          <w:rStyle w:val="26"/>
          <w:rFonts w:hint="eastAsia" w:ascii="宋体" w:hAnsi="宋体"/>
          <w:color w:val="auto"/>
          <w:highlight w:val="none"/>
        </w:rPr>
        <w:t>实际工作单位不符、买卖租借（专业）资格（注册）证书等“挂证”违法违规行为。</w:t>
      </w:r>
    </w:p>
    <w:p>
      <w:pPr>
        <w:widowControl/>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widowControl/>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七、</w:t>
      </w:r>
      <w:r>
        <w:rPr>
          <w:rFonts w:hint="eastAsia" w:ascii="宋体" w:hAnsi="宋体" w:cs="宋体"/>
          <w:color w:val="auto"/>
          <w:kern w:val="0"/>
          <w:szCs w:val="21"/>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21"/>
        <w:ind w:firstLine="420" w:firstLineChars="2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八、与本公司单位负责人为同一人或者与本公司存在控股、管理关系的其他单位包括：</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。（注：本条由投标人如实填写，如有，应列出全部满足招标公告资质要求的相关单位的名称；如无，则填写“无”。）</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一、本公司违反上述保证，或本声明陈述与事实不符，一经查实将按相关规定进行信用记录。本公司对失信行为产生的一切后果已知悉。其中，本声明陈述与事实不符，属于弄虚作假骗取中标，将依法接受监管部门的处罚。</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pPr>
        <w:pStyle w:val="22"/>
        <w:ind w:left="1470" w:leftChars="700" w:right="1449" w:firstLine="2948" w:firstLineChars="1404"/>
        <w:jc w:val="both"/>
        <w:rPr>
          <w:rFonts w:ascii="宋体" w:hAnsi="宋体" w:eastAsia="宋体"/>
          <w:color w:val="auto"/>
          <w:sz w:val="21"/>
          <w:szCs w:val="21"/>
          <w:highlight w:val="none"/>
        </w:rPr>
      </w:pPr>
      <w:r>
        <w:rPr>
          <w:rFonts w:hint="eastAsia" w:ascii="宋体" w:hAnsi="宋体" w:eastAsia="宋体"/>
          <w:color w:val="auto"/>
          <w:sz w:val="21"/>
          <w:szCs w:val="21"/>
          <w:highlight w:val="none"/>
        </w:rPr>
        <w:t>声明企业：</w:t>
      </w:r>
    </w:p>
    <w:p>
      <w:pPr>
        <w:pStyle w:val="22"/>
        <w:ind w:left="1470" w:leftChars="700" w:right="1449" w:firstLine="2948" w:firstLineChars="1404"/>
        <w:jc w:val="both"/>
        <w:rPr>
          <w:rFonts w:ascii="宋体" w:hAnsi="宋体" w:eastAsia="宋体"/>
          <w:color w:val="auto"/>
          <w:sz w:val="21"/>
          <w:szCs w:val="21"/>
          <w:highlight w:val="none"/>
        </w:rPr>
      </w:pPr>
      <w:r>
        <w:rPr>
          <w:rFonts w:hint="eastAsia" w:ascii="宋体" w:hAnsi="宋体" w:eastAsia="宋体"/>
          <w:color w:val="auto"/>
          <w:sz w:val="21"/>
          <w:szCs w:val="21"/>
          <w:highlight w:val="none"/>
        </w:rPr>
        <w:t>法定代表人签字：</w:t>
      </w:r>
    </w:p>
    <w:p>
      <w:pPr>
        <w:pStyle w:val="22"/>
        <w:ind w:left="1470" w:leftChars="700" w:right="1449" w:firstLine="2948" w:firstLineChars="1404"/>
        <w:jc w:val="both"/>
        <w:rPr>
          <w:rFonts w:ascii="宋体" w:hAnsi="宋体" w:eastAsia="宋体"/>
          <w:color w:val="auto"/>
          <w:sz w:val="21"/>
          <w:szCs w:val="21"/>
          <w:highlight w:val="none"/>
        </w:rPr>
      </w:pPr>
      <w:r>
        <w:rPr>
          <w:rFonts w:hint="eastAsia" w:ascii="宋体" w:hAnsi="宋体" w:eastAsia="宋体"/>
          <w:color w:val="auto"/>
          <w:sz w:val="21"/>
          <w:szCs w:val="21"/>
          <w:highlight w:val="none"/>
        </w:rPr>
        <w:t>项目负责人签字:</w:t>
      </w:r>
    </w:p>
    <w:p>
      <w:pPr>
        <w:pStyle w:val="22"/>
        <w:ind w:left="1470" w:leftChars="700" w:right="1449" w:firstLine="2948" w:firstLineChars="1404"/>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技术负责人签字：</w:t>
      </w:r>
    </w:p>
    <w:p>
      <w:pPr>
        <w:pStyle w:val="21"/>
        <w:ind w:right="879" w:firstLine="6098" w:firstLineChars="2904"/>
        <w:jc w:val="left"/>
        <w:rPr>
          <w:rFonts w:ascii="宋体" w:hAnsi="宋体" w:eastAsia="宋体"/>
          <w:color w:val="auto"/>
          <w:sz w:val="21"/>
          <w:szCs w:val="21"/>
          <w:highlight w:val="none"/>
        </w:rPr>
      </w:pPr>
      <w:r>
        <w:rPr>
          <w:rFonts w:hint="eastAsia" w:ascii="宋体" w:hAnsi="宋体" w:eastAsia="宋体"/>
          <w:color w:val="auto"/>
          <w:sz w:val="21"/>
          <w:szCs w:val="21"/>
          <w:highlight w:val="none"/>
        </w:rPr>
        <w:t>年   月   日</w:t>
      </w:r>
    </w:p>
    <w:p>
      <w:pPr>
        <w:pStyle w:val="21"/>
        <w:ind w:right="879" w:firstLine="6098" w:firstLineChars="2904"/>
        <w:jc w:val="left"/>
        <w:rPr>
          <w:rFonts w:ascii="宋体" w:hAnsi="宋体" w:eastAsia="宋体"/>
          <w:color w:val="auto"/>
          <w:sz w:val="21"/>
          <w:szCs w:val="21"/>
          <w:highlight w:val="none"/>
        </w:rPr>
      </w:pPr>
      <w:r>
        <w:rPr>
          <w:rFonts w:hint="eastAsia" w:ascii="宋体" w:hAnsi="宋体" w:eastAsia="宋体"/>
          <w:color w:val="auto"/>
          <w:sz w:val="21"/>
          <w:szCs w:val="21"/>
          <w:highlight w:val="none"/>
        </w:rPr>
        <w:t>（企业公章）</w:t>
      </w:r>
    </w:p>
    <w:p>
      <w:pPr>
        <w:widowControl/>
        <w:snapToGrid w:val="0"/>
        <w:spacing w:line="360" w:lineRule="auto"/>
        <w:ind w:right="102"/>
        <w:jc w:val="left"/>
        <w:rPr>
          <w:rFonts w:ascii="宋体" w:hAnsi="宋体" w:cs="黑体"/>
          <w:color w:val="auto"/>
          <w:kern w:val="0"/>
          <w:szCs w:val="21"/>
          <w:highlight w:val="none"/>
        </w:rPr>
      </w:pPr>
    </w:p>
    <w:p>
      <w:pPr>
        <w:widowControl/>
        <w:snapToGrid w:val="0"/>
        <w:spacing w:line="360" w:lineRule="auto"/>
        <w:ind w:right="102"/>
        <w:jc w:val="left"/>
        <w:rPr>
          <w:rFonts w:ascii="宋体" w:hAnsi="宋体" w:cs="黑体"/>
          <w:b/>
          <w:bCs/>
          <w:color w:val="auto"/>
          <w:kern w:val="0"/>
          <w:szCs w:val="21"/>
          <w:highlight w:val="none"/>
        </w:rPr>
      </w:pPr>
      <w:r>
        <w:rPr>
          <w:rFonts w:hint="eastAsia" w:ascii="宋体" w:hAnsi="宋体" w:cs="黑体"/>
          <w:b/>
          <w:bCs/>
          <w:color w:val="auto"/>
          <w:kern w:val="0"/>
          <w:szCs w:val="21"/>
          <w:highlight w:val="none"/>
        </w:rPr>
        <w:t xml:space="preserve">注：招标人应当要求投标人的项目负责人和技术负责人签字。 </w:t>
      </w:r>
    </w:p>
    <w:p>
      <w:pPr>
        <w:pStyle w:val="2"/>
        <w:rPr>
          <w:color w:val="auto"/>
          <w:highlight w:val="none"/>
        </w:rPr>
      </w:pPr>
    </w:p>
    <w:p>
      <w:pPr>
        <w:pStyle w:val="2"/>
        <w:rPr>
          <w:color w:val="auto"/>
          <w:highlight w:val="none"/>
        </w:rPr>
      </w:pPr>
    </w:p>
    <w:p>
      <w:pPr>
        <w:spacing w:line="360" w:lineRule="auto"/>
        <w:rPr>
          <w:rFonts w:ascii="宋体" w:hAnsi="宋体" w:cs="黑体"/>
          <w:b/>
          <w:bCs/>
          <w:color w:val="auto"/>
          <w:kern w:val="0"/>
          <w:szCs w:val="21"/>
          <w:highlight w:val="none"/>
        </w:rPr>
      </w:pPr>
      <w:r>
        <w:rPr>
          <w:rFonts w:hint="eastAsia" w:ascii="宋体" w:hAnsi="宋体" w:cs="黑体"/>
          <w:b/>
          <w:bCs/>
          <w:color w:val="auto"/>
          <w:kern w:val="0"/>
          <w:szCs w:val="21"/>
          <w:highlight w:val="none"/>
        </w:rPr>
        <w:br w:type="page"/>
      </w:r>
    </w:p>
    <w:p>
      <w:pPr>
        <w:spacing w:line="360" w:lineRule="auto"/>
        <w:outlineLvl w:val="0"/>
        <w:rPr>
          <w:rFonts w:ascii="宋体" w:hAnsi="宋体"/>
          <w:b/>
          <w:bCs/>
          <w:color w:val="auto"/>
          <w:szCs w:val="21"/>
          <w:highlight w:val="none"/>
        </w:rPr>
      </w:pPr>
      <w:r>
        <w:rPr>
          <w:rFonts w:hint="eastAsia" w:ascii="宋体" w:hAnsi="宋体"/>
          <w:b/>
          <w:bCs/>
          <w:color w:val="auto"/>
          <w:szCs w:val="21"/>
          <w:highlight w:val="none"/>
        </w:rPr>
        <w:t>附件二：</w:t>
      </w:r>
    </w:p>
    <w:p>
      <w:pPr>
        <w:spacing w:line="360" w:lineRule="auto"/>
        <w:jc w:val="center"/>
        <w:outlineLvl w:val="1"/>
        <w:rPr>
          <w:rFonts w:ascii="宋体" w:hAnsi="宋体"/>
          <w:b/>
          <w:color w:val="auto"/>
          <w:kern w:val="0"/>
          <w:sz w:val="24"/>
          <w:szCs w:val="24"/>
          <w:highlight w:val="none"/>
        </w:rPr>
      </w:pPr>
      <w:r>
        <w:rPr>
          <w:rFonts w:ascii="宋体" w:hAnsi="宋体"/>
          <w:b/>
          <w:color w:val="auto"/>
          <w:kern w:val="0"/>
          <w:sz w:val="24"/>
          <w:szCs w:val="24"/>
          <w:highlight w:val="none"/>
        </w:rPr>
        <w:t>施工项目管理团队人员信息表</w:t>
      </w:r>
    </w:p>
    <w:tbl>
      <w:tblPr>
        <w:tblStyle w:val="13"/>
        <w:tblW w:w="9100" w:type="dxa"/>
        <w:tblInd w:w="0" w:type="dxa"/>
        <w:tblLayout w:type="fixed"/>
        <w:tblCellMar>
          <w:top w:w="0" w:type="dxa"/>
          <w:left w:w="0" w:type="dxa"/>
          <w:bottom w:w="0" w:type="dxa"/>
          <w:right w:w="0" w:type="dxa"/>
        </w:tblCellMar>
      </w:tblPr>
      <w:tblGrid>
        <w:gridCol w:w="689"/>
        <w:gridCol w:w="1518"/>
        <w:gridCol w:w="1860"/>
        <w:gridCol w:w="1866"/>
        <w:gridCol w:w="3167"/>
      </w:tblGrid>
      <w:tr>
        <w:tblPrEx>
          <w:tblCellMar>
            <w:top w:w="0" w:type="dxa"/>
            <w:left w:w="0" w:type="dxa"/>
            <w:bottom w:w="0" w:type="dxa"/>
            <w:right w:w="0" w:type="dxa"/>
          </w:tblCellMar>
        </w:tblPrEx>
        <w:trPr>
          <w:trHeight w:val="617" w:hRule="atLeast"/>
        </w:trPr>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b/>
                <w:color w:val="auto"/>
                <w:szCs w:val="21"/>
                <w:highlight w:val="none"/>
              </w:rPr>
            </w:pPr>
            <w:r>
              <w:rPr>
                <w:rFonts w:hint="eastAsia" w:ascii="宋体" w:hAnsi="宋体" w:cs="仿宋"/>
                <w:b/>
                <w:color w:val="auto"/>
                <w:kern w:val="0"/>
                <w:szCs w:val="21"/>
                <w:highlight w:val="none"/>
              </w:rPr>
              <w:t>序号</w:t>
            </w: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b/>
                <w:color w:val="auto"/>
                <w:szCs w:val="21"/>
                <w:highlight w:val="none"/>
              </w:rPr>
            </w:pPr>
            <w:r>
              <w:rPr>
                <w:rFonts w:hint="eastAsia" w:ascii="宋体" w:hAnsi="宋体" w:cs="仿宋"/>
                <w:b/>
                <w:color w:val="auto"/>
                <w:kern w:val="0"/>
                <w:szCs w:val="21"/>
                <w:highlight w:val="none"/>
              </w:rPr>
              <w:t>姓名</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b/>
                <w:color w:val="auto"/>
                <w:szCs w:val="21"/>
                <w:highlight w:val="none"/>
              </w:rPr>
            </w:pPr>
            <w:r>
              <w:rPr>
                <w:rFonts w:hint="eastAsia" w:ascii="宋体" w:hAnsi="宋体" w:cs="仿宋"/>
                <w:b/>
                <w:color w:val="auto"/>
                <w:kern w:val="0"/>
                <w:szCs w:val="21"/>
                <w:highlight w:val="none"/>
              </w:rPr>
              <w:t>岗位</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b/>
                <w:color w:val="auto"/>
                <w:szCs w:val="21"/>
                <w:highlight w:val="none"/>
              </w:rPr>
            </w:pPr>
            <w:r>
              <w:rPr>
                <w:rFonts w:hint="eastAsia" w:ascii="宋体" w:hAnsi="宋体" w:cs="仿宋"/>
                <w:b/>
                <w:color w:val="auto"/>
                <w:kern w:val="0"/>
                <w:szCs w:val="21"/>
                <w:highlight w:val="none"/>
              </w:rPr>
              <w:t>职称</w:t>
            </w:r>
          </w:p>
        </w:tc>
        <w:tc>
          <w:tcPr>
            <w:tcW w:w="3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b/>
                <w:color w:val="auto"/>
                <w:szCs w:val="21"/>
                <w:highlight w:val="none"/>
              </w:rPr>
            </w:pPr>
            <w:r>
              <w:rPr>
                <w:rFonts w:hint="eastAsia" w:ascii="宋体" w:hAnsi="宋体" w:cs="仿宋"/>
                <w:b/>
                <w:color w:val="auto"/>
                <w:kern w:val="0"/>
                <w:szCs w:val="21"/>
                <w:highlight w:val="none"/>
              </w:rPr>
              <w:t>职称证书或资格证书编号</w:t>
            </w:r>
          </w:p>
        </w:tc>
      </w:tr>
      <w:tr>
        <w:tblPrEx>
          <w:tblCellMar>
            <w:top w:w="0" w:type="dxa"/>
            <w:left w:w="0" w:type="dxa"/>
            <w:bottom w:w="0" w:type="dxa"/>
            <w:right w:w="0"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color w:val="auto"/>
                <w:szCs w:val="21"/>
                <w:highlight w:val="none"/>
              </w:rPr>
            </w:pPr>
            <w:r>
              <w:rPr>
                <w:rFonts w:hint="eastAsia" w:ascii="宋体" w:hAnsi="宋体" w:cs="仿宋"/>
                <w:color w:val="auto"/>
                <w:szCs w:val="21"/>
                <w:highlight w:val="none"/>
              </w:rPr>
              <w:t>1</w:t>
            </w: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技术负责人</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3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r>
      <w:tr>
        <w:tblPrEx>
          <w:tblCellMar>
            <w:top w:w="0" w:type="dxa"/>
            <w:left w:w="0" w:type="dxa"/>
            <w:bottom w:w="0" w:type="dxa"/>
            <w:right w:w="0"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color w:val="auto"/>
                <w:szCs w:val="21"/>
                <w:highlight w:val="none"/>
              </w:rPr>
            </w:pPr>
            <w:r>
              <w:rPr>
                <w:rFonts w:hint="eastAsia" w:ascii="宋体" w:hAnsi="宋体" w:cs="仿宋"/>
                <w:color w:val="auto"/>
                <w:szCs w:val="21"/>
                <w:highlight w:val="none"/>
              </w:rPr>
              <w:t>2</w:t>
            </w: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质量负责人</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3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r>
      <w:tr>
        <w:tblPrEx>
          <w:tblCellMar>
            <w:top w:w="0" w:type="dxa"/>
            <w:left w:w="0" w:type="dxa"/>
            <w:bottom w:w="0" w:type="dxa"/>
            <w:right w:w="0"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color w:val="auto"/>
                <w:szCs w:val="21"/>
                <w:highlight w:val="none"/>
              </w:rPr>
            </w:pPr>
            <w:r>
              <w:rPr>
                <w:rFonts w:hint="eastAsia" w:ascii="宋体" w:hAnsi="宋体" w:cs="仿宋"/>
                <w:color w:val="auto"/>
                <w:szCs w:val="21"/>
                <w:highlight w:val="none"/>
              </w:rPr>
              <w:t>3</w:t>
            </w: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安全负责人</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3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r>
      <w:tr>
        <w:tblPrEx>
          <w:tblCellMar>
            <w:top w:w="0" w:type="dxa"/>
            <w:left w:w="0" w:type="dxa"/>
            <w:bottom w:w="0" w:type="dxa"/>
            <w:right w:w="0"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color w:val="auto"/>
                <w:szCs w:val="21"/>
                <w:highlight w:val="none"/>
              </w:rPr>
            </w:pPr>
            <w:r>
              <w:rPr>
                <w:rFonts w:hint="eastAsia" w:ascii="宋体" w:hAnsi="宋体" w:cs="仿宋"/>
                <w:color w:val="auto"/>
                <w:szCs w:val="21"/>
                <w:highlight w:val="none"/>
              </w:rPr>
              <w:t>……</w:t>
            </w: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3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r>
      <w:tr>
        <w:tblPrEx>
          <w:tblCellMar>
            <w:top w:w="0" w:type="dxa"/>
            <w:left w:w="0" w:type="dxa"/>
            <w:bottom w:w="0" w:type="dxa"/>
            <w:right w:w="0"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color w:val="auto"/>
                <w:szCs w:val="21"/>
                <w:highlight w:val="none"/>
              </w:rPr>
            </w:pPr>
            <w:r>
              <w:rPr>
                <w:rFonts w:hint="eastAsia" w:ascii="宋体" w:hAnsi="宋体" w:cs="仿宋"/>
                <w:color w:val="auto"/>
                <w:szCs w:val="21"/>
                <w:highlight w:val="none"/>
              </w:rPr>
              <w:t>……</w:t>
            </w: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3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r>
      <w:tr>
        <w:tblPrEx>
          <w:tblCellMar>
            <w:top w:w="0" w:type="dxa"/>
            <w:left w:w="0" w:type="dxa"/>
            <w:bottom w:w="0" w:type="dxa"/>
            <w:right w:w="0"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color w:val="auto"/>
                <w:szCs w:val="21"/>
                <w:highlight w:val="none"/>
              </w:rPr>
            </w:pPr>
            <w:r>
              <w:rPr>
                <w:rFonts w:hint="eastAsia" w:ascii="宋体" w:hAnsi="宋体" w:cs="仿宋"/>
                <w:color w:val="auto"/>
                <w:szCs w:val="21"/>
                <w:highlight w:val="none"/>
              </w:rPr>
              <w:t>……</w:t>
            </w: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3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r>
      <w:tr>
        <w:tblPrEx>
          <w:tblCellMar>
            <w:top w:w="0" w:type="dxa"/>
            <w:left w:w="0" w:type="dxa"/>
            <w:bottom w:w="0" w:type="dxa"/>
            <w:right w:w="0" w:type="dxa"/>
          </w:tblCellMar>
        </w:tblPrEx>
        <w:trPr>
          <w:trHeight w:val="415" w:hRule="atLeast"/>
        </w:trPr>
        <w:tc>
          <w:tcPr>
            <w:tcW w:w="910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left"/>
              <w:textAlignment w:val="center"/>
              <w:rPr>
                <w:rFonts w:ascii="宋体" w:hAnsi="宋体" w:cs="仿宋"/>
                <w:color w:val="auto"/>
                <w:szCs w:val="21"/>
                <w:highlight w:val="none"/>
              </w:rPr>
            </w:pPr>
            <w:r>
              <w:rPr>
                <w:rFonts w:ascii="宋体" w:hAnsi="宋体" w:cs="仿宋"/>
                <w:color w:val="auto"/>
                <w:szCs w:val="21"/>
                <w:highlight w:val="none"/>
              </w:rPr>
              <w:t>备注：</w:t>
            </w:r>
            <w:r>
              <w:rPr>
                <w:rFonts w:ascii="宋体" w:hAnsi="宋体" w:cs="仿宋"/>
                <w:color w:val="auto"/>
                <w:szCs w:val="21"/>
                <w:highlight w:val="none"/>
              </w:rPr>
              <w:br w:type="textWrapping"/>
            </w:r>
            <w:r>
              <w:rPr>
                <w:rFonts w:ascii="宋体" w:hAnsi="宋体" w:cs="仿宋"/>
                <w:color w:val="auto"/>
                <w:szCs w:val="21"/>
                <w:highlight w:val="none"/>
              </w:rPr>
              <w:t>1.“岗位”要求（除项目负责人和专职安全员外）由招标人根据项目管理需要在本表备注中明确提出，如：</w:t>
            </w:r>
            <w:r>
              <w:rPr>
                <w:rFonts w:ascii="宋体" w:hAnsi="宋体" w:cs="仿宋"/>
                <w:color w:val="auto"/>
                <w:szCs w:val="21"/>
                <w:highlight w:val="none"/>
                <w:u w:val="single"/>
              </w:rPr>
              <w:t>技术负责人、质量负责人、安全负责人</w:t>
            </w:r>
            <w:r>
              <w:rPr>
                <w:rFonts w:ascii="宋体" w:hAnsi="宋体" w:cs="仿宋"/>
                <w:color w:val="auto"/>
                <w:szCs w:val="21"/>
                <w:highlight w:val="none"/>
              </w:rPr>
              <w:t>等。以上项目管理团队人员信息将由交易系统提取后供各相关单位在履约时比对、查核。</w:t>
            </w:r>
          </w:p>
          <w:p>
            <w:pPr>
              <w:widowControl/>
              <w:spacing w:line="276" w:lineRule="auto"/>
              <w:jc w:val="left"/>
              <w:textAlignment w:val="center"/>
              <w:rPr>
                <w:rFonts w:ascii="宋体" w:hAnsi="宋体" w:cs="仿宋"/>
                <w:color w:val="auto"/>
                <w:szCs w:val="21"/>
                <w:highlight w:val="none"/>
              </w:rPr>
            </w:pPr>
            <w:r>
              <w:rPr>
                <w:rFonts w:hint="eastAsia" w:ascii="宋体" w:hAnsi="宋体" w:cs="仿宋"/>
                <w:color w:val="auto"/>
                <w:szCs w:val="21"/>
                <w:highlight w:val="none"/>
              </w:rPr>
              <w:t>2</w:t>
            </w:r>
            <w:r>
              <w:rPr>
                <w:rFonts w:ascii="宋体" w:hAnsi="宋体" w:cs="仿宋"/>
                <w:color w:val="auto"/>
                <w:szCs w:val="21"/>
                <w:highlight w:val="none"/>
              </w:rPr>
              <w:t>.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w:t>
            </w:r>
            <w:r>
              <w:rPr>
                <w:rFonts w:hint="eastAsia" w:ascii="宋体" w:hAnsi="宋体" w:cs="仿宋"/>
                <w:color w:val="auto"/>
                <w:szCs w:val="21"/>
                <w:highlight w:val="none"/>
              </w:rPr>
              <w:t>（</w:t>
            </w:r>
            <w:r>
              <w:rPr>
                <w:rFonts w:ascii="宋体" w:hAnsi="宋体" w:cs="仿宋"/>
                <w:color w:val="auto"/>
                <w:szCs w:val="21"/>
                <w:highlight w:val="none"/>
              </w:rPr>
              <w:t>投标截止时间前可以补充、修改、替代</w:t>
            </w:r>
            <w:r>
              <w:rPr>
                <w:rFonts w:hint="eastAsia" w:ascii="宋体" w:hAnsi="宋体" w:cs="仿宋"/>
                <w:color w:val="auto"/>
                <w:szCs w:val="21"/>
                <w:highlight w:val="none"/>
              </w:rPr>
              <w:t>）</w:t>
            </w:r>
            <w:r>
              <w:rPr>
                <w:rFonts w:ascii="宋体" w:hAnsi="宋体" w:cs="仿宋"/>
                <w:color w:val="auto"/>
                <w:szCs w:val="21"/>
                <w:highlight w:val="none"/>
              </w:rPr>
              <w:t>。</w:t>
            </w:r>
          </w:p>
          <w:p>
            <w:pPr>
              <w:widowControl/>
              <w:spacing w:line="276" w:lineRule="auto"/>
              <w:jc w:val="left"/>
              <w:textAlignment w:val="center"/>
              <w:rPr>
                <w:rFonts w:ascii="宋体" w:hAnsi="宋体" w:cs="仿宋"/>
                <w:color w:val="auto"/>
                <w:szCs w:val="21"/>
                <w:highlight w:val="none"/>
              </w:rPr>
            </w:pPr>
            <w:r>
              <w:rPr>
                <w:rFonts w:ascii="宋体" w:hAnsi="宋体" w:cs="仿宋"/>
                <w:color w:val="auto"/>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spacing w:line="276" w:lineRule="auto"/>
        <w:rPr>
          <w:rFonts w:ascii="宋体" w:hAnsi="宋体"/>
          <w:color w:val="auto"/>
          <w:szCs w:val="21"/>
          <w:highlight w:val="none"/>
        </w:rPr>
      </w:pPr>
      <w:r>
        <w:rPr>
          <w:rFonts w:hint="eastAsia" w:ascii="宋体" w:hAnsi="宋体"/>
          <w:color w:val="auto"/>
          <w:szCs w:val="21"/>
          <w:highlight w:val="none"/>
        </w:rPr>
        <w:t>注：投标人按本表格式可自行扩展填写。</w:t>
      </w:r>
    </w:p>
    <w:p>
      <w:pPr>
        <w:rPr>
          <w:color w:val="auto"/>
          <w:highlight w:val="none"/>
        </w:rPr>
      </w:pPr>
    </w:p>
    <w:sectPr>
      <w:headerReference r:id="rId3" w:type="default"/>
      <w:footerReference r:id="rId4" w:type="default"/>
      <w:pgSz w:w="11906" w:h="16838"/>
      <w:pgMar w:top="1418" w:right="1418" w:bottom="1418" w:left="1418" w:header="851" w:footer="68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3505" cy="278765"/>
              <wp:effectExtent l="0" t="0" r="0" b="0"/>
              <wp:wrapNone/>
              <wp:docPr id="1" name="矩形 1"/>
              <wp:cNvGraphicFramePr/>
              <a:graphic xmlns:a="http://schemas.openxmlformats.org/drawingml/2006/main">
                <a:graphicData uri="http://schemas.microsoft.com/office/word/2010/wordprocessingShape">
                  <wps:wsp>
                    <wps:cNvSpPr/>
                    <wps:spPr>
                      <a:xfrm>
                        <a:off x="0" y="0"/>
                        <a:ext cx="103505" cy="278765"/>
                      </a:xfrm>
                      <a:prstGeom prst="rect">
                        <a:avLst/>
                      </a:prstGeom>
                      <a:noFill/>
                      <a:ln>
                        <a:noFill/>
                      </a:ln>
                      <a:effectLst/>
                    </wps:spPr>
                    <wps:txbx>
                      <w:txbxContent>
                        <w:p>
                          <w:pPr>
                            <w:pStyle w:val="8"/>
                            <w:jc w:val="center"/>
                            <w:rPr>
                              <w:rStyle w:val="15"/>
                            </w:rPr>
                          </w:pPr>
                          <w:r>
                            <w:rPr>
                              <w:rStyle w:val="15"/>
                            </w:rPr>
                            <w:fldChar w:fldCharType="begin"/>
                          </w:r>
                          <w:r>
                            <w:rPr>
                              <w:rStyle w:val="15"/>
                            </w:rPr>
                            <w:instrText xml:space="preserve">PAGE  </w:instrText>
                          </w:r>
                          <w:r>
                            <w:rPr>
                              <w:rStyle w:val="15"/>
                            </w:rPr>
                            <w:fldChar w:fldCharType="separate"/>
                          </w:r>
                          <w:r>
                            <w:rPr>
                              <w:rStyle w:val="15"/>
                            </w:rPr>
                            <w:t>5</w:t>
                          </w:r>
                          <w:r>
                            <w:rPr>
                              <w:rStyle w:val="15"/>
                            </w:rPr>
                            <w:fldChar w:fldCharType="end"/>
                          </w:r>
                        </w:p>
                        <w:p>
                          <w:pPr>
                            <w:pStyle w:val="8"/>
                            <w:ind w:left="-4410" w:leftChars="-2100" w:right="-4439" w:rightChars="-2114"/>
                            <w:rPr>
                              <w:rStyle w:val="15"/>
                            </w:rPr>
                          </w:pPr>
                        </w:p>
                      </w:txbxContent>
                    </wps:txbx>
                    <wps:bodyPr wrap="none" lIns="0" tIns="0" rIns="0" bIns="0" upright="1">
                      <a:spAutoFit/>
                    </wps:bodyPr>
                  </wps:wsp>
                </a:graphicData>
              </a:graphic>
            </wp:anchor>
          </w:drawing>
        </mc:Choice>
        <mc:Fallback>
          <w:pict>
            <v:rect id="_x0000_s1026" o:spid="_x0000_s1026" o:spt="1" style="position:absolute;left:0pt;margin-top:0pt;height:21.95pt;width:8.15pt;mso-position-horizontal:center;mso-position-horizontal-relative:margin;mso-wrap-style:none;z-index:251659264;mso-width-relative:page;mso-height-relative:page;" filled="f" stroked="f" coordsize="21600,21600" o:gfxdata="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oxMNrSAAAAAwEAAA8AAAAAAAAAAQAgAAAAIgAAAGRycy9kb3ducmV2&#10;LnhtbFBLAQIUABQAAAAIAIdO4kAarHqpyQEAAJgDAAAOAAAAAAAAAAEAIAAAACEBAABkcnMvZTJv&#10;RG9jLnhtbFBLBQYAAAAABgAGAFkBAABcBQAAAAA=&#10;">
              <v:fill on="f" focussize="0,0"/>
              <v:stroke on="f"/>
              <v:imagedata o:title=""/>
              <o:lock v:ext="edit" aspectratio="f"/>
              <v:textbox inset="0mm,0mm,0mm,0mm" style="mso-fit-shape-to-text:t;">
                <w:txbxContent>
                  <w:p>
                    <w:pPr>
                      <w:pStyle w:val="8"/>
                      <w:jc w:val="center"/>
                      <w:rPr>
                        <w:rStyle w:val="15"/>
                      </w:rPr>
                    </w:pPr>
                    <w:r>
                      <w:rPr>
                        <w:rStyle w:val="15"/>
                      </w:rPr>
                      <w:fldChar w:fldCharType="begin"/>
                    </w:r>
                    <w:r>
                      <w:rPr>
                        <w:rStyle w:val="15"/>
                      </w:rPr>
                      <w:instrText xml:space="preserve">PAGE  </w:instrText>
                    </w:r>
                    <w:r>
                      <w:rPr>
                        <w:rStyle w:val="15"/>
                      </w:rPr>
                      <w:fldChar w:fldCharType="separate"/>
                    </w:r>
                    <w:r>
                      <w:rPr>
                        <w:rStyle w:val="15"/>
                      </w:rPr>
                      <w:t>5</w:t>
                    </w:r>
                    <w:r>
                      <w:rPr>
                        <w:rStyle w:val="15"/>
                      </w:rPr>
                      <w:fldChar w:fldCharType="end"/>
                    </w:r>
                  </w:p>
                  <w:p>
                    <w:pPr>
                      <w:pStyle w:val="8"/>
                      <w:ind w:left="-4410" w:leftChars="-2100" w:right="-4439" w:rightChars="-2114"/>
                      <w:rPr>
                        <w:rStyle w:val="15"/>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wZDdhYmVjZTVmYjE1NWI1NWJiMWVjNjNhNDZiOTAifQ=="/>
    <w:docVar w:name="KSO_WPS_MARK_KEY" w:val="0247d4f5-abd1-4c93-88e3-f13892c56207"/>
  </w:docVars>
  <w:rsids>
    <w:rsidRoot w:val="00667467"/>
    <w:rsid w:val="0000001A"/>
    <w:rsid w:val="00025E55"/>
    <w:rsid w:val="00044BE0"/>
    <w:rsid w:val="00073013"/>
    <w:rsid w:val="000976B2"/>
    <w:rsid w:val="000A5297"/>
    <w:rsid w:val="000C6388"/>
    <w:rsid w:val="000D3893"/>
    <w:rsid w:val="000E20C3"/>
    <w:rsid w:val="00106D72"/>
    <w:rsid w:val="0011013D"/>
    <w:rsid w:val="001105AD"/>
    <w:rsid w:val="00114D8C"/>
    <w:rsid w:val="0013675C"/>
    <w:rsid w:val="0015307C"/>
    <w:rsid w:val="00160322"/>
    <w:rsid w:val="0016579C"/>
    <w:rsid w:val="00175F55"/>
    <w:rsid w:val="00186A07"/>
    <w:rsid w:val="001C7ACD"/>
    <w:rsid w:val="00223A92"/>
    <w:rsid w:val="002342D2"/>
    <w:rsid w:val="002404F0"/>
    <w:rsid w:val="00241E3A"/>
    <w:rsid w:val="00290642"/>
    <w:rsid w:val="00291F25"/>
    <w:rsid w:val="002D140E"/>
    <w:rsid w:val="002F496E"/>
    <w:rsid w:val="00316388"/>
    <w:rsid w:val="0031707B"/>
    <w:rsid w:val="00340AC5"/>
    <w:rsid w:val="00375090"/>
    <w:rsid w:val="00385890"/>
    <w:rsid w:val="003A5D77"/>
    <w:rsid w:val="003A745D"/>
    <w:rsid w:val="003C24EB"/>
    <w:rsid w:val="003F001D"/>
    <w:rsid w:val="003F647A"/>
    <w:rsid w:val="00400D23"/>
    <w:rsid w:val="00410668"/>
    <w:rsid w:val="004228D7"/>
    <w:rsid w:val="00423552"/>
    <w:rsid w:val="00426D6B"/>
    <w:rsid w:val="0048037D"/>
    <w:rsid w:val="004E7F9E"/>
    <w:rsid w:val="00524390"/>
    <w:rsid w:val="005479D4"/>
    <w:rsid w:val="005A3F64"/>
    <w:rsid w:val="005F67A0"/>
    <w:rsid w:val="00623C0D"/>
    <w:rsid w:val="00630205"/>
    <w:rsid w:val="006447F0"/>
    <w:rsid w:val="00667467"/>
    <w:rsid w:val="0068597C"/>
    <w:rsid w:val="00685CD1"/>
    <w:rsid w:val="006952E9"/>
    <w:rsid w:val="006D28F2"/>
    <w:rsid w:val="006F5BA1"/>
    <w:rsid w:val="007078F8"/>
    <w:rsid w:val="007106B5"/>
    <w:rsid w:val="00720244"/>
    <w:rsid w:val="00733B50"/>
    <w:rsid w:val="00766C53"/>
    <w:rsid w:val="00770E57"/>
    <w:rsid w:val="00793DCC"/>
    <w:rsid w:val="007B2658"/>
    <w:rsid w:val="007B3077"/>
    <w:rsid w:val="007E1AF5"/>
    <w:rsid w:val="00814CE0"/>
    <w:rsid w:val="008337DC"/>
    <w:rsid w:val="00836BBF"/>
    <w:rsid w:val="00851091"/>
    <w:rsid w:val="00885C2C"/>
    <w:rsid w:val="008B7CA7"/>
    <w:rsid w:val="008C1250"/>
    <w:rsid w:val="008C7ACC"/>
    <w:rsid w:val="008D54AD"/>
    <w:rsid w:val="009106EC"/>
    <w:rsid w:val="00915810"/>
    <w:rsid w:val="009222F2"/>
    <w:rsid w:val="009B0158"/>
    <w:rsid w:val="009D1FF2"/>
    <w:rsid w:val="009D2DB7"/>
    <w:rsid w:val="00A12AC9"/>
    <w:rsid w:val="00A6176B"/>
    <w:rsid w:val="00A67109"/>
    <w:rsid w:val="00A72AC4"/>
    <w:rsid w:val="00A91456"/>
    <w:rsid w:val="00AC38C4"/>
    <w:rsid w:val="00B05F17"/>
    <w:rsid w:val="00B34461"/>
    <w:rsid w:val="00B3467C"/>
    <w:rsid w:val="00B54C7D"/>
    <w:rsid w:val="00B73436"/>
    <w:rsid w:val="00B83239"/>
    <w:rsid w:val="00B85F22"/>
    <w:rsid w:val="00BA0E6C"/>
    <w:rsid w:val="00BA640F"/>
    <w:rsid w:val="00C00D40"/>
    <w:rsid w:val="00C02C5D"/>
    <w:rsid w:val="00C0773F"/>
    <w:rsid w:val="00C13A82"/>
    <w:rsid w:val="00C2733C"/>
    <w:rsid w:val="00C51E66"/>
    <w:rsid w:val="00C57819"/>
    <w:rsid w:val="00C74C60"/>
    <w:rsid w:val="00CA67B5"/>
    <w:rsid w:val="00CB723D"/>
    <w:rsid w:val="00CC4E63"/>
    <w:rsid w:val="00CD4E11"/>
    <w:rsid w:val="00CF3117"/>
    <w:rsid w:val="00CF3D25"/>
    <w:rsid w:val="00D07C6C"/>
    <w:rsid w:val="00D11C1F"/>
    <w:rsid w:val="00D51A6C"/>
    <w:rsid w:val="00D860D8"/>
    <w:rsid w:val="00DA214C"/>
    <w:rsid w:val="00DA3433"/>
    <w:rsid w:val="00DD27AB"/>
    <w:rsid w:val="00DF42D8"/>
    <w:rsid w:val="00DF4EC2"/>
    <w:rsid w:val="00E615C2"/>
    <w:rsid w:val="00E627C7"/>
    <w:rsid w:val="00E65BE9"/>
    <w:rsid w:val="00E936E9"/>
    <w:rsid w:val="00EB4F89"/>
    <w:rsid w:val="00ED2DAE"/>
    <w:rsid w:val="00ED4356"/>
    <w:rsid w:val="00ED4F09"/>
    <w:rsid w:val="00EF18DC"/>
    <w:rsid w:val="00F00CB9"/>
    <w:rsid w:val="00F07D16"/>
    <w:rsid w:val="00F2148A"/>
    <w:rsid w:val="00F246C5"/>
    <w:rsid w:val="00F562B5"/>
    <w:rsid w:val="00F62659"/>
    <w:rsid w:val="00F743B2"/>
    <w:rsid w:val="00F80AB9"/>
    <w:rsid w:val="00F8751C"/>
    <w:rsid w:val="00FA2ECE"/>
    <w:rsid w:val="00FA55AA"/>
    <w:rsid w:val="00FD3FB2"/>
    <w:rsid w:val="00FF1CB5"/>
    <w:rsid w:val="019C1CA3"/>
    <w:rsid w:val="01E73918"/>
    <w:rsid w:val="025657AD"/>
    <w:rsid w:val="02693F33"/>
    <w:rsid w:val="02FF7BF3"/>
    <w:rsid w:val="038C76D9"/>
    <w:rsid w:val="03C52BEB"/>
    <w:rsid w:val="03EB097D"/>
    <w:rsid w:val="043245DC"/>
    <w:rsid w:val="047F2D99"/>
    <w:rsid w:val="05025778"/>
    <w:rsid w:val="055555C2"/>
    <w:rsid w:val="058368B9"/>
    <w:rsid w:val="0596689A"/>
    <w:rsid w:val="05A14F91"/>
    <w:rsid w:val="05CD6AE6"/>
    <w:rsid w:val="06563FCE"/>
    <w:rsid w:val="066606B5"/>
    <w:rsid w:val="069A302F"/>
    <w:rsid w:val="07965F00"/>
    <w:rsid w:val="07AB6352"/>
    <w:rsid w:val="08AE1E9F"/>
    <w:rsid w:val="09A52C64"/>
    <w:rsid w:val="0AAB71CB"/>
    <w:rsid w:val="0AC92FC0"/>
    <w:rsid w:val="0AD946E3"/>
    <w:rsid w:val="0CDC0CE9"/>
    <w:rsid w:val="0DCE4C73"/>
    <w:rsid w:val="0E677863"/>
    <w:rsid w:val="0EEF6D6E"/>
    <w:rsid w:val="0F0955DA"/>
    <w:rsid w:val="0F1F3DCE"/>
    <w:rsid w:val="0FA85C04"/>
    <w:rsid w:val="10B169D0"/>
    <w:rsid w:val="10E836CF"/>
    <w:rsid w:val="11DE2D05"/>
    <w:rsid w:val="11EA2D6E"/>
    <w:rsid w:val="12E017EF"/>
    <w:rsid w:val="13001549"/>
    <w:rsid w:val="136715C8"/>
    <w:rsid w:val="13B8421F"/>
    <w:rsid w:val="13F56BD4"/>
    <w:rsid w:val="146E40D8"/>
    <w:rsid w:val="14E154A3"/>
    <w:rsid w:val="16013F56"/>
    <w:rsid w:val="16D31661"/>
    <w:rsid w:val="1A7930A2"/>
    <w:rsid w:val="1AEA3DCF"/>
    <w:rsid w:val="1B9C7DC2"/>
    <w:rsid w:val="1C27223D"/>
    <w:rsid w:val="1C651E2C"/>
    <w:rsid w:val="1CF540E9"/>
    <w:rsid w:val="1CFC5477"/>
    <w:rsid w:val="1D0C4F8F"/>
    <w:rsid w:val="1D6848BB"/>
    <w:rsid w:val="1E3478D8"/>
    <w:rsid w:val="1E4A4A78"/>
    <w:rsid w:val="1E4F15D7"/>
    <w:rsid w:val="1EE96CD1"/>
    <w:rsid w:val="1F087987"/>
    <w:rsid w:val="21131653"/>
    <w:rsid w:val="21E84D57"/>
    <w:rsid w:val="228714F5"/>
    <w:rsid w:val="22B31678"/>
    <w:rsid w:val="230F06CC"/>
    <w:rsid w:val="23957951"/>
    <w:rsid w:val="240864B0"/>
    <w:rsid w:val="243E188F"/>
    <w:rsid w:val="24A0493A"/>
    <w:rsid w:val="24B22DCD"/>
    <w:rsid w:val="24F946A0"/>
    <w:rsid w:val="256F255E"/>
    <w:rsid w:val="26123616"/>
    <w:rsid w:val="264B156E"/>
    <w:rsid w:val="265F25D3"/>
    <w:rsid w:val="26867B60"/>
    <w:rsid w:val="2751016E"/>
    <w:rsid w:val="27606603"/>
    <w:rsid w:val="28F6721F"/>
    <w:rsid w:val="294427F7"/>
    <w:rsid w:val="29EC2796"/>
    <w:rsid w:val="2A104310"/>
    <w:rsid w:val="2A1A7C10"/>
    <w:rsid w:val="2A7F4FF2"/>
    <w:rsid w:val="2ABB24F5"/>
    <w:rsid w:val="2B9D1BD3"/>
    <w:rsid w:val="2BFA5C99"/>
    <w:rsid w:val="2C015838"/>
    <w:rsid w:val="2C6136BA"/>
    <w:rsid w:val="2D9B61D7"/>
    <w:rsid w:val="2DB567EB"/>
    <w:rsid w:val="30EF660C"/>
    <w:rsid w:val="31BB1005"/>
    <w:rsid w:val="322E514F"/>
    <w:rsid w:val="33226E62"/>
    <w:rsid w:val="33CD6DCE"/>
    <w:rsid w:val="34CE1050"/>
    <w:rsid w:val="34E93AB2"/>
    <w:rsid w:val="34E955E6"/>
    <w:rsid w:val="350E3C2B"/>
    <w:rsid w:val="35305866"/>
    <w:rsid w:val="354B2A93"/>
    <w:rsid w:val="35F54B0E"/>
    <w:rsid w:val="36877708"/>
    <w:rsid w:val="384E308E"/>
    <w:rsid w:val="386D0B7F"/>
    <w:rsid w:val="38B46953"/>
    <w:rsid w:val="39C024C0"/>
    <w:rsid w:val="3A2D05C6"/>
    <w:rsid w:val="3A887EF3"/>
    <w:rsid w:val="3ADA6448"/>
    <w:rsid w:val="3C4D5646"/>
    <w:rsid w:val="3E5675C1"/>
    <w:rsid w:val="3E9926CE"/>
    <w:rsid w:val="3EFF5D26"/>
    <w:rsid w:val="3F6B01EA"/>
    <w:rsid w:val="40363F4D"/>
    <w:rsid w:val="40750F19"/>
    <w:rsid w:val="40977FB0"/>
    <w:rsid w:val="410B7187"/>
    <w:rsid w:val="417F5F80"/>
    <w:rsid w:val="41E2613A"/>
    <w:rsid w:val="421C0484"/>
    <w:rsid w:val="424D0A1D"/>
    <w:rsid w:val="42D67CD5"/>
    <w:rsid w:val="437670D6"/>
    <w:rsid w:val="45AF7437"/>
    <w:rsid w:val="45C72985"/>
    <w:rsid w:val="45CF67C2"/>
    <w:rsid w:val="464528CC"/>
    <w:rsid w:val="46D052D0"/>
    <w:rsid w:val="475773F0"/>
    <w:rsid w:val="489D2DBB"/>
    <w:rsid w:val="49843F7B"/>
    <w:rsid w:val="49B4151C"/>
    <w:rsid w:val="4ADB3725"/>
    <w:rsid w:val="4B2A0BA0"/>
    <w:rsid w:val="4C0A57D0"/>
    <w:rsid w:val="4C4D4448"/>
    <w:rsid w:val="4EE2777A"/>
    <w:rsid w:val="4FC60E49"/>
    <w:rsid w:val="4FC95A29"/>
    <w:rsid w:val="4FF359B6"/>
    <w:rsid w:val="5032445C"/>
    <w:rsid w:val="50C64E79"/>
    <w:rsid w:val="510E32C8"/>
    <w:rsid w:val="51C11533"/>
    <w:rsid w:val="524F6ABE"/>
    <w:rsid w:val="53E37414"/>
    <w:rsid w:val="53FD0BB2"/>
    <w:rsid w:val="551B2554"/>
    <w:rsid w:val="554C5124"/>
    <w:rsid w:val="558C48E3"/>
    <w:rsid w:val="55DD327B"/>
    <w:rsid w:val="56F108E5"/>
    <w:rsid w:val="570259EB"/>
    <w:rsid w:val="587870EA"/>
    <w:rsid w:val="587D0513"/>
    <w:rsid w:val="59834F36"/>
    <w:rsid w:val="5AF3026A"/>
    <w:rsid w:val="5B77749C"/>
    <w:rsid w:val="5BEB3DDA"/>
    <w:rsid w:val="5CF36FF6"/>
    <w:rsid w:val="5D755C5D"/>
    <w:rsid w:val="5D9A0DF0"/>
    <w:rsid w:val="5EA83F26"/>
    <w:rsid w:val="5F4678B1"/>
    <w:rsid w:val="5F824661"/>
    <w:rsid w:val="601B6F1B"/>
    <w:rsid w:val="604E2CEE"/>
    <w:rsid w:val="60D64C64"/>
    <w:rsid w:val="61D35C04"/>
    <w:rsid w:val="623C143F"/>
    <w:rsid w:val="624C78D4"/>
    <w:rsid w:val="62B56EF9"/>
    <w:rsid w:val="631D403E"/>
    <w:rsid w:val="63C90AB0"/>
    <w:rsid w:val="640D6BEF"/>
    <w:rsid w:val="64555803"/>
    <w:rsid w:val="657038D9"/>
    <w:rsid w:val="65BA4B55"/>
    <w:rsid w:val="66D165FA"/>
    <w:rsid w:val="67010561"/>
    <w:rsid w:val="676A6106"/>
    <w:rsid w:val="67F94E45"/>
    <w:rsid w:val="68C26692"/>
    <w:rsid w:val="69133793"/>
    <w:rsid w:val="691B3B5C"/>
    <w:rsid w:val="696848C8"/>
    <w:rsid w:val="6A5A06B4"/>
    <w:rsid w:val="6ABF6411"/>
    <w:rsid w:val="6B5E6F3E"/>
    <w:rsid w:val="6BF670AD"/>
    <w:rsid w:val="6C2216A6"/>
    <w:rsid w:val="6D8326AC"/>
    <w:rsid w:val="6F1F05B2"/>
    <w:rsid w:val="6FA01B0D"/>
    <w:rsid w:val="6FC7547A"/>
    <w:rsid w:val="6FE13531"/>
    <w:rsid w:val="73367560"/>
    <w:rsid w:val="73DB06DA"/>
    <w:rsid w:val="743A566A"/>
    <w:rsid w:val="75625434"/>
    <w:rsid w:val="75DE663D"/>
    <w:rsid w:val="767C19B2"/>
    <w:rsid w:val="76A50F09"/>
    <w:rsid w:val="77880011"/>
    <w:rsid w:val="77EF774A"/>
    <w:rsid w:val="7A212F9C"/>
    <w:rsid w:val="7B5118A7"/>
    <w:rsid w:val="7BA93866"/>
    <w:rsid w:val="7C607769"/>
    <w:rsid w:val="7DDF73F6"/>
    <w:rsid w:val="7ECF2FC7"/>
    <w:rsid w:val="7FEA46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17"/>
    <w:unhideWhenUsed/>
    <w:qFormat/>
    <w:uiPriority w:val="0"/>
    <w:rPr>
      <w:rFonts w:hAnsi="Courier New" w:cs="Courier New" w:asciiTheme="minorEastAsia" w:eastAsiaTheme="minorEastAsia"/>
    </w:rPr>
  </w:style>
  <w:style w:type="paragraph" w:styleId="3">
    <w:name w:val="Normal Indent"/>
    <w:basedOn w:val="1"/>
    <w:qFormat/>
    <w:uiPriority w:val="0"/>
    <w:pPr>
      <w:ind w:firstLine="420"/>
    </w:pPr>
    <w:rPr>
      <w:rFonts w:ascii="Times New Roman" w:hAnsi="Times New Roman"/>
      <w:szCs w:val="20"/>
    </w:rPr>
  </w:style>
  <w:style w:type="paragraph" w:styleId="4">
    <w:name w:val="annotation text"/>
    <w:basedOn w:val="1"/>
    <w:link w:val="28"/>
    <w:semiHidden/>
    <w:unhideWhenUsed/>
    <w:qFormat/>
    <w:uiPriority w:val="99"/>
    <w:pPr>
      <w:jc w:val="left"/>
    </w:pPr>
  </w:style>
  <w:style w:type="paragraph" w:styleId="5">
    <w:name w:val="Body Text"/>
    <w:basedOn w:val="1"/>
    <w:link w:val="31"/>
    <w:semiHidden/>
    <w:unhideWhenUsed/>
    <w:qFormat/>
    <w:uiPriority w:val="99"/>
    <w:pPr>
      <w:spacing w:after="120"/>
    </w:pPr>
  </w:style>
  <w:style w:type="paragraph" w:styleId="6">
    <w:name w:val="Body Text Indent"/>
    <w:basedOn w:val="1"/>
    <w:qFormat/>
    <w:uiPriority w:val="0"/>
    <w:pPr>
      <w:ind w:firstLine="570"/>
    </w:pPr>
    <w:rPr>
      <w:rFonts w:ascii="Times New Roman" w:hAnsi="Times New Roman"/>
      <w:kern w:val="0"/>
      <w:sz w:val="28"/>
      <w:szCs w:val="20"/>
    </w:rPr>
  </w:style>
  <w:style w:type="paragraph" w:styleId="7">
    <w:name w:val="Balloon Text"/>
    <w:basedOn w:val="1"/>
    <w:link w:val="27"/>
    <w:semiHidden/>
    <w:unhideWhenUsed/>
    <w:qFormat/>
    <w:uiPriority w:val="99"/>
    <w:rPr>
      <w:sz w:val="18"/>
      <w:szCs w:val="18"/>
    </w:rPr>
  </w:style>
  <w:style w:type="paragraph" w:styleId="8">
    <w:name w:val="footer"/>
    <w:basedOn w:val="1"/>
    <w:link w:val="24"/>
    <w:qFormat/>
    <w:uiPriority w:val="0"/>
    <w:pPr>
      <w:tabs>
        <w:tab w:val="center" w:pos="4153"/>
        <w:tab w:val="right" w:pos="8306"/>
      </w:tabs>
      <w:snapToGrid w:val="0"/>
      <w:jc w:val="left"/>
    </w:pPr>
    <w:rPr>
      <w:sz w:val="18"/>
      <w:szCs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link w:val="25"/>
    <w:qFormat/>
    <w:uiPriority w:val="0"/>
    <w:rPr>
      <w:rFonts w:ascii="宋体" w:hAnsi="宋体"/>
      <w:szCs w:val="24"/>
      <w:u w:val="single"/>
    </w:rPr>
  </w:style>
  <w:style w:type="paragraph" w:styleId="11">
    <w:name w:val="annotation subject"/>
    <w:basedOn w:val="4"/>
    <w:next w:val="4"/>
    <w:link w:val="29"/>
    <w:semiHidden/>
    <w:unhideWhenUsed/>
    <w:qFormat/>
    <w:uiPriority w:val="99"/>
    <w:rPr>
      <w:b/>
      <w:bCs/>
    </w:rPr>
  </w:style>
  <w:style w:type="paragraph" w:styleId="12">
    <w:name w:val="Body Text First Indent 2"/>
    <w:basedOn w:val="6"/>
    <w:qFormat/>
    <w:uiPriority w:val="0"/>
    <w:pPr>
      <w:ind w:firstLine="420" w:firstLineChars="200"/>
    </w:pPr>
    <w:rPr>
      <w:szCs w:val="24"/>
    </w:rPr>
  </w:style>
  <w:style w:type="character" w:styleId="15">
    <w:name w:val="page number"/>
    <w:qFormat/>
    <w:uiPriority w:val="0"/>
    <w:rPr>
      <w:rFonts w:cs="Times New Roman"/>
    </w:rPr>
  </w:style>
  <w:style w:type="character" w:styleId="16">
    <w:name w:val="annotation reference"/>
    <w:basedOn w:val="14"/>
    <w:semiHidden/>
    <w:unhideWhenUsed/>
    <w:qFormat/>
    <w:uiPriority w:val="99"/>
    <w:rPr>
      <w:sz w:val="21"/>
      <w:szCs w:val="21"/>
    </w:rPr>
  </w:style>
  <w:style w:type="character" w:customStyle="1" w:styleId="17">
    <w:name w:val="纯文本 字符"/>
    <w:basedOn w:val="14"/>
    <w:link w:val="2"/>
    <w:qFormat/>
    <w:uiPriority w:val="0"/>
    <w:rPr>
      <w:rFonts w:hAnsi="Courier New" w:cs="Courier New" w:asciiTheme="minorEastAsia"/>
    </w:rPr>
  </w:style>
  <w:style w:type="character" w:customStyle="1" w:styleId="18">
    <w:name w:val="页脚 字符"/>
    <w:basedOn w:val="14"/>
    <w:semiHidden/>
    <w:qFormat/>
    <w:uiPriority w:val="99"/>
    <w:rPr>
      <w:rFonts w:ascii="Calibri" w:hAnsi="Calibri" w:eastAsia="宋体" w:cs="Times New Roman"/>
      <w:sz w:val="18"/>
      <w:szCs w:val="18"/>
    </w:rPr>
  </w:style>
  <w:style w:type="character" w:customStyle="1" w:styleId="19">
    <w:name w:val="页眉 字符"/>
    <w:basedOn w:val="14"/>
    <w:semiHidden/>
    <w:qFormat/>
    <w:uiPriority w:val="99"/>
    <w:rPr>
      <w:rFonts w:ascii="Calibri" w:hAnsi="Calibri" w:eastAsia="宋体" w:cs="Times New Roman"/>
      <w:sz w:val="18"/>
      <w:szCs w:val="18"/>
    </w:rPr>
  </w:style>
  <w:style w:type="character" w:customStyle="1" w:styleId="20">
    <w:name w:val="正文文本 2 字符"/>
    <w:basedOn w:val="14"/>
    <w:semiHidden/>
    <w:qFormat/>
    <w:uiPriority w:val="99"/>
    <w:rPr>
      <w:rFonts w:ascii="Calibri" w:hAnsi="Calibri" w:eastAsia="宋体" w:cs="Times New Roman"/>
    </w:rPr>
  </w:style>
  <w:style w:type="paragraph" w:customStyle="1" w:styleId="2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2">
    <w:name w:val="发文落款"/>
    <w:basedOn w:val="21"/>
    <w:qFormat/>
    <w:uiPriority w:val="0"/>
    <w:pPr>
      <w:ind w:left="4094" w:right="607" w:firstLine="0"/>
      <w:jc w:val="center"/>
    </w:pPr>
  </w:style>
  <w:style w:type="character" w:customStyle="1" w:styleId="23">
    <w:name w:val="页眉 字符1"/>
    <w:link w:val="9"/>
    <w:qFormat/>
    <w:uiPriority w:val="0"/>
    <w:rPr>
      <w:rFonts w:ascii="Calibri" w:hAnsi="Calibri" w:eastAsia="宋体" w:cs="Times New Roman"/>
      <w:sz w:val="18"/>
      <w:szCs w:val="18"/>
    </w:rPr>
  </w:style>
  <w:style w:type="character" w:customStyle="1" w:styleId="24">
    <w:name w:val="页脚 字符1"/>
    <w:link w:val="8"/>
    <w:qFormat/>
    <w:uiPriority w:val="0"/>
    <w:rPr>
      <w:rFonts w:ascii="Calibri" w:hAnsi="Calibri" w:eastAsia="宋体" w:cs="Times New Roman"/>
      <w:sz w:val="18"/>
      <w:szCs w:val="18"/>
    </w:rPr>
  </w:style>
  <w:style w:type="character" w:customStyle="1" w:styleId="25">
    <w:name w:val="正文文本 2 字符1"/>
    <w:link w:val="10"/>
    <w:qFormat/>
    <w:uiPriority w:val="0"/>
    <w:rPr>
      <w:rFonts w:ascii="宋体" w:hAnsi="宋体" w:eastAsia="宋体" w:cs="Times New Roman"/>
      <w:szCs w:val="24"/>
      <w:u w:val="single"/>
    </w:rPr>
  </w:style>
  <w:style w:type="character" w:customStyle="1" w:styleId="26">
    <w:name w:val="NormalCharacter"/>
    <w:qFormat/>
    <w:uiPriority w:val="0"/>
  </w:style>
  <w:style w:type="character" w:customStyle="1" w:styleId="27">
    <w:name w:val="批注框文本 字符"/>
    <w:basedOn w:val="14"/>
    <w:link w:val="7"/>
    <w:semiHidden/>
    <w:qFormat/>
    <w:uiPriority w:val="99"/>
    <w:rPr>
      <w:rFonts w:ascii="Calibri" w:hAnsi="Calibri" w:eastAsia="宋体" w:cs="Times New Roman"/>
      <w:kern w:val="2"/>
      <w:sz w:val="18"/>
      <w:szCs w:val="18"/>
    </w:rPr>
  </w:style>
  <w:style w:type="character" w:customStyle="1" w:styleId="28">
    <w:name w:val="批注文字 字符"/>
    <w:basedOn w:val="14"/>
    <w:link w:val="4"/>
    <w:semiHidden/>
    <w:qFormat/>
    <w:uiPriority w:val="99"/>
    <w:rPr>
      <w:rFonts w:ascii="Calibri" w:hAnsi="Calibri" w:eastAsia="宋体" w:cs="Times New Roman"/>
      <w:kern w:val="2"/>
      <w:sz w:val="21"/>
      <w:szCs w:val="22"/>
    </w:rPr>
  </w:style>
  <w:style w:type="character" w:customStyle="1" w:styleId="29">
    <w:name w:val="批注主题 字符"/>
    <w:basedOn w:val="28"/>
    <w:link w:val="11"/>
    <w:semiHidden/>
    <w:qFormat/>
    <w:uiPriority w:val="99"/>
    <w:rPr>
      <w:rFonts w:ascii="Calibri" w:hAnsi="Calibri" w:eastAsia="宋体" w:cs="Times New Roman"/>
      <w:b/>
      <w:bCs/>
      <w:kern w:val="2"/>
      <w:sz w:val="21"/>
      <w:szCs w:val="22"/>
    </w:rPr>
  </w:style>
  <w:style w:type="paragraph" w:customStyle="1" w:styleId="30">
    <w:name w:val="Revision"/>
    <w:hidden/>
    <w:unhideWhenUsed/>
    <w:qFormat/>
    <w:uiPriority w:val="99"/>
    <w:rPr>
      <w:rFonts w:ascii="Calibri" w:hAnsi="Calibri" w:eastAsia="宋体" w:cs="Times New Roman"/>
      <w:kern w:val="2"/>
      <w:sz w:val="21"/>
      <w:szCs w:val="22"/>
      <w:lang w:val="en-US" w:eastAsia="zh-CN" w:bidi="ar-SA"/>
    </w:rPr>
  </w:style>
  <w:style w:type="character" w:customStyle="1" w:styleId="31">
    <w:name w:val="正文文本 字符"/>
    <w:basedOn w:val="14"/>
    <w:link w:val="5"/>
    <w:semiHidden/>
    <w:qFormat/>
    <w:uiPriority w:val="99"/>
    <w:rPr>
      <w:rFonts w:ascii="Calibri" w:hAnsi="Calibr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3695E3-2C3F-46AA-AB54-A740EC6C651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7289</Words>
  <Characters>7701</Characters>
  <Lines>58</Lines>
  <Paragraphs>16</Paragraphs>
  <TotalTime>139</TotalTime>
  <ScaleCrop>false</ScaleCrop>
  <LinksUpToDate>false</LinksUpToDate>
  <CharactersWithSpaces>7820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2023-07-27T08:58:00Z</dcterms:created>
  <dc:creator>HP</dc:creator>
  <cp:lastModifiedBy>国科-钟工</cp:lastModifiedBy>
  <cp:lastPrinted>2023-09-04T11:13:00Z</cp:lastPrinted>
  <dcterms:modified xsi:type="dcterms:W3CDTF">2023-10-16T08:13:35Z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5A727EF73A1C47FC9E35AC8FFD636B9D_13</vt:lpwstr>
  </property>
</Properties>
</file>