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clear" w:pos="0"/>
        </w:tabs>
        <w:adjustRightInd w:val="0"/>
        <w:snapToGrid w:val="0"/>
        <w:spacing w:before="0" w:after="0"/>
        <w:ind w:firstLine="0"/>
        <w:jc w:val="center"/>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lang w:eastAsia="zh-CN"/>
        </w:rPr>
        <w:t>狮子洋通道项目第二批建筑工程一切险和第三者责任险</w:t>
      </w:r>
    </w:p>
    <w:p>
      <w:pPr>
        <w:pStyle w:val="11"/>
        <w:tabs>
          <w:tab w:val="clear" w:pos="0"/>
        </w:tabs>
        <w:adjustRightInd w:val="0"/>
        <w:snapToGrid w:val="0"/>
        <w:spacing w:before="0" w:after="0"/>
        <w:ind w:firstLine="0"/>
        <w:jc w:val="center"/>
        <w:rPr>
          <w:rFonts w:hint="eastAsia" w:ascii="黑体" w:hAnsi="黑体" w:eastAsia="黑体" w:cs="黑体"/>
          <w:b/>
          <w:bCs w:val="0"/>
          <w:color w:val="auto"/>
          <w:sz w:val="32"/>
          <w:szCs w:val="32"/>
          <w:highlight w:val="none"/>
          <w:lang w:eastAsia="zh-CN"/>
        </w:rPr>
      </w:pPr>
      <w:r>
        <w:rPr>
          <w:rFonts w:hint="eastAsia" w:ascii="黑体" w:hAnsi="黑体" w:eastAsia="黑体" w:cs="黑体"/>
          <w:b/>
          <w:bCs w:val="0"/>
          <w:color w:val="auto"/>
          <w:sz w:val="32"/>
          <w:szCs w:val="32"/>
          <w:highlight w:val="none"/>
        </w:rPr>
        <w:t>招标公告</w:t>
      </w:r>
    </w:p>
    <w:p>
      <w:pPr>
        <w:tabs>
          <w:tab w:val="left" w:pos="3240"/>
        </w:tabs>
        <w:adjustRightInd w:val="0"/>
        <w:snapToGrid w:val="0"/>
        <w:spacing w:line="360" w:lineRule="auto"/>
        <w:ind w:firstLine="482" w:firstLineChars="200"/>
        <w:jc w:val="left"/>
        <w:rPr>
          <w:rFonts w:asci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rPr>
        <w:t>招标条件</w:t>
      </w:r>
    </w:p>
    <w:p>
      <w:pPr>
        <w:tabs>
          <w:tab w:val="left" w:pos="3240"/>
        </w:tabs>
        <w:adjustRightInd w:val="0"/>
        <w:snapToGrid w:val="0"/>
        <w:spacing w:line="360" w:lineRule="auto"/>
        <w:ind w:firstLine="480" w:firstLineChars="200"/>
        <w:jc w:val="left"/>
        <w:rPr>
          <w:rFonts w:hint="eastAsia" w:ascii="宋体" w:hAnsi="宋体"/>
          <w:color w:val="auto"/>
          <w:sz w:val="24"/>
          <w:szCs w:val="24"/>
          <w:highlight w:val="none"/>
        </w:rPr>
      </w:pPr>
      <w:r>
        <w:rPr>
          <w:rFonts w:hint="eastAsia"/>
          <w:color w:val="auto"/>
          <w:sz w:val="24"/>
          <w:szCs w:val="24"/>
          <w:highlight w:val="none"/>
          <w:lang w:eastAsia="zh-CN"/>
        </w:rPr>
        <w:t>本招标项目狮子洋通道工程（以下简称本项目）已由广东省发展和改革委员会以粤发改核准[2021]15号文批准建设，项目业主为广东湾区交通建设投资有限公司，建设资金来自企业自筹、银行贷款，项目出资比例资本金25%、银行贷款75 % ，招标人为广东湾区交通建设投资有限公司。项目已具备招标条件，现对本项目第</w:t>
      </w:r>
      <w:r>
        <w:rPr>
          <w:rFonts w:hint="eastAsia"/>
          <w:color w:val="auto"/>
          <w:sz w:val="24"/>
          <w:szCs w:val="24"/>
          <w:highlight w:val="none"/>
          <w:lang w:val="en-US" w:eastAsia="zh-CN"/>
        </w:rPr>
        <w:t>二</w:t>
      </w:r>
      <w:r>
        <w:rPr>
          <w:rFonts w:hint="eastAsia"/>
          <w:color w:val="auto"/>
          <w:sz w:val="24"/>
          <w:szCs w:val="24"/>
          <w:highlight w:val="none"/>
          <w:lang w:eastAsia="zh-CN"/>
        </w:rPr>
        <w:t>批建筑工程一切险和第三者责任险采用资格后审方式进行公开招标。</w:t>
      </w:r>
    </w:p>
    <w:p>
      <w:pPr>
        <w:adjustRightInd w:val="0"/>
        <w:snapToGrid w:val="0"/>
        <w:spacing w:line="360" w:lineRule="auto"/>
        <w:ind w:firstLine="482" w:firstLineChars="200"/>
        <w:jc w:val="left"/>
        <w:textAlignment w:val="baseline"/>
        <w:rPr>
          <w:rFonts w:asci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项目概况与招标范围</w:t>
      </w:r>
    </w:p>
    <w:p>
      <w:pPr>
        <w:pStyle w:val="13"/>
        <w:shd w:val="clear" w:color="auto" w:fill="auto"/>
        <w:spacing w:before="0" w:after="0" w:line="360" w:lineRule="auto"/>
        <w:ind w:firstLine="482" w:firstLineChars="200"/>
        <w:jc w:val="left"/>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2.1项目概况</w:t>
      </w:r>
    </w:p>
    <w:p>
      <w:pPr>
        <w:spacing w:beforeLines="0" w:afterLines="0"/>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狮子洋通道工程包含狮子洋通道工程主体工程(含上下层) 、下层桂阁大道段、下层轮渡路改扩建工程。</w:t>
      </w:r>
    </w:p>
    <w:p>
      <w:pPr>
        <w:spacing w:beforeLines="0" w:afterLines="0"/>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主体工程上层路线起于广州市南沙区大岗镇，顺接广中江高速公路，经南沙区东涌镇、黄阁镇后跨越珠江口，经东莞市沙田镇，终于虎门镇，对接常虎高速公路，与广深高速公路交叉，全长约35.1公里。全线设置11处互通立交；设置服务区1处；应急救援中心2处。</w:t>
      </w:r>
    </w:p>
    <w:p>
      <w:pPr>
        <w:spacing w:beforeLines="0" w:afterLines="0"/>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主体工程下层路线起于广州市南沙区黄阁镇连溪大道处，顺接下层桂阁大道段，与上层共走廊，跨越珠江口，终于东莞市沙田镇龙船洲村，与下层白沙南路段对接，长约</w:t>
      </w:r>
      <w:r>
        <w:rPr>
          <w:rFonts w:hint="default" w:ascii="Times New Roman" w:hAnsi="Times New Roman" w:eastAsia="宋体" w:cs="Times New Roman"/>
          <w:kern w:val="2"/>
          <w:sz w:val="24"/>
          <w:szCs w:val="24"/>
          <w:highlight w:val="none"/>
        </w:rPr>
        <w:t>15.14</w:t>
      </w:r>
      <w:r>
        <w:rPr>
          <w:rFonts w:hint="eastAsia" w:ascii="宋体" w:hAnsi="宋体" w:eastAsia="宋体"/>
          <w:color w:val="auto"/>
          <w:sz w:val="24"/>
          <w:highlight w:val="none"/>
        </w:rPr>
        <w:t>公里。</w:t>
      </w:r>
    </w:p>
    <w:p>
      <w:pPr>
        <w:spacing w:beforeLines="0" w:afterLines="0"/>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下层桂阁大道段起于广州市南沙区大岗镇,经东涌镇、黄阁镇，终于黄阁镇鸡谷山路与连溪大道交叉口，长约15.8</w:t>
      </w:r>
      <w:r>
        <w:rPr>
          <w:rFonts w:hint="eastAsia" w:ascii="宋体" w:hAnsi="宋体"/>
          <w:color w:val="auto"/>
          <w:sz w:val="24"/>
          <w:highlight w:val="none"/>
          <w:lang w:val="en-US" w:eastAsia="zh-CN"/>
        </w:rPr>
        <w:t>5</w:t>
      </w:r>
      <w:r>
        <w:rPr>
          <w:rFonts w:hint="eastAsia" w:ascii="宋体" w:hAnsi="宋体" w:eastAsia="宋体"/>
          <w:color w:val="auto"/>
          <w:sz w:val="24"/>
          <w:highlight w:val="none"/>
        </w:rPr>
        <w:t>公里；</w:t>
      </w:r>
    </w:p>
    <w:p>
      <w:pPr>
        <w:spacing w:beforeLines="0" w:afterLines="0"/>
        <w:ind w:firstLine="480" w:firstLineChars="200"/>
        <w:jc w:val="left"/>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下层轮渡路改扩建段起于东莞市沙田镇，连接狮子洋通道主体工程下层福隆互通，向东沿既有轮渡路改扩建，终于省道S256(莞太路)，长约6.2</w:t>
      </w:r>
      <w:r>
        <w:rPr>
          <w:rFonts w:hint="eastAsia" w:ascii="宋体" w:hAnsi="宋体"/>
          <w:color w:val="auto"/>
          <w:sz w:val="24"/>
          <w:highlight w:val="none"/>
          <w:lang w:val="en-US" w:eastAsia="zh-CN"/>
        </w:rPr>
        <w:t>6</w:t>
      </w:r>
      <w:r>
        <w:rPr>
          <w:rFonts w:hint="eastAsia" w:ascii="宋体" w:hAnsi="宋体" w:eastAsia="宋体"/>
          <w:color w:val="auto"/>
          <w:sz w:val="24"/>
          <w:highlight w:val="none"/>
        </w:rPr>
        <w:t>公里。</w:t>
      </w:r>
    </w:p>
    <w:p>
      <w:pPr>
        <w:adjustRightInd w:val="0"/>
        <w:snapToGrid w:val="0"/>
        <w:spacing w:line="360" w:lineRule="auto"/>
        <w:ind w:firstLine="482" w:firstLineChars="200"/>
        <w:jc w:val="left"/>
        <w:rPr>
          <w:rFonts w:ascii="宋体"/>
          <w:b/>
          <w:color w:val="auto"/>
          <w:sz w:val="24"/>
          <w:szCs w:val="24"/>
          <w:highlight w:val="none"/>
        </w:rPr>
      </w:pPr>
      <w:r>
        <w:rPr>
          <w:rFonts w:ascii="宋体" w:hAnsi="宋体"/>
          <w:b/>
          <w:color w:val="auto"/>
          <w:sz w:val="24"/>
          <w:szCs w:val="24"/>
          <w:highlight w:val="none"/>
        </w:rPr>
        <w:t>2.2</w:t>
      </w:r>
      <w:r>
        <w:rPr>
          <w:rFonts w:hint="eastAsia" w:ascii="宋体" w:hAnsi="宋体"/>
          <w:b/>
          <w:color w:val="auto"/>
          <w:sz w:val="24"/>
          <w:szCs w:val="24"/>
          <w:highlight w:val="none"/>
        </w:rPr>
        <w:t>招标范围</w:t>
      </w:r>
      <w:r>
        <w:rPr>
          <w:rFonts w:hint="eastAsia" w:ascii="宋体" w:hAnsi="宋体"/>
          <w:color w:val="auto"/>
          <w:sz w:val="24"/>
          <w:szCs w:val="24"/>
          <w:highlight w:val="none"/>
          <w:lang w:val="en-US" w:eastAsia="zh-CN"/>
        </w:rPr>
        <w:t>及</w:t>
      </w:r>
      <w:r>
        <w:rPr>
          <w:rFonts w:hint="eastAsia" w:ascii="宋体" w:hAnsi="宋体"/>
          <w:b/>
          <w:color w:val="auto"/>
          <w:sz w:val="24"/>
          <w:szCs w:val="24"/>
          <w:highlight w:val="none"/>
        </w:rPr>
        <w:t>标段划分</w:t>
      </w:r>
    </w:p>
    <w:p>
      <w:pPr>
        <w:pStyle w:val="5"/>
        <w:bidi w:val="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本次保险招标共划分为</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个标段，具体如下表所示。根据工程建设招标及设计变更的情况，招标人保留对保险标段的划分进行合理调整的权利。</w:t>
      </w:r>
    </w:p>
    <w:p>
      <w:pPr>
        <w:pStyle w:val="5"/>
        <w:bidi w:val="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tbl>
      <w:tblPr>
        <w:tblStyle w:val="10"/>
        <w:tblW w:w="8218" w:type="dxa"/>
        <w:jc w:val="center"/>
        <w:tblInd w:w="-1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455"/>
        <w:gridCol w:w="243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934" w:type="dxa"/>
            <w:vAlign w:val="center"/>
          </w:tcPr>
          <w:p>
            <w:pPr>
              <w:pStyle w:val="5"/>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8"/>
                <w:szCs w:val="28"/>
                <w:highlight w:val="none"/>
              </w:rPr>
              <w:br w:type="page"/>
            </w:r>
            <w:r>
              <w:rPr>
                <w:rFonts w:hint="eastAsia" w:ascii="宋体" w:hAnsi="宋体" w:eastAsia="宋体" w:cs="宋体"/>
                <w:i w:val="0"/>
                <w:iCs w:val="0"/>
                <w:color w:val="auto"/>
                <w:kern w:val="0"/>
                <w:sz w:val="24"/>
                <w:szCs w:val="24"/>
                <w:highlight w:val="none"/>
                <w:u w:val="none"/>
                <w:lang w:val="en-US" w:eastAsia="zh-CN" w:bidi="ar"/>
              </w:rPr>
              <w:t>保险标段</w:t>
            </w:r>
          </w:p>
        </w:tc>
        <w:tc>
          <w:tcPr>
            <w:tcW w:w="245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对应标段及范围</w:t>
            </w:r>
          </w:p>
        </w:tc>
        <w:tc>
          <w:tcPr>
            <w:tcW w:w="243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各保险标段保险范围</w:t>
            </w:r>
          </w:p>
        </w:tc>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jc w:val="center"/>
              <w:textAlignment w:val="center"/>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9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BX-1</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T2标</w:t>
            </w:r>
          </w:p>
        </w:tc>
        <w:tc>
          <w:tcPr>
            <w:tcW w:w="2437" w:type="dxa"/>
            <w:vMerge w:val="restart"/>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T2、T4标</w:t>
            </w:r>
            <w:r>
              <w:rPr>
                <w:rFonts w:hint="eastAsia" w:ascii="宋体" w:hAnsi="宋体" w:eastAsia="宋体" w:cs="宋体"/>
                <w:sz w:val="24"/>
                <w:szCs w:val="24"/>
                <w:highlight w:val="none"/>
              </w:rPr>
              <w:t>土建工程、</w:t>
            </w:r>
            <w:r>
              <w:rPr>
                <w:rFonts w:hint="eastAsia" w:ascii="宋体" w:hAnsi="宋体" w:eastAsia="宋体" w:cs="宋体"/>
                <w:strike w:val="0"/>
                <w:sz w:val="24"/>
                <w:szCs w:val="24"/>
                <w:highlight w:val="none"/>
                <w:u w:val="none"/>
              </w:rPr>
              <w:t>安装工程</w:t>
            </w:r>
            <w:r>
              <w:rPr>
                <w:rFonts w:hint="eastAsia" w:ascii="宋体" w:hAnsi="宋体" w:cs="宋体"/>
                <w:strike w:val="0"/>
                <w:sz w:val="24"/>
                <w:szCs w:val="24"/>
                <w:highlight w:val="none"/>
                <w:u w:val="none"/>
                <w:lang w:eastAsia="zh-CN"/>
              </w:rPr>
              <w:t>；</w:t>
            </w:r>
            <w:r>
              <w:rPr>
                <w:rFonts w:hint="eastAsia" w:ascii="宋体" w:hAnsi="宋体" w:cs="宋体"/>
                <w:strike w:val="0"/>
                <w:sz w:val="24"/>
                <w:szCs w:val="24"/>
                <w:highlight w:val="none"/>
                <w:u w:val="none"/>
                <w:lang w:val="en-US" w:eastAsia="zh-CN"/>
              </w:rPr>
              <w:t>T13标预制工程</w:t>
            </w:r>
            <w:r>
              <w:rPr>
                <w:rFonts w:hint="eastAsia" w:ascii="宋体" w:hAnsi="宋体" w:eastAsia="宋体" w:cs="宋体"/>
                <w:sz w:val="24"/>
                <w:szCs w:val="24"/>
                <w:highlight w:val="none"/>
                <w:lang w:val="en-US" w:eastAsia="zh-CN"/>
              </w:rPr>
              <w:t>；</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T5标-T8标UHPC桥面板运输、安装；3.T3</w:t>
            </w:r>
            <w:r>
              <w:rPr>
                <w:rFonts w:hint="eastAsia" w:ascii="宋体" w:hAnsi="宋体" w:eastAsia="宋体" w:cs="宋体"/>
                <w:color w:val="000000"/>
                <w:sz w:val="24"/>
                <w:szCs w:val="24"/>
                <w:highlight w:val="none"/>
                <w:lang w:bidi="ar"/>
              </w:rPr>
              <w:t>所有</w:t>
            </w:r>
            <w:r>
              <w:rPr>
                <w:rFonts w:hint="eastAsia" w:ascii="宋体" w:hAnsi="宋体" w:eastAsia="宋体" w:cs="宋体"/>
                <w:b w:val="0"/>
                <w:bCs w:val="0"/>
                <w:i w:val="0"/>
                <w:iCs w:val="0"/>
                <w:color w:val="000000"/>
                <w:kern w:val="2"/>
                <w:sz w:val="24"/>
                <w:szCs w:val="24"/>
                <w:highlight w:val="none"/>
                <w:u w:val="none"/>
                <w:lang w:val="en-US" w:eastAsia="zh-CN" w:bidi="ar"/>
              </w:rPr>
              <w:t>预制梁、板、钢混组合梁桥以及钢混组合梁桥面板的运输</w:t>
            </w:r>
            <w:r>
              <w:rPr>
                <w:rFonts w:hint="eastAsia" w:ascii="宋体" w:hAnsi="宋体" w:cs="宋体"/>
                <w:b w:val="0"/>
                <w:bCs w:val="0"/>
                <w:i w:val="0"/>
                <w:iCs w:val="0"/>
                <w:color w:val="000000"/>
                <w:kern w:val="2"/>
                <w:sz w:val="24"/>
                <w:szCs w:val="24"/>
                <w:highlight w:val="none"/>
                <w:u w:val="none"/>
                <w:lang w:val="en-US" w:eastAsia="zh-CN" w:bidi="ar"/>
              </w:rPr>
              <w:t>、</w:t>
            </w:r>
            <w:r>
              <w:rPr>
                <w:rFonts w:hint="eastAsia" w:ascii="宋体" w:hAnsi="宋体" w:eastAsia="宋体" w:cs="宋体"/>
                <w:b w:val="0"/>
                <w:bCs w:val="0"/>
                <w:i w:val="0"/>
                <w:iCs w:val="0"/>
                <w:color w:val="000000"/>
                <w:kern w:val="2"/>
                <w:sz w:val="24"/>
                <w:szCs w:val="24"/>
                <w:highlight w:val="none"/>
                <w:u w:val="none"/>
                <w:lang w:val="en-US" w:eastAsia="zh-CN" w:bidi="ar"/>
              </w:rPr>
              <w:t>安装。</w:t>
            </w:r>
          </w:p>
        </w:tc>
        <w:tc>
          <w:tcPr>
            <w:tcW w:w="2392"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除上述范围外各保险标段保险范围还包括：</w:t>
            </w:r>
            <w:r>
              <w:rPr>
                <w:rFonts w:hint="eastAsia" w:ascii="宋体" w:hAnsi="宋体" w:eastAsia="宋体" w:cs="宋体"/>
                <w:sz w:val="24"/>
                <w:szCs w:val="24"/>
                <w:highlight w:val="none"/>
              </w:rPr>
              <w:t>相关配套工程等永久性工程（包括但不限于路基工程、桥隧（涵）工程、绿化、改路改沟工程），临时性工程（包括但不限于围堰、便道、便桥及工棚等）、临时设施（包括但不限于临时宿舍、临时仓库、临时办公场所、临时安全环保设施、临时给排水、临时供电设施等）、原材料、消耗性材料和周转性材料等工程材料、施工所需</w:t>
            </w:r>
            <w:r>
              <w:rPr>
                <w:rFonts w:hint="eastAsia" w:ascii="宋体" w:hAnsi="宋体" w:eastAsia="宋体" w:cs="宋体"/>
                <w:sz w:val="24"/>
                <w:szCs w:val="24"/>
                <w:highlight w:val="none"/>
                <w:lang w:val="en-US" w:eastAsia="zh-CN"/>
              </w:rPr>
              <w:t>临时</w:t>
            </w:r>
            <w:r>
              <w:rPr>
                <w:rFonts w:hint="eastAsia" w:ascii="宋体" w:hAnsi="宋体" w:eastAsia="宋体" w:cs="宋体"/>
                <w:sz w:val="24"/>
                <w:szCs w:val="24"/>
                <w:highlight w:val="none"/>
              </w:rPr>
              <w:t>的标志、标线、标牌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水马（隔离墩）</w:t>
            </w:r>
            <w:r>
              <w:rPr>
                <w:rFonts w:hint="eastAsia" w:ascii="宋体" w:hAnsi="宋体" w:eastAsia="宋体" w:cs="宋体"/>
                <w:sz w:val="24"/>
                <w:szCs w:val="24"/>
                <w:highlight w:val="none"/>
              </w:rPr>
              <w:t>等交通安全设施、维修养护设施、救援设施、安全环保和水电气供给设施等配套设施、现场机械设备和设施以及其他由业主保管或负责的财产等。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b w:val="0"/>
                <w:bCs w:val="0"/>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T4标</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b w:val="0"/>
                <w:bCs w:val="0"/>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T13标</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b w:val="0"/>
                <w:bCs w:val="0"/>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T5标-T8标UHPC桥面板运输、安装</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b w:val="0"/>
                <w:bCs w:val="0"/>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T3标</w:t>
            </w:r>
            <w:r>
              <w:rPr>
                <w:rFonts w:hint="eastAsia" w:ascii="宋体" w:hAnsi="宋体" w:eastAsia="宋体" w:cs="宋体"/>
                <w:color w:val="000000"/>
                <w:sz w:val="24"/>
                <w:szCs w:val="24"/>
                <w:highlight w:val="none"/>
                <w:lang w:bidi="ar"/>
              </w:rPr>
              <w:t>所有</w:t>
            </w:r>
            <w:r>
              <w:rPr>
                <w:rFonts w:hint="eastAsia" w:ascii="宋体" w:hAnsi="宋体" w:eastAsia="宋体" w:cs="宋体"/>
                <w:b w:val="0"/>
                <w:bCs w:val="0"/>
                <w:i w:val="0"/>
                <w:iCs w:val="0"/>
                <w:color w:val="000000"/>
                <w:kern w:val="2"/>
                <w:sz w:val="24"/>
                <w:szCs w:val="24"/>
                <w:highlight w:val="none"/>
                <w:u w:val="none"/>
                <w:lang w:val="en-US" w:eastAsia="zh-CN" w:bidi="ar"/>
              </w:rPr>
              <w:t>预制梁、板、钢混组合梁桥以及钢混组合梁桥面板的运输</w:t>
            </w:r>
            <w:r>
              <w:rPr>
                <w:rFonts w:hint="eastAsia" w:ascii="宋体" w:hAnsi="宋体" w:cs="宋体"/>
                <w:b w:val="0"/>
                <w:bCs w:val="0"/>
                <w:i w:val="0"/>
                <w:iCs w:val="0"/>
                <w:color w:val="000000"/>
                <w:kern w:val="2"/>
                <w:sz w:val="24"/>
                <w:szCs w:val="24"/>
                <w:highlight w:val="none"/>
                <w:u w:val="none"/>
                <w:lang w:val="en-US" w:eastAsia="zh-CN" w:bidi="ar"/>
              </w:rPr>
              <w:t>、</w:t>
            </w:r>
            <w:r>
              <w:rPr>
                <w:rFonts w:hint="eastAsia" w:ascii="宋体" w:hAnsi="宋体" w:eastAsia="宋体" w:cs="宋体"/>
                <w:b w:val="0"/>
                <w:bCs w:val="0"/>
                <w:i w:val="0"/>
                <w:iCs w:val="0"/>
                <w:color w:val="000000"/>
                <w:kern w:val="2"/>
                <w:sz w:val="24"/>
                <w:szCs w:val="24"/>
                <w:highlight w:val="none"/>
                <w:u w:val="none"/>
                <w:lang w:val="en-US" w:eastAsia="zh-CN" w:bidi="ar"/>
              </w:rPr>
              <w:t>安装</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9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BX-2</w:t>
            </w: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T3标</w:t>
            </w:r>
          </w:p>
        </w:tc>
        <w:tc>
          <w:tcPr>
            <w:tcW w:w="2437"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1.T3、T11土建工程、安装工程（不含</w:t>
            </w:r>
            <w:r>
              <w:rPr>
                <w:rFonts w:hint="eastAsia" w:ascii="宋体" w:hAnsi="宋体" w:eastAsia="宋体" w:cs="宋体"/>
                <w:b w:val="0"/>
                <w:bCs w:val="0"/>
                <w:i w:val="0"/>
                <w:iCs w:val="0"/>
                <w:color w:val="000000"/>
                <w:kern w:val="2"/>
                <w:sz w:val="24"/>
                <w:szCs w:val="24"/>
                <w:highlight w:val="none"/>
                <w:u w:val="none"/>
                <w:lang w:val="en-US" w:eastAsia="zh-CN" w:bidi="ar"/>
              </w:rPr>
              <w:t>T3预制梁、板、钢混组合梁桥以及钢混组合梁桥面板的运输</w:t>
            </w:r>
            <w:r>
              <w:rPr>
                <w:rFonts w:hint="eastAsia" w:ascii="宋体" w:hAnsi="宋体" w:cs="宋体"/>
                <w:b w:val="0"/>
                <w:bCs w:val="0"/>
                <w:i w:val="0"/>
                <w:iCs w:val="0"/>
                <w:color w:val="000000"/>
                <w:kern w:val="2"/>
                <w:sz w:val="24"/>
                <w:szCs w:val="24"/>
                <w:highlight w:val="none"/>
                <w:u w:val="none"/>
                <w:lang w:val="en-US" w:eastAsia="zh-CN" w:bidi="ar"/>
              </w:rPr>
              <w:t>、</w:t>
            </w:r>
            <w:r>
              <w:rPr>
                <w:rFonts w:hint="eastAsia" w:ascii="宋体" w:hAnsi="宋体" w:eastAsia="宋体" w:cs="宋体"/>
                <w:b w:val="0"/>
                <w:bCs w:val="0"/>
                <w:i w:val="0"/>
                <w:iCs w:val="0"/>
                <w:color w:val="000000"/>
                <w:kern w:val="2"/>
                <w:sz w:val="24"/>
                <w:szCs w:val="24"/>
                <w:highlight w:val="none"/>
                <w:u w:val="none"/>
                <w:lang w:val="en-US" w:eastAsia="zh-CN" w:bidi="ar"/>
              </w:rPr>
              <w:t>安装</w:t>
            </w:r>
            <w:r>
              <w:rPr>
                <w:rFonts w:hint="eastAsia"/>
                <w:highlight w:val="none"/>
                <w:lang w:val="en-US" w:eastAsia="zh-CN"/>
              </w:rPr>
              <w:t>）；</w:t>
            </w:r>
            <w:r>
              <w:rPr>
                <w:rFonts w:hint="eastAsia" w:ascii="宋体" w:hAnsi="宋体" w:cs="宋体"/>
                <w:strike w:val="0"/>
                <w:sz w:val="24"/>
                <w:szCs w:val="24"/>
                <w:highlight w:val="none"/>
                <w:u w:val="none"/>
                <w:lang w:val="en-US" w:eastAsia="zh-CN"/>
              </w:rPr>
              <w:t>T14标预制工程；</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2.</w:t>
            </w:r>
            <w:r>
              <w:rPr>
                <w:rFonts w:hint="eastAsia" w:ascii="宋体" w:hAnsi="宋体" w:eastAsia="宋体" w:cs="宋体"/>
                <w:b w:val="0"/>
                <w:bCs w:val="0"/>
                <w:i w:val="0"/>
                <w:iCs w:val="0"/>
                <w:color w:val="000000"/>
                <w:kern w:val="2"/>
                <w:sz w:val="24"/>
                <w:szCs w:val="24"/>
                <w:highlight w:val="none"/>
                <w:u w:val="none"/>
                <w:lang w:val="en-US" w:eastAsia="zh-CN" w:bidi="ar"/>
              </w:rPr>
              <w:t>T5标-T8标</w:t>
            </w:r>
            <w:r>
              <w:rPr>
                <w:rFonts w:hint="eastAsia" w:ascii="宋体" w:hAnsi="宋体" w:eastAsia="宋体" w:cs="宋体"/>
                <w:color w:val="000000"/>
                <w:sz w:val="24"/>
                <w:szCs w:val="24"/>
                <w:highlight w:val="none"/>
                <w:lang w:bidi="ar"/>
              </w:rPr>
              <w:t>所有</w:t>
            </w:r>
            <w:r>
              <w:rPr>
                <w:rFonts w:hint="eastAsia" w:ascii="宋体" w:hAnsi="宋体" w:eastAsia="宋体" w:cs="宋体"/>
                <w:b w:val="0"/>
                <w:bCs w:val="0"/>
                <w:i w:val="0"/>
                <w:iCs w:val="0"/>
                <w:color w:val="000000"/>
                <w:kern w:val="2"/>
                <w:sz w:val="24"/>
                <w:szCs w:val="24"/>
                <w:highlight w:val="none"/>
                <w:u w:val="none"/>
                <w:lang w:val="en-US" w:eastAsia="zh-CN" w:bidi="ar"/>
              </w:rPr>
              <w:t>预制梁、板、钢混组合梁桥以及钢混组合梁桥面板的运输、安装</w:t>
            </w:r>
            <w:r>
              <w:rPr>
                <w:rFonts w:hint="eastAsia"/>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3.G1标主塔钢壳及锚碇锚固系统制造和安装。</w:t>
            </w:r>
          </w:p>
          <w:p>
            <w:pPr>
              <w:pStyle w:val="2"/>
              <w:keepNext w:val="0"/>
              <w:keepLines w:val="0"/>
              <w:pageBreakBefore w:val="0"/>
              <w:tabs>
                <w:tab w:val="left" w:pos="0"/>
              </w:tabs>
              <w:kinsoku/>
              <w:wordWrap/>
              <w:overflowPunct/>
              <w:topLinePunct w:val="0"/>
              <w:autoSpaceDE/>
              <w:autoSpaceDN/>
              <w:bidi w:val="0"/>
              <w:spacing w:after="0" w:afterLines="0" w:line="240" w:lineRule="auto"/>
              <w:ind w:left="0" w:leftChars="0" w:right="0" w:rightChars="0"/>
              <w:jc w:val="left"/>
              <w:outlineLvl w:val="9"/>
              <w:rPr>
                <w:rFonts w:hint="default"/>
                <w:highlight w:val="none"/>
                <w:lang w:val="en-US" w:eastAsia="zh-CN"/>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color w:val="00000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9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T11标</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9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T14标</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2" w:hRule="atLeast"/>
          <w:jc w:val="center"/>
        </w:trPr>
        <w:tc>
          <w:tcPr>
            <w:tcW w:w="93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T5标-T8标</w:t>
            </w:r>
            <w:r>
              <w:rPr>
                <w:rFonts w:hint="eastAsia" w:ascii="宋体" w:hAnsi="宋体" w:eastAsia="宋体" w:cs="宋体"/>
                <w:color w:val="000000"/>
                <w:sz w:val="24"/>
                <w:szCs w:val="24"/>
                <w:highlight w:val="none"/>
                <w:lang w:bidi="ar"/>
              </w:rPr>
              <w:t>所有</w:t>
            </w:r>
            <w:r>
              <w:rPr>
                <w:rFonts w:hint="eastAsia" w:ascii="宋体" w:hAnsi="宋体" w:eastAsia="宋体" w:cs="宋体"/>
                <w:b w:val="0"/>
                <w:bCs w:val="0"/>
                <w:i w:val="0"/>
                <w:iCs w:val="0"/>
                <w:color w:val="000000"/>
                <w:kern w:val="2"/>
                <w:sz w:val="24"/>
                <w:szCs w:val="24"/>
                <w:highlight w:val="none"/>
                <w:u w:val="none"/>
                <w:lang w:val="en-US" w:eastAsia="zh-CN" w:bidi="ar"/>
              </w:rPr>
              <w:t>预制梁、板、钢混组合梁桥以及钢混组合梁桥面板的运输、安装</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G1标</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93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i w:val="0"/>
                <w:iCs w:val="0"/>
                <w:color w:val="000000"/>
                <w:sz w:val="24"/>
                <w:szCs w:val="24"/>
                <w:highlight w:val="none"/>
                <w:u w:val="none"/>
                <w:lang w:bidi="ar"/>
              </w:rPr>
            </w:pPr>
            <w:r>
              <w:rPr>
                <w:rFonts w:hint="eastAsia" w:ascii="宋体" w:hAnsi="宋体" w:eastAsia="宋体" w:cs="宋体"/>
                <w:b w:val="0"/>
                <w:bCs w:val="0"/>
                <w:i w:val="0"/>
                <w:iCs w:val="0"/>
                <w:color w:val="000000"/>
                <w:kern w:val="2"/>
                <w:sz w:val="24"/>
                <w:szCs w:val="24"/>
                <w:highlight w:val="none"/>
                <w:u w:val="none"/>
                <w:lang w:val="en-US" w:eastAsia="zh-CN" w:bidi="ar"/>
              </w:rPr>
              <w:t>BX-3</w:t>
            </w:r>
          </w:p>
        </w:tc>
        <w:tc>
          <w:tcPr>
            <w:tcW w:w="245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T12标</w:t>
            </w:r>
          </w:p>
        </w:tc>
        <w:tc>
          <w:tcPr>
            <w:tcW w:w="2437"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trike w:val="0"/>
                <w:sz w:val="24"/>
                <w:szCs w:val="24"/>
                <w:highlight w:val="none"/>
                <w:lang w:eastAsia="zh-CN"/>
              </w:rPr>
            </w:pPr>
            <w:r>
              <w:rPr>
                <w:rFonts w:hint="eastAsia" w:ascii="宋体" w:hAnsi="宋体" w:eastAsia="宋体" w:cs="宋体"/>
                <w:sz w:val="24"/>
                <w:szCs w:val="24"/>
                <w:highlight w:val="none"/>
                <w:lang w:val="en-US" w:eastAsia="zh-CN"/>
              </w:rPr>
              <w:t>1.T12</w:t>
            </w:r>
            <w:r>
              <w:rPr>
                <w:rFonts w:hint="eastAsia" w:ascii="宋体" w:hAnsi="宋体" w:eastAsia="宋体" w:cs="宋体"/>
                <w:sz w:val="24"/>
                <w:szCs w:val="24"/>
                <w:highlight w:val="none"/>
              </w:rPr>
              <w:t>土建工程、</w:t>
            </w:r>
            <w:r>
              <w:rPr>
                <w:rFonts w:hint="eastAsia" w:ascii="宋体" w:hAnsi="宋体" w:eastAsia="宋体" w:cs="宋体"/>
                <w:strike w:val="0"/>
                <w:sz w:val="24"/>
                <w:szCs w:val="24"/>
                <w:highlight w:val="none"/>
              </w:rPr>
              <w:t>安装工程</w:t>
            </w:r>
            <w:r>
              <w:rPr>
                <w:rFonts w:hint="eastAsia" w:ascii="宋体" w:hAnsi="宋体" w:eastAsia="宋体" w:cs="宋体"/>
                <w:strike w:val="0"/>
                <w:sz w:val="24"/>
                <w:szCs w:val="24"/>
                <w:highlight w:val="none"/>
                <w:lang w:eastAsia="zh-CN"/>
              </w:rPr>
              <w:t>；</w:t>
            </w:r>
            <w:r>
              <w:rPr>
                <w:rFonts w:hint="eastAsia" w:ascii="宋体" w:hAnsi="宋体" w:cs="宋体"/>
                <w:strike w:val="0"/>
                <w:sz w:val="24"/>
                <w:szCs w:val="24"/>
                <w:highlight w:val="none"/>
                <w:u w:val="none"/>
                <w:lang w:val="en-US" w:eastAsia="zh-CN"/>
              </w:rPr>
              <w:t>T15、T16标预制工程</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color w:val="000000"/>
                <w:sz w:val="24"/>
                <w:szCs w:val="24"/>
                <w:highlight w:val="none"/>
                <w:lang w:val="en-US" w:eastAsia="zh-CN" w:bidi="ar"/>
              </w:rPr>
              <w:t>2.</w:t>
            </w:r>
            <w:r>
              <w:rPr>
                <w:rFonts w:hint="eastAsia" w:ascii="宋体" w:hAnsi="宋体" w:eastAsia="宋体" w:cs="宋体"/>
                <w:color w:val="000000"/>
                <w:sz w:val="24"/>
                <w:szCs w:val="24"/>
                <w:highlight w:val="none"/>
                <w:lang w:bidi="ar"/>
              </w:rPr>
              <w:t>T9～T1</w:t>
            </w:r>
            <w:r>
              <w:rPr>
                <w:rFonts w:hint="eastAsia" w:ascii="宋体" w:hAnsi="宋体" w:eastAsia="宋体" w:cs="宋体"/>
                <w:color w:val="000000"/>
                <w:sz w:val="24"/>
                <w:szCs w:val="24"/>
                <w:highlight w:val="none"/>
                <w:lang w:val="en-US" w:eastAsia="zh-CN" w:bidi="ar"/>
              </w:rPr>
              <w:t>2</w:t>
            </w:r>
            <w:r>
              <w:rPr>
                <w:rFonts w:hint="eastAsia" w:ascii="宋体" w:hAnsi="宋体" w:eastAsia="宋体" w:cs="宋体"/>
                <w:color w:val="000000"/>
                <w:sz w:val="24"/>
                <w:szCs w:val="24"/>
                <w:highlight w:val="none"/>
                <w:lang w:bidi="ar"/>
              </w:rPr>
              <w:t>标所有</w:t>
            </w:r>
            <w:r>
              <w:rPr>
                <w:rFonts w:hint="eastAsia" w:ascii="宋体" w:hAnsi="宋体" w:eastAsia="宋体" w:cs="宋体"/>
                <w:color w:val="000000"/>
                <w:sz w:val="24"/>
                <w:szCs w:val="24"/>
                <w:highlight w:val="none"/>
                <w:lang w:val="en-US" w:eastAsia="zh-CN" w:bidi="ar"/>
              </w:rPr>
              <w:t>预制</w:t>
            </w:r>
            <w:r>
              <w:rPr>
                <w:rFonts w:hint="eastAsia" w:ascii="宋体" w:hAnsi="宋体" w:eastAsia="宋体" w:cs="宋体"/>
                <w:color w:val="000000"/>
                <w:sz w:val="24"/>
                <w:szCs w:val="24"/>
                <w:highlight w:val="none"/>
                <w:lang w:bidi="ar"/>
              </w:rPr>
              <w:t>梁板</w:t>
            </w:r>
            <w:r>
              <w:rPr>
                <w:rFonts w:hint="eastAsia" w:ascii="宋体" w:hAnsi="宋体" w:eastAsia="宋体" w:cs="宋体"/>
                <w:color w:val="000000"/>
                <w:sz w:val="24"/>
                <w:szCs w:val="24"/>
                <w:highlight w:val="none"/>
                <w:lang w:eastAsia="zh-CN" w:bidi="ar"/>
              </w:rPr>
              <w:t>、</w:t>
            </w:r>
            <w:r>
              <w:rPr>
                <w:rFonts w:hint="eastAsia" w:ascii="宋体" w:hAnsi="宋体" w:eastAsia="宋体" w:cs="宋体"/>
                <w:color w:val="000000"/>
                <w:sz w:val="24"/>
                <w:szCs w:val="24"/>
                <w:highlight w:val="none"/>
                <w:lang w:val="en-US" w:eastAsia="zh-CN" w:bidi="ar"/>
              </w:rPr>
              <w:t>钢混组合梁桥以及</w:t>
            </w:r>
            <w:r>
              <w:rPr>
                <w:rFonts w:hint="eastAsia" w:ascii="宋体" w:hAnsi="宋体" w:eastAsia="宋体" w:cs="宋体"/>
                <w:b w:val="0"/>
                <w:bCs w:val="0"/>
                <w:i w:val="0"/>
                <w:iCs w:val="0"/>
                <w:color w:val="000000"/>
                <w:kern w:val="2"/>
                <w:sz w:val="24"/>
                <w:szCs w:val="24"/>
                <w:highlight w:val="none"/>
                <w:u w:val="none"/>
                <w:lang w:val="en-US" w:eastAsia="zh-CN" w:bidi="ar"/>
              </w:rPr>
              <w:t>钢混组合梁桥面板的运输、安装；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color w:val="000000"/>
                <w:sz w:val="24"/>
                <w:szCs w:val="24"/>
                <w:highlight w:val="none"/>
                <w:lang w:val="en-US" w:eastAsia="zh-CN" w:bidi="ar"/>
              </w:rPr>
              <w:t>3.</w:t>
            </w:r>
            <w:r>
              <w:rPr>
                <w:rFonts w:hint="eastAsia" w:ascii="宋体" w:hAnsi="宋体" w:eastAsia="宋体" w:cs="宋体"/>
                <w:color w:val="000000"/>
                <w:sz w:val="24"/>
                <w:szCs w:val="24"/>
                <w:highlight w:val="none"/>
                <w:lang w:bidi="ar"/>
              </w:rPr>
              <w:t>CA-RPC桥面板</w:t>
            </w:r>
            <w:r>
              <w:rPr>
                <w:rFonts w:hint="eastAsia" w:ascii="宋体" w:hAnsi="宋体" w:eastAsia="宋体" w:cs="宋体"/>
                <w:color w:val="000000"/>
                <w:sz w:val="24"/>
                <w:szCs w:val="24"/>
                <w:highlight w:val="none"/>
                <w:lang w:val="en-US" w:eastAsia="zh-CN" w:bidi="ar"/>
              </w:rPr>
              <w:t>的运输、安装；</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ascii="宋体" w:hAnsi="宋体" w:eastAsia="宋体" w:cs="宋体"/>
                <w:color w:val="000000"/>
                <w:sz w:val="24"/>
                <w:szCs w:val="24"/>
                <w:highlight w:val="none"/>
                <w:lang w:val="en-US" w:eastAsia="zh-CN" w:bidi="ar"/>
              </w:rPr>
              <w:t>4.</w:t>
            </w:r>
            <w:r>
              <w:rPr>
                <w:rFonts w:hint="eastAsia"/>
                <w:highlight w:val="none"/>
                <w:lang w:val="en-US" w:eastAsia="zh-CN"/>
              </w:rPr>
              <w:t>G2标主塔钢壳及锚碇锚固系统制造和安装。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color w:val="00000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T15标</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b w:val="0"/>
                <w:bCs w:val="0"/>
                <w:i w:val="0"/>
                <w:iCs w:val="0"/>
                <w:color w:val="000000"/>
                <w:kern w:val="2"/>
                <w:sz w:val="24"/>
                <w:szCs w:val="24"/>
                <w:highlight w:val="none"/>
                <w:u w:val="none"/>
                <w:lang w:val="en-US" w:eastAsia="zh-CN" w:bidi="ar"/>
              </w:rPr>
              <w:t>T16标</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宋体" w:hAnsi="宋体" w:eastAsia="宋体" w:cs="宋体"/>
                <w:i w:val="0"/>
                <w:iCs w:val="0"/>
                <w:color w:val="000000"/>
                <w:sz w:val="24"/>
                <w:szCs w:val="24"/>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r>
              <w:rPr>
                <w:rFonts w:hint="eastAsia" w:ascii="宋体" w:hAnsi="宋体" w:eastAsia="宋体" w:cs="宋体"/>
                <w:color w:val="000000"/>
                <w:sz w:val="24"/>
                <w:szCs w:val="24"/>
                <w:highlight w:val="none"/>
                <w:lang w:bidi="ar"/>
              </w:rPr>
              <w:t>T9～T1</w:t>
            </w:r>
            <w:r>
              <w:rPr>
                <w:rFonts w:hint="eastAsia" w:ascii="宋体" w:hAnsi="宋体" w:eastAsia="宋体" w:cs="宋体"/>
                <w:color w:val="000000"/>
                <w:sz w:val="24"/>
                <w:szCs w:val="24"/>
                <w:highlight w:val="none"/>
                <w:lang w:val="en-US" w:eastAsia="zh-CN" w:bidi="ar"/>
              </w:rPr>
              <w:t>2</w:t>
            </w:r>
            <w:r>
              <w:rPr>
                <w:rFonts w:hint="eastAsia" w:ascii="宋体" w:hAnsi="宋体" w:eastAsia="宋体" w:cs="宋体"/>
                <w:color w:val="000000"/>
                <w:sz w:val="24"/>
                <w:szCs w:val="24"/>
                <w:highlight w:val="none"/>
                <w:lang w:bidi="ar"/>
              </w:rPr>
              <w:t>标所有</w:t>
            </w:r>
            <w:r>
              <w:rPr>
                <w:rFonts w:hint="eastAsia" w:ascii="宋体" w:hAnsi="宋体" w:eastAsia="宋体" w:cs="宋体"/>
                <w:color w:val="000000"/>
                <w:sz w:val="24"/>
                <w:szCs w:val="24"/>
                <w:highlight w:val="none"/>
                <w:lang w:val="en-US" w:eastAsia="zh-CN" w:bidi="ar"/>
              </w:rPr>
              <w:t>预制</w:t>
            </w:r>
            <w:r>
              <w:rPr>
                <w:rFonts w:hint="eastAsia" w:ascii="宋体" w:hAnsi="宋体" w:eastAsia="宋体" w:cs="宋体"/>
                <w:color w:val="000000"/>
                <w:sz w:val="24"/>
                <w:szCs w:val="24"/>
                <w:highlight w:val="none"/>
                <w:lang w:bidi="ar"/>
              </w:rPr>
              <w:t>梁板</w:t>
            </w:r>
            <w:r>
              <w:rPr>
                <w:rFonts w:hint="eastAsia" w:ascii="宋体" w:hAnsi="宋体" w:eastAsia="宋体" w:cs="宋体"/>
                <w:color w:val="000000"/>
                <w:sz w:val="24"/>
                <w:szCs w:val="24"/>
                <w:highlight w:val="none"/>
                <w:lang w:eastAsia="zh-CN" w:bidi="ar"/>
              </w:rPr>
              <w:t>、</w:t>
            </w:r>
            <w:r>
              <w:rPr>
                <w:rFonts w:hint="eastAsia" w:ascii="宋体" w:hAnsi="宋体" w:eastAsia="宋体" w:cs="宋体"/>
                <w:color w:val="000000"/>
                <w:sz w:val="24"/>
                <w:szCs w:val="24"/>
                <w:highlight w:val="none"/>
                <w:lang w:val="en-US" w:eastAsia="zh-CN" w:bidi="ar"/>
              </w:rPr>
              <w:t>钢混组合梁桥以及</w:t>
            </w:r>
            <w:r>
              <w:rPr>
                <w:rFonts w:hint="eastAsia" w:ascii="宋体" w:hAnsi="宋体" w:eastAsia="宋体" w:cs="宋体"/>
                <w:b w:val="0"/>
                <w:bCs w:val="0"/>
                <w:i w:val="0"/>
                <w:iCs w:val="0"/>
                <w:color w:val="000000"/>
                <w:kern w:val="2"/>
                <w:sz w:val="24"/>
                <w:szCs w:val="24"/>
                <w:highlight w:val="none"/>
                <w:u w:val="none"/>
                <w:lang w:val="en-US" w:eastAsia="zh-CN" w:bidi="ar"/>
              </w:rPr>
              <w:t>钢混组合梁桥面板的运输、安装</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i w:val="0"/>
                <w:iCs w:val="0"/>
                <w:color w:val="000000"/>
                <w:kern w:val="2"/>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Times New Roman" w:hAnsi="Times New Roman" w:eastAsia="宋体" w:cs="Times New Roman"/>
                <w:i w:val="0"/>
                <w:iCs w:val="0"/>
                <w:color w:val="000000"/>
                <w:sz w:val="21"/>
                <w:szCs w:val="21"/>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eastAsia" w:ascii="宋体" w:hAnsi="宋体" w:eastAsia="宋体" w:cs="宋体"/>
                <w:color w:val="000000"/>
                <w:sz w:val="24"/>
                <w:szCs w:val="24"/>
                <w:highlight w:val="none"/>
                <w:lang w:bidi="ar"/>
              </w:rPr>
            </w:pPr>
            <w:r>
              <w:rPr>
                <w:rFonts w:hint="eastAsia" w:ascii="宋体" w:hAnsi="宋体" w:eastAsia="宋体" w:cs="宋体"/>
                <w:color w:val="000000"/>
                <w:sz w:val="24"/>
                <w:szCs w:val="24"/>
                <w:highlight w:val="none"/>
                <w:lang w:bidi="ar"/>
              </w:rPr>
              <w:t>CA-RPC桥面板</w:t>
            </w:r>
            <w:r>
              <w:rPr>
                <w:rFonts w:hint="eastAsia" w:ascii="宋体" w:hAnsi="宋体" w:eastAsia="宋体" w:cs="宋体"/>
                <w:color w:val="000000"/>
                <w:sz w:val="24"/>
                <w:szCs w:val="24"/>
                <w:highlight w:val="none"/>
                <w:lang w:val="en-US" w:eastAsia="zh-CN" w:bidi="ar"/>
              </w:rPr>
              <w:t>的运输、安装</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imes New Roman" w:hAnsi="Times New Roman" w:eastAsia="宋体" w:cs="Times New Roman"/>
                <w:b w:val="0"/>
                <w:bCs w:val="0"/>
                <w:i w:val="0"/>
                <w:iCs w:val="0"/>
                <w:color w:val="000000"/>
                <w:kern w:val="2"/>
                <w:sz w:val="21"/>
                <w:szCs w:val="21"/>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imes New Roman" w:hAnsi="Times New Roman" w:eastAsia="宋体" w:cs="Times New Roman"/>
                <w:b w:val="0"/>
                <w:bCs w:val="0"/>
                <w:i w:val="0"/>
                <w:iCs w:val="0"/>
                <w:color w:val="000000"/>
                <w:kern w:val="2"/>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9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outlineLvl w:val="9"/>
              <w:rPr>
                <w:rFonts w:hint="eastAsia" w:ascii="Times New Roman" w:hAnsi="Times New Roman" w:eastAsia="宋体" w:cs="Times New Roman"/>
                <w:i w:val="0"/>
                <w:iCs w:val="0"/>
                <w:color w:val="000000"/>
                <w:sz w:val="21"/>
                <w:szCs w:val="21"/>
                <w:highlight w:val="none"/>
                <w:u w:val="none"/>
                <w:lang w:bidi="ar"/>
              </w:rPr>
            </w:pPr>
          </w:p>
        </w:tc>
        <w:tc>
          <w:tcPr>
            <w:tcW w:w="2455" w:type="dxa"/>
            <w:vAlign w:val="center"/>
          </w:tcPr>
          <w:p>
            <w:pPr>
              <w:keepNext w:val="0"/>
              <w:keepLines w:val="0"/>
              <w:pageBreakBefore w:val="0"/>
              <w:widowControl w:val="0"/>
              <w:suppressLineNumbers w:val="0"/>
              <w:kinsoku/>
              <w:wordWrap/>
              <w:overflowPunct/>
              <w:topLinePunct w:val="0"/>
              <w:autoSpaceDE/>
              <w:autoSpaceDN/>
              <w:bidi w:val="0"/>
              <w:spacing w:line="240" w:lineRule="auto"/>
              <w:ind w:left="0" w:leftChars="0" w:right="0" w:rightChars="0"/>
              <w:jc w:val="center"/>
              <w:textAlignment w:val="auto"/>
              <w:outlineLvl w:val="9"/>
              <w:rPr>
                <w:rFonts w:hint="default"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G2</w:t>
            </w:r>
          </w:p>
        </w:tc>
        <w:tc>
          <w:tcPr>
            <w:tcW w:w="2437"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imes New Roman" w:hAnsi="Times New Roman" w:eastAsia="宋体" w:cs="Times New Roman"/>
                <w:b w:val="0"/>
                <w:bCs w:val="0"/>
                <w:i w:val="0"/>
                <w:iCs w:val="0"/>
                <w:color w:val="000000"/>
                <w:kern w:val="2"/>
                <w:sz w:val="21"/>
                <w:szCs w:val="21"/>
                <w:highlight w:val="none"/>
                <w:u w:val="none"/>
                <w:lang w:val="en-US" w:eastAsia="zh-CN" w:bidi="ar"/>
              </w:rPr>
            </w:pPr>
          </w:p>
        </w:tc>
        <w:tc>
          <w:tcPr>
            <w:tcW w:w="2392"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imes New Roman" w:hAnsi="Times New Roman" w:eastAsia="宋体" w:cs="Times New Roman"/>
                <w:b w:val="0"/>
                <w:bCs w:val="0"/>
                <w:i w:val="0"/>
                <w:iCs w:val="0"/>
                <w:color w:val="000000"/>
                <w:kern w:val="2"/>
                <w:sz w:val="21"/>
                <w:szCs w:val="21"/>
                <w:highlight w:val="none"/>
                <w:u w:val="none"/>
                <w:lang w:val="en-US" w:eastAsia="zh-CN" w:bidi="ar"/>
              </w:rPr>
            </w:pPr>
          </w:p>
        </w:tc>
      </w:tr>
    </w:tbl>
    <w:p>
      <w:pPr>
        <w:pStyle w:val="5"/>
        <w:bidi w:val="0"/>
        <w:ind w:firstLine="0" w:firstLineChars="0"/>
        <w:rPr>
          <w:rFonts w:hint="eastAsia" w:ascii="宋体" w:hAnsi="宋体" w:eastAsia="宋体" w:cs="Times New Roman"/>
          <w:color w:val="auto"/>
          <w:sz w:val="24"/>
          <w:szCs w:val="24"/>
          <w:highlight w:val="none"/>
        </w:rPr>
      </w:pPr>
    </w:p>
    <w:p>
      <w:pPr>
        <w:adjustRightInd w:val="0"/>
        <w:snapToGrid w:val="0"/>
        <w:spacing w:beforeLines="0" w:afterLines="0" w:line="360" w:lineRule="auto"/>
        <w:ind w:firstLine="482" w:firstLineChars="200"/>
        <w:jc w:val="left"/>
        <w:rPr>
          <w:rFonts w:hint="eastAsia" w:ascii="宋体" w:hAnsi="宋体" w:cs="宋体"/>
          <w:b w:val="0"/>
          <w:color w:val="auto"/>
          <w:sz w:val="24"/>
          <w:szCs w:val="20"/>
          <w:highlight w:val="none"/>
        </w:rPr>
      </w:pPr>
      <w:r>
        <w:rPr>
          <w:rFonts w:hint="eastAsia" w:ascii="宋体" w:hAnsi="宋体"/>
          <w:b/>
          <w:color w:val="auto"/>
          <w:sz w:val="24"/>
          <w:szCs w:val="24"/>
          <w:highlight w:val="none"/>
        </w:rPr>
        <w:t>3.</w:t>
      </w:r>
      <w:r>
        <w:rPr>
          <w:rFonts w:hint="default" w:ascii="宋体" w:hAnsi="宋体"/>
          <w:b/>
          <w:color w:val="auto"/>
          <w:sz w:val="24"/>
          <w:szCs w:val="24"/>
          <w:highlight w:val="none"/>
        </w:rPr>
        <w:t>投标人资格要求</w:t>
      </w:r>
    </w:p>
    <w:p>
      <w:pPr>
        <w:adjustRightInd w:val="0"/>
        <w:snapToGrid w:val="0"/>
        <w:spacing w:beforeLines="0" w:afterLines="0"/>
        <w:ind w:firstLine="480" w:firstLineChars="200"/>
        <w:jc w:val="left"/>
        <w:rPr>
          <w:rFonts w:hint="eastAsia" w:ascii="宋体" w:hAnsi="宋体" w:cs="宋体"/>
          <w:color w:val="auto"/>
          <w:szCs w:val="20"/>
          <w:highlight w:val="none"/>
          <w:lang w:val="en-US"/>
        </w:rPr>
      </w:pPr>
      <w:r>
        <w:rPr>
          <w:rFonts w:hint="eastAsia" w:ascii="宋体" w:hAnsi="宋体" w:cs="宋体"/>
          <w:color w:val="auto"/>
          <w:szCs w:val="20"/>
          <w:highlight w:val="none"/>
          <w:lang w:eastAsia="zh-CN"/>
        </w:rPr>
        <w:t>3.1投标人</w:t>
      </w:r>
      <w:r>
        <w:rPr>
          <w:rFonts w:hint="eastAsia" w:ascii="宋体" w:hAnsi="宋体" w:cs="宋体"/>
          <w:color w:val="auto"/>
          <w:szCs w:val="20"/>
          <w:highlight w:val="none"/>
          <w:lang w:val="en-US" w:eastAsia="zh-CN"/>
        </w:rPr>
        <w:t>须</w:t>
      </w:r>
      <w:r>
        <w:rPr>
          <w:rFonts w:hint="eastAsia" w:ascii="宋体" w:hAnsi="宋体" w:cs="宋体"/>
          <w:color w:val="auto"/>
          <w:szCs w:val="20"/>
          <w:highlight w:val="none"/>
          <w:lang w:eastAsia="zh-CN"/>
        </w:rPr>
        <w:t>具有独立法人资格，</w:t>
      </w:r>
      <w:r>
        <w:rPr>
          <w:rFonts w:hint="eastAsia" w:ascii="宋体" w:hAnsi="宋体" w:cs="宋体"/>
          <w:color w:val="auto"/>
          <w:szCs w:val="20"/>
          <w:highlight w:val="none"/>
          <w:lang w:val="en-US" w:eastAsia="zh-CN"/>
        </w:rPr>
        <w:t>且满足资格审查条件要求（</w:t>
      </w:r>
      <w:r>
        <w:rPr>
          <w:rFonts w:hint="eastAsia" w:ascii="宋体" w:hAnsi="宋体" w:cs="宋体"/>
          <w:color w:val="auto"/>
          <w:szCs w:val="20"/>
          <w:highlight w:val="none"/>
          <w:lang w:eastAsia="zh-CN"/>
        </w:rPr>
        <w:t>详见</w:t>
      </w:r>
      <w:r>
        <w:rPr>
          <w:rFonts w:hint="eastAsia" w:ascii="宋体" w:hAnsi="宋体" w:cs="宋体"/>
          <w:color w:val="auto"/>
          <w:szCs w:val="20"/>
          <w:highlight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与招标人有隶属关系的单位以及其他与本项目有利益冲突的单位不得参加本次投标活动；</w:t>
      </w:r>
    </w:p>
    <w:p>
      <w:pPr>
        <w:spacing w:beforeLines="0" w:afterLines="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本次招标不接受联合体投标</w:t>
      </w:r>
      <w:r>
        <w:rPr>
          <w:rFonts w:hint="eastAsia" w:ascii="宋体" w:hAnsi="宋体" w:cs="宋体"/>
          <w:color w:val="auto"/>
          <w:sz w:val="24"/>
          <w:highlight w:val="none"/>
          <w:lang w:eastAsia="zh-CN"/>
        </w:rPr>
        <w:t>，</w:t>
      </w:r>
      <w:r>
        <w:rPr>
          <w:rFonts w:hint="eastAsia" w:ascii="宋体" w:hAnsi="宋体" w:cs="宋体"/>
          <w:color w:val="auto"/>
          <w:highlight w:val="none"/>
        </w:rPr>
        <w:t>包括同一法人单位的两家或两家以上分支机构组成的联合体或不同法人单位的保险人组成的联合体</w:t>
      </w:r>
      <w:r>
        <w:rPr>
          <w:rFonts w:hint="eastAsia" w:ascii="宋体" w:hAnsi="宋体" w:cs="宋体"/>
          <w:color w:val="auto"/>
          <w:sz w:val="24"/>
          <w:highlight w:val="none"/>
          <w:lang w:eastAsia="zh-CN"/>
        </w:rPr>
        <w:t>；</w:t>
      </w:r>
    </w:p>
    <w:p>
      <w:pPr>
        <w:spacing w:beforeLines="0" w:afterLines="0"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与招标人存在利害关系可能影响招标公正性的法人、其他组织或者个人，不得参加投标。若单位负责人[单位负责人是指单位的法定代表人或者法律、行政法规规定代表单位行使职权的主要负责人。]为同一人、或者存在控股[控股是指：股份占股份有限公司股本总额的50%以上的绝对控股、相对控股或协议控股。]、管理关系[管理关系是指不具有出资持股关系的其它单位之间存在的管理与被管理关系。]的不同单位，不得参加同一标段投标或者未划分标段的同一招标项目投标，否则按否决其投标处理</w:t>
      </w:r>
      <w:r>
        <w:rPr>
          <w:rFonts w:hint="eastAsia" w:ascii="宋体" w:hAnsi="宋体" w:cs="宋体"/>
          <w:color w:val="auto"/>
          <w:sz w:val="24"/>
          <w:highlight w:val="none"/>
          <w:lang w:eastAsia="zh-CN"/>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在“信用中国”网站（http://www.creditchina.gov.cn/）中被列入失信被执行人名单的投标人，在国家企业信用公示系统（www.gsxt.gov.cn）中被列入严重违法失信企业名单的投标人（投标人为事业单位除外），均按否决投标处理</w:t>
      </w:r>
      <w:r>
        <w:rPr>
          <w:rFonts w:hint="eastAsia" w:ascii="宋体" w:hAnsi="宋体" w:cs="宋体"/>
          <w:color w:val="auto"/>
          <w:sz w:val="24"/>
          <w:highlight w:val="none"/>
          <w:lang w:eastAsia="zh-CN"/>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投标人还应在广州公共资源交易中心办理投标企业信息登记，并下载填写《投标登记申请表》</w:t>
      </w:r>
      <w:r>
        <w:rPr>
          <w:rFonts w:hint="eastAsia" w:ascii="宋体" w:hAnsi="宋体" w:cs="宋体"/>
          <w:color w:val="auto"/>
          <w:sz w:val="24"/>
          <w:highlight w:val="none"/>
          <w:lang w:eastAsia="zh-CN"/>
        </w:rPr>
        <w:t>，</w:t>
      </w:r>
      <w:r>
        <w:rPr>
          <w:rFonts w:hint="eastAsia" w:ascii="宋体" w:hAnsi="宋体" w:cs="宋体"/>
          <w:color w:val="auto"/>
          <w:sz w:val="24"/>
          <w:highlight w:val="none"/>
        </w:rPr>
        <w:t>无信息登记的投标登记将不予受理。信息登记的办理详情参见广州公共资源交易中心网站（http://www.gzzb.gd.cn）服务指南栏目。</w:t>
      </w:r>
    </w:p>
    <w:p>
      <w:pPr>
        <w:ind w:firstLine="480" w:firstLineChars="200"/>
        <w:jc w:val="left"/>
        <w:rPr>
          <w:rFonts w:hint="eastAsia" w:ascii="宋体" w:hAnsi="宋体" w:eastAsia="宋体" w:cs="宋体"/>
          <w:color w:val="auto"/>
          <w:sz w:val="24"/>
          <w:szCs w:val="22"/>
          <w:highlight w:val="none"/>
        </w:rPr>
      </w:pPr>
      <w:r>
        <w:rPr>
          <w:rFonts w:hint="eastAsia" w:ascii="宋体" w:hAnsi="宋体" w:cs="宋体"/>
          <w:color w:val="auto"/>
          <w:sz w:val="24"/>
          <w:highlight w:val="none"/>
          <w:lang w:val="en-US" w:eastAsia="zh-CN"/>
        </w:rPr>
        <w:t>3.7</w:t>
      </w:r>
      <w:r>
        <w:rPr>
          <w:rFonts w:hint="default" w:ascii="宋体" w:hAnsi="宋体" w:eastAsia="宋体" w:cs="宋体"/>
          <w:b w:val="0"/>
          <w:bCs w:val="0"/>
          <w:color w:val="auto"/>
          <w:sz w:val="24"/>
          <w:szCs w:val="24"/>
          <w:highlight w:val="none"/>
          <w:u w:val="none"/>
          <w:lang w:val="en-US" w:eastAsia="zh-CN"/>
        </w:rPr>
        <w:t>本次招标中，满足3.1款要求的投标人</w:t>
      </w:r>
      <w:r>
        <w:rPr>
          <w:rFonts w:hint="default" w:ascii="宋体" w:hAnsi="宋体" w:cs="宋体"/>
          <w:b w:val="0"/>
          <w:bCs w:val="0"/>
          <w:color w:val="auto"/>
          <w:sz w:val="24"/>
          <w:szCs w:val="24"/>
          <w:highlight w:val="none"/>
          <w:u w:val="none"/>
          <w:lang w:val="en-US" w:eastAsia="zh-CN"/>
        </w:rPr>
        <w:t>可最多</w:t>
      </w:r>
      <w:r>
        <w:rPr>
          <w:rFonts w:hint="default" w:ascii="宋体" w:hAnsi="宋体" w:eastAsia="宋体" w:cs="宋体"/>
          <w:b w:val="0"/>
          <w:bCs w:val="0"/>
          <w:color w:val="auto"/>
          <w:sz w:val="24"/>
          <w:szCs w:val="24"/>
          <w:highlight w:val="none"/>
          <w:u w:val="none"/>
          <w:lang w:val="en-US" w:eastAsia="zh-CN"/>
        </w:rPr>
        <w:t>同时对3个合同段提出投标申请，但最多只能中一个标</w:t>
      </w:r>
      <w:r>
        <w:rPr>
          <w:rFonts w:hint="default" w:ascii="宋体" w:hAnsi="宋体" w:cs="宋体"/>
          <w:b w:val="0"/>
          <w:bCs w:val="0"/>
          <w:color w:val="auto"/>
          <w:sz w:val="24"/>
          <w:szCs w:val="24"/>
          <w:highlight w:val="none"/>
          <w:u w:val="none"/>
          <w:lang w:val="en-US" w:eastAsia="zh-CN"/>
        </w:rPr>
        <w:t>，</w:t>
      </w:r>
      <w:r>
        <w:rPr>
          <w:rFonts w:hint="default" w:ascii="宋体" w:hAnsi="宋体" w:cs="宋体"/>
          <w:color w:val="auto"/>
          <w:sz w:val="24"/>
          <w:szCs w:val="24"/>
          <w:highlight w:val="none"/>
          <w:u w:val="none"/>
        </w:rPr>
        <w:t>投标人在报名时只须购买一份招标文件</w:t>
      </w:r>
      <w:r>
        <w:rPr>
          <w:rFonts w:hint="eastAsia" w:ascii="宋体" w:hAnsi="宋体" w:eastAsia="宋体" w:cs="宋体"/>
          <w:color w:val="auto"/>
          <w:sz w:val="24"/>
          <w:szCs w:val="22"/>
          <w:highlight w:val="none"/>
        </w:rPr>
        <w:t>。</w:t>
      </w:r>
    </w:p>
    <w:p>
      <w:pPr>
        <w:ind w:firstLine="480" w:firstLineChars="200"/>
        <w:jc w:val="left"/>
        <w:rPr>
          <w:rFonts w:hint="default" w:eastAsia="宋体"/>
          <w:color w:val="auto"/>
          <w:highlight w:val="none"/>
          <w:lang w:val="en-US" w:eastAsia="zh-CN"/>
        </w:rPr>
      </w:pPr>
      <w:r>
        <w:rPr>
          <w:rFonts w:hint="eastAsia" w:ascii="宋体" w:hAnsi="宋体" w:cs="宋体"/>
          <w:color w:val="auto"/>
          <w:sz w:val="24"/>
          <w:szCs w:val="22"/>
          <w:highlight w:val="none"/>
          <w:lang w:val="en-US" w:eastAsia="zh-CN"/>
        </w:rPr>
        <w:t>3.8投标登记时，若出现多个投标人出具同一家保险总公司唯一授权书的，以第一家投标登记的投标人为准，其他投标人的唯一授权书视为无效。</w:t>
      </w:r>
    </w:p>
    <w:p>
      <w:pPr>
        <w:tabs>
          <w:tab w:val="left" w:pos="3240"/>
        </w:tabs>
        <w:adjustRightInd w:val="0"/>
        <w:snapToGrid w:val="0"/>
        <w:spacing w:line="360" w:lineRule="auto"/>
        <w:ind w:firstLine="482" w:firstLineChars="200"/>
        <w:jc w:val="left"/>
        <w:rPr>
          <w:rFonts w:ascii="宋体"/>
          <w:b/>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招标文件的获取</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.1请有意向的保险公司于下述时间和地点</w:t>
      </w:r>
      <w:r>
        <w:rPr>
          <w:rFonts w:hint="eastAsia" w:ascii="宋体" w:hAnsi="宋体" w:cs="宋体"/>
          <w:color w:val="auto"/>
          <w:sz w:val="24"/>
          <w:highlight w:val="none"/>
          <w:lang w:val="en-US" w:eastAsia="zh-CN"/>
        </w:rPr>
        <w:t>进行投标登记</w:t>
      </w:r>
      <w:r>
        <w:rPr>
          <w:rFonts w:hint="eastAsia" w:ascii="宋体" w:hAnsi="宋体" w:cs="宋体"/>
          <w:color w:val="auto"/>
          <w:sz w:val="24"/>
          <w:highlight w:val="none"/>
        </w:rPr>
        <w:t>：</w:t>
      </w:r>
    </w:p>
    <w:p>
      <w:pPr>
        <w:bidi w:val="0"/>
        <w:spacing w:beforeLines="0" w:afterLines="0"/>
        <w:ind w:firstLine="480"/>
        <w:jc w:val="left"/>
        <w:rPr>
          <w:rFonts w:hint="default"/>
          <w:color w:val="auto"/>
          <w:highlight w:val="none"/>
        </w:rPr>
      </w:pPr>
      <w:r>
        <w:rPr>
          <w:rFonts w:hint="eastAsia" w:ascii="宋体" w:hAnsi="宋体" w:eastAsia="宋体" w:cs="宋体"/>
          <w:b w:val="0"/>
          <w:bCs w:val="0"/>
          <w:color w:val="auto"/>
          <w:sz w:val="24"/>
          <w:szCs w:val="24"/>
          <w:highlight w:val="none"/>
          <w:u w:val="none"/>
          <w:lang w:val="en-US" w:eastAsia="zh-CN"/>
        </w:rPr>
        <w:t>4.1凡有意参加投标者，请于202</w:t>
      </w:r>
      <w:r>
        <w:rPr>
          <w:rFonts w:hint="eastAsia" w:ascii="宋体"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val="en-US" w:eastAsia="zh-CN"/>
        </w:rPr>
        <w:t>年</w:t>
      </w:r>
      <w:r>
        <w:rPr>
          <w:rFonts w:hint="eastAsia" w:ascii="宋体" w:hAnsi="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u w:val="none"/>
          <w:lang w:val="en-US" w:eastAsia="zh-CN"/>
        </w:rPr>
        <w:t>月</w:t>
      </w:r>
      <w:r>
        <w:rPr>
          <w:rFonts w:hint="eastAsia" w:ascii="宋体" w:hAnsi="宋体" w:cs="宋体"/>
          <w:b w:val="0"/>
          <w:bCs w:val="0"/>
          <w:color w:val="auto"/>
          <w:sz w:val="24"/>
          <w:szCs w:val="24"/>
          <w:highlight w:val="none"/>
          <w:u w:val="single"/>
          <w:lang w:val="en-US" w:eastAsia="zh-CN"/>
        </w:rPr>
        <w:t>17</w:t>
      </w:r>
      <w:r>
        <w:rPr>
          <w:rFonts w:hint="eastAsia" w:ascii="宋体" w:hAnsi="宋体" w:eastAsia="宋体" w:cs="宋体"/>
          <w:b w:val="0"/>
          <w:bCs w:val="0"/>
          <w:color w:val="auto"/>
          <w:sz w:val="24"/>
          <w:szCs w:val="24"/>
          <w:highlight w:val="none"/>
          <w:u w:val="none"/>
          <w:lang w:val="en-US" w:eastAsia="zh-CN"/>
        </w:rPr>
        <w:t>日9时00分至202</w:t>
      </w:r>
      <w:r>
        <w:rPr>
          <w:rFonts w:hint="eastAsia" w:ascii="宋体"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val="en-US" w:eastAsia="zh-CN"/>
        </w:rPr>
        <w:t>年</w:t>
      </w:r>
      <w:r>
        <w:rPr>
          <w:rFonts w:hint="eastAsia" w:ascii="宋体" w:hAnsi="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u w:val="none"/>
          <w:lang w:val="en-US" w:eastAsia="zh-CN"/>
        </w:rPr>
        <w:t>月</w:t>
      </w:r>
      <w:r>
        <w:rPr>
          <w:rFonts w:hint="eastAsia" w:ascii="宋体" w:hAnsi="宋体" w:cs="宋体"/>
          <w:b w:val="0"/>
          <w:bCs w:val="0"/>
          <w:color w:val="auto"/>
          <w:sz w:val="24"/>
          <w:szCs w:val="24"/>
          <w:highlight w:val="none"/>
          <w:u w:val="single"/>
          <w:lang w:val="en-US" w:eastAsia="zh-CN"/>
        </w:rPr>
        <w:t>23</w:t>
      </w:r>
      <w:r>
        <w:rPr>
          <w:rFonts w:hint="eastAsia" w:ascii="宋体" w:hAnsi="宋体" w:eastAsia="宋体" w:cs="宋体"/>
          <w:b w:val="0"/>
          <w:bCs w:val="0"/>
          <w:color w:val="auto"/>
          <w:sz w:val="24"/>
          <w:szCs w:val="24"/>
          <w:highlight w:val="none"/>
          <w:u w:val="none"/>
          <w:lang w:val="en-US" w:eastAsia="zh-CN"/>
        </w:rPr>
        <w:t>日16时30分(法定公休日、法定节假日除外)，在规定的时间内将以下资料原件盖章扫描并按顺序合成一个PDF文件发至招标人邮箱，投标登记时间以电子邮件到达邮箱时间为准，并请电话告知招标人，由招标人录入交易中心系统完成投标登记，资料盖章原件邮寄至招标人地址。具体资料如下：（1）投标人单位介绍信原件；（2）经办人身份证复印件；（3）《投标登记申请表》；（4）招标文件发放登记表</w:t>
      </w:r>
      <w:r>
        <w:rPr>
          <w:rFonts w:hint="eastAsia" w:ascii="宋体" w:hAnsi="宋体" w:cs="宋体"/>
          <w:color w:val="auto"/>
          <w:sz w:val="24"/>
          <w:highlight w:val="none"/>
        </w:rPr>
        <w:t>。</w:t>
      </w:r>
    </w:p>
    <w:p>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4.2在规定的投标登记期间，如某个标段投标登记并购买招标文件的投标人不足3家时，招标人有权选择以下任一方式：（1）在广州公共资源交易中心网站发布公告延长投标登记时间，在延期投标登记时间内，已投标登记投标人的资料仍有效并可自行补充资料，未投标登记的投标人可根据公告的约定进行投标登记；（2）依法重新组织招标或不再招标。</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招标文件每套收取人民币</w:t>
      </w:r>
      <w:r>
        <w:rPr>
          <w:rFonts w:hint="eastAsia" w:ascii="宋体" w:hAnsi="宋体" w:cs="宋体"/>
          <w:color w:val="auto"/>
          <w:sz w:val="24"/>
          <w:highlight w:val="none"/>
          <w:lang w:val="en-US" w:eastAsia="zh-CN"/>
        </w:rPr>
        <w:t>1000</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售</w:t>
      </w:r>
      <w:r>
        <w:rPr>
          <w:rFonts w:hint="eastAsia" w:ascii="宋体" w:hAnsi="宋体" w:cs="宋体"/>
          <w:color w:val="auto"/>
          <w:sz w:val="24"/>
          <w:highlight w:val="none"/>
        </w:rPr>
        <w:t>后不退。</w:t>
      </w:r>
      <w:r>
        <w:rPr>
          <w:rFonts w:hint="eastAsia" w:ascii="宋体" w:hAnsi="宋体" w:eastAsia="宋体" w:cs="宋体"/>
          <w:b w:val="0"/>
          <w:bCs w:val="0"/>
          <w:color w:val="auto"/>
          <w:sz w:val="24"/>
          <w:szCs w:val="24"/>
          <w:highlight w:val="none"/>
          <w:u w:val="none"/>
          <w:lang w:val="en-US" w:eastAsia="zh-CN"/>
        </w:rPr>
        <w:t>投标人须将招标文件款汇入或存入招标人账户。完成投标登记并缴费后，招标文件等参考资料将以邮寄的形式发放，投标文件的电子格式将发送至投标人邮箱。</w:t>
      </w:r>
    </w:p>
    <w:p>
      <w:pPr>
        <w:tabs>
          <w:tab w:val="left" w:pos="3240"/>
        </w:tabs>
        <w:adjustRightInd w:val="0"/>
        <w:snapToGrid w:val="0"/>
        <w:spacing w:line="360" w:lineRule="auto"/>
        <w:ind w:firstLine="482" w:firstLineChars="200"/>
        <w:jc w:val="left"/>
        <w:rPr>
          <w:rFonts w:hint="default" w:ascii="宋体" w:eastAsia="宋体"/>
          <w:b/>
          <w:color w:val="auto"/>
          <w:sz w:val="24"/>
          <w:szCs w:val="24"/>
          <w:highlight w:val="none"/>
          <w:lang w:val="en-US" w:eastAsia="zh-CN"/>
        </w:rPr>
      </w:pPr>
      <w:r>
        <w:rPr>
          <w:rFonts w:ascii="宋体" w:hAnsi="宋体"/>
          <w:b/>
          <w:color w:val="auto"/>
          <w:sz w:val="24"/>
          <w:szCs w:val="24"/>
          <w:highlight w:val="none"/>
        </w:rPr>
        <w:t>5.</w:t>
      </w:r>
      <w:r>
        <w:rPr>
          <w:rFonts w:hint="eastAsia" w:ascii="宋体" w:hAnsi="宋体"/>
          <w:b/>
          <w:color w:val="auto"/>
          <w:sz w:val="24"/>
          <w:szCs w:val="24"/>
          <w:highlight w:val="none"/>
        </w:rPr>
        <w:t>投标文件的递交</w:t>
      </w:r>
      <w:r>
        <w:rPr>
          <w:rFonts w:hint="eastAsia" w:ascii="宋体" w:hAnsi="宋体"/>
          <w:b/>
          <w:color w:val="auto"/>
          <w:sz w:val="24"/>
          <w:szCs w:val="24"/>
          <w:highlight w:val="none"/>
          <w:lang w:val="en-US" w:eastAsia="zh-CN"/>
        </w:rPr>
        <w:t>及相关事宜</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5.1招标人不组织工程现场踏勘及投标预备会。</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5.2投标文件递交的截止时间</w:t>
      </w:r>
      <w:r>
        <w:rPr>
          <w:rFonts w:hint="eastAsia" w:ascii="宋体" w:hAnsi="宋体" w:cs="宋体"/>
          <w:color w:val="auto"/>
          <w:sz w:val="24"/>
          <w:highlight w:val="none"/>
          <w:lang w:eastAsia="zh-CN"/>
        </w:rPr>
        <w:t>（</w:t>
      </w:r>
      <w:r>
        <w:rPr>
          <w:rFonts w:hint="eastAsia" w:ascii="宋体" w:hAnsi="宋体" w:cs="宋体"/>
          <w:color w:val="auto"/>
          <w:sz w:val="24"/>
          <w:highlight w:val="none"/>
        </w:rPr>
        <w:t>投标截止时间，下同</w:t>
      </w:r>
      <w:r>
        <w:rPr>
          <w:rFonts w:hint="eastAsia" w:ascii="宋体" w:hAnsi="宋体" w:cs="宋体"/>
          <w:color w:val="auto"/>
          <w:sz w:val="24"/>
          <w:highlight w:val="none"/>
          <w:lang w:eastAsia="zh-CN"/>
        </w:rPr>
        <w:t>）</w:t>
      </w:r>
      <w:r>
        <w:rPr>
          <w:rFonts w:hint="eastAsia" w:ascii="宋体" w:hAnsi="宋体" w:cs="宋体"/>
          <w:color w:val="auto"/>
          <w:sz w:val="24"/>
          <w:highlight w:val="none"/>
        </w:rPr>
        <w:t>为202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日9时30分，投标人应于当日9时00分至9时30分将投标文件递交至广州公共资源交易中心（广州市天河区天润路333号）。</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5.3逾期送达的、未送达指定地点的或不按照招标文件要求密封的投标文件，招标人将予以拒收。</w:t>
      </w:r>
    </w:p>
    <w:p>
      <w:pPr>
        <w:tabs>
          <w:tab w:val="left" w:pos="3240"/>
        </w:tabs>
        <w:adjustRightInd w:val="0"/>
        <w:snapToGrid w:val="0"/>
        <w:spacing w:line="360" w:lineRule="auto"/>
        <w:ind w:firstLine="482" w:firstLineChars="200"/>
        <w:jc w:val="left"/>
        <w:rPr>
          <w:rFonts w:ascii="宋体"/>
          <w:b/>
          <w:color w:val="auto"/>
          <w:sz w:val="24"/>
          <w:szCs w:val="24"/>
          <w:highlight w:val="none"/>
        </w:rPr>
      </w:pPr>
      <w:r>
        <w:rPr>
          <w:rFonts w:ascii="宋体" w:hAnsi="宋体"/>
          <w:b/>
          <w:color w:val="auto"/>
          <w:sz w:val="24"/>
          <w:szCs w:val="24"/>
          <w:highlight w:val="none"/>
        </w:rPr>
        <w:t>6.</w:t>
      </w:r>
      <w:r>
        <w:rPr>
          <w:rFonts w:hint="eastAsia" w:ascii="宋体" w:hAnsi="宋体"/>
          <w:b/>
          <w:color w:val="auto"/>
          <w:sz w:val="24"/>
          <w:szCs w:val="24"/>
          <w:highlight w:val="none"/>
        </w:rPr>
        <w:t>发布公告的媒介</w:t>
      </w:r>
    </w:p>
    <w:p>
      <w:pPr>
        <w:spacing w:line="360" w:lineRule="auto"/>
        <w:ind w:firstLine="480" w:firstLineChars="200"/>
        <w:jc w:val="left"/>
        <w:rPr>
          <w:rFonts w:hint="eastAsia" w:ascii="宋体" w:hAnsi="宋体" w:cs="宋体"/>
          <w:color w:val="auto"/>
          <w:sz w:val="24"/>
          <w:szCs w:val="22"/>
          <w:highlight w:val="none"/>
        </w:rPr>
      </w:pPr>
      <w:r>
        <w:rPr>
          <w:rFonts w:hint="eastAsia" w:ascii="宋体" w:hAnsi="宋体" w:cs="宋体"/>
          <w:color w:val="auto"/>
          <w:sz w:val="24"/>
          <w:szCs w:val="22"/>
          <w:highlight w:val="none"/>
        </w:rPr>
        <w:t>本次招标公告同时在</w:t>
      </w:r>
      <w:r>
        <w:rPr>
          <w:rFonts w:hint="eastAsia" w:ascii="宋体" w:hAnsi="宋体" w:cs="宋体"/>
          <w:color w:val="auto"/>
          <w:sz w:val="24"/>
          <w:szCs w:val="22"/>
          <w:highlight w:val="none"/>
          <w:u w:val="none"/>
        </w:rPr>
        <w:t>广东省招标投标监管网、广州公共资源交易中心网、粤采易阳光采购平台</w:t>
      </w:r>
      <w:r>
        <w:rPr>
          <w:rFonts w:hint="eastAsia" w:ascii="宋体" w:hAnsi="宋体" w:cs="宋体"/>
          <w:color w:val="auto"/>
          <w:sz w:val="24"/>
          <w:szCs w:val="22"/>
          <w:highlight w:val="none"/>
          <w:lang w:val="en-US"/>
        </w:rPr>
        <w:t>上发布，</w:t>
      </w:r>
      <w:r>
        <w:rPr>
          <w:rFonts w:hint="eastAsia" w:ascii="宋体" w:hAnsi="宋体" w:cs="宋体"/>
          <w:color w:val="auto"/>
          <w:sz w:val="24"/>
          <w:szCs w:val="22"/>
          <w:highlight w:val="none"/>
          <w:lang w:val="en-US" w:eastAsia="zh-CN"/>
        </w:rPr>
        <w:t>如</w:t>
      </w:r>
      <w:r>
        <w:rPr>
          <w:rFonts w:hint="eastAsia" w:ascii="宋体" w:hAnsi="宋体" w:cs="宋体"/>
          <w:color w:val="auto"/>
          <w:sz w:val="24"/>
          <w:szCs w:val="22"/>
          <w:highlight w:val="none"/>
        </w:rPr>
        <w:t>详细内容不一致者以</w:t>
      </w:r>
      <w:r>
        <w:rPr>
          <w:rFonts w:hint="eastAsia" w:ascii="宋体" w:hAnsi="宋体" w:cs="宋体"/>
          <w:color w:val="auto"/>
          <w:sz w:val="24"/>
          <w:szCs w:val="22"/>
          <w:highlight w:val="none"/>
          <w:lang w:val="en-US"/>
        </w:rPr>
        <w:t>广东省招标投标监管网</w:t>
      </w:r>
      <w:r>
        <w:rPr>
          <w:rFonts w:hint="eastAsia" w:ascii="宋体" w:hAnsi="宋体" w:cs="宋体"/>
          <w:color w:val="auto"/>
          <w:sz w:val="24"/>
          <w:szCs w:val="22"/>
          <w:highlight w:val="none"/>
        </w:rPr>
        <w:t>网站公告为准。</w:t>
      </w:r>
    </w:p>
    <w:p>
      <w:pPr>
        <w:tabs>
          <w:tab w:val="left" w:pos="3240"/>
        </w:tabs>
        <w:adjustRightInd w:val="0"/>
        <w:snapToGrid w:val="0"/>
        <w:spacing w:line="360" w:lineRule="auto"/>
        <w:ind w:firstLine="482" w:firstLineChars="200"/>
        <w:jc w:val="left"/>
        <w:rPr>
          <w:rFonts w:asci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联系方式</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招 标 人：广东湾区交通建设投资有限公司</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地    址：广东省广州市南沙区南江二路8号广州视联国际科技广场18栋</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邮政编码：511466</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联 系 人：曾先生、王先生</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 xml:space="preserve">电    话：020-39998843 </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电子邮件：shiziyang1013@163.com</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招标人账户号码：4405 9801 0400 1166 1</w:t>
      </w:r>
    </w:p>
    <w:p>
      <w:pPr>
        <w:keepNext w:val="0"/>
        <w:keepLines w:val="0"/>
        <w:pageBreakBefore w:val="0"/>
        <w:widowControl w:val="0"/>
        <w:kinsoku/>
        <w:wordWrap/>
        <w:overflowPunct/>
        <w:topLinePunct w:val="0"/>
        <w:autoSpaceDE/>
        <w:autoSpaceDN/>
        <w:bidi w:val="0"/>
        <w:adjustRightInd w:val="0"/>
        <w:snapToGrid w:val="0"/>
        <w:spacing w:before="0" w:beforeLines="-2147483648" w:line="360" w:lineRule="auto"/>
        <w:ind w:firstLine="480" w:firstLineChars="200"/>
        <w:jc w:val="left"/>
        <w:textAlignment w:val="auto"/>
        <w:rPr>
          <w:rFonts w:hint="eastAsia" w:ascii="宋体" w:hAnsi="宋体" w:eastAsia="宋体" w:cs="宋体"/>
          <w:b w:val="0"/>
          <w:bCs w:val="0"/>
          <w:color w:val="auto"/>
          <w:sz w:val="24"/>
          <w:szCs w:val="22"/>
          <w:highlight w:val="none"/>
          <w:u w:val="none"/>
          <w:lang w:val="en-US" w:eastAsia="zh-CN"/>
        </w:rPr>
      </w:pPr>
      <w:r>
        <w:rPr>
          <w:rFonts w:hint="eastAsia" w:ascii="宋体" w:hAnsi="宋体" w:eastAsia="宋体" w:cs="宋体"/>
          <w:b w:val="0"/>
          <w:bCs w:val="0"/>
          <w:color w:val="auto"/>
          <w:sz w:val="24"/>
          <w:szCs w:val="22"/>
          <w:highlight w:val="none"/>
          <w:u w:val="none"/>
          <w:lang w:val="en-US" w:eastAsia="zh-CN"/>
        </w:rPr>
        <w:t xml:space="preserve">招标人开户银行：中国农业银行股份有限公司广州五仙桥支行 </w:t>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righ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广东湾区交通建设投资有限公司</w:t>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center"/>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202</w:t>
      </w:r>
      <w:r>
        <w:rPr>
          <w:rFonts w:hint="eastAsia" w:ascii="宋体"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val="en-US" w:eastAsia="zh-CN"/>
        </w:rPr>
        <w:t>年</w:t>
      </w:r>
      <w:r>
        <w:rPr>
          <w:rFonts w:hint="eastAsia" w:ascii="宋体" w:hAnsi="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u w:val="none"/>
          <w:lang w:val="en-US" w:eastAsia="zh-CN"/>
        </w:rPr>
        <w:t>月</w:t>
      </w:r>
      <w:r>
        <w:rPr>
          <w:rFonts w:hint="eastAsia" w:ascii="宋体" w:hAnsi="宋体" w:cs="宋体"/>
          <w:b w:val="0"/>
          <w:bCs w:val="0"/>
          <w:color w:val="auto"/>
          <w:sz w:val="24"/>
          <w:szCs w:val="24"/>
          <w:highlight w:val="none"/>
          <w:u w:val="single"/>
          <w:lang w:val="en-US" w:eastAsia="zh-CN"/>
        </w:rPr>
        <w:t>17</w:t>
      </w:r>
      <w:r>
        <w:rPr>
          <w:rFonts w:hint="eastAsia" w:ascii="宋体" w:hAnsi="宋体" w:eastAsia="宋体" w:cs="宋体"/>
          <w:b w:val="0"/>
          <w:bCs w:val="0"/>
          <w:color w:val="auto"/>
          <w:sz w:val="24"/>
          <w:szCs w:val="24"/>
          <w:highlight w:val="none"/>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附件：1.资格审查条件附录1至附录4</w:t>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1440" w:firstLineChars="6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2.评标办法</w:t>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以上附件可从发布公告的网站媒介上下载</w:t>
      </w:r>
    </w:p>
    <w:p>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br w:type="page"/>
      </w:r>
    </w:p>
    <w:p>
      <w:pPr>
        <w:snapToGrid w:val="0"/>
        <w:spacing w:beforeLines="0" w:afterLines="0" w:line="360" w:lineRule="auto"/>
        <w:jc w:val="center"/>
        <w:outlineLvl w:val="2"/>
        <w:rPr>
          <w:rFonts w:hint="eastAsia" w:ascii="Times New Roman" w:hAnsi="Times New Roman" w:eastAsia="宋体" w:cs="Times New Roman"/>
          <w:b/>
          <w:strike w:val="0"/>
          <w:color w:val="auto"/>
          <w:sz w:val="28"/>
          <w:szCs w:val="28"/>
          <w:highlight w:val="none"/>
          <w:lang w:eastAsia="zh-CN"/>
        </w:rPr>
      </w:pPr>
      <w:r>
        <w:rPr>
          <w:rFonts w:hint="eastAsia" w:cs="Times New Roman"/>
          <w:b/>
          <w:strike w:val="0"/>
          <w:color w:val="auto"/>
          <w:sz w:val="28"/>
          <w:szCs w:val="28"/>
          <w:highlight w:val="none"/>
          <w:lang w:val="en-US" w:eastAsia="zh-CN"/>
        </w:rPr>
        <w:t>附录1  资格审查条件（</w:t>
      </w:r>
      <w:r>
        <w:rPr>
          <w:rFonts w:hint="default" w:ascii="Times New Roman" w:hAnsi="Times New Roman" w:eastAsia="宋体" w:cs="Times New Roman"/>
          <w:b/>
          <w:strike w:val="0"/>
          <w:color w:val="auto"/>
          <w:sz w:val="28"/>
          <w:szCs w:val="28"/>
          <w:highlight w:val="none"/>
        </w:rPr>
        <w:t>资质最低要求</w:t>
      </w:r>
      <w:r>
        <w:rPr>
          <w:rFonts w:hint="eastAsia" w:cs="Times New Roman"/>
          <w:b/>
          <w:strike w:val="0"/>
          <w:color w:val="auto"/>
          <w:sz w:val="28"/>
          <w:szCs w:val="28"/>
          <w:highlight w:val="none"/>
          <w:lang w:eastAsia="zh-CN"/>
        </w:rPr>
        <w:t>）</w:t>
      </w:r>
    </w:p>
    <w:tbl>
      <w:tblPr>
        <w:tblStyle w:val="10"/>
        <w:tblW w:w="8287" w:type="dxa"/>
        <w:jc w:val="center"/>
        <w:tblInd w:w="0" w:type="dxa"/>
        <w:tblLayout w:type="fixed"/>
        <w:tblCellMar>
          <w:top w:w="0" w:type="dxa"/>
          <w:left w:w="108" w:type="dxa"/>
          <w:bottom w:w="0" w:type="dxa"/>
          <w:right w:w="108" w:type="dxa"/>
        </w:tblCellMar>
      </w:tblPr>
      <w:tblGrid>
        <w:gridCol w:w="1167"/>
        <w:gridCol w:w="7120"/>
      </w:tblGrid>
      <w:tr>
        <w:tblPrEx>
          <w:tblLayout w:type="fixed"/>
          <w:tblCellMar>
            <w:top w:w="0" w:type="dxa"/>
            <w:left w:w="108" w:type="dxa"/>
            <w:bottom w:w="0" w:type="dxa"/>
            <w:right w:w="108" w:type="dxa"/>
          </w:tblCellMar>
        </w:tblPrEx>
        <w:trPr>
          <w:trHeight w:val="529"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项目</w:t>
            </w:r>
          </w:p>
        </w:tc>
        <w:tc>
          <w:tcPr>
            <w:tcW w:w="7120" w:type="dxa"/>
            <w:tcBorders>
              <w:top w:val="single" w:color="auto" w:sz="4" w:space="0"/>
              <w:left w:val="nil"/>
              <w:bottom w:val="single" w:color="auto" w:sz="4" w:space="0"/>
              <w:right w:val="single" w:color="auto" w:sz="4" w:space="0"/>
            </w:tcBorders>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lang w:val="en-US" w:eastAsia="zh-CN"/>
              </w:rPr>
              <w:t>资质</w:t>
            </w:r>
            <w:r>
              <w:rPr>
                <w:rFonts w:hint="eastAsia" w:asciiTheme="minorEastAsia" w:hAnsiTheme="minorEastAsia" w:eastAsiaTheme="minorEastAsia" w:cstheme="minorEastAsia"/>
                <w:strike w:val="0"/>
                <w:color w:val="auto"/>
                <w:kern w:val="0"/>
                <w:sz w:val="21"/>
                <w:szCs w:val="21"/>
                <w:highlight w:val="none"/>
              </w:rPr>
              <w:t>要求</w:t>
            </w:r>
          </w:p>
        </w:tc>
      </w:tr>
      <w:tr>
        <w:tblPrEx>
          <w:tblLayout w:type="fixed"/>
          <w:tblCellMar>
            <w:top w:w="0" w:type="dxa"/>
            <w:left w:w="108" w:type="dxa"/>
            <w:bottom w:w="0" w:type="dxa"/>
            <w:right w:w="108" w:type="dxa"/>
          </w:tblCellMar>
        </w:tblPrEx>
        <w:trPr>
          <w:trHeight w:val="2776" w:hRule="atLeast"/>
          <w:jc w:val="center"/>
        </w:trPr>
        <w:tc>
          <w:tcPr>
            <w:tcW w:w="1167" w:type="dxa"/>
            <w:tcBorders>
              <w:top w:val="nil"/>
              <w:left w:val="single" w:color="auto" w:sz="4" w:space="0"/>
              <w:bottom w:val="single" w:color="auto" w:sz="4" w:space="0"/>
              <w:right w:val="single" w:color="auto" w:sz="4" w:space="0"/>
            </w:tcBorders>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资质</w:t>
            </w:r>
          </w:p>
        </w:tc>
        <w:tc>
          <w:tcPr>
            <w:tcW w:w="7120" w:type="dxa"/>
            <w:tcBorders>
              <w:top w:val="nil"/>
              <w:left w:val="nil"/>
              <w:bottom w:val="single" w:color="auto" w:sz="4" w:space="0"/>
              <w:right w:val="single" w:color="auto" w:sz="4" w:space="0"/>
            </w:tcBorders>
            <w:vAlign w:val="center"/>
          </w:tcPr>
          <w:p>
            <w:pPr>
              <w:widowControl/>
              <w:numPr>
                <w:ilvl w:val="-1"/>
                <w:numId w:val="0"/>
              </w:numPr>
              <w:snapToGrid w:val="0"/>
              <w:spacing w:beforeLines="0" w:afterLines="0" w:line="360" w:lineRule="auto"/>
              <w:ind w:firstLine="0" w:firstLineChars="0"/>
              <w:jc w:val="left"/>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lang w:val="en-US" w:eastAsia="zh-CN"/>
              </w:rPr>
              <w:t>1.投标人</w:t>
            </w:r>
            <w:r>
              <w:rPr>
                <w:rFonts w:hint="eastAsia" w:asciiTheme="minorEastAsia" w:hAnsiTheme="minorEastAsia" w:eastAsiaTheme="minorEastAsia" w:cstheme="minorEastAsia"/>
                <w:strike w:val="0"/>
                <w:color w:val="auto"/>
                <w:kern w:val="0"/>
                <w:sz w:val="21"/>
                <w:szCs w:val="21"/>
                <w:highlight w:val="none"/>
              </w:rPr>
              <w:t>在中华人民共和国境内成立并有效存续、由中国保险监督管理委员会批准开展财产保险业务、并具有独立法人资格的保险公司；若投标人为该保险公司之分支机构，</w:t>
            </w:r>
            <w:r>
              <w:rPr>
                <w:rFonts w:hint="eastAsia" w:asciiTheme="minorEastAsia" w:hAnsiTheme="minorEastAsia" w:eastAsiaTheme="minorEastAsia" w:cstheme="minorEastAsia"/>
                <w:strike w:val="0"/>
                <w:color w:val="auto"/>
                <w:sz w:val="21"/>
                <w:szCs w:val="21"/>
                <w:highlight w:val="none"/>
              </w:rPr>
              <w:t>需为经投标人总公司唯一授权的省级分公司或以上的分支机构</w:t>
            </w:r>
            <w:r>
              <w:rPr>
                <w:rFonts w:hint="eastAsia" w:asciiTheme="minorEastAsia" w:hAnsiTheme="minorEastAsia" w:eastAsiaTheme="minorEastAsia" w:cstheme="minorEastAsia"/>
                <w:strike w:val="0"/>
                <w:color w:val="auto"/>
                <w:kern w:val="0"/>
                <w:sz w:val="21"/>
                <w:szCs w:val="21"/>
                <w:highlight w:val="none"/>
                <w:lang w:eastAsia="zh-CN"/>
              </w:rPr>
              <w:t>；</w:t>
            </w:r>
            <w:r>
              <w:rPr>
                <w:rFonts w:hint="eastAsia" w:asciiTheme="minorEastAsia" w:hAnsiTheme="minorEastAsia" w:eastAsiaTheme="minorEastAsia" w:cstheme="minorEastAsia"/>
                <w:strike w:val="0"/>
                <w:color w:val="auto"/>
                <w:kern w:val="0"/>
                <w:sz w:val="21"/>
                <w:szCs w:val="21"/>
                <w:highlight w:val="none"/>
                <w:lang w:val="en-US" w:eastAsia="zh-CN"/>
              </w:rPr>
              <w:t>两家公司为</w:t>
            </w:r>
            <w:r>
              <w:rPr>
                <w:rFonts w:hint="eastAsia" w:asciiTheme="minorEastAsia" w:hAnsiTheme="minorEastAsia" w:eastAsiaTheme="minorEastAsia" w:cstheme="minorEastAsia"/>
                <w:strike w:val="0"/>
                <w:color w:val="auto"/>
                <w:kern w:val="0"/>
                <w:sz w:val="21"/>
                <w:szCs w:val="21"/>
                <w:highlight w:val="none"/>
              </w:rPr>
              <w:t>同一法</w:t>
            </w:r>
            <w:r>
              <w:rPr>
                <w:rFonts w:hint="eastAsia" w:asciiTheme="minorEastAsia" w:hAnsiTheme="minorEastAsia" w:eastAsiaTheme="minorEastAsia" w:cstheme="minorEastAsia"/>
                <w:strike w:val="0"/>
                <w:color w:val="auto"/>
                <w:kern w:val="0"/>
                <w:sz w:val="21"/>
                <w:szCs w:val="21"/>
                <w:highlight w:val="none"/>
                <w:lang w:val="en-US" w:eastAsia="zh-CN"/>
              </w:rPr>
              <w:t>定</w:t>
            </w:r>
            <w:r>
              <w:rPr>
                <w:rFonts w:hint="eastAsia" w:asciiTheme="minorEastAsia" w:hAnsiTheme="minorEastAsia" w:eastAsiaTheme="minorEastAsia" w:cstheme="minorEastAsia"/>
                <w:strike w:val="0"/>
                <w:color w:val="auto"/>
                <w:kern w:val="0"/>
                <w:sz w:val="21"/>
                <w:szCs w:val="21"/>
                <w:highlight w:val="none"/>
              </w:rPr>
              <w:t>代表人或其中一家公司是另一家公司单一最大股东的，只能由一家省级分公司及以上购买招标文件。</w:t>
            </w:r>
          </w:p>
          <w:p>
            <w:pPr>
              <w:widowControl/>
              <w:snapToGrid w:val="0"/>
              <w:spacing w:beforeLines="0" w:afterLines="0" w:line="360" w:lineRule="auto"/>
              <w:ind w:firstLine="0" w:firstLineChars="0"/>
              <w:jc w:val="left"/>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lang w:val="en-US" w:eastAsia="zh-CN"/>
              </w:rPr>
              <w:t>2.</w:t>
            </w:r>
            <w:r>
              <w:rPr>
                <w:rFonts w:hint="eastAsia" w:asciiTheme="minorEastAsia" w:hAnsiTheme="minorEastAsia" w:eastAsiaTheme="minorEastAsia" w:cstheme="minorEastAsia"/>
                <w:strike w:val="0"/>
                <w:color w:val="auto"/>
                <w:kern w:val="0"/>
                <w:sz w:val="21"/>
                <w:szCs w:val="21"/>
                <w:highlight w:val="none"/>
              </w:rPr>
              <w:t>投标人在广东省内设有分支机构。</w:t>
            </w:r>
          </w:p>
        </w:tc>
      </w:tr>
    </w:tbl>
    <w:p>
      <w:pPr>
        <w:snapToGrid w:val="0"/>
        <w:spacing w:beforeLines="0" w:afterLines="0" w:line="360" w:lineRule="auto"/>
        <w:jc w:val="center"/>
        <w:outlineLvl w:val="2"/>
        <w:rPr>
          <w:rFonts w:hint="eastAsia" w:cs="Times New Roman"/>
          <w:b/>
          <w:strike w:val="0"/>
          <w:color w:val="auto"/>
          <w:sz w:val="28"/>
          <w:szCs w:val="28"/>
          <w:highlight w:val="none"/>
          <w:lang w:val="en-US" w:eastAsia="zh-CN"/>
        </w:rPr>
      </w:pPr>
    </w:p>
    <w:p>
      <w:pPr>
        <w:snapToGrid w:val="0"/>
        <w:spacing w:beforeLines="0" w:afterLines="0" w:line="360" w:lineRule="auto"/>
        <w:jc w:val="center"/>
        <w:outlineLvl w:val="2"/>
        <w:rPr>
          <w:rFonts w:hint="eastAsia" w:ascii="Times New Roman" w:hAnsi="Times New Roman" w:eastAsia="宋体" w:cs="Times New Roman"/>
          <w:b/>
          <w:strike w:val="0"/>
          <w:color w:val="auto"/>
          <w:sz w:val="28"/>
          <w:szCs w:val="28"/>
          <w:highlight w:val="none"/>
          <w:lang w:eastAsia="zh-CN"/>
        </w:rPr>
      </w:pPr>
      <w:r>
        <w:rPr>
          <w:rFonts w:hint="eastAsia" w:cs="Times New Roman"/>
          <w:b/>
          <w:strike w:val="0"/>
          <w:color w:val="auto"/>
          <w:sz w:val="28"/>
          <w:szCs w:val="28"/>
          <w:highlight w:val="none"/>
          <w:lang w:val="en-US" w:eastAsia="zh-CN"/>
        </w:rPr>
        <w:t>附录2  资格审查条件（</w:t>
      </w:r>
      <w:r>
        <w:rPr>
          <w:rFonts w:hint="default" w:ascii="Times New Roman" w:hAnsi="Times New Roman" w:eastAsia="宋体" w:cs="Times New Roman"/>
          <w:b/>
          <w:strike w:val="0"/>
          <w:color w:val="auto"/>
          <w:sz w:val="28"/>
          <w:szCs w:val="28"/>
          <w:highlight w:val="none"/>
        </w:rPr>
        <w:t>财务最低要求</w:t>
      </w:r>
      <w:r>
        <w:rPr>
          <w:rFonts w:hint="eastAsia" w:cs="Times New Roman"/>
          <w:b/>
          <w:strike w:val="0"/>
          <w:color w:val="auto"/>
          <w:sz w:val="28"/>
          <w:szCs w:val="28"/>
          <w:highlight w:val="none"/>
          <w:lang w:eastAsia="zh-CN"/>
        </w:rPr>
        <w:t>）</w:t>
      </w:r>
    </w:p>
    <w:tbl>
      <w:tblPr>
        <w:tblStyle w:val="10"/>
        <w:tblW w:w="8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911"/>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170" w:type="dxa"/>
            <w:tcBorders>
              <w:tl2br w:val="nil"/>
              <w:tr2bl w:val="nil"/>
            </w:tcBorders>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项目</w:t>
            </w:r>
          </w:p>
        </w:tc>
        <w:tc>
          <w:tcPr>
            <w:tcW w:w="2911" w:type="dxa"/>
            <w:tcBorders>
              <w:tl2br w:val="nil"/>
              <w:tr2bl w:val="nil"/>
            </w:tcBorders>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lang w:val="en-US" w:eastAsia="zh-CN"/>
              </w:rPr>
              <w:t>财务</w:t>
            </w:r>
            <w:r>
              <w:rPr>
                <w:rFonts w:hint="eastAsia" w:asciiTheme="minorEastAsia" w:hAnsiTheme="minorEastAsia" w:eastAsiaTheme="minorEastAsia" w:cstheme="minorEastAsia"/>
                <w:strike w:val="0"/>
                <w:color w:val="auto"/>
                <w:kern w:val="0"/>
                <w:sz w:val="21"/>
                <w:szCs w:val="21"/>
                <w:highlight w:val="none"/>
              </w:rPr>
              <w:t>要求</w:t>
            </w:r>
          </w:p>
        </w:tc>
        <w:tc>
          <w:tcPr>
            <w:tcW w:w="4200" w:type="dxa"/>
            <w:tcBorders>
              <w:tl2br w:val="nil"/>
              <w:tr2bl w:val="nil"/>
            </w:tcBorders>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70" w:type="dxa"/>
            <w:vMerge w:val="restart"/>
            <w:tcBorders>
              <w:tl2br w:val="nil"/>
              <w:tr2bl w:val="nil"/>
            </w:tcBorders>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财务能力</w:t>
            </w:r>
          </w:p>
        </w:tc>
        <w:tc>
          <w:tcPr>
            <w:tcW w:w="2911" w:type="dxa"/>
            <w:tcBorders>
              <w:tl2br w:val="nil"/>
              <w:tr2bl w:val="nil"/>
            </w:tcBorders>
            <w:vAlign w:val="center"/>
          </w:tcPr>
          <w:p>
            <w:pPr>
              <w:widowControl/>
              <w:numPr>
                <w:ilvl w:val="0"/>
                <w:numId w:val="0"/>
              </w:numPr>
              <w:snapToGrid/>
              <w:spacing w:beforeLines="0" w:afterLines="0" w:line="240" w:lineRule="auto"/>
              <w:ind w:firstLine="0" w:firstLineChars="0"/>
              <w:jc w:val="left"/>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投标人总公司注册资本金与公积金之和不少于人民币100亿元</w:t>
            </w:r>
          </w:p>
        </w:tc>
        <w:tc>
          <w:tcPr>
            <w:tcW w:w="4200" w:type="dxa"/>
            <w:tcBorders>
              <w:tl2br w:val="nil"/>
              <w:tr2bl w:val="nil"/>
            </w:tcBorders>
            <w:vAlign w:val="center"/>
          </w:tcPr>
          <w:p>
            <w:pPr>
              <w:widowControl/>
              <w:numPr>
                <w:ilvl w:val="-1"/>
                <w:numId w:val="0"/>
              </w:numPr>
              <w:snapToGrid w:val="0"/>
              <w:spacing w:beforeLines="0" w:afterLines="0"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1.注册资本金</w:t>
            </w:r>
            <w:r>
              <w:rPr>
                <w:rFonts w:hint="eastAsia" w:asciiTheme="minorEastAsia" w:hAnsiTheme="minorEastAsia" w:eastAsiaTheme="minorEastAsia" w:cstheme="minorEastAsia"/>
                <w:color w:val="auto"/>
                <w:kern w:val="0"/>
                <w:sz w:val="21"/>
                <w:szCs w:val="21"/>
                <w:highlight w:val="none"/>
              </w:rPr>
              <w:t>以营业执照所列注册资本金为准；如营业执照无法体现注册资本金，则以投标人最新一年度（20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度）经会计师事务所审计并出具无保留意见的财务报表或国家企业信用信息公示系统（www.gsxt.gov.cn）的信息截图为准，如财务报表与国家企业信用信息系统截图数据不一致，则以国家企业信用信息系统截图数据为准。</w:t>
            </w:r>
          </w:p>
          <w:p>
            <w:pPr>
              <w:widowControl/>
              <w:numPr>
                <w:ilvl w:val="-1"/>
                <w:numId w:val="0"/>
              </w:numPr>
              <w:spacing w:beforeLines="0" w:afterLines="0"/>
              <w:jc w:val="left"/>
              <w:rPr>
                <w:rFonts w:hint="eastAsia"/>
                <w:color w:val="auto"/>
                <w:highlight w:val="none"/>
              </w:rPr>
            </w:pPr>
            <w:r>
              <w:rPr>
                <w:rFonts w:hint="eastAsia" w:asciiTheme="minorEastAsia" w:hAnsiTheme="minorEastAsia" w:eastAsiaTheme="minorEastAsia" w:cstheme="minorEastAsia"/>
                <w:color w:val="auto"/>
                <w:kern w:val="0"/>
                <w:sz w:val="21"/>
                <w:szCs w:val="21"/>
                <w:highlight w:val="none"/>
                <w:lang w:val="en-US" w:eastAsia="zh-CN"/>
              </w:rPr>
              <w:t>2.公积金（含资本公积与盈余公积）以最新一年度（2022年度）经会计师事务所审计并出具无保留意见的财务报表中体现的为准。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1170" w:type="dxa"/>
            <w:vMerge w:val="continue"/>
            <w:tcBorders>
              <w:tl2br w:val="nil"/>
              <w:tr2bl w:val="nil"/>
            </w:tcBorders>
            <w:vAlign w:val="center"/>
          </w:tcPr>
          <w:p>
            <w:pPr>
              <w:widowControl/>
              <w:snapToGrid w:val="0"/>
              <w:spacing w:beforeLines="0" w:afterLines="0" w:line="360" w:lineRule="auto"/>
              <w:rPr>
                <w:rFonts w:hint="eastAsia" w:asciiTheme="minorEastAsia" w:hAnsiTheme="minorEastAsia" w:eastAsiaTheme="minorEastAsia" w:cstheme="minorEastAsia"/>
                <w:strike w:val="0"/>
                <w:color w:val="auto"/>
                <w:kern w:val="0"/>
                <w:sz w:val="21"/>
                <w:szCs w:val="21"/>
                <w:highlight w:val="none"/>
              </w:rPr>
            </w:pPr>
          </w:p>
        </w:tc>
        <w:tc>
          <w:tcPr>
            <w:tcW w:w="2911" w:type="dxa"/>
            <w:tcBorders>
              <w:tl2br w:val="nil"/>
              <w:tr2bl w:val="nil"/>
            </w:tcBorders>
            <w:vAlign w:val="center"/>
          </w:tcPr>
          <w:p>
            <w:pPr>
              <w:widowControl/>
              <w:snapToGrid w:val="0"/>
              <w:spacing w:beforeLines="0" w:afterLines="0" w:line="360" w:lineRule="auto"/>
              <w:jc w:val="left"/>
              <w:rPr>
                <w:rFonts w:hint="eastAsia" w:asciiTheme="minorEastAsia" w:hAnsiTheme="minorEastAsia" w:eastAsiaTheme="minorEastAsia" w:cstheme="minorEastAsia"/>
                <w:strike w:val="0"/>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投标人总公司2020年至2022年的年平均偿付能力充足率不低于150%</w:t>
            </w:r>
          </w:p>
        </w:tc>
        <w:tc>
          <w:tcPr>
            <w:tcW w:w="4200" w:type="dxa"/>
            <w:tcBorders>
              <w:tl2br w:val="nil"/>
              <w:tr2bl w:val="nil"/>
            </w:tcBorders>
            <w:vAlign w:val="center"/>
          </w:tcPr>
          <w:p>
            <w:pPr>
              <w:widowControl/>
              <w:snapToGrid w:val="0"/>
              <w:spacing w:beforeLines="0" w:afterLines="0" w:line="360" w:lineRule="auto"/>
              <w:jc w:val="both"/>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以投标人经会计师事务所审计并出具无保留意见的财务报表为准。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170" w:type="dxa"/>
            <w:vMerge w:val="continue"/>
            <w:tcBorders>
              <w:tl2br w:val="nil"/>
              <w:tr2bl w:val="nil"/>
            </w:tcBorders>
            <w:vAlign w:val="center"/>
          </w:tcPr>
          <w:p>
            <w:pPr>
              <w:widowControl/>
              <w:snapToGrid w:val="0"/>
              <w:spacing w:beforeLines="0" w:afterLines="0" w:line="360" w:lineRule="auto"/>
              <w:rPr>
                <w:rFonts w:hint="eastAsia" w:asciiTheme="minorEastAsia" w:hAnsiTheme="minorEastAsia" w:eastAsiaTheme="minorEastAsia" w:cstheme="minorEastAsia"/>
                <w:strike w:val="0"/>
                <w:color w:val="auto"/>
                <w:kern w:val="0"/>
                <w:sz w:val="21"/>
                <w:szCs w:val="21"/>
                <w:highlight w:val="none"/>
              </w:rPr>
            </w:pPr>
          </w:p>
        </w:tc>
        <w:tc>
          <w:tcPr>
            <w:tcW w:w="2911" w:type="dxa"/>
            <w:tcBorders>
              <w:tl2br w:val="nil"/>
              <w:tr2bl w:val="nil"/>
            </w:tcBorders>
            <w:vAlign w:val="center"/>
          </w:tcPr>
          <w:p>
            <w:pPr>
              <w:widowControl/>
              <w:snapToGrid w:val="0"/>
              <w:spacing w:beforeLines="0" w:afterLines="0" w:line="360" w:lineRule="auto"/>
              <w:jc w:val="left"/>
              <w:rPr>
                <w:rFonts w:hint="eastAsia" w:asciiTheme="minorEastAsia" w:hAnsiTheme="minorEastAsia" w:eastAsiaTheme="minorEastAsia" w:cstheme="minorEastAsia"/>
                <w:strike w:val="0"/>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投标人总公司2020年至2022年的年平均原保险费收入不低于400亿</w:t>
            </w:r>
          </w:p>
        </w:tc>
        <w:tc>
          <w:tcPr>
            <w:tcW w:w="4200" w:type="dxa"/>
            <w:tcBorders>
              <w:tl2br w:val="nil"/>
              <w:tr2bl w:val="nil"/>
            </w:tcBorders>
            <w:vAlign w:val="center"/>
          </w:tcPr>
          <w:p>
            <w:pPr>
              <w:widowControl/>
              <w:snapToGrid w:val="0"/>
              <w:spacing w:beforeLines="0" w:afterLines="0" w:line="360" w:lineRule="auto"/>
              <w:jc w:val="both"/>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以投标人经会计师事务所审计并出具无保留意见的财务报表为准。</w:t>
            </w:r>
          </w:p>
        </w:tc>
      </w:tr>
    </w:tbl>
    <w:p>
      <w:pPr>
        <w:snapToGrid w:val="0"/>
        <w:spacing w:beforeLines="0" w:afterLines="0" w:line="360" w:lineRule="auto"/>
        <w:jc w:val="center"/>
        <w:outlineLvl w:val="2"/>
        <w:rPr>
          <w:rFonts w:hint="eastAsia" w:ascii="Times New Roman" w:hAnsi="Times New Roman" w:eastAsia="宋体" w:cs="Times New Roman"/>
          <w:b/>
          <w:strike w:val="0"/>
          <w:color w:val="auto"/>
          <w:sz w:val="28"/>
          <w:szCs w:val="28"/>
          <w:highlight w:val="none"/>
          <w:lang w:eastAsia="zh-CN"/>
        </w:rPr>
      </w:pPr>
      <w:r>
        <w:rPr>
          <w:rFonts w:hint="eastAsia" w:cs="Times New Roman"/>
          <w:b/>
          <w:strike w:val="0"/>
          <w:color w:val="auto"/>
          <w:sz w:val="28"/>
          <w:szCs w:val="28"/>
          <w:highlight w:val="none"/>
          <w:lang w:val="en-US" w:eastAsia="zh-CN"/>
        </w:rPr>
        <w:t>附录3  资格审查条件（业绩</w:t>
      </w:r>
      <w:r>
        <w:rPr>
          <w:rFonts w:hint="default" w:ascii="Times New Roman" w:hAnsi="Times New Roman" w:eastAsia="宋体" w:cs="Times New Roman"/>
          <w:b/>
          <w:strike w:val="0"/>
          <w:color w:val="auto"/>
          <w:sz w:val="28"/>
          <w:szCs w:val="28"/>
          <w:highlight w:val="none"/>
        </w:rPr>
        <w:t>最低要求</w:t>
      </w:r>
      <w:r>
        <w:rPr>
          <w:rFonts w:hint="eastAsia" w:cs="Times New Roman"/>
          <w:b/>
          <w:strike w:val="0"/>
          <w:color w:val="auto"/>
          <w:sz w:val="28"/>
          <w:szCs w:val="28"/>
          <w:highlight w:val="none"/>
          <w:lang w:eastAsia="zh-CN"/>
        </w:rPr>
        <w:t>）</w:t>
      </w:r>
    </w:p>
    <w:tbl>
      <w:tblPr>
        <w:tblStyle w:val="10"/>
        <w:tblW w:w="8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3377"/>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944" w:type="dxa"/>
            <w:vAlign w:val="center"/>
          </w:tcPr>
          <w:p>
            <w:pPr>
              <w:widowControl/>
              <w:snapToGrid w:val="0"/>
              <w:spacing w:before="0"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项目</w:t>
            </w:r>
          </w:p>
        </w:tc>
        <w:tc>
          <w:tcPr>
            <w:tcW w:w="3377" w:type="dxa"/>
            <w:vAlign w:val="center"/>
          </w:tcPr>
          <w:p>
            <w:pPr>
              <w:widowControl/>
              <w:snapToGrid w:val="0"/>
              <w:spacing w:before="0"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lang w:val="en-US" w:eastAsia="zh-CN"/>
              </w:rPr>
              <w:t>业绩</w:t>
            </w:r>
            <w:r>
              <w:rPr>
                <w:rFonts w:hint="eastAsia" w:asciiTheme="minorEastAsia" w:hAnsiTheme="minorEastAsia" w:eastAsiaTheme="minorEastAsia" w:cstheme="minorEastAsia"/>
                <w:strike w:val="0"/>
                <w:color w:val="auto"/>
                <w:kern w:val="0"/>
                <w:sz w:val="21"/>
                <w:szCs w:val="21"/>
                <w:highlight w:val="none"/>
              </w:rPr>
              <w:t>要求</w:t>
            </w:r>
          </w:p>
        </w:tc>
        <w:tc>
          <w:tcPr>
            <w:tcW w:w="4119" w:type="dxa"/>
            <w:vAlign w:val="center"/>
          </w:tcPr>
          <w:p>
            <w:pPr>
              <w:widowControl/>
              <w:snapToGrid w:val="0"/>
              <w:spacing w:before="0"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944" w:type="dxa"/>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承保</w:t>
            </w:r>
          </w:p>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业绩</w:t>
            </w:r>
          </w:p>
        </w:tc>
        <w:tc>
          <w:tcPr>
            <w:tcW w:w="3377" w:type="dxa"/>
            <w:vAlign w:val="center"/>
          </w:tcPr>
          <w:p>
            <w:pPr>
              <w:widowControl/>
              <w:numPr>
                <w:ilvl w:val="0"/>
                <w:numId w:val="0"/>
              </w:numPr>
              <w:snapToGrid/>
              <w:spacing w:beforeLines="0" w:afterLines="0" w:line="360" w:lineRule="auto"/>
              <w:jc w:val="left"/>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2018年7月1日至投标截止日止，至少成功承保过1个保额在10亿以上（含10亿）或保费在100万元以上（含100万元）的国内基建项目的工程险业绩。</w:t>
            </w:r>
          </w:p>
        </w:tc>
        <w:tc>
          <w:tcPr>
            <w:tcW w:w="4119" w:type="dxa"/>
            <w:vAlign w:val="center"/>
          </w:tcPr>
          <w:p>
            <w:pPr>
              <w:widowControl/>
              <w:snapToGrid w:val="0"/>
              <w:spacing w:beforeLines="0" w:afterLines="0" w:line="360" w:lineRule="auto"/>
              <w:jc w:val="left"/>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基建项目专指公路、</w:t>
            </w:r>
            <w:r>
              <w:rPr>
                <w:rFonts w:hint="eastAsia" w:asciiTheme="minorEastAsia" w:hAnsiTheme="minorEastAsia" w:eastAsiaTheme="minorEastAsia" w:cstheme="minorEastAsia"/>
                <w:strike w:val="0"/>
                <w:color w:val="auto"/>
                <w:kern w:val="0"/>
                <w:sz w:val="21"/>
                <w:szCs w:val="21"/>
                <w:highlight w:val="none"/>
                <w:lang w:val="en-US" w:eastAsia="zh-CN"/>
              </w:rPr>
              <w:t>铁路、</w:t>
            </w:r>
            <w:r>
              <w:rPr>
                <w:rFonts w:hint="eastAsia" w:asciiTheme="minorEastAsia" w:hAnsiTheme="minorEastAsia" w:eastAsiaTheme="minorEastAsia" w:cstheme="minorEastAsia"/>
                <w:strike w:val="0"/>
                <w:color w:val="auto"/>
                <w:kern w:val="0"/>
                <w:sz w:val="21"/>
                <w:szCs w:val="21"/>
                <w:highlight w:val="none"/>
              </w:rPr>
              <w:t>地铁、城际轨道。提供保险单明细表或保险合同复印件，加盖投标人公章。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jc w:val="center"/>
        </w:trPr>
        <w:tc>
          <w:tcPr>
            <w:tcW w:w="944" w:type="dxa"/>
            <w:vAlign w:val="center"/>
          </w:tcPr>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理赔</w:t>
            </w:r>
          </w:p>
          <w:p>
            <w:pPr>
              <w:widowControl/>
              <w:snapToGrid w:val="0"/>
              <w:spacing w:beforeLines="0" w:afterLines="0" w:line="360" w:lineRule="auto"/>
              <w:jc w:val="center"/>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业绩</w:t>
            </w:r>
          </w:p>
        </w:tc>
        <w:tc>
          <w:tcPr>
            <w:tcW w:w="3377" w:type="dxa"/>
            <w:vAlign w:val="center"/>
          </w:tcPr>
          <w:p>
            <w:pPr>
              <w:widowControl/>
              <w:numPr>
                <w:ilvl w:val="0"/>
                <w:numId w:val="0"/>
              </w:numPr>
              <w:snapToGrid/>
              <w:spacing w:beforeLines="0" w:afterLines="0" w:line="360" w:lineRule="auto"/>
              <w:jc w:val="left"/>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2018年7月1日至投标截止日止，至少成功处理过1个以上国内基建项目单次赔偿金额100万元以上（含100万元）的工程险业绩。</w:t>
            </w:r>
          </w:p>
        </w:tc>
        <w:tc>
          <w:tcPr>
            <w:tcW w:w="4119" w:type="dxa"/>
            <w:vAlign w:val="center"/>
          </w:tcPr>
          <w:p>
            <w:pPr>
              <w:widowControl/>
              <w:snapToGrid w:val="0"/>
              <w:spacing w:beforeLines="0" w:afterLines="0" w:line="360" w:lineRule="auto"/>
              <w:jc w:val="left"/>
              <w:rPr>
                <w:rFonts w:hint="eastAsia" w:asciiTheme="minorEastAsia" w:hAnsiTheme="minorEastAsia" w:eastAsiaTheme="minorEastAsia" w:cstheme="minorEastAsia"/>
                <w:strike w:val="0"/>
                <w:color w:val="auto"/>
                <w:kern w:val="0"/>
                <w:sz w:val="21"/>
                <w:szCs w:val="21"/>
                <w:highlight w:val="none"/>
              </w:rPr>
            </w:pPr>
            <w:r>
              <w:rPr>
                <w:rFonts w:hint="eastAsia" w:asciiTheme="minorEastAsia" w:hAnsiTheme="minorEastAsia" w:eastAsiaTheme="minorEastAsia" w:cstheme="minorEastAsia"/>
                <w:strike w:val="0"/>
                <w:color w:val="auto"/>
                <w:kern w:val="0"/>
                <w:sz w:val="21"/>
                <w:szCs w:val="21"/>
                <w:highlight w:val="none"/>
              </w:rPr>
              <w:t>基建项目专指公路、</w:t>
            </w:r>
            <w:r>
              <w:rPr>
                <w:rFonts w:hint="eastAsia" w:asciiTheme="minorEastAsia" w:hAnsiTheme="minorEastAsia" w:eastAsiaTheme="minorEastAsia" w:cstheme="minorEastAsia"/>
                <w:strike w:val="0"/>
                <w:color w:val="auto"/>
                <w:kern w:val="0"/>
                <w:sz w:val="21"/>
                <w:szCs w:val="21"/>
                <w:highlight w:val="none"/>
                <w:lang w:val="en-US" w:eastAsia="zh-CN"/>
              </w:rPr>
              <w:t>铁路、</w:t>
            </w:r>
            <w:r>
              <w:rPr>
                <w:rFonts w:hint="eastAsia" w:asciiTheme="minorEastAsia" w:hAnsiTheme="minorEastAsia" w:eastAsiaTheme="minorEastAsia" w:cstheme="minorEastAsia"/>
                <w:strike w:val="0"/>
                <w:color w:val="auto"/>
                <w:kern w:val="0"/>
                <w:sz w:val="21"/>
                <w:szCs w:val="21"/>
                <w:highlight w:val="none"/>
              </w:rPr>
              <w:t>地铁、城际轨道。提供理赔项目的赔款确认书</w:t>
            </w:r>
            <w:r>
              <w:rPr>
                <w:rFonts w:hint="eastAsia" w:asciiTheme="minorEastAsia" w:hAnsiTheme="minorEastAsia" w:eastAsiaTheme="minorEastAsia" w:cstheme="minorEastAsia"/>
                <w:strike w:val="0"/>
                <w:color w:val="auto"/>
                <w:kern w:val="0"/>
                <w:sz w:val="21"/>
                <w:szCs w:val="21"/>
                <w:highlight w:val="none"/>
                <w:lang w:val="en-US" w:eastAsia="zh-CN"/>
              </w:rPr>
              <w:t>或</w:t>
            </w:r>
            <w:r>
              <w:rPr>
                <w:rFonts w:hint="eastAsia" w:asciiTheme="minorEastAsia" w:hAnsiTheme="minorEastAsia" w:eastAsiaTheme="minorEastAsia" w:cstheme="minorEastAsia"/>
                <w:strike w:val="0"/>
                <w:color w:val="auto"/>
                <w:kern w:val="0"/>
                <w:sz w:val="21"/>
                <w:szCs w:val="21"/>
                <w:highlight w:val="none"/>
              </w:rPr>
              <w:t>赔款协议</w:t>
            </w:r>
            <w:r>
              <w:rPr>
                <w:rFonts w:hint="eastAsia" w:asciiTheme="minorEastAsia" w:hAnsiTheme="minorEastAsia" w:eastAsiaTheme="minorEastAsia" w:cstheme="minorEastAsia"/>
                <w:strike w:val="0"/>
                <w:color w:val="auto"/>
                <w:kern w:val="0"/>
                <w:sz w:val="21"/>
                <w:szCs w:val="21"/>
                <w:highlight w:val="none"/>
                <w:lang w:val="en-US" w:eastAsia="zh-CN"/>
              </w:rPr>
              <w:t>或</w:t>
            </w:r>
            <w:r>
              <w:rPr>
                <w:rFonts w:hint="eastAsia" w:asciiTheme="minorEastAsia" w:hAnsiTheme="minorEastAsia" w:eastAsiaTheme="minorEastAsia" w:cstheme="minorEastAsia"/>
                <w:strike w:val="0"/>
                <w:color w:val="auto"/>
                <w:kern w:val="0"/>
                <w:sz w:val="21"/>
                <w:szCs w:val="21"/>
                <w:highlight w:val="none"/>
              </w:rPr>
              <w:t>赔款计算书等有效证明文件的复印件，加盖投标人公章。</w:t>
            </w:r>
          </w:p>
        </w:tc>
      </w:tr>
    </w:tbl>
    <w:p>
      <w:pPr>
        <w:snapToGrid w:val="0"/>
        <w:spacing w:before="0" w:beforeLines="0" w:afterLines="0" w:line="360" w:lineRule="auto"/>
        <w:ind w:firstLine="0" w:firstLineChars="0"/>
        <w:jc w:val="left"/>
        <w:rPr>
          <w:rFonts w:hint="eastAsia" w:asciiTheme="minorEastAsia" w:hAnsiTheme="minorEastAsia" w:eastAsiaTheme="minorEastAsia" w:cstheme="minorEastAsia"/>
          <w:bCs/>
          <w:strike w:val="0"/>
          <w:color w:val="auto"/>
          <w:sz w:val="18"/>
          <w:szCs w:val="18"/>
          <w:highlight w:val="none"/>
        </w:rPr>
      </w:pPr>
      <w:r>
        <w:rPr>
          <w:rFonts w:hint="eastAsia" w:asciiTheme="minorEastAsia" w:hAnsiTheme="minorEastAsia" w:eastAsiaTheme="minorEastAsia" w:cstheme="minorEastAsia"/>
          <w:b w:val="0"/>
          <w:bCs/>
          <w:strike w:val="0"/>
          <w:color w:val="auto"/>
          <w:sz w:val="18"/>
          <w:szCs w:val="18"/>
          <w:highlight w:val="none"/>
        </w:rPr>
        <w:t>注</w:t>
      </w:r>
      <w:r>
        <w:rPr>
          <w:rFonts w:hint="eastAsia" w:asciiTheme="minorEastAsia" w:hAnsiTheme="minorEastAsia" w:eastAsiaTheme="minorEastAsia" w:cstheme="minorEastAsia"/>
          <w:bCs/>
          <w:strike w:val="0"/>
          <w:color w:val="auto"/>
          <w:sz w:val="18"/>
          <w:szCs w:val="18"/>
          <w:highlight w:val="none"/>
        </w:rPr>
        <w:t>：</w:t>
      </w:r>
    </w:p>
    <w:p>
      <w:pPr>
        <w:snapToGrid w:val="0"/>
        <w:spacing w:before="0" w:beforeLines="0" w:afterLines="0" w:line="360" w:lineRule="auto"/>
        <w:ind w:firstLine="0" w:firstLineChars="0"/>
        <w:jc w:val="left"/>
        <w:rPr>
          <w:rFonts w:hint="eastAsia" w:asciiTheme="minorEastAsia" w:hAnsiTheme="minorEastAsia" w:eastAsiaTheme="minorEastAsia" w:cstheme="minorEastAsia"/>
          <w:bCs/>
          <w:strike w:val="0"/>
          <w:color w:val="auto"/>
          <w:spacing w:val="-6"/>
          <w:sz w:val="18"/>
          <w:szCs w:val="18"/>
          <w:highlight w:val="none"/>
        </w:rPr>
      </w:pPr>
      <w:r>
        <w:rPr>
          <w:rFonts w:hint="eastAsia" w:asciiTheme="minorEastAsia" w:hAnsiTheme="minorEastAsia" w:eastAsiaTheme="minorEastAsia" w:cstheme="minorEastAsia"/>
          <w:bCs/>
          <w:strike w:val="0"/>
          <w:color w:val="auto"/>
          <w:sz w:val="18"/>
          <w:szCs w:val="18"/>
          <w:highlight w:val="none"/>
        </w:rPr>
        <w:t>（</w:t>
      </w:r>
      <w:r>
        <w:rPr>
          <w:rFonts w:hint="eastAsia" w:asciiTheme="minorEastAsia" w:hAnsiTheme="minorEastAsia" w:eastAsiaTheme="minorEastAsia" w:cstheme="minorEastAsia"/>
          <w:bCs/>
          <w:strike w:val="0"/>
          <w:color w:val="auto"/>
          <w:spacing w:val="-6"/>
          <w:sz w:val="18"/>
          <w:szCs w:val="18"/>
          <w:highlight w:val="none"/>
        </w:rPr>
        <w:t>1）如投标人为省级分公司，可提供自身（含下属分支公司）或所属总公司的业绩，不含其它省级分公司的业绩；如投标人为总公司，可提供自身或其下属分支公司的业绩。</w:t>
      </w:r>
    </w:p>
    <w:p>
      <w:pPr>
        <w:snapToGrid w:val="0"/>
        <w:spacing w:beforeLines="0" w:afterLines="0" w:line="360" w:lineRule="auto"/>
        <w:ind w:firstLine="0" w:firstLineChars="0"/>
        <w:jc w:val="left"/>
        <w:rPr>
          <w:rFonts w:hint="eastAsia" w:asciiTheme="minorEastAsia" w:hAnsiTheme="minorEastAsia" w:eastAsiaTheme="minorEastAsia" w:cstheme="minorEastAsia"/>
          <w:bCs/>
          <w:strike w:val="0"/>
          <w:color w:val="auto"/>
          <w:spacing w:val="-6"/>
          <w:sz w:val="18"/>
          <w:szCs w:val="18"/>
          <w:highlight w:val="none"/>
        </w:rPr>
      </w:pPr>
      <w:r>
        <w:rPr>
          <w:rFonts w:hint="eastAsia" w:asciiTheme="minorEastAsia" w:hAnsiTheme="minorEastAsia" w:eastAsiaTheme="minorEastAsia" w:cstheme="minorEastAsia"/>
          <w:bCs/>
          <w:strike w:val="0"/>
          <w:color w:val="auto"/>
          <w:spacing w:val="-6"/>
          <w:sz w:val="18"/>
          <w:szCs w:val="18"/>
          <w:highlight w:val="none"/>
        </w:rPr>
        <w:t>（2）如为投标人参与共同承保的项目，必须是投标人作为首席承保人的业绩，金额仅计投标人的承保份额。</w:t>
      </w:r>
    </w:p>
    <w:p>
      <w:pPr>
        <w:snapToGrid w:val="0"/>
        <w:spacing w:beforeLines="0" w:afterLines="0" w:line="360" w:lineRule="auto"/>
        <w:ind w:firstLine="0" w:firstLineChars="0"/>
        <w:jc w:val="left"/>
        <w:rPr>
          <w:rFonts w:hint="eastAsia" w:asciiTheme="minorEastAsia" w:hAnsiTheme="minorEastAsia" w:eastAsiaTheme="minorEastAsia" w:cstheme="minorEastAsia"/>
          <w:bCs/>
          <w:strike w:val="0"/>
          <w:color w:val="auto"/>
          <w:spacing w:val="-6"/>
          <w:sz w:val="18"/>
          <w:szCs w:val="18"/>
          <w:highlight w:val="none"/>
        </w:rPr>
      </w:pPr>
      <w:r>
        <w:rPr>
          <w:rFonts w:hint="eastAsia" w:asciiTheme="minorEastAsia" w:hAnsiTheme="minorEastAsia" w:eastAsiaTheme="minorEastAsia" w:cstheme="minorEastAsia"/>
          <w:bCs/>
          <w:strike w:val="0"/>
          <w:color w:val="auto"/>
          <w:spacing w:val="-6"/>
          <w:sz w:val="18"/>
          <w:szCs w:val="18"/>
          <w:highlight w:val="none"/>
        </w:rPr>
        <w:t>（3）承保时间指保险合同生效日；理赔处理时间指结案赔付的时间。两者均须在规定的期间内方被认可。</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360" w:lineRule="auto"/>
        <w:ind w:left="0" w:leftChars="0" w:firstLine="0" w:firstLineChars="0"/>
        <w:jc w:val="both"/>
        <w:textAlignment w:val="auto"/>
        <w:outlineLvl w:val="9"/>
        <w:rPr>
          <w:rFonts w:hint="default" w:ascii="Times New Roman" w:hAnsi="Times New Roman" w:eastAsia="宋体" w:cs="Times New Roman"/>
          <w:b w:val="0"/>
          <w:bCs/>
          <w:strike w:val="0"/>
          <w:color w:val="auto"/>
          <w:sz w:val="18"/>
          <w:szCs w:val="18"/>
          <w:highlight w:val="none"/>
        </w:rPr>
      </w:pPr>
      <w:r>
        <w:rPr>
          <w:rFonts w:hint="eastAsia" w:asciiTheme="minorEastAsia" w:hAnsiTheme="minorEastAsia" w:eastAsiaTheme="minorEastAsia" w:cstheme="minorEastAsia"/>
          <w:b w:val="0"/>
          <w:bCs/>
          <w:strike w:val="0"/>
          <w:color w:val="auto"/>
          <w:spacing w:val="-6"/>
          <w:sz w:val="18"/>
          <w:szCs w:val="18"/>
          <w:highlight w:val="none"/>
          <w:lang w:eastAsia="zh-CN"/>
        </w:rPr>
        <w:t>（</w:t>
      </w:r>
      <w:r>
        <w:rPr>
          <w:rFonts w:hint="eastAsia" w:asciiTheme="minorEastAsia" w:hAnsiTheme="minorEastAsia" w:eastAsiaTheme="minorEastAsia" w:cstheme="minorEastAsia"/>
          <w:b w:val="0"/>
          <w:bCs/>
          <w:strike w:val="0"/>
          <w:color w:val="auto"/>
          <w:spacing w:val="-6"/>
          <w:sz w:val="18"/>
          <w:szCs w:val="18"/>
          <w:highlight w:val="none"/>
          <w:lang w:val="en-US" w:eastAsia="zh-CN"/>
        </w:rPr>
        <w:t>4</w:t>
      </w:r>
      <w:r>
        <w:rPr>
          <w:rFonts w:hint="eastAsia" w:asciiTheme="minorEastAsia" w:hAnsiTheme="minorEastAsia" w:eastAsiaTheme="minorEastAsia" w:cstheme="minorEastAsia"/>
          <w:b w:val="0"/>
          <w:bCs/>
          <w:strike w:val="0"/>
          <w:color w:val="auto"/>
          <w:spacing w:val="-6"/>
          <w:sz w:val="18"/>
          <w:szCs w:val="18"/>
          <w:highlight w:val="none"/>
          <w:lang w:eastAsia="zh-CN"/>
        </w:rPr>
        <w:t>）</w:t>
      </w:r>
      <w:r>
        <w:rPr>
          <w:rFonts w:hint="eastAsia" w:asciiTheme="minorEastAsia" w:hAnsiTheme="minorEastAsia" w:eastAsiaTheme="minorEastAsia" w:cstheme="minorEastAsia"/>
          <w:b w:val="0"/>
          <w:bCs/>
          <w:strike w:val="0"/>
          <w:color w:val="auto"/>
          <w:spacing w:val="-6"/>
          <w:sz w:val="18"/>
          <w:szCs w:val="18"/>
          <w:highlight w:val="none"/>
          <w:lang w:val="en-US" w:eastAsia="zh-CN"/>
        </w:rPr>
        <w:t>投标人提供的承保业绩、理赔业绩材料</w:t>
      </w:r>
      <w:r>
        <w:rPr>
          <w:rFonts w:hint="eastAsia" w:cs="Times New Roman"/>
          <w:b w:val="0"/>
          <w:bCs/>
          <w:strike w:val="0"/>
          <w:color w:val="auto"/>
          <w:sz w:val="18"/>
          <w:szCs w:val="18"/>
          <w:highlight w:val="none"/>
          <w:lang w:val="en-US" w:eastAsia="zh-CN"/>
        </w:rPr>
        <w:t>如无法体现相关业绩要求信息，则须提供</w:t>
      </w:r>
      <w:r>
        <w:rPr>
          <w:rFonts w:hint="eastAsia" w:ascii="Times New Roman" w:hAnsi="Times New Roman" w:eastAsia="宋体" w:cs="Times New Roman"/>
          <w:bCs/>
          <w:color w:val="auto"/>
          <w:sz w:val="18"/>
          <w:szCs w:val="18"/>
          <w:highlight w:val="none"/>
          <w:u w:val="none"/>
          <w:lang w:val="en-US" w:eastAsia="zh-CN"/>
        </w:rPr>
        <w:t>业主</w:t>
      </w:r>
      <w:r>
        <w:rPr>
          <w:rFonts w:hint="eastAsia" w:cs="Times New Roman"/>
          <w:bCs/>
          <w:color w:val="auto"/>
          <w:sz w:val="18"/>
          <w:szCs w:val="18"/>
          <w:highlight w:val="none"/>
          <w:u w:val="none"/>
          <w:lang w:val="en-US" w:eastAsia="zh-CN"/>
        </w:rPr>
        <w:t>出</w:t>
      </w:r>
      <w:r>
        <w:rPr>
          <w:rFonts w:hint="eastAsia" w:ascii="Times New Roman" w:hAnsi="Times New Roman" w:eastAsia="宋体" w:cs="Times New Roman"/>
          <w:bCs/>
          <w:color w:val="auto"/>
          <w:sz w:val="18"/>
          <w:szCs w:val="18"/>
          <w:highlight w:val="none"/>
          <w:u w:val="none"/>
          <w:lang w:val="en-US" w:eastAsia="zh-CN"/>
        </w:rPr>
        <w:t>具的业绩</w:t>
      </w:r>
      <w:r>
        <w:rPr>
          <w:rFonts w:hint="eastAsia" w:ascii="Times New Roman" w:hAnsi="Times New Roman" w:eastAsia="宋体" w:cs="Times New Roman"/>
          <w:bCs/>
          <w:color w:val="auto"/>
          <w:sz w:val="18"/>
          <w:szCs w:val="18"/>
          <w:highlight w:val="none"/>
          <w:u w:val="none"/>
        </w:rPr>
        <w:t>证明</w:t>
      </w:r>
      <w:r>
        <w:rPr>
          <w:rFonts w:hint="eastAsia" w:ascii="Times New Roman" w:hAnsi="Times New Roman" w:eastAsia="宋体" w:cs="Times New Roman"/>
          <w:bCs/>
          <w:color w:val="auto"/>
          <w:sz w:val="18"/>
          <w:szCs w:val="18"/>
          <w:highlight w:val="none"/>
          <w:u w:val="none"/>
          <w:lang w:val="en-US" w:eastAsia="zh-CN"/>
        </w:rPr>
        <w:t>材料</w:t>
      </w:r>
      <w:r>
        <w:rPr>
          <w:rFonts w:hint="eastAsia" w:cs="Times New Roman"/>
          <w:b w:val="0"/>
          <w:bCs/>
          <w:strike w:val="0"/>
          <w:color w:val="auto"/>
          <w:sz w:val="18"/>
          <w:szCs w:val="18"/>
          <w:highlight w:val="none"/>
          <w:lang w:val="en-US" w:eastAsia="zh-CN"/>
        </w:rPr>
        <w:t>。</w:t>
      </w:r>
    </w:p>
    <w:p>
      <w:pPr>
        <w:pStyle w:val="7"/>
        <w:jc w:val="both"/>
        <w:rPr>
          <w:rFonts w:hint="eastAsia" w:eastAsiaTheme="minorEastAsia"/>
          <w:color w:val="auto"/>
          <w:highlight w:val="none"/>
          <w:lang w:eastAsia="zh-CN"/>
        </w:rPr>
      </w:pPr>
    </w:p>
    <w:p>
      <w:pPr>
        <w:snapToGrid w:val="0"/>
        <w:spacing w:beforeLines="0" w:afterLines="0" w:line="360" w:lineRule="auto"/>
        <w:jc w:val="center"/>
        <w:outlineLvl w:val="2"/>
        <w:rPr>
          <w:rFonts w:hint="eastAsia" w:ascii="Times New Roman" w:hAnsi="Times New Roman" w:eastAsia="宋体" w:cs="Times New Roman"/>
          <w:b/>
          <w:strike w:val="0"/>
          <w:color w:val="auto"/>
          <w:sz w:val="28"/>
          <w:szCs w:val="28"/>
          <w:highlight w:val="none"/>
          <w:lang w:eastAsia="zh-CN"/>
        </w:rPr>
      </w:pPr>
      <w:r>
        <w:rPr>
          <w:rFonts w:hint="eastAsia" w:cs="Times New Roman"/>
          <w:b/>
          <w:strike w:val="0"/>
          <w:color w:val="auto"/>
          <w:sz w:val="28"/>
          <w:szCs w:val="28"/>
          <w:highlight w:val="none"/>
          <w:lang w:val="en-US" w:eastAsia="zh-CN"/>
        </w:rPr>
        <w:t>附录4  资格审查条件（信誉</w:t>
      </w:r>
      <w:r>
        <w:rPr>
          <w:rFonts w:hint="default" w:ascii="Times New Roman" w:hAnsi="Times New Roman" w:eastAsia="宋体" w:cs="Times New Roman"/>
          <w:b/>
          <w:strike w:val="0"/>
          <w:color w:val="auto"/>
          <w:sz w:val="28"/>
          <w:szCs w:val="28"/>
          <w:highlight w:val="none"/>
        </w:rPr>
        <w:t>最低要求</w:t>
      </w:r>
      <w:r>
        <w:rPr>
          <w:rFonts w:hint="eastAsia" w:cs="Times New Roman"/>
          <w:b/>
          <w:strike w:val="0"/>
          <w:color w:val="auto"/>
          <w:sz w:val="28"/>
          <w:szCs w:val="28"/>
          <w:highlight w:val="none"/>
          <w:lang w:eastAsia="zh-CN"/>
        </w:rPr>
        <w:t>）</w:t>
      </w:r>
    </w:p>
    <w:tbl>
      <w:tblPr>
        <w:tblStyle w:val="10"/>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720" w:type="dxa"/>
            <w:vAlign w:val="center"/>
          </w:tcPr>
          <w:p>
            <w:pPr>
              <w:widowControl/>
              <w:snapToGrid w:val="0"/>
              <w:spacing w:beforeLines="0" w:afterLines="0" w:line="360" w:lineRule="auto"/>
              <w:jc w:val="center"/>
              <w:rPr>
                <w:rFonts w:hint="default" w:ascii="Times New Roman" w:hAnsi="Times New Roman" w:eastAsia="宋体" w:cs="Times New Roman"/>
                <w:strike w:val="0"/>
                <w:color w:val="auto"/>
                <w:kern w:val="0"/>
                <w:sz w:val="21"/>
                <w:szCs w:val="21"/>
                <w:highlight w:val="none"/>
              </w:rPr>
            </w:pPr>
            <w:r>
              <w:rPr>
                <w:rFonts w:hint="eastAsia" w:cs="Times New Roman"/>
                <w:strike w:val="0"/>
                <w:color w:val="auto"/>
                <w:sz w:val="21"/>
                <w:szCs w:val="21"/>
                <w:highlight w:val="none"/>
                <w:lang w:val="en-US" w:eastAsia="zh-CN"/>
              </w:rPr>
              <w:t>信誉</w:t>
            </w:r>
            <w:r>
              <w:rPr>
                <w:rFonts w:hint="default" w:ascii="Times New Roman" w:hAnsi="Times New Roman" w:eastAsia="宋体" w:cs="Times New Roman"/>
                <w:strike w:val="0"/>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8720" w:type="dxa"/>
            <w:vAlign w:val="center"/>
          </w:tcPr>
          <w:p>
            <w:pPr>
              <w:snapToGrid w:val="0"/>
              <w:spacing w:beforeLines="0" w:afterLines="0"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未被省级及以上交通运输主管部门取消招标项目所在地的投标资格且处于有效期内；</w:t>
            </w:r>
          </w:p>
          <w:p>
            <w:pPr>
              <w:snapToGrid w:val="0"/>
              <w:spacing w:beforeLines="0" w:afterLines="0"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未被责令停业，暂扣或吊销执照，或吊销资质证书；</w:t>
            </w:r>
          </w:p>
          <w:p>
            <w:pPr>
              <w:snapToGrid w:val="0"/>
              <w:spacing w:beforeLines="0" w:afterLines="0"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未进入清算程序，或被宣告破产，或其他丧失履约能力的情形；</w:t>
            </w:r>
          </w:p>
          <w:p>
            <w:pPr>
              <w:snapToGrid w:val="0"/>
              <w:spacing w:beforeLines="0" w:afterLines="0"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在国家企业信用信息公示系统（http://www.gsxt.gov.cn/）中未被列入严重违法失信企业名单；</w:t>
            </w:r>
          </w:p>
          <w:p>
            <w:pPr>
              <w:snapToGrid w:val="0"/>
              <w:spacing w:beforeLines="0" w:afterLines="0" w:line="360" w:lineRule="auto"/>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在“信用中国”网站（http://www.creditchina.gov.cn/）中未被列入失信被执行人名单；</w:t>
            </w:r>
          </w:p>
          <w:p>
            <w:pPr>
              <w:snapToGrid w:val="0"/>
              <w:spacing w:beforeLines="0" w:afterLines="0" w:line="360" w:lineRule="auto"/>
              <w:jc w:val="left"/>
              <w:rPr>
                <w:rFonts w:hint="default" w:ascii="Times New Roman" w:hAnsi="Times New Roman" w:eastAsia="宋体" w:cs="Times New Roman"/>
                <w:strike w:val="0"/>
                <w:color w:val="auto"/>
                <w:sz w:val="21"/>
                <w:szCs w:val="21"/>
                <w:highlight w:val="none"/>
                <w:lang w:eastAsia="zh-CN"/>
              </w:rPr>
            </w:pPr>
            <w:r>
              <w:rPr>
                <w:rFonts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ascii="宋体" w:hAnsi="宋体" w:eastAsia="宋体" w:cs="宋体"/>
                <w:color w:val="auto"/>
                <w:sz w:val="21"/>
                <w:szCs w:val="21"/>
                <w:highlight w:val="none"/>
              </w:rPr>
              <w:t>投标人近三年内没有因行贿犯罪而被人民法院判决、裁定生效的行为，投标人的法定代表（负责）人近三年内没有因行贿犯罪而被判刑的行为；</w:t>
            </w:r>
          </w:p>
        </w:tc>
      </w:tr>
    </w:tbl>
    <w:p>
      <w:pPr>
        <w:pStyle w:val="2"/>
        <w:ind w:left="0" w:leftChars="0" w:firstLine="0" w:firstLineChars="0"/>
        <w:jc w:val="left"/>
        <w:rPr>
          <w:rFonts w:hint="eastAsia" w:asciiTheme="minorEastAsia" w:hAnsiTheme="minorEastAsia" w:eastAsiaTheme="minorEastAsia" w:cstheme="minorEastAsia"/>
          <w:bCs/>
          <w:strike w:val="0"/>
          <w:color w:val="auto"/>
          <w:spacing w:val="-6"/>
          <w:kern w:val="2"/>
          <w:sz w:val="18"/>
          <w:szCs w:val="18"/>
          <w:highlight w:val="none"/>
          <w:lang w:val="en-US" w:eastAsia="zh-CN" w:bidi="ar-SA"/>
        </w:rPr>
      </w:pPr>
      <w:r>
        <w:rPr>
          <w:rFonts w:hint="eastAsia" w:asciiTheme="minorEastAsia" w:hAnsiTheme="minorEastAsia" w:eastAsiaTheme="minorEastAsia" w:cstheme="minorEastAsia"/>
          <w:bCs/>
          <w:strike w:val="0"/>
          <w:color w:val="auto"/>
          <w:spacing w:val="-6"/>
          <w:kern w:val="2"/>
          <w:sz w:val="18"/>
          <w:szCs w:val="18"/>
          <w:highlight w:val="none"/>
          <w:lang w:val="en-US" w:eastAsia="zh-CN" w:bidi="ar-SA"/>
        </w:rPr>
        <w:t>注：投标人应根据“投标文件格式”中“投标人的信誉情况表”填写情况说明。</w:t>
      </w:r>
    </w:p>
    <w:p>
      <w:pPr>
        <w:pStyle w:val="2"/>
        <w:ind w:left="0" w:leftChars="0" w:firstLine="0" w:firstLineChars="0"/>
        <w:jc w:val="left"/>
        <w:rPr>
          <w:rFonts w:hint="eastAsia" w:asciiTheme="minorEastAsia" w:hAnsiTheme="minorEastAsia" w:eastAsiaTheme="minorEastAsia" w:cstheme="minorEastAsia"/>
          <w:bCs/>
          <w:strike w:val="0"/>
          <w:color w:val="auto"/>
          <w:spacing w:val="-6"/>
          <w:kern w:val="2"/>
          <w:sz w:val="18"/>
          <w:szCs w:val="18"/>
          <w:highlight w:val="none"/>
          <w:lang w:val="en-US" w:eastAsia="zh-CN" w:bidi="ar-SA"/>
        </w:rPr>
      </w:pPr>
      <w:r>
        <w:rPr>
          <w:rFonts w:hint="eastAsia" w:asciiTheme="minorEastAsia" w:hAnsiTheme="minorEastAsia" w:eastAsiaTheme="minorEastAsia" w:cstheme="minorEastAsia"/>
          <w:bCs/>
          <w:strike w:val="0"/>
          <w:color w:val="auto"/>
          <w:spacing w:val="-6"/>
          <w:kern w:val="2"/>
          <w:sz w:val="18"/>
          <w:szCs w:val="18"/>
          <w:highlight w:val="none"/>
          <w:lang w:val="en-US" w:eastAsia="zh-CN" w:bidi="ar-SA"/>
        </w:rPr>
        <w:br w:type="page"/>
      </w:r>
    </w:p>
    <w:p>
      <w:pPr>
        <w:pStyle w:val="3"/>
        <w:snapToGrid w:val="0"/>
        <w:spacing w:before="0" w:beforeLines="0" w:afterLines="0" w:line="360" w:lineRule="auto"/>
        <w:ind w:left="0" w:firstLine="0"/>
        <w:rPr>
          <w:rFonts w:hint="eastAsia" w:ascii="黑体" w:hAnsi="宋体" w:eastAsia="黑体" w:cs="Times New Roman"/>
          <w:strike w:val="0"/>
          <w:color w:val="auto"/>
          <w:sz w:val="52"/>
          <w:szCs w:val="52"/>
          <w:highlight w:val="none"/>
        </w:rPr>
      </w:pPr>
      <w:bookmarkStart w:id="0" w:name="_Toc11841_WPSOffice_Level1"/>
      <w:bookmarkStart w:id="1" w:name="_Toc15664"/>
      <w:bookmarkStart w:id="2" w:name="_Toc29512"/>
      <w:bookmarkStart w:id="3" w:name="_Toc404247669"/>
      <w:bookmarkStart w:id="4" w:name="_Toc25310"/>
      <w:bookmarkStart w:id="5" w:name="_Toc32582"/>
      <w:bookmarkStart w:id="6" w:name="_Toc7494"/>
      <w:r>
        <w:rPr>
          <w:rFonts w:hint="eastAsia" w:ascii="黑体" w:hAnsi="宋体" w:eastAsia="黑体" w:cs="Times New Roman"/>
          <w:strike w:val="0"/>
          <w:color w:val="auto"/>
          <w:sz w:val="52"/>
          <w:szCs w:val="52"/>
          <w:highlight w:val="none"/>
        </w:rPr>
        <w:t>第三</w:t>
      </w:r>
      <w:r>
        <w:rPr>
          <w:rFonts w:hint="eastAsia" w:ascii="黑体" w:hAnsi="宋体" w:eastAsia="黑体" w:cs="Times New Roman"/>
          <w:strike w:val="0"/>
          <w:color w:val="auto"/>
          <w:sz w:val="52"/>
          <w:szCs w:val="52"/>
          <w:highlight w:val="none"/>
          <w:lang w:val="en-US" w:eastAsia="zh-CN"/>
        </w:rPr>
        <w:t xml:space="preserve">章  </w:t>
      </w:r>
      <w:r>
        <w:rPr>
          <w:rFonts w:hint="eastAsia" w:ascii="黑体" w:hAnsi="宋体" w:eastAsia="黑体" w:cs="Times New Roman"/>
          <w:strike w:val="0"/>
          <w:color w:val="auto"/>
          <w:sz w:val="52"/>
          <w:szCs w:val="52"/>
          <w:highlight w:val="none"/>
        </w:rPr>
        <w:t>评标办法</w:t>
      </w:r>
      <w:bookmarkEnd w:id="0"/>
      <w:bookmarkEnd w:id="1"/>
      <w:bookmarkEnd w:id="2"/>
      <w:bookmarkEnd w:id="3"/>
      <w:bookmarkEnd w:id="4"/>
      <w:bookmarkEnd w:id="5"/>
      <w:bookmarkEnd w:id="6"/>
    </w:p>
    <w:p>
      <w:pPr>
        <w:snapToGrid w:val="0"/>
        <w:spacing w:beforeLines="0" w:afterLines="0" w:line="360" w:lineRule="auto"/>
        <w:ind w:firstLine="480" w:firstLineChars="200"/>
        <w:rPr>
          <w:rFonts w:hint="default" w:ascii="Times New Roman" w:hAnsi="Times New Roman" w:eastAsia="宋体" w:cs="Times New Roman"/>
          <w:strike w:val="0"/>
          <w:color w:val="auto"/>
          <w:sz w:val="24"/>
          <w:highlight w:val="none"/>
        </w:rPr>
      </w:pPr>
    </w:p>
    <w:p>
      <w:pPr>
        <w:pStyle w:val="4"/>
        <w:snapToGrid w:val="0"/>
        <w:spacing w:beforeLines="0" w:afterLines="0" w:line="360" w:lineRule="auto"/>
        <w:jc w:val="center"/>
        <w:outlineLvl w:val="1"/>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strike w:val="0"/>
          <w:color w:val="auto"/>
          <w:highlight w:val="none"/>
        </w:rPr>
        <w:br w:type="page"/>
      </w:r>
      <w:bookmarkStart w:id="7" w:name="_Toc310083831"/>
      <w:bookmarkStart w:id="8" w:name="_Toc524506060"/>
      <w:bookmarkStart w:id="9" w:name="_Toc328663988"/>
      <w:bookmarkStart w:id="10" w:name="_Toc523336056"/>
      <w:bookmarkStart w:id="11" w:name="_Toc319658061"/>
      <w:r>
        <w:rPr>
          <w:rFonts w:hint="default" w:ascii="Times New Roman" w:hAnsi="Times New Roman" w:eastAsia="宋体" w:cs="Times New Roman"/>
          <w:b/>
          <w:bCs/>
          <w:color w:val="auto"/>
          <w:sz w:val="32"/>
          <w:szCs w:val="32"/>
          <w:highlight w:val="none"/>
          <w:lang w:val="en-US" w:eastAsia="zh-CN"/>
        </w:rPr>
        <w:t>评标办法前附表</w:t>
      </w:r>
      <w:bookmarkEnd w:id="7"/>
      <w:bookmarkEnd w:id="8"/>
      <w:bookmarkEnd w:id="9"/>
      <w:bookmarkEnd w:id="10"/>
      <w:bookmarkEnd w:id="11"/>
      <w:r>
        <w:rPr>
          <w:rFonts w:hint="default" w:ascii="Times New Roman" w:hAnsi="Times New Roman" w:eastAsia="宋体" w:cs="Times New Roman"/>
          <w:b/>
          <w:bCs/>
          <w:color w:val="auto"/>
          <w:sz w:val="32"/>
          <w:szCs w:val="32"/>
          <w:highlight w:val="none"/>
          <w:lang w:val="en-US" w:eastAsia="zh-CN"/>
        </w:rPr>
        <w:t>（</w:t>
      </w:r>
      <w:r>
        <w:rPr>
          <w:rFonts w:hint="default" w:ascii="Times New Roman" w:hAnsi="Times New Roman" w:eastAsia="宋体" w:cs="Times New Roman"/>
          <w:b/>
          <w:bCs/>
          <w:color w:val="auto"/>
          <w:sz w:val="32"/>
          <w:szCs w:val="32"/>
          <w:highlight w:val="none"/>
        </w:rPr>
        <w:t>双信封的合理低价法</w:t>
      </w:r>
      <w:r>
        <w:rPr>
          <w:rFonts w:hint="default" w:ascii="Times New Roman" w:hAnsi="Times New Roman" w:eastAsia="宋体" w:cs="Times New Roman"/>
          <w:b/>
          <w:bCs/>
          <w:color w:val="auto"/>
          <w:sz w:val="32"/>
          <w:szCs w:val="32"/>
          <w:highlight w:val="none"/>
          <w:lang w:val="en-US" w:eastAsia="zh-CN"/>
        </w:rPr>
        <w:t>）</w:t>
      </w:r>
    </w:p>
    <w:tbl>
      <w:tblPr>
        <w:tblStyle w:val="10"/>
        <w:tblW w:w="83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343"/>
        <w:gridCol w:w="5988"/>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blHeader/>
        </w:trPr>
        <w:tc>
          <w:tcPr>
            <w:tcW w:w="231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条款号</w:t>
            </w:r>
          </w:p>
        </w:tc>
        <w:tc>
          <w:tcPr>
            <w:tcW w:w="5999"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34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评标方法</w:t>
            </w:r>
          </w:p>
        </w:tc>
        <w:tc>
          <w:tcPr>
            <w:tcW w:w="5999" w:type="dxa"/>
            <w:gridSpan w:val="2"/>
            <w:vAlign w:val="top"/>
          </w:tcPr>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综合评分相等时，评标委员会依次按照以下优先顺序推荐中标候选人或确定中标人：</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（1）评标价低的优先；</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）以投标人202</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年原保险费收入较高的优先；</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w:t>
            </w:r>
          </w:p>
        </w:tc>
        <w:tc>
          <w:tcPr>
            <w:tcW w:w="1343" w:type="dxa"/>
            <w:vAlign w:val="top"/>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形式评审与响应性评审标准</w:t>
            </w:r>
          </w:p>
        </w:tc>
        <w:tc>
          <w:tcPr>
            <w:tcW w:w="5999" w:type="dxa"/>
            <w:gridSpan w:val="2"/>
            <w:vAlign w:val="top"/>
          </w:tcPr>
          <w:p>
            <w:pPr>
              <w:snapToGrid w:val="0"/>
              <w:spacing w:beforeLines="0" w:afterLines="0" w:line="360" w:lineRule="auto"/>
              <w:ind w:left="0" w:leftChars="0" w:firstLine="0" w:firstLineChars="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第一个信封（商务及技术文件）评审标准：</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（1）投标文件按照招标文件规定的格式、内容填写，字迹清晰可辨：</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a.投标函按招标文件规定填报了项目名称、标段号以及招标文件其他要求；</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b.投标函附录的所有数据均符合招标文件规定；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c.</w:t>
            </w:r>
            <w:r>
              <w:rPr>
                <w:rFonts w:hint="eastAsia" w:asciiTheme="minorEastAsia" w:hAnsiTheme="minorEastAsia" w:eastAsiaTheme="minorEastAsia" w:cstheme="minorEastAsia"/>
                <w:color w:val="auto"/>
                <w:highlight w:val="none"/>
              </w:rPr>
              <w:t>投标文件组成齐全完整，内容均按规定填写。</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（2）投标文件上法定代表人或其委托代理人的签字、投标人的单位章盖章齐全，符合招标文件规定。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（3）投标人按照招标文件的规定提供了投标保证金：</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a.投标保证金金额符合招标文件规定的金额，且投标保证金有效期不少于投标有效期；</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b.若投标保证金采用现金</w:t>
            </w:r>
            <w:r>
              <w:rPr>
                <w:rFonts w:hint="eastAsia" w:asciiTheme="minorEastAsia" w:hAnsiTheme="minorEastAsia" w:eastAsiaTheme="minorEastAsia" w:cstheme="minorEastAsia"/>
                <w:strike w:val="0"/>
                <w:color w:val="auto"/>
                <w:kern w:val="0"/>
                <w:sz w:val="21"/>
                <w:szCs w:val="21"/>
                <w:highlight w:val="none"/>
                <w:lang w:val="zh-CN"/>
              </w:rPr>
              <w:t>或支票</w:t>
            </w:r>
            <w:r>
              <w:rPr>
                <w:rFonts w:hint="eastAsia" w:asciiTheme="minorEastAsia" w:hAnsiTheme="minorEastAsia" w:eastAsiaTheme="minorEastAsia" w:cstheme="minorEastAsia"/>
                <w:color w:val="auto"/>
                <w:highlight w:val="none"/>
              </w:rPr>
              <w:t>形式提交，投标人应在投标人须知3.4.1款规定的时间，</w:t>
            </w:r>
            <w:r>
              <w:rPr>
                <w:rFonts w:hint="eastAsia" w:asciiTheme="minorEastAsia" w:hAnsiTheme="minorEastAsia" w:eastAsiaTheme="minorEastAsia" w:cstheme="minorEastAsia"/>
                <w:color w:val="auto"/>
                <w:szCs w:val="22"/>
                <w:highlight w:val="none"/>
              </w:rPr>
              <w:t>将投标保证金由投标人的基本账户转入招标人指定账户；</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c.若投标保证金采用银行保函形式提交，银行保函的格式、开具保函的银行均满足招标文件要求，银行保函原件在递交投标文件时单独密封递交，其复印件装订在投标文件中。</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（4）投标人法定代表人授权委托代理人签署投标文件的，需提交授权委托书，且授权人和被授权人均在授权委托书上签名，未使用印章、签名章或其他电子制版签名代替。</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（5）投标人法定代表人亲自签署投标文件的，提供了法定代表人身份证明，且法定代表人在法定代表人身份证明上签名，未使用印章、签名章或其他电子制版签名代替。</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（6）投标人不得以联合体形式投标。</w:t>
            </w:r>
          </w:p>
          <w:p>
            <w:pPr>
              <w:snapToGrid w:val="0"/>
              <w:spacing w:beforeLines="0" w:afterLines="0" w:line="360" w:lineRule="auto"/>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（7）投标人不得</w:t>
            </w:r>
            <w:r>
              <w:rPr>
                <w:rFonts w:hint="eastAsia" w:asciiTheme="minorEastAsia" w:hAnsiTheme="minorEastAsia" w:eastAsiaTheme="minorEastAsia" w:cstheme="minorEastAsia"/>
                <w:color w:val="auto"/>
                <w:highlight w:val="none"/>
                <w:lang w:val="en-US" w:eastAsia="zh-CN"/>
              </w:rPr>
              <w:t>进行分包。</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（8）同一投标人未提交两个以上不同的投标文件，但招标文件要求提交备选投标的除外。</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投标文件中未出现有关投标报价的内容。</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投标文件载明的保险期限满足招标文件规定的时限要求。</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）投标文件对招标文件的实质性要求和条件作出响应。</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）权利义务符合招标文件规定：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a.投标人应接受招标文件规定的风险划分原则，未提出新的风险划分办法；</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b.投标人未增加发包人的责任范围，或减少投标人义务；</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2"/>
                <w:highlight w:val="none"/>
                <w:lang w:val="en-US" w:eastAsia="zh-CN"/>
              </w:rPr>
              <w:t>c</w:t>
            </w:r>
            <w:r>
              <w:rPr>
                <w:rFonts w:hint="eastAsia" w:asciiTheme="minorEastAsia" w:hAnsiTheme="minorEastAsia" w:eastAsiaTheme="minorEastAsia" w:cstheme="minorEastAsia"/>
                <w:color w:val="auto"/>
                <w:szCs w:val="22"/>
                <w:highlight w:val="none"/>
              </w:rPr>
              <w:t>.投</w:t>
            </w:r>
            <w:r>
              <w:rPr>
                <w:rFonts w:hint="eastAsia" w:asciiTheme="minorEastAsia" w:hAnsiTheme="minorEastAsia" w:eastAsiaTheme="minorEastAsia" w:cstheme="minorEastAsia"/>
                <w:color w:val="auto"/>
                <w:highlight w:val="none"/>
              </w:rPr>
              <w:t>标人未提出不同的工程验收、计量、支付办法；</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d.投标人对合同纠纷、事故处理办法未提出异议；</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e.投标人在投标活动中无欺诈行为；</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f.投标人未对合同条款有重要保留。</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13</w:t>
            </w:r>
            <w:r>
              <w:rPr>
                <w:rFonts w:hint="eastAsia" w:asciiTheme="minorEastAsia" w:hAnsiTheme="minorEastAsia" w:eastAsiaTheme="minorEastAsia" w:cstheme="minorEastAsia"/>
                <w:color w:val="auto"/>
                <w:highlight w:val="none"/>
              </w:rPr>
              <w:t>）投标人编制的保险方案可行，符合要求。</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）投标人在投标文件中的相应位置填写了所投标段的标段号，未出现填报有误或前后不一致的情形。</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）投标文件未附有招标人不能接受的条件。</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p>
          <w:p>
            <w:pPr>
              <w:snapToGrid w:val="0"/>
              <w:spacing w:beforeLines="0" w:afterLines="0" w:line="360" w:lineRule="auto"/>
              <w:ind w:left="0" w:leftChars="0" w:firstLine="0" w:firstLineChars="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第二个信封（报价文件）评审标准：</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（1）投标文件按照招标文件规定的格式、内容填写，字迹清晰可</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a.投标函按招标文件规定填报了项目名称、标段号、补遗书（如有</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、投标价（包括大写金额和小写金额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b.货物报价表说明文字与招标文件规定一致，未进行实质性修改和删减；</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c.投标文件组成齐全完整，内容均按规定填写。</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（2）投标文件上法定代表人或其委托代理人的签字、投标人的单位章盖章齐全，符合招标文件规定。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（3）投标报价未超过招标文件设定的最高投标限价（如有）。</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（4）投标报价的大写金额能够确定具体数值。</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（5）同一投标人未提交两个以上不同的投标报价，但招标文件要求提交备选投标的除外。</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（6）投标人不得提交调价函。</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（7）投标人若填写工程量固化清单，填写完毕的工程量固化清单未对工程量固化清单电子文件中的数据、格式和运算定义进行修改；工程量固化清单中的投标报价和投标函大写金额报价一致。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w:t>
            </w:r>
          </w:p>
        </w:tc>
        <w:tc>
          <w:tcPr>
            <w:tcW w:w="134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资格评审</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标准</w:t>
            </w:r>
          </w:p>
        </w:tc>
        <w:tc>
          <w:tcPr>
            <w:tcW w:w="5999" w:type="dxa"/>
            <w:gridSpan w:val="2"/>
            <w:vAlign w:val="center"/>
          </w:tcPr>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（1）投标人具备有效的营业执照和基本账户开户许可证</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若投标人无法提供基本账户开户许可证，则须提供加盖单位公章的基本账户证明文件的复印件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（2）投标人的资质符合招标文件规定；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（3）投标人的业绩符合招标文件规定；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（4）投标人的财务状况符合招标文件规定；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（5）投标人的信誉符合招标文件规定；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）投标人的其他要求符合招标文件规定；</w:t>
            </w:r>
          </w:p>
          <w:p>
            <w:pPr>
              <w:snapToGrid w:val="0"/>
              <w:spacing w:beforeLines="0" w:afterLines="0"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trike w:val="0"/>
                <w:dstrike w:val="0"/>
                <w:color w:val="auto"/>
                <w:highlight w:val="none"/>
              </w:rPr>
              <w:t>（</w:t>
            </w:r>
            <w:r>
              <w:rPr>
                <w:rFonts w:hint="eastAsia" w:asciiTheme="minorEastAsia" w:hAnsiTheme="minorEastAsia" w:eastAsiaTheme="minorEastAsia" w:cstheme="minorEastAsia"/>
                <w:strike w:val="0"/>
                <w:dstrike w:val="0"/>
                <w:color w:val="auto"/>
                <w:highlight w:val="none"/>
                <w:lang w:val="en-US" w:eastAsia="zh-CN"/>
              </w:rPr>
              <w:t>7</w:t>
            </w:r>
            <w:r>
              <w:rPr>
                <w:rFonts w:hint="eastAsia" w:asciiTheme="minorEastAsia" w:hAnsiTheme="minorEastAsia" w:eastAsiaTheme="minorEastAsia" w:cstheme="minorEastAsia"/>
                <w:strike w:val="0"/>
                <w:dstrike w:val="0"/>
                <w:color w:val="auto"/>
                <w:highlight w:val="none"/>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166" w:hRule="atLeast"/>
        </w:trPr>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2.2.1</w:t>
            </w:r>
          </w:p>
        </w:tc>
        <w:tc>
          <w:tcPr>
            <w:tcW w:w="134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分值构成</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总分100分</w:t>
            </w:r>
            <w:r>
              <w:rPr>
                <w:rFonts w:hint="default" w:ascii="Times New Roman" w:hAnsi="Times New Roman" w:eastAsia="宋体" w:cs="Times New Roman"/>
                <w:color w:val="auto"/>
                <w:highlight w:val="none"/>
                <w:lang w:eastAsia="zh-CN"/>
              </w:rPr>
              <w:t>）</w:t>
            </w:r>
          </w:p>
        </w:tc>
        <w:tc>
          <w:tcPr>
            <w:tcW w:w="5988" w:type="dxa"/>
            <w:vAlign w:val="center"/>
          </w:tcPr>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评标价：</w:t>
            </w:r>
            <w:r>
              <w:rPr>
                <w:rFonts w:hint="default" w:ascii="Times New Roman" w:hAnsi="Times New Roman" w:eastAsia="宋体" w:cs="Times New Roman"/>
                <w:color w:val="auto"/>
                <w:highlight w:val="none"/>
                <w:u w:val="single"/>
                <w:lang w:val="en-US" w:eastAsia="zh-CN"/>
              </w:rPr>
              <w:t>100</w:t>
            </w:r>
            <w:r>
              <w:rPr>
                <w:rFonts w:hint="default" w:ascii="Times New Roman" w:hAnsi="Times New Roman" w:eastAsia="宋体" w:cs="Times New Roman"/>
                <w:color w:val="auto"/>
                <w:highlight w:val="none"/>
              </w:rPr>
              <w:t>分</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其它因素：</w:t>
            </w:r>
            <w:r>
              <w:rPr>
                <w:rFonts w:hint="default" w:ascii="Times New Roman" w:hAnsi="Times New Roman" w:eastAsia="宋体" w:cs="Times New Roman"/>
                <w:color w:val="auto"/>
                <w:highlight w:val="none"/>
                <w:u w:val="single"/>
                <w:lang w:val="en-US" w:eastAsia="zh-CN"/>
              </w:rPr>
              <w:t>0</w:t>
            </w:r>
            <w:r>
              <w:rPr>
                <w:rFonts w:hint="default" w:ascii="Times New Roman" w:hAnsi="Times New Roman" w:eastAsia="宋体" w:cs="Times New Roman"/>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628" w:hRule="atLeast"/>
        </w:trPr>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2.2.2</w:t>
            </w:r>
          </w:p>
        </w:tc>
        <w:tc>
          <w:tcPr>
            <w:tcW w:w="134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评标基准价计算</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方法</w:t>
            </w:r>
          </w:p>
        </w:tc>
        <w:tc>
          <w:tcPr>
            <w:tcW w:w="5988" w:type="dxa"/>
            <w:vAlign w:val="center"/>
          </w:tcPr>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评标基准价的计算：</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在开标现场，招标人将当场计算并宣布评标基准价。</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评标价的确定：</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评标价＝</w:t>
            </w:r>
            <w:r>
              <w:rPr>
                <w:rFonts w:hint="default" w:ascii="Times New Roman" w:hAnsi="Times New Roman" w:eastAsia="宋体" w:cs="Times New Roman"/>
                <w:color w:val="auto"/>
                <w:highlight w:val="none"/>
                <w:lang w:val="en-US" w:eastAsia="zh-CN"/>
              </w:rPr>
              <w:t>投标函的保险费率</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最高评标限价的确定</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最高投标限价下浮率在第二个信封开标前在开标现场采取逐标段摇珠方式确定。摇珠操作办法如下：</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在下浮率摇珠范围内，以0.1%为一档次增序确定摇珠号码，不少于31个球，一次性摇取3个球（摇出的球不放回），摇出3个球对应的下浮率的平均值即为本标段招标的下浮率。（注：摇出三个下浮率的平均值四舍五入取整到0.001%）</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最高评标限价＝最高投标限价</w:t>
            </w:r>
            <w:r>
              <w:rPr>
                <w:rFonts w:hint="eastAsia" w:cs="Times New Roman"/>
                <w:color w:val="auto"/>
                <w:highlight w:val="none"/>
                <w:lang w:eastAsia="zh-CN"/>
              </w:rPr>
              <w:t>×</w:t>
            </w:r>
            <w:r>
              <w:rPr>
                <w:rFonts w:hint="default" w:ascii="Times New Roman" w:hAnsi="Times New Roman" w:eastAsia="宋体" w:cs="Times New Roman"/>
                <w:color w:val="auto"/>
                <w:highlight w:val="none"/>
              </w:rPr>
              <w:t>（1-下浮率）</w:t>
            </w:r>
          </w:p>
          <w:p>
            <w:pPr>
              <w:snapToGrid w:val="0"/>
              <w:spacing w:beforeLines="0" w:afterLines="0" w:line="360" w:lineRule="auto"/>
              <w:jc w:val="left"/>
              <w:rPr>
                <w:rFonts w:hint="eastAsia" w:cs="Times New Roman"/>
                <w:color w:val="auto"/>
                <w:highlight w:val="none"/>
                <w:lang w:val="en-US" w:eastAsia="zh-CN"/>
              </w:rPr>
            </w:pPr>
            <w:r>
              <w:rPr>
                <w:rFonts w:hint="default" w:ascii="Times New Roman" w:hAnsi="Times New Roman" w:eastAsia="宋体" w:cs="Times New Roman"/>
                <w:color w:val="auto"/>
                <w:highlight w:val="none"/>
              </w:rPr>
              <w:t>最高投标限价、下浮率范围</w:t>
            </w:r>
            <w:r>
              <w:rPr>
                <w:rFonts w:hint="eastAsia" w:cs="Times New Roman"/>
                <w:color w:val="auto"/>
                <w:highlight w:val="none"/>
                <w:lang w:val="en-US" w:eastAsia="zh-CN"/>
              </w:rPr>
              <w:t>如下：</w:t>
            </w:r>
          </w:p>
          <w:p>
            <w:pPr>
              <w:widowControl w:val="0"/>
              <w:spacing w:before="0" w:beforeLines="0" w:afterLines="0" w:line="360" w:lineRule="auto"/>
              <w:ind w:left="0" w:leftChars="0" w:right="0" w:rightChars="0" w:firstLine="0" w:firstLineChars="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BX</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val="zh-CN"/>
              </w:rPr>
              <w:t>1标段招标人最高投标限价为</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highlight w:val="none"/>
                <w:u w:val="single"/>
                <w:lang w:val="en-US" w:eastAsia="zh-CN"/>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下浮率范围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kern w:val="0"/>
                <w:szCs w:val="21"/>
                <w:highlight w:val="none"/>
                <w:lang w:val="zh-CN"/>
              </w:rPr>
              <w:t>（含界值）。</w:t>
            </w:r>
          </w:p>
          <w:p>
            <w:pPr>
              <w:widowControl w:val="0"/>
              <w:spacing w:before="0" w:beforeLines="0" w:afterLines="0" w:line="360" w:lineRule="auto"/>
              <w:ind w:left="0" w:leftChars="0" w:right="0" w:rightChars="0" w:firstLine="0" w:firstLineChars="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BX</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val="zh-CN"/>
              </w:rPr>
              <w:t>2标段招标人最高投标限价为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zh-CN"/>
              </w:rPr>
              <w:t>‰ ；下浮率范围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lang w:val="zh-CN"/>
              </w:rPr>
              <w:t>（含界值）。</w:t>
            </w:r>
          </w:p>
          <w:p>
            <w:pPr>
              <w:snapToGrid w:val="0"/>
              <w:spacing w:beforeLines="0" w:afterLines="0" w:line="360" w:lineRule="auto"/>
              <w:jc w:val="left"/>
              <w:rPr>
                <w:rFonts w:hint="default" w:ascii="Times New Roman" w:hAnsi="Times New Roman" w:eastAsia="宋体" w:cs="Times New Roman"/>
                <w:color w:val="auto"/>
                <w:highlight w:val="none"/>
              </w:rPr>
            </w:pPr>
            <w:r>
              <w:rPr>
                <w:rFonts w:hint="eastAsia" w:ascii="宋体" w:hAnsi="宋体" w:cs="宋体"/>
                <w:color w:val="auto"/>
                <w:kern w:val="0"/>
                <w:szCs w:val="21"/>
                <w:highlight w:val="none"/>
                <w:lang w:val="zh-CN"/>
              </w:rPr>
              <w:t>BX</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val="zh-CN"/>
              </w:rPr>
              <w:t>3标段招标人最高投标限价为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zh-CN"/>
              </w:rPr>
              <w:t>‰ ；下浮率范围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lang w:val="zh-CN"/>
              </w:rPr>
              <w:t>（含界值）。</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3</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有效评标价范围：</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有效评标价范围：不大于最高评标限价的评标价为有效评标价。大于最高评标限价的评标价，将否决其投标。</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评标基准价的确定：</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最高评标限价下浮</w:t>
            </w:r>
            <w:r>
              <w:rPr>
                <w:rFonts w:hint="eastAsia" w:cs="Times New Roman"/>
                <w:color w:val="auto"/>
                <w:highlight w:val="none"/>
                <w:u w:val="single"/>
                <w:lang w:val="en-US" w:eastAsia="zh-CN"/>
              </w:rPr>
              <w:t>2</w:t>
            </w:r>
            <w:r>
              <w:rPr>
                <w:rFonts w:hint="default" w:ascii="Times New Roman" w:hAnsi="Times New Roman" w:eastAsia="宋体" w:cs="Times New Roman"/>
                <w:color w:val="auto"/>
                <w:highlight w:val="none"/>
                <w:u w:val="single"/>
              </w:rPr>
              <w:t>%</w:t>
            </w:r>
            <w:r>
              <w:rPr>
                <w:rFonts w:hint="default" w:ascii="Times New Roman" w:hAnsi="Times New Roman" w:eastAsia="宋体" w:cs="Times New Roman"/>
                <w:color w:val="auto"/>
                <w:highlight w:val="none"/>
              </w:rPr>
              <w:t>，作为评标基准价。</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166" w:hRule="atLeast"/>
        </w:trPr>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2.2.3</w:t>
            </w:r>
          </w:p>
        </w:tc>
        <w:tc>
          <w:tcPr>
            <w:tcW w:w="134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评标价的</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偏差率计</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算公式</w:t>
            </w:r>
          </w:p>
        </w:tc>
        <w:tc>
          <w:tcPr>
            <w:tcW w:w="5988" w:type="dxa"/>
            <w:vAlign w:val="center"/>
          </w:tcPr>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偏差率=100%</w:t>
            </w:r>
            <w:r>
              <w:rPr>
                <w:rFonts w:hint="eastAsia" w:cs="Times New Roman"/>
                <w:color w:val="auto"/>
                <w:highlight w:val="none"/>
                <w:lang w:eastAsia="zh-CN"/>
              </w:rPr>
              <w:t>×</w:t>
            </w:r>
            <w:r>
              <w:rPr>
                <w:rFonts w:hint="default" w:ascii="Times New Roman" w:hAnsi="Times New Roman" w:eastAsia="宋体" w:cs="Times New Roman"/>
                <w:color w:val="auto"/>
                <w:highlight w:val="none"/>
              </w:rPr>
              <w:t>（投标人评标价－评标基准价）/评标基准价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166" w:hRule="atLeast"/>
        </w:trPr>
        <w:tc>
          <w:tcPr>
            <w:tcW w:w="967"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2.2.4（1）</w:t>
            </w:r>
          </w:p>
        </w:tc>
        <w:tc>
          <w:tcPr>
            <w:tcW w:w="1343" w:type="dxa"/>
            <w:vAlign w:val="center"/>
          </w:tcPr>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评标价</w:t>
            </w:r>
          </w:p>
          <w:p>
            <w:pPr>
              <w:snapToGrid w:val="0"/>
              <w:spacing w:beforeLines="0" w:afterLines="0" w:line="360" w:lineRule="auto"/>
              <w:jc w:val="left"/>
              <w:rPr>
                <w:rFonts w:hint="default" w:ascii="Times New Roman" w:hAnsi="Times New Roman" w:eastAsia="宋体" w:cs="Times New Roman"/>
                <w:color w:val="auto"/>
                <w:highlight w:val="none"/>
              </w:rPr>
            </w:pPr>
            <w:r>
              <w:rPr>
                <w:rFonts w:hint="eastAsia" w:cs="Times New Roman"/>
                <w:color w:val="auto"/>
                <w:highlight w:val="none"/>
                <w:lang w:eastAsia="zh-CN"/>
              </w:rPr>
              <w:t>（</w:t>
            </w:r>
            <w:r>
              <w:rPr>
                <w:rFonts w:hint="default" w:ascii="Times New Roman" w:hAnsi="Times New Roman" w:eastAsia="宋体" w:cs="Times New Roman"/>
                <w:color w:val="auto"/>
                <w:highlight w:val="none"/>
                <w:lang w:val="en-US" w:eastAsia="zh-CN"/>
              </w:rPr>
              <w:t>100</w:t>
            </w:r>
            <w:r>
              <w:rPr>
                <w:rFonts w:hint="default" w:ascii="Times New Roman" w:hAnsi="Times New Roman" w:eastAsia="宋体" w:cs="Times New Roman"/>
                <w:color w:val="auto"/>
                <w:highlight w:val="none"/>
              </w:rPr>
              <w:t>分</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eastAsia" w:cs="Times New Roman"/>
                <w:color w:val="auto"/>
                <w:highlight w:val="none"/>
                <w:lang w:eastAsia="zh-CN"/>
              </w:rPr>
              <w:t>）</w:t>
            </w:r>
          </w:p>
        </w:tc>
        <w:tc>
          <w:tcPr>
            <w:tcW w:w="5988" w:type="dxa"/>
            <w:vAlign w:val="center"/>
          </w:tcPr>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评标价得分计算公式示例：</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如果投标人的评标价&gt;评标基准价，则评标价得分＝</w:t>
            </w:r>
            <w:r>
              <w:rPr>
                <w:rFonts w:hint="eastAsia" w:cs="Times New Roman"/>
                <w:color w:val="auto"/>
                <w:highlight w:val="none"/>
                <w:lang w:val="en-US" w:eastAsia="zh-CN"/>
              </w:rPr>
              <w:t>100</w:t>
            </w:r>
            <w:r>
              <w:rPr>
                <w:rFonts w:hint="default" w:ascii="Times New Roman" w:hAnsi="Times New Roman" w:eastAsia="宋体" w:cs="Times New Roman"/>
                <w:color w:val="auto"/>
                <w:highlight w:val="none"/>
              </w:rPr>
              <w:t>－偏差率</w:t>
            </w:r>
            <w:r>
              <w:rPr>
                <w:rFonts w:hint="eastAsia" w:cs="Times New Roman"/>
                <w:color w:val="auto"/>
                <w:highlight w:val="none"/>
                <w:lang w:eastAsia="zh-CN"/>
              </w:rPr>
              <w:t>×</w:t>
            </w:r>
            <w:r>
              <w:rPr>
                <w:rFonts w:hint="default" w:ascii="Times New Roman" w:hAnsi="Times New Roman" w:eastAsia="宋体" w:cs="Times New Roman"/>
                <w:color w:val="auto"/>
                <w:highlight w:val="none"/>
              </w:rPr>
              <w:t>100</w:t>
            </w:r>
            <w:r>
              <w:rPr>
                <w:rFonts w:hint="eastAsia" w:cs="Times New Roman"/>
                <w:color w:val="auto"/>
                <w:highlight w:val="none"/>
                <w:lang w:eastAsia="zh-CN"/>
              </w:rPr>
              <w:t>×</w:t>
            </w:r>
            <w:r>
              <w:rPr>
                <w:rFonts w:hint="default" w:ascii="Times New Roman" w:hAnsi="Times New Roman" w:eastAsia="宋体" w:cs="Times New Roman"/>
                <w:color w:val="auto"/>
                <w:highlight w:val="none"/>
              </w:rPr>
              <w:t>D1；D1取1.5；</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如果投标人的评标价≤评标基准价，则评标价得分＝</w:t>
            </w:r>
            <w:r>
              <w:rPr>
                <w:rFonts w:hint="eastAsia" w:cs="Times New Roman"/>
                <w:color w:val="auto"/>
                <w:highlight w:val="none"/>
                <w:lang w:val="en-US" w:eastAsia="zh-CN"/>
              </w:rPr>
              <w:t>100</w:t>
            </w:r>
            <w:r>
              <w:rPr>
                <w:rFonts w:hint="default" w:ascii="Times New Roman" w:hAnsi="Times New Roman" w:eastAsia="宋体" w:cs="Times New Roman"/>
                <w:color w:val="auto"/>
                <w:highlight w:val="none"/>
              </w:rPr>
              <w:t>＋偏差率</w:t>
            </w:r>
            <w:r>
              <w:rPr>
                <w:rFonts w:hint="eastAsia" w:cs="Times New Roman"/>
                <w:color w:val="auto"/>
                <w:highlight w:val="none"/>
                <w:lang w:eastAsia="zh-CN"/>
              </w:rPr>
              <w:t>×</w:t>
            </w:r>
            <w:r>
              <w:rPr>
                <w:rFonts w:hint="default" w:ascii="Times New Roman" w:hAnsi="Times New Roman" w:eastAsia="宋体" w:cs="Times New Roman"/>
                <w:color w:val="auto"/>
                <w:highlight w:val="none"/>
              </w:rPr>
              <w:t>100</w:t>
            </w:r>
            <w:r>
              <w:rPr>
                <w:rFonts w:hint="eastAsia" w:cs="Times New Roman"/>
                <w:color w:val="auto"/>
                <w:highlight w:val="none"/>
                <w:lang w:eastAsia="zh-CN"/>
              </w:rPr>
              <w:t>×</w:t>
            </w:r>
            <w:r>
              <w:rPr>
                <w:rFonts w:hint="default" w:ascii="Times New Roman" w:hAnsi="Times New Roman" w:eastAsia="宋体" w:cs="Times New Roman"/>
                <w:color w:val="auto"/>
                <w:highlight w:val="none"/>
              </w:rPr>
              <w:t>D2；D2取0.5。</w:t>
            </w:r>
          </w:p>
          <w:p>
            <w:pPr>
              <w:snapToGrid w:val="0"/>
              <w:spacing w:beforeLines="0" w:afterLines="0" w:line="36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注：评标价得分四舍五入至小数点后四位。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845" w:hRule="atLeast"/>
        </w:trPr>
        <w:tc>
          <w:tcPr>
            <w:tcW w:w="829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sz w:val="28"/>
                <w:szCs w:val="21"/>
                <w:highlight w:val="none"/>
              </w:rPr>
            </w:pPr>
            <w:r>
              <w:rPr>
                <w:rFonts w:hint="default" w:ascii="Times New Roman" w:hAnsi="Times New Roman" w:eastAsia="宋体" w:cs="Times New Roman"/>
                <w:b/>
                <w:bCs/>
                <w:color w:val="auto"/>
                <w:sz w:val="24"/>
                <w:szCs w:val="20"/>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26"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条款号</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内</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7331"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eastAsia" w:cs="Times New Roman"/>
                <w:color w:val="auto"/>
                <w:highlight w:val="none"/>
                <w:lang w:val="en-US" w:eastAsia="zh-CN"/>
              </w:rPr>
              <w:t>将</w:t>
            </w:r>
            <w:r>
              <w:rPr>
                <w:rFonts w:hint="default" w:ascii="Times New Roman" w:hAnsi="Times New Roman" w:eastAsia="宋体" w:cs="Times New Roman"/>
                <w:color w:val="auto"/>
                <w:highlight w:val="none"/>
              </w:rPr>
              <w:t>评标办法</w:t>
            </w:r>
            <w:r>
              <w:rPr>
                <w:rFonts w:hint="eastAsia" w:cs="Times New Roman"/>
                <w:color w:val="auto"/>
                <w:highlight w:val="none"/>
                <w:lang w:val="en-US" w:eastAsia="zh-CN"/>
              </w:rPr>
              <w:t>正文</w:t>
            </w:r>
            <w:r>
              <w:rPr>
                <w:rFonts w:hint="default" w:ascii="Times New Roman" w:hAnsi="Times New Roman" w:eastAsia="宋体" w:cs="Times New Roman"/>
                <w:color w:val="auto"/>
                <w:highlight w:val="none"/>
              </w:rPr>
              <w:t>第1条“评标方法”改为“评标方法、组织及工作程序”，</w:t>
            </w:r>
            <w:r>
              <w:rPr>
                <w:rFonts w:hint="eastAsia" w:cs="Times New Roman"/>
                <w:color w:val="auto"/>
                <w:highlight w:val="none"/>
                <w:lang w:val="en-US" w:eastAsia="zh-CN"/>
              </w:rPr>
              <w:t>且</w:t>
            </w:r>
            <w:r>
              <w:rPr>
                <w:rFonts w:hint="default" w:ascii="Times New Roman" w:hAnsi="Times New Roman" w:eastAsia="宋体" w:cs="Times New Roman"/>
                <w:color w:val="auto"/>
                <w:highlight w:val="none"/>
              </w:rPr>
              <w:t>原文内容修改如下：</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1.1评标方法、组织及工作程序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次评标采用双信封的合理低价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1.2评标组织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1.2.1协助工作组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招标人可在评标工作开始前成立协助工作组，选派熟悉招标工作、政治素质高的人员组成，协助评标委员会工作。协助工作组人员的具体数量由招标人视评标工作量确定。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招标人可以协助评标委员会开展下列工作并提供相关信息：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（1）根据招标文件，编制评标使用的相应表格；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（2）对投标报价进行算术性校核（如采用固化工程量清单，本步骤省略）；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（3）以评标标准和方法为依据，列出投标文件相对于招标文件的所有偏差，并进行归类汇总；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招标人不得对投标文件作出任何评价，不得故意遗漏或者片面摘录，不得在评标委员会对所有偏差定性之前透露存有偏差的投标人名称。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1.2.2评标委员会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评标委员会由招标人按国家、广东省等的有关规定依法组建。评标委员人数为五人及以上单数，评标委员会的主要工作内容包括：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（1）评标委员会开始评标工作之前，首先听取招标人、协助工作组关于工程情况和辅助工作的说明，并认真研读招标文件，获取评标所需的重要信息和数据；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（2）对协助工作组提供的评标工作用表和评标内容进行核查；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（3）按照以下1.3款程序进行各项评审工作。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1.3评审工作程序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评标委员会将按以下程序开展评标工作：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（一）第一信封（商务文件和技术文件）的评审：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r>
              <w:rPr>
                <w:rFonts w:hint="eastAsia" w:cs="Times New Roman"/>
                <w:color w:val="auto"/>
                <w:highlight w:val="none"/>
                <w:lang w:eastAsia="zh-CN"/>
              </w:rPr>
              <w:t>.</w:t>
            </w:r>
            <w:r>
              <w:rPr>
                <w:rFonts w:hint="default" w:ascii="Times New Roman" w:hAnsi="Times New Roman" w:eastAsia="宋体" w:cs="Times New Roman"/>
                <w:color w:val="auto"/>
                <w:highlight w:val="none"/>
              </w:rPr>
              <w:t>初步评审：包括对投标文件进行形式评审与响应性评审、资格评审；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r>
              <w:rPr>
                <w:rFonts w:hint="eastAsia" w:cs="Times New Roman"/>
                <w:color w:val="auto"/>
                <w:highlight w:val="none"/>
                <w:lang w:eastAsia="zh-CN"/>
              </w:rPr>
              <w:t>.</w:t>
            </w:r>
            <w:r>
              <w:rPr>
                <w:rFonts w:hint="default" w:ascii="Times New Roman" w:hAnsi="Times New Roman" w:eastAsia="宋体" w:cs="Times New Roman"/>
                <w:color w:val="auto"/>
                <w:highlight w:val="none"/>
              </w:rPr>
              <w:t>详细评审：评标委员会首先对通过初步评审的投标文件第一个信封（商务及技术文件）进行详细评审，对投标人的其他因素（信用等级、履约情况）得分评审与确认；</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（二）第二信封（报价文件）的评审：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r>
              <w:rPr>
                <w:rFonts w:hint="eastAsia" w:cs="Times New Roman"/>
                <w:color w:val="auto"/>
                <w:highlight w:val="none"/>
                <w:lang w:eastAsia="zh-CN"/>
              </w:rPr>
              <w:t>.</w:t>
            </w:r>
            <w:r>
              <w:rPr>
                <w:rFonts w:hint="default" w:ascii="Times New Roman" w:hAnsi="Times New Roman" w:eastAsia="宋体" w:cs="Times New Roman"/>
                <w:color w:val="auto"/>
                <w:highlight w:val="none"/>
              </w:rPr>
              <w:t>初步评审：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（1）只有投标文件第一个信封通过详细评审的投标人才能继续参加第二信封报价文件的形式评审与响应性评审；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（2）报价算术性修正（如采用固化工程量清单，本步骤省略）；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r>
              <w:rPr>
                <w:rFonts w:hint="eastAsia" w:cs="Times New Roman"/>
                <w:color w:val="auto"/>
                <w:highlight w:val="none"/>
                <w:lang w:eastAsia="zh-CN"/>
              </w:rPr>
              <w:t>.</w:t>
            </w:r>
            <w:r>
              <w:rPr>
                <w:rFonts w:hint="default" w:ascii="Times New Roman" w:hAnsi="Times New Roman" w:eastAsia="宋体" w:cs="Times New Roman"/>
                <w:color w:val="auto"/>
                <w:highlight w:val="none"/>
              </w:rPr>
              <w:t>详细评审：计算评标基准价、评标价得分及综合得分；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（三）投标文件相关信息的核查。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（四）投标文件的澄清和说明</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如有</w:t>
            </w:r>
            <w:r>
              <w:rPr>
                <w:rFonts w:hint="default" w:ascii="Times New Roman" w:hAnsi="Times New Roman" w:eastAsia="宋体"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457"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2.2.1</w:t>
            </w:r>
          </w:p>
        </w:tc>
        <w:tc>
          <w:tcPr>
            <w:tcW w:w="7331"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2.2.1分值构成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评标价：见评标办法前附表。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其他因素：见评标办法前附表。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82"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2.2.4</w:t>
            </w:r>
          </w:p>
        </w:tc>
        <w:tc>
          <w:tcPr>
            <w:tcW w:w="7331"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2.2.4评分标准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评标价评分标准：见评标办法前附表。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其他因素评分标准：见评标办法前附表。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55"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3.3.2</w:t>
            </w:r>
          </w:p>
        </w:tc>
        <w:tc>
          <w:tcPr>
            <w:tcW w:w="7331"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将评标办法范本原文第3.3.2</w:t>
            </w:r>
            <w:r>
              <w:rPr>
                <w:rFonts w:hint="eastAsia" w:cs="Times New Roman"/>
                <w:color w:val="auto"/>
                <w:highlight w:val="none"/>
                <w:lang w:val="en-US" w:eastAsia="zh-CN"/>
              </w:rPr>
              <w:t>项</w:t>
            </w: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3</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条修改为：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总价金额与依据单价计算出的结果不一致的，在保证投标总价不变的前提下予以合理调整单价。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3</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当单价与数量相乘不等于合价时，应以标出的合价为准，同时对单价予以修正</w:t>
            </w:r>
            <w:r>
              <w:rPr>
                <w:rFonts w:hint="eastAsia" w:cs="Times New Roman"/>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当各子目的合价累计不等于总价时，应以总价不变的前提下，修正各子目合价。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296"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3.5</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增加3.5.</w:t>
            </w:r>
            <w:r>
              <w:rPr>
                <w:rFonts w:hint="default" w:ascii="Times New Roman" w:hAnsi="Times New Roman" w:eastAsia="宋体" w:cs="Times New Roman"/>
                <w:color w:val="auto"/>
                <w:highlight w:val="none"/>
                <w:lang w:val="en-US" w:eastAsia="zh-CN"/>
              </w:rPr>
              <w:t>3</w:t>
            </w:r>
            <w:r>
              <w:rPr>
                <w:rFonts w:hint="eastAsia" w:cs="Times New Roman"/>
                <w:color w:val="auto"/>
                <w:highlight w:val="none"/>
                <w:lang w:val="en-US" w:eastAsia="zh-CN"/>
              </w:rPr>
              <w:t>项</w:t>
            </w:r>
            <w:r>
              <w:rPr>
                <w:rFonts w:hint="default" w:ascii="Times New Roman" w:hAnsi="Times New Roman" w:eastAsia="宋体" w:cs="Times New Roman"/>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3.5.</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296"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3.6.1</w:t>
            </w:r>
          </w:p>
        </w:tc>
        <w:tc>
          <w:tcPr>
            <w:tcW w:w="7331"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将评标办法范本原文第3.6.1款修改为：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3.6.1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投标文件中的下列计算错误为细微偏差（采用固化工程量清单，则a－d步骤省略）：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a、在算术性复核中发现的算术性差错：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b、在招标人给定的工程量清单中漏报了某个工程细目的单价和合价；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c、在招标人给定的工程量清单中多报了某个工程细目的单价和合价或所报单价增加或减少了报价范围；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d、在招标人给定的工程量清单中修改了某些支付号的工程数量。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（2）评标委员会对投标文件中的细微偏差按如下规定处理（采用固化工程量清单，则a－d步骤省略）：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a、按本评标办法的规定对算术性错误予以修正；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b、对于漏报的工程细目单价和合价或单价和合价减少的报价内容视为已含入其它工程细目的单价和合价之中；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c、在保证投标总价不变的前提下，对于多报的工程细目报价或工程细目报价中增加的部分报价从投标报价中予以扣除，并对其它细目作相应的平衡性调整；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d、在保证投标总价不变的前提下，对与给定工程量清单数量不符的工程数量进行更正，并对其它细目作相应的平衡性调整；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03"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3.8</w:t>
            </w:r>
          </w:p>
        </w:tc>
        <w:tc>
          <w:tcPr>
            <w:tcW w:w="7331"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增加3.8.3-3.8.5款：</w:t>
            </w:r>
          </w:p>
          <w:p>
            <w:pPr>
              <w:numPr>
                <w:ilvl w:val="-1"/>
                <w:numId w:val="0"/>
              </w:numPr>
              <w:adjustRightInd w:val="0"/>
              <w:snapToGrid w:val="0"/>
              <w:spacing w:line="360" w:lineRule="auto"/>
              <w:ind w:left="0" w:leftChars="0" w:firstLine="480" w:firstLineChars="200"/>
              <w:jc w:val="both"/>
              <w:rPr>
                <w:rFonts w:ascii="Times New Roman"/>
                <w:color w:val="auto"/>
                <w:szCs w:val="22"/>
                <w:highlight w:val="none"/>
              </w:rPr>
            </w:pPr>
            <w:r>
              <w:rPr>
                <w:rFonts w:hint="default" w:ascii="Times New Roman" w:hAnsi="Times New Roman" w:eastAsia="宋体" w:cs="Times New Roman"/>
                <w:color w:val="auto"/>
                <w:highlight w:val="none"/>
              </w:rPr>
              <w:t>3.8.3推荐中标候选人方</w:t>
            </w:r>
            <w:r>
              <w:rPr>
                <w:rFonts w:hint="default" w:ascii="Times New Roman" w:hAnsi="Times New Roman" w:eastAsia="宋体" w:cs="Times New Roman"/>
                <w:color w:val="auto"/>
                <w:szCs w:val="22"/>
                <w:highlight w:val="none"/>
              </w:rPr>
              <w:t>式：</w:t>
            </w:r>
            <w:r>
              <w:rPr>
                <w:rFonts w:hint="default" w:ascii="Times New Roman" w:hAnsi="Times New Roman" w:eastAsia="宋体" w:cs="Times New Roman"/>
                <w:color w:val="auto"/>
                <w:kern w:val="2"/>
                <w:sz w:val="24"/>
                <w:szCs w:val="22"/>
                <w:highlight w:val="none"/>
                <w:lang w:val="en-US" w:eastAsia="zh-CN"/>
              </w:rPr>
              <w:t>按各合同段最高投标限价高低顺序依次选定中标候选人，</w:t>
            </w:r>
            <w:r>
              <w:rPr>
                <w:rFonts w:hint="default" w:ascii="Times New Roman" w:hAnsi="Times New Roman" w:eastAsia="宋体" w:cs="Times New Roman"/>
                <w:b w:val="0"/>
                <w:bCs w:val="0"/>
                <w:color w:val="auto"/>
                <w:kern w:val="2"/>
                <w:sz w:val="24"/>
                <w:szCs w:val="22"/>
                <w:highlight w:val="none"/>
                <w:lang w:val="en-US" w:eastAsia="zh-CN"/>
              </w:rPr>
              <w:t>如果投标人在任一标段被推荐为第一中标候选人，该投标人自动失去在本次招标中其他合同段中标候选人资格</w:t>
            </w:r>
            <w:r>
              <w:rPr>
                <w:rFonts w:hint="default" w:ascii="Times New Roman" w:hAnsi="Times New Roman" w:eastAsia="宋体" w:cs="Times New Roman"/>
                <w:color w:val="auto"/>
                <w:kern w:val="2"/>
                <w:sz w:val="24"/>
                <w:szCs w:val="22"/>
                <w:highlight w:val="none"/>
                <w:lang w:val="en-US" w:eastAsia="zh-CN"/>
              </w:rPr>
              <w:t>；如果出现同一投标人在两个合同段都排名第一，将确定该投标人为最高投标限价较高的合同段的第一中标候选人，同时失去在其他合同段的中标候选人资格，其他合同段的综合排名名次高者自动上升为中标候选人，如此类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3.8.4</w:t>
            </w:r>
            <w:r>
              <w:rPr>
                <w:rFonts w:hint="default" w:ascii="Times New Roman" w:hAnsi="Times New Roman" w:eastAsia="宋体" w:cs="Times New Roman"/>
                <w:color w:val="auto"/>
                <w:highlight w:val="none"/>
              </w:rPr>
              <w:t>通过第一信封商务及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3.8.</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3.8.6</w:t>
            </w:r>
            <w:r>
              <w:rPr>
                <w:rFonts w:hint="default" w:ascii="Times New Roman" w:hAnsi="Times New Roman" w:eastAsia="宋体" w:cs="Times New Roman"/>
                <w:color w:val="auto"/>
                <w:highlight w:val="none"/>
              </w:rPr>
              <w:t>如果发生无法确定推荐中标候选人的其它意外情况，评标委员会可建议招标人重新招标。</w:t>
            </w:r>
          </w:p>
        </w:tc>
        <w:bookmarkStart w:id="12" w:name="_bookmark126"/>
        <w:bookmarkStart w:id="13" w:name="_bookmark110"/>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1891" w:hRule="atLeast"/>
        </w:trPr>
        <w:tc>
          <w:tcPr>
            <w:tcW w:w="9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3.9</w:t>
            </w:r>
          </w:p>
        </w:tc>
        <w:tc>
          <w:tcPr>
            <w:tcW w:w="7331" w:type="dxa"/>
            <w:gridSpan w:val="2"/>
            <w:tcBorders>
              <w:top w:val="single" w:color="auto" w:sz="4" w:space="0"/>
              <w:left w:val="single" w:color="auto" w:sz="4" w:space="0"/>
              <w:bottom w:val="single" w:color="auto" w:sz="4" w:space="0"/>
              <w:right w:val="single" w:color="auto" w:sz="4" w:space="0"/>
            </w:tcBorders>
            <w:vAlign w:val="top"/>
          </w:tcPr>
          <w:p>
            <w:pPr>
              <w:numPr>
                <w:ilvl w:val="0"/>
                <w:numId w:val="0"/>
              </w:numPr>
              <w:ind w:firstLine="0" w:firstLineChars="0"/>
              <w:jc w:val="left"/>
              <w:rPr>
                <w:rFonts w:hint="default" w:ascii="Times New Roman" w:hAnsi="Times New Roman" w:eastAsia="宋体" w:cs="Times New Roman"/>
                <w:strike w:val="0"/>
                <w:color w:val="auto"/>
                <w:kern w:val="2"/>
                <w:szCs w:val="22"/>
                <w:highlight w:val="none"/>
                <w:lang w:val="en-US"/>
              </w:rPr>
            </w:pPr>
            <w:r>
              <w:rPr>
                <w:rFonts w:hint="default" w:cs="Times New Roman"/>
                <w:strike w:val="0"/>
                <w:color w:val="auto"/>
                <w:kern w:val="2"/>
                <w:szCs w:val="22"/>
                <w:highlight w:val="none"/>
                <w:lang w:val="en-US" w:eastAsia="zh-CN"/>
              </w:rPr>
              <w:t>本招标文件规定的否决投标条款</w:t>
            </w:r>
            <w:r>
              <w:rPr>
                <w:rFonts w:hint="default" w:ascii="Times New Roman" w:hAnsi="Times New Roman" w:eastAsia="宋体" w:cs="Times New Roman"/>
                <w:strike w:val="0"/>
                <w:color w:val="auto"/>
                <w:kern w:val="2"/>
                <w:szCs w:val="22"/>
                <w:highlight w:val="none"/>
                <w:lang w:val="en-US"/>
              </w:rPr>
              <w:t>集中载明如下：</w:t>
            </w:r>
          </w:p>
          <w:p>
            <w:pPr>
              <w:widowControl w:val="0"/>
              <w:numPr>
                <w:ilvl w:val="-1"/>
                <w:numId w:val="0"/>
              </w:numPr>
              <w:spacing w:beforeLines="-2147483648" w:line="360" w:lineRule="auto"/>
              <w:ind w:left="0" w:leftChars="0" w:right="0" w:rightChars="0" w:firstLine="0" w:firstLineChars="0"/>
              <w:jc w:val="left"/>
              <w:rPr>
                <w:rFonts w:hint="default" w:ascii="Times New Roman" w:hAnsi="Times New Roman" w:eastAsia="宋体" w:cs="Times New Roman"/>
                <w:strike w:val="0"/>
                <w:color w:val="auto"/>
                <w:kern w:val="2"/>
                <w:szCs w:val="22"/>
                <w:highlight w:val="none"/>
                <w:lang w:val="en-US"/>
              </w:rPr>
            </w:pPr>
            <w:r>
              <w:rPr>
                <w:rFonts w:hint="default" w:cs="Times New Roman"/>
                <w:strike w:val="0"/>
                <w:color w:val="auto"/>
                <w:kern w:val="2"/>
                <w:szCs w:val="22"/>
                <w:highlight w:val="none"/>
                <w:lang w:val="en-US" w:eastAsia="zh-CN"/>
              </w:rPr>
              <w:t>1.</w:t>
            </w:r>
            <w:r>
              <w:rPr>
                <w:rFonts w:hint="default" w:ascii="Times New Roman" w:hAnsi="Times New Roman" w:eastAsia="宋体" w:cs="Times New Roman"/>
                <w:strike w:val="0"/>
                <w:color w:val="auto"/>
                <w:kern w:val="2"/>
                <w:szCs w:val="22"/>
                <w:highlight w:val="none"/>
                <w:lang w:val="en-US"/>
              </w:rPr>
              <w:t>招标公告</w:t>
            </w:r>
            <w:r>
              <w:rPr>
                <w:rFonts w:hint="default" w:cs="Times New Roman"/>
                <w:strike w:val="0"/>
                <w:color w:val="auto"/>
                <w:kern w:val="2"/>
                <w:szCs w:val="22"/>
                <w:highlight w:val="none"/>
                <w:lang w:val="en-US" w:eastAsia="zh-CN"/>
              </w:rPr>
              <w:t>第3条 投标人资格要求</w:t>
            </w:r>
            <w:r>
              <w:rPr>
                <w:rFonts w:hint="default" w:ascii="Times New Roman" w:hAnsi="Times New Roman" w:eastAsia="宋体" w:cs="Times New Roman"/>
                <w:strike w:val="0"/>
                <w:color w:val="auto"/>
                <w:kern w:val="2"/>
                <w:szCs w:val="22"/>
                <w:highlight w:val="none"/>
                <w:lang w:val="en-US"/>
              </w:rPr>
              <w:t>；</w:t>
            </w:r>
          </w:p>
          <w:p>
            <w:pPr>
              <w:widowControl w:val="0"/>
              <w:numPr>
                <w:ilvl w:val="-1"/>
                <w:numId w:val="0"/>
              </w:numPr>
              <w:spacing w:beforeLines="-2147483648" w:line="360" w:lineRule="auto"/>
              <w:ind w:left="0" w:leftChars="0" w:right="0" w:rightChars="0" w:firstLine="0" w:firstLineChars="0"/>
              <w:jc w:val="left"/>
              <w:rPr>
                <w:rFonts w:hint="default" w:ascii="Times New Roman" w:hAnsi="Times New Roman" w:eastAsia="宋体" w:cs="Times New Roman"/>
                <w:strike w:val="0"/>
                <w:color w:val="auto"/>
                <w:kern w:val="2"/>
                <w:szCs w:val="22"/>
                <w:highlight w:val="none"/>
                <w:lang w:val="en-US"/>
              </w:rPr>
            </w:pPr>
            <w:r>
              <w:rPr>
                <w:rFonts w:hint="default" w:cs="Times New Roman"/>
                <w:strike w:val="0"/>
                <w:color w:val="auto"/>
                <w:kern w:val="2"/>
                <w:szCs w:val="22"/>
                <w:highlight w:val="none"/>
                <w:lang w:val="en-US" w:eastAsia="zh-CN"/>
              </w:rPr>
              <w:t>2.</w:t>
            </w:r>
            <w:r>
              <w:rPr>
                <w:rFonts w:hint="default" w:ascii="Times New Roman" w:hAnsi="Times New Roman" w:eastAsia="宋体" w:cs="Times New Roman"/>
                <w:strike w:val="0"/>
                <w:color w:val="auto"/>
                <w:kern w:val="2"/>
                <w:szCs w:val="22"/>
                <w:highlight w:val="none"/>
                <w:lang w:val="en-US"/>
              </w:rPr>
              <w:t>投标人须知</w:t>
            </w:r>
            <w:r>
              <w:rPr>
                <w:rFonts w:hint="default" w:cs="Times New Roman"/>
                <w:strike w:val="0"/>
                <w:color w:val="auto"/>
                <w:kern w:val="2"/>
                <w:szCs w:val="22"/>
                <w:highlight w:val="none"/>
                <w:lang w:val="en-US" w:eastAsia="zh-CN"/>
              </w:rPr>
              <w:t>第1.4.3项、1.4.4项、</w:t>
            </w:r>
            <w:r>
              <w:rPr>
                <w:rFonts w:hint="default" w:ascii="Times New Roman" w:hAnsi="Times New Roman" w:eastAsia="宋体" w:cs="Times New Roman"/>
                <w:strike w:val="0"/>
                <w:color w:val="auto"/>
                <w:kern w:val="2"/>
                <w:szCs w:val="22"/>
                <w:highlight w:val="none"/>
                <w:lang w:val="en-US" w:eastAsia="zh-CN"/>
              </w:rPr>
              <w:t>1.</w:t>
            </w:r>
            <w:r>
              <w:rPr>
                <w:rFonts w:hint="default" w:eastAsia="宋体" w:cs="Times New Roman"/>
                <w:strike w:val="0"/>
                <w:color w:val="auto"/>
                <w:kern w:val="2"/>
                <w:szCs w:val="22"/>
                <w:highlight w:val="none"/>
                <w:lang w:val="en-US" w:eastAsia="zh-CN"/>
              </w:rPr>
              <w:t>12</w:t>
            </w:r>
            <w:r>
              <w:rPr>
                <w:rFonts w:hint="default" w:cs="Times New Roman"/>
                <w:strike w:val="0"/>
                <w:color w:val="auto"/>
                <w:kern w:val="2"/>
                <w:szCs w:val="22"/>
                <w:highlight w:val="none"/>
                <w:lang w:val="en-US" w:eastAsia="zh-CN"/>
              </w:rPr>
              <w:t>款</w:t>
            </w:r>
            <w:r>
              <w:rPr>
                <w:rFonts w:hint="default" w:ascii="Times New Roman" w:hAnsi="Times New Roman" w:eastAsia="宋体" w:cs="Times New Roman"/>
                <w:strike w:val="0"/>
                <w:color w:val="auto"/>
                <w:kern w:val="2"/>
                <w:szCs w:val="22"/>
                <w:highlight w:val="none"/>
                <w:lang w:val="en-US" w:eastAsia="zh-CN"/>
              </w:rPr>
              <w:t>、</w:t>
            </w:r>
            <w:r>
              <w:rPr>
                <w:rFonts w:hint="default" w:eastAsia="宋体" w:cs="Times New Roman"/>
                <w:strike w:val="0"/>
                <w:color w:val="auto"/>
                <w:kern w:val="2"/>
                <w:szCs w:val="22"/>
                <w:highlight w:val="none"/>
                <w:lang w:val="en-US" w:eastAsia="zh-CN"/>
              </w:rPr>
              <w:t>3.4</w:t>
            </w:r>
            <w:r>
              <w:rPr>
                <w:rFonts w:hint="default" w:cs="Times New Roman"/>
                <w:strike w:val="0"/>
                <w:color w:val="auto"/>
                <w:kern w:val="2"/>
                <w:szCs w:val="22"/>
                <w:highlight w:val="none"/>
                <w:lang w:val="en-US" w:eastAsia="zh-CN"/>
              </w:rPr>
              <w:t>款</w:t>
            </w:r>
            <w:r>
              <w:rPr>
                <w:rFonts w:hint="default" w:eastAsia="宋体" w:cs="Times New Roman"/>
                <w:strike w:val="0"/>
                <w:color w:val="auto"/>
                <w:kern w:val="2"/>
                <w:szCs w:val="22"/>
                <w:highlight w:val="none"/>
                <w:lang w:val="en-US" w:eastAsia="zh-CN"/>
              </w:rPr>
              <w:t>、3.5</w:t>
            </w:r>
            <w:r>
              <w:rPr>
                <w:rFonts w:hint="default" w:cs="Times New Roman"/>
                <w:strike w:val="0"/>
                <w:color w:val="auto"/>
                <w:kern w:val="2"/>
                <w:szCs w:val="22"/>
                <w:highlight w:val="none"/>
                <w:lang w:val="en-US" w:eastAsia="zh-CN"/>
              </w:rPr>
              <w:t>款</w:t>
            </w:r>
            <w:r>
              <w:rPr>
                <w:rFonts w:hint="default" w:eastAsia="宋体" w:cs="Times New Roman"/>
                <w:strike w:val="0"/>
                <w:color w:val="auto"/>
                <w:kern w:val="2"/>
                <w:szCs w:val="22"/>
                <w:highlight w:val="none"/>
                <w:lang w:val="en-US" w:eastAsia="zh-CN"/>
              </w:rPr>
              <w:t>、3.6</w:t>
            </w:r>
            <w:r>
              <w:rPr>
                <w:rFonts w:hint="default" w:cs="Times New Roman"/>
                <w:strike w:val="0"/>
                <w:color w:val="auto"/>
                <w:kern w:val="2"/>
                <w:szCs w:val="22"/>
                <w:highlight w:val="none"/>
                <w:lang w:val="en-US" w:eastAsia="zh-CN"/>
              </w:rPr>
              <w:t>款</w:t>
            </w:r>
            <w:r>
              <w:rPr>
                <w:rFonts w:hint="default" w:ascii="Times New Roman" w:hAnsi="Times New Roman" w:eastAsia="宋体" w:cs="Times New Roman"/>
                <w:strike w:val="0"/>
                <w:color w:val="auto"/>
                <w:kern w:val="2"/>
                <w:szCs w:val="22"/>
                <w:highlight w:val="none"/>
                <w:lang w:val="en-US"/>
              </w:rPr>
              <w:t>；</w:t>
            </w:r>
          </w:p>
          <w:p>
            <w:pPr>
              <w:numPr>
                <w:ilvl w:val="0"/>
                <w:numId w:val="0"/>
              </w:numPr>
              <w:ind w:firstLine="0" w:firstLineChars="0"/>
              <w:jc w:val="left"/>
              <w:rPr>
                <w:rFonts w:hint="default"/>
                <w:color w:val="auto"/>
                <w:highlight w:val="none"/>
                <w:lang w:val="en-US" w:eastAsia="zh-CN"/>
              </w:rPr>
            </w:pPr>
            <w:r>
              <w:rPr>
                <w:rFonts w:hint="default" w:ascii="Times New Roman" w:hAnsi="Times New Roman" w:eastAsia="宋体" w:cs="Times New Roman"/>
                <w:strike w:val="0"/>
                <w:color w:val="auto"/>
                <w:kern w:val="2"/>
                <w:szCs w:val="22"/>
                <w:highlight w:val="none"/>
                <w:lang w:val="en-US"/>
              </w:rPr>
              <w:t>3</w:t>
            </w:r>
            <w:r>
              <w:rPr>
                <w:rFonts w:hint="default" w:cs="Times New Roman"/>
                <w:strike w:val="0"/>
                <w:color w:val="auto"/>
                <w:kern w:val="2"/>
                <w:szCs w:val="22"/>
                <w:highlight w:val="none"/>
                <w:lang w:val="en-US" w:eastAsia="zh-CN"/>
              </w:rPr>
              <w:t>.本</w:t>
            </w:r>
            <w:r>
              <w:rPr>
                <w:rFonts w:hint="eastAsia" w:cs="Times New Roman"/>
                <w:strike w:val="0"/>
                <w:color w:val="auto"/>
                <w:kern w:val="2"/>
                <w:szCs w:val="22"/>
                <w:highlight w:val="none"/>
                <w:lang w:val="en-US" w:eastAsia="zh-CN"/>
              </w:rPr>
              <w:t>章</w:t>
            </w:r>
            <w:r>
              <w:rPr>
                <w:rFonts w:hint="default" w:ascii="Times New Roman" w:hAnsi="Times New Roman" w:eastAsia="宋体" w:cs="Times New Roman"/>
                <w:strike w:val="0"/>
                <w:color w:val="auto"/>
                <w:kern w:val="2"/>
                <w:szCs w:val="22"/>
                <w:highlight w:val="none"/>
                <w:lang w:val="en-US"/>
              </w:rPr>
              <w:t>评标办法</w:t>
            </w:r>
            <w:r>
              <w:rPr>
                <w:rFonts w:hint="default" w:cs="Times New Roman"/>
                <w:strike w:val="0"/>
                <w:color w:val="auto"/>
                <w:kern w:val="2"/>
                <w:szCs w:val="22"/>
                <w:highlight w:val="none"/>
                <w:lang w:val="en-US" w:eastAsia="zh-CN"/>
              </w:rPr>
              <w:t>否决条款。</w:t>
            </w:r>
          </w:p>
        </w:tc>
      </w:tr>
      <w:bookmarkEnd w:id="12"/>
      <w:bookmarkEnd w:id="13"/>
    </w:tbl>
    <w:p>
      <w:pPr>
        <w:rPr>
          <w:rFonts w:hint="default" w:ascii="Times New Roman" w:hAnsi="Times New Roman" w:eastAsia="宋体" w:cs="Times New Roman"/>
          <w:b/>
          <w:bCs/>
          <w:strike w:val="0"/>
          <w:color w:val="auto"/>
          <w:sz w:val="24"/>
          <w:szCs w:val="24"/>
          <w:highlight w:val="none"/>
          <w:lang w:val="zh-CN"/>
        </w:rPr>
      </w:pPr>
      <w:r>
        <w:rPr>
          <w:rFonts w:hint="default" w:ascii="Times New Roman" w:hAnsi="Times New Roman" w:eastAsia="宋体" w:cs="Times New Roman"/>
          <w:b/>
          <w:bCs/>
          <w:strike w:val="0"/>
          <w:color w:val="auto"/>
          <w:sz w:val="24"/>
          <w:szCs w:val="24"/>
          <w:highlight w:val="none"/>
          <w:lang w:val="zh-CN"/>
        </w:rPr>
        <w:br w:type="page"/>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643" w:firstLineChars="200"/>
        <w:jc w:val="center"/>
        <w:textAlignment w:val="auto"/>
        <w:outlineLvl w:val="1"/>
        <w:rPr>
          <w:rFonts w:hint="eastAsia" w:asciiTheme="minorEastAsia" w:hAnsiTheme="minorEastAsia" w:eastAsiaTheme="minorEastAsia" w:cstheme="minorEastAsia"/>
          <w:b/>
          <w:bCs/>
          <w:strike w:val="0"/>
          <w:color w:val="auto"/>
          <w:sz w:val="32"/>
          <w:szCs w:val="32"/>
          <w:highlight w:val="none"/>
          <w:lang w:val="en-US" w:eastAsia="zh-CN"/>
        </w:rPr>
      </w:pPr>
      <w:r>
        <w:rPr>
          <w:rFonts w:hint="eastAsia" w:asciiTheme="minorEastAsia" w:hAnsiTheme="minorEastAsia" w:eastAsiaTheme="minorEastAsia" w:cstheme="minorEastAsia"/>
          <w:b/>
          <w:bCs/>
          <w:strike w:val="0"/>
          <w:color w:val="auto"/>
          <w:sz w:val="32"/>
          <w:szCs w:val="32"/>
          <w:highlight w:val="none"/>
          <w:lang w:val="en-US" w:eastAsia="zh-CN"/>
        </w:rPr>
        <w:t>评标办法</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1.评标方法</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2.评审标准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2.1初步评审标准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en-US" w:eastAsia="zh-CN"/>
        </w:rPr>
      </w:pPr>
      <w:r>
        <w:rPr>
          <w:rFonts w:hint="eastAsia" w:asciiTheme="minorEastAsia" w:hAnsiTheme="minorEastAsia" w:eastAsiaTheme="minorEastAsia" w:cstheme="minorEastAsia"/>
          <w:b w:val="0"/>
          <w:bCs w:val="0"/>
          <w:strike w:val="0"/>
          <w:color w:val="auto"/>
          <w:sz w:val="24"/>
          <w:szCs w:val="24"/>
          <w:highlight w:val="none"/>
          <w:lang w:val="zh-CN"/>
        </w:rPr>
        <w:t>2.1.1</w:t>
      </w:r>
      <w:r>
        <w:rPr>
          <w:rFonts w:hint="eastAsia" w:asciiTheme="minorEastAsia" w:hAnsiTheme="minorEastAsia" w:eastAsiaTheme="minorEastAsia" w:cstheme="minorEastAsia"/>
          <w:b w:val="0"/>
          <w:bCs w:val="0"/>
          <w:strike w:val="0"/>
          <w:color w:val="auto"/>
          <w:sz w:val="24"/>
          <w:szCs w:val="24"/>
          <w:highlight w:val="none"/>
          <w:lang w:val="en-US" w:eastAsia="zh-CN"/>
        </w:rPr>
        <w:t>形式评审标准：见评标办法前附表。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en-US" w:eastAsia="zh-CN"/>
        </w:rPr>
      </w:pPr>
      <w:r>
        <w:rPr>
          <w:rFonts w:hint="eastAsia" w:asciiTheme="minorEastAsia" w:hAnsiTheme="minorEastAsia" w:eastAsiaTheme="minorEastAsia" w:cstheme="minorEastAsia"/>
          <w:b w:val="0"/>
          <w:bCs w:val="0"/>
          <w:strike w:val="0"/>
          <w:color w:val="auto"/>
          <w:sz w:val="24"/>
          <w:szCs w:val="24"/>
          <w:highlight w:val="none"/>
          <w:lang w:val="zh-CN"/>
        </w:rPr>
        <w:t>2.1.2</w:t>
      </w:r>
      <w:r>
        <w:rPr>
          <w:rFonts w:hint="eastAsia" w:asciiTheme="minorEastAsia" w:hAnsiTheme="minorEastAsia" w:eastAsiaTheme="minorEastAsia" w:cstheme="minorEastAsia"/>
          <w:b w:val="0"/>
          <w:bCs w:val="0"/>
          <w:strike w:val="0"/>
          <w:color w:val="auto"/>
          <w:sz w:val="24"/>
          <w:szCs w:val="24"/>
          <w:highlight w:val="none"/>
          <w:lang w:val="en-US" w:eastAsia="zh-CN"/>
        </w:rPr>
        <w:t>资格评审标准：见评标办法前附表。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en-US" w:eastAsia="zh-CN"/>
        </w:rPr>
      </w:pPr>
      <w:r>
        <w:rPr>
          <w:rFonts w:hint="eastAsia" w:asciiTheme="minorEastAsia" w:hAnsiTheme="minorEastAsia" w:eastAsiaTheme="minorEastAsia" w:cstheme="minorEastAsia"/>
          <w:b w:val="0"/>
          <w:bCs w:val="0"/>
          <w:strike w:val="0"/>
          <w:color w:val="auto"/>
          <w:sz w:val="24"/>
          <w:szCs w:val="24"/>
          <w:highlight w:val="none"/>
          <w:lang w:val="zh-CN"/>
        </w:rPr>
        <w:t>2.1.3</w:t>
      </w:r>
      <w:r>
        <w:rPr>
          <w:rFonts w:hint="eastAsia" w:asciiTheme="minorEastAsia" w:hAnsiTheme="minorEastAsia" w:eastAsiaTheme="minorEastAsia" w:cstheme="minorEastAsia"/>
          <w:b w:val="0"/>
          <w:bCs w:val="0"/>
          <w:strike w:val="0"/>
          <w:color w:val="auto"/>
          <w:sz w:val="24"/>
          <w:szCs w:val="24"/>
          <w:highlight w:val="none"/>
          <w:lang w:val="en-US" w:eastAsia="zh-CN"/>
        </w:rPr>
        <w:t>响应性评审标准：见评标办法前附表。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2.2分值构成与评分标准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2.2.1分值构成</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评标价：见评标办法前附表。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2.2.2评标基准价计算</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en-US" w:eastAsia="zh-CN"/>
        </w:rPr>
      </w:pPr>
      <w:r>
        <w:rPr>
          <w:rFonts w:hint="eastAsia" w:asciiTheme="minorEastAsia" w:hAnsiTheme="minorEastAsia" w:eastAsiaTheme="minorEastAsia" w:cstheme="minorEastAsia"/>
          <w:b w:val="0"/>
          <w:bCs w:val="0"/>
          <w:strike w:val="0"/>
          <w:color w:val="auto"/>
          <w:sz w:val="24"/>
          <w:szCs w:val="24"/>
          <w:highlight w:val="none"/>
          <w:lang w:val="zh-CN"/>
        </w:rPr>
        <w:t>评标基准价</w:t>
      </w:r>
      <w:r>
        <w:rPr>
          <w:rFonts w:hint="eastAsia" w:asciiTheme="minorEastAsia" w:hAnsiTheme="minorEastAsia" w:eastAsiaTheme="minorEastAsia" w:cstheme="minorEastAsia"/>
          <w:b w:val="0"/>
          <w:bCs w:val="0"/>
          <w:strike w:val="0"/>
          <w:color w:val="auto"/>
          <w:sz w:val="24"/>
          <w:szCs w:val="24"/>
          <w:highlight w:val="none"/>
          <w:lang w:val="en-US" w:eastAsia="zh-CN"/>
        </w:rPr>
        <w:t>计算方法：</w:t>
      </w:r>
      <w:r>
        <w:rPr>
          <w:rFonts w:hint="eastAsia" w:asciiTheme="minorEastAsia" w:hAnsiTheme="minorEastAsia" w:eastAsiaTheme="minorEastAsia" w:cstheme="minorEastAsia"/>
          <w:b w:val="0"/>
          <w:bCs w:val="0"/>
          <w:strike w:val="0"/>
          <w:color w:val="auto"/>
          <w:sz w:val="24"/>
          <w:szCs w:val="24"/>
          <w:highlight w:val="none"/>
          <w:lang w:val="zh-CN"/>
        </w:rPr>
        <w:t>见评标办法前附表。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2.2.3投标报价的偏差率计算</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val="0"/>
          <w:strike w:val="0"/>
          <w:color w:val="auto"/>
          <w:sz w:val="24"/>
          <w:szCs w:val="24"/>
          <w:highlight w:val="none"/>
          <w:lang w:val="zh-CN"/>
        </w:rPr>
        <w:t>投标报价的偏差率计算</w:t>
      </w:r>
      <w:r>
        <w:rPr>
          <w:rFonts w:hint="eastAsia" w:asciiTheme="minorEastAsia" w:hAnsiTheme="minorEastAsia" w:eastAsiaTheme="minorEastAsia" w:cstheme="minorEastAsia"/>
          <w:b w:val="0"/>
          <w:bCs w:val="0"/>
          <w:strike w:val="0"/>
          <w:color w:val="auto"/>
          <w:sz w:val="24"/>
          <w:szCs w:val="24"/>
          <w:highlight w:val="none"/>
          <w:lang w:val="en-US" w:eastAsia="zh-CN"/>
        </w:rPr>
        <w:t>公式：</w:t>
      </w:r>
      <w:r>
        <w:rPr>
          <w:rFonts w:hint="eastAsia" w:asciiTheme="minorEastAsia" w:hAnsiTheme="minorEastAsia" w:eastAsiaTheme="minorEastAsia" w:cstheme="minorEastAsia"/>
          <w:b w:val="0"/>
          <w:bCs w:val="0"/>
          <w:strike w:val="0"/>
          <w:color w:val="auto"/>
          <w:sz w:val="24"/>
          <w:szCs w:val="24"/>
          <w:highlight w:val="none"/>
          <w:lang w:val="zh-CN"/>
        </w:rPr>
        <w:t>见评标办法前附表。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2.2.4评分标准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评标价评分标准：见评标办法前附表。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3.评标程序</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3.1第一个信封初步评审</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3.2第二个信封开标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第一个信封（商务及技术文件）评审结束后，招标人将按照第二章“投标人须知”第5.1款规定的时间和地点对通过投标文件第一个信封（商务及技术文件）评审的投标文件第二个信封（报价文件）进行开标。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2" w:firstLineChars="200"/>
        <w:jc w:val="left"/>
        <w:textAlignment w:val="auto"/>
        <w:outlineLvl w:val="9"/>
        <w:rPr>
          <w:rFonts w:hint="eastAsia" w:asciiTheme="minorEastAsia" w:hAnsiTheme="minorEastAsia" w:eastAsiaTheme="minorEastAsia" w:cstheme="minorEastAsia"/>
          <w:b/>
          <w:bCs/>
          <w:strike w:val="0"/>
          <w:color w:val="auto"/>
          <w:sz w:val="24"/>
          <w:szCs w:val="24"/>
          <w:highlight w:val="none"/>
          <w:lang w:val="zh-CN"/>
        </w:rPr>
      </w:pPr>
      <w:r>
        <w:rPr>
          <w:rFonts w:hint="eastAsia" w:asciiTheme="minorEastAsia" w:hAnsiTheme="minorEastAsia" w:eastAsiaTheme="minorEastAsia" w:cstheme="minorEastAsia"/>
          <w:b/>
          <w:bCs/>
          <w:strike w:val="0"/>
          <w:color w:val="auto"/>
          <w:sz w:val="24"/>
          <w:szCs w:val="24"/>
          <w:highlight w:val="none"/>
          <w:lang w:val="zh-CN"/>
        </w:rPr>
        <w:t>3.3第二个信封初步评审</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3.3.1评标委员会依据本章第2.1.1项、第2.1.3项规定的评审标准对投标文件第二个信封（报价文件）进行初步评审。有一项不符合评审标准的，评标委员会应否决其投标。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3.3.2投标报价有算术错误的，评标委员会按以下原则对投标报价进行修正，修正的价格经投标人书面确认后具有约束力。投标人不接受修正价格的，评标委员会应否决其投标。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（1）投标文件中的大写金额与小写金额不一致的，以大写金额为准；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（2）总价金额与依据单价计算出的结果不一致的，以单价金额为准修正总价，但单价金额小数点有明显错误的除外；</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（3）当单价与数量相乘不等于合价时，以单价计算为准，如果单价有明显的小数点位置差错，应以标出的合价为准，同时对单价予以修正；</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（4）当各子目的合价累计不等于总价时，应以各子目合价累计数为准，修正总价。</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3.3.3工程量清单中的投标报价有其他错误的，评标委员会按以下原则对投标报价进行修正，修正的价格经投标人书面确认后具有约束力。投标人不接受修正价格的，评标委员会应否决其投标。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1）在招标人给定的工程量清单中漏报了某个工程子目的单价、合价或总额价，或所报单价、合价或总额价减少了报价范围，则漏报的工程子目单价、合价和总额价或单价、合价和总额价中减少的报价内容视为己含入其他工程子目的单价、合价和总额价之中。</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（3）当单价与数量的乘积与合价（金额）虽然一致，但投标人修改了该子目的工程数量，则其合价按招标人给定的工程数量乘以投标人所报单价予以修正。</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3.3.4修正后的最终投标报价若超过最高投标限价（如有），评标委员会应否决其投标。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3.3.5修正后的最终投标报价仅作为签订合同的一个依据，不参与评标价得分的计算。</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3.4第二个信封详细评审</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3.4.1评标委员会按本章第2.2款规定的量化因素和分值进行打分，并计算出综合评估得分（即评标价得分）。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240" w:leftChars="100" w:firstLine="240" w:firstLineChars="1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3.4.2投标人得分分值计算保留小数点后两位，小数点后第三位“四舍五入”。</w:t>
      </w:r>
      <w:r>
        <w:rPr>
          <w:rFonts w:hint="eastAsia" w:asciiTheme="minorEastAsia" w:hAnsiTheme="minorEastAsia" w:eastAsiaTheme="minorEastAsia" w:cstheme="minorEastAsia"/>
          <w:b w:val="0"/>
          <w:bCs w:val="0"/>
          <w:strike w:val="0"/>
          <w:color w:val="auto"/>
          <w:sz w:val="24"/>
          <w:szCs w:val="24"/>
          <w:highlight w:val="none"/>
          <w:lang w:val="en-US" w:eastAsia="zh-CN"/>
        </w:rPr>
        <w:tab/>
      </w:r>
      <w:r>
        <w:rPr>
          <w:rFonts w:hint="eastAsia" w:asciiTheme="minorEastAsia" w:hAnsiTheme="minorEastAsia" w:eastAsiaTheme="minorEastAsia" w:cstheme="minorEastAsia"/>
          <w:b w:val="0"/>
          <w:bCs w:val="0"/>
          <w:strike w:val="0"/>
          <w:color w:val="auto"/>
          <w:sz w:val="24"/>
          <w:szCs w:val="24"/>
          <w:highlight w:val="none"/>
          <w:lang w:val="zh-CN"/>
        </w:rPr>
        <w:t>3.4.3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3.5投标文件相关信息的核查</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3.5.1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3.5.2评标委员会应对在评标过程中发现的投标人与投标人之间、投标人与招标人之间存在的串通投标的情形进行评审和认定。投标人存在串通投标、弄虚作假、行贿等违法行为的，评标委员会应否决其投标。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（1）有下列情形之一的，属于投标人相互串通投标：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a.投标人之间协商投标报价等投标文件的实质性内容；</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b.投标人之间约定中标人；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c.投标人之间约定部分投标人放弃投标或中标；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d.属于同一集团、协会、商会等组织成员的投标人按照该组织要求协同投标；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e.投标人之间为谋取中标或排斥特定投标人而釆取的其他联合行动。</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（2）有下列情形之一的，视为投标人相互串通投标：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a.不同投标人的投标文件由同一单位或个人编制；</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b.不同投标人委托同一单位或个人办理投标事宜；</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c.不同投标人的投标文件载明的项目管理成员为同一人；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d.不同投标人的投标文件异常一致或投标报价呈规律性差异；</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e.不同投标人的投标文件相互混装；</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f.不同投标人的投标保证金从同一单位或个人的账户转出。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（3）有下列情形之一的，属于招标人与投标人串通投标：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a.招标人在开标前开启投标文件并将有关信息泄露给其他投标人；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b.招标人直接或间接向投标人泄露标底、评标委员会成员等信息；</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c.招标人明示或暗示投标人压低或抬高投标报价；</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d.招标人授意投标人撤换、修改投标文件；</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e.招标人明示或暗示投标人为特定投标人中标提供方便；</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f.招标人与投标人为谋求特定投标人中标而采取的其他串通行为。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（4）投标人有下列情形之一的，属于弄虚作假的行为：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a.使用通过受让或租借等方式获取的资格、资质证书投标；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b.使用伪造、变造的许可证件；</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c.提供虚假的财务状况或业绩；</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d.提供虚假的项目负责人或主要技术人员简历、劳动关系证明；</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e.提供虚假的信用状况；</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f.其他弄虚作假的行为。</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3.6投标文件的澄清和说明</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3.6.1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3.6.2澄清和说明不得超出投标文件的范围或改变投标文件的实质性内容（算术性错误修正的除外）。投标人的书面澄清、说明属于投标文件的组成部分。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3.6.3评标委员会不得暗示或诱导投标人作出澄清、说明，对投标人提交的澄清、说明有疑问的，可以要求投标人进一步澄清或说明，直至满足评标委员会的要求。</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3.6.4凡超出招标文件规定的或给发包人带来未曾要求的利益的变化、偏差或其他因素在评标时不予考虑。</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3.7不得否决投标的情形</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投标文件存在第二章“投标人须知”第1.12.3项所列情形的，均视为细微偏差，评标委员会不得否决投标人的投标，应按照第二章“投标人须知”第1.12.4项规定的原则处理。</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3.8评标结果</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3.8.1除第二章“投标人须知”前附表授权直接确定中标人外，评标委员会按照得分由高到低的顺序推荐中标候选人，并标明排序。</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9"/>
        <w:rPr>
          <w:rFonts w:hint="eastAsia" w:asciiTheme="minorEastAsia" w:hAnsiTheme="minorEastAsia" w:eastAsiaTheme="minorEastAsia" w:cstheme="minorEastAsia"/>
          <w:b w:val="0"/>
          <w:bCs w:val="0"/>
          <w:strike w:val="0"/>
          <w:color w:val="auto"/>
          <w:sz w:val="24"/>
          <w:szCs w:val="24"/>
          <w:highlight w:val="none"/>
          <w:lang w:val="zh-CN"/>
        </w:rPr>
      </w:pPr>
      <w:r>
        <w:rPr>
          <w:rFonts w:hint="eastAsia" w:asciiTheme="minorEastAsia" w:hAnsiTheme="minorEastAsia" w:eastAsiaTheme="minorEastAsia" w:cstheme="minorEastAsia"/>
          <w:b w:val="0"/>
          <w:bCs w:val="0"/>
          <w:strike w:val="0"/>
          <w:color w:val="auto"/>
          <w:sz w:val="24"/>
          <w:szCs w:val="24"/>
          <w:highlight w:val="none"/>
          <w:lang w:val="zh-CN"/>
        </w:rPr>
        <w:t>3.8.2评标委员会完成评标后，应向招标人提交书面评标报告。</w:t>
      </w:r>
    </w:p>
    <w:p>
      <w:pPr>
        <w:pStyle w:val="2"/>
        <w:ind w:left="0" w:leftChars="0" w:firstLine="0" w:firstLineChars="0"/>
        <w:jc w:val="left"/>
        <w:rPr>
          <w:rFonts w:hint="eastAsia" w:asciiTheme="minorEastAsia" w:hAnsiTheme="minorEastAsia" w:eastAsiaTheme="minorEastAsia" w:cstheme="minorEastAsia"/>
          <w:bCs/>
          <w:strike w:val="0"/>
          <w:color w:val="auto"/>
          <w:spacing w:val="-6"/>
          <w:kern w:val="2"/>
          <w:sz w:val="18"/>
          <w:szCs w:val="18"/>
          <w:highlight w:val="none"/>
          <w:lang w:val="en-US" w:eastAsia="zh-CN" w:bidi="ar-SA"/>
        </w:rPr>
      </w:pPr>
      <w:bookmarkStart w:id="14" w:name="_GoBack"/>
      <w:bookmarkEnd w:id="1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全真簡中楷">
    <w:altName w:val="楷体_GB2312"/>
    <w:panose1 w:val="00000000000000000000"/>
    <w:charset w:val="88"/>
    <w:family w:val="modern"/>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方正宋三简体">
    <w:altName w:val="宋体"/>
    <w:panose1 w:val="00000000000000000000"/>
    <w:charset w:val="86"/>
    <w:family w:val="auto"/>
    <w:pitch w:val="default"/>
    <w:sig w:usb0="00000000" w:usb1="00000000" w:usb2="00000010" w:usb3="00000000" w:csb0="00040000" w:csb1="00000000"/>
  </w:font>
  <w:font w:name="方正大黑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Plotter">
    <w:altName w:val="Times New Roman"/>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宋体">
    <w:panose1 w:val="02010600030101010101"/>
    <w:charset w:val="86"/>
    <w:family w:val="auto"/>
    <w:pitch w:val="default"/>
    <w:sig w:usb0="00000203" w:usb1="288F0000" w:usb2="00000006" w:usb3="00000000" w:csb0="00040001" w:csb1="00000000"/>
  </w:font>
  <w:font w:name="@黑体">
    <w:panose1 w:val="02010609060101010101"/>
    <w:charset w:val="86"/>
    <w:family w:val="modern"/>
    <w:pitch w:val="default"/>
    <w:sig w:usb0="800002BF" w:usb1="38CF7CFA" w:usb2="00000016" w:usb3="00000000" w:csb0="00040001" w:csb1="00000000"/>
  </w:font>
  <w:font w:name="@昆仑仿宋">
    <w:altName w:val="@黑体"/>
    <w:panose1 w:val="00000000000000000000"/>
    <w:charset w:val="86"/>
    <w:family w:val="modern"/>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Sylfaen">
    <w:panose1 w:val="010A0502050306030303"/>
    <w:charset w:val="00"/>
    <w:family w:val="roman"/>
    <w:pitch w:val="default"/>
    <w:sig w:usb0="04000687" w:usb1="00000000" w:usb2="00000000" w:usb3="00000000" w:csb0="2000009F" w:csb1="00000000"/>
  </w:font>
  <w:font w:name="Ming(for ISO10646)">
    <w:altName w:val="Arial Unicode MS"/>
    <w:panose1 w:val="00000000000000000000"/>
    <w:charset w:val="88"/>
    <w:family w:val="modern"/>
    <w:pitch w:val="default"/>
    <w:sig w:usb0="00000000" w:usb1="00000000" w:usb2="00000036" w:usb3="00000000" w:csb0="001E0001" w:csb1="00000000"/>
  </w:font>
  <w:font w:name="華康中楷體">
    <w:altName w:val="Microsoft JhengHei"/>
    <w:panose1 w:val="00000000000000000000"/>
    <w:charset w:val="88"/>
    <w:family w:val="modern"/>
    <w:pitch w:val="default"/>
    <w:sig w:usb0="00000000" w:usb1="00000000" w:usb2="00000010" w:usb3="00000000" w:csb0="00100000" w:csb1="00000000"/>
  </w:font>
  <w:font w:name="Comic Sans MS">
    <w:panose1 w:val="030F0702030302020204"/>
    <w:charset w:val="00"/>
    <w:family w:val="script"/>
    <w:pitch w:val="default"/>
    <w:sig w:usb0="00000287" w:usb1="00000013" w:usb2="00000000" w:usb3="00000000" w:csb0="2000009F" w:csb1="00000000"/>
  </w:font>
  <w:font w:name="PMingLiU">
    <w:altName w:val="PMingLiU-ExtB"/>
    <w:panose1 w:val="02020500000000000000"/>
    <w:charset w:val="88"/>
    <w:family w:val="roma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ksdb">
    <w:panose1 w:val="02000500000000000000"/>
    <w:charset w:val="00"/>
    <w:family w:val="auto"/>
    <w:pitch w:val="default"/>
    <w:sig w:usb0="00000001" w:usb1="00000000" w:usb2="00000000" w:usb3="00000000" w:csb0="00000001" w:csb1="00000000"/>
  </w:font>
  <w:font w:name="方正书宋简体">
    <w:altName w:val="微软雅黑"/>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长城新魏碑体">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MingLiU_HKSCS">
    <w:altName w:val="MingLiU-ExtB"/>
    <w:panose1 w:val="00000000000000000000"/>
    <w:charset w:val="88"/>
    <w:family w:val="roma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Mongolian Baiti">
    <w:panose1 w:val="03000500000000000000"/>
    <w:charset w:val="00"/>
    <w:family w:val="script"/>
    <w:pitch w:val="default"/>
    <w:sig w:usb0="80000023" w:usb1="00000000" w:usb2="00020000" w:usb3="00000000" w:csb0="00000001" w:csb1="00000000"/>
  </w:font>
  <w:font w:name="Wingdings">
    <w:panose1 w:val="05000000000000000000"/>
    <w:charset w:val="00"/>
    <w:family w:val="auto"/>
    <w:pitch w:val="default"/>
    <w:sig w:usb0="00000000" w:usb1="00000000" w:usb2="00000000" w:usb3="00000000" w:csb0="80000000" w:csb1="00000000"/>
  </w:font>
  <w:font w:name="创艺简老宋">
    <w:altName w:val="黑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Webdings">
    <w:panose1 w:val="05030102010509060703"/>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8"/>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C55230"/>
    <w:multiLevelType w:val="singleLevel"/>
    <w:tmpl w:val="F1C5523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76EE5"/>
    <w:rsid w:val="02E76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center"/>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0"/>
    <w:pPr>
      <w:autoSpaceDE w:val="0"/>
      <w:autoSpaceDN w:val="0"/>
      <w:adjustRightInd w:val="0"/>
      <w:snapToGrid w:val="0"/>
      <w:spacing w:line="360" w:lineRule="auto"/>
      <w:ind w:left="0" w:firstLine="0"/>
      <w:jc w:val="center"/>
      <w:outlineLvl w:val="0"/>
    </w:pPr>
    <w:rPr>
      <w:rFonts w:ascii="Times New Roman" w:hAnsi="Times New Roman" w:eastAsia="宋体"/>
      <w:b/>
      <w:sz w:val="44"/>
      <w:szCs w:val="24"/>
    </w:rPr>
  </w:style>
  <w:style w:type="paragraph" w:styleId="4">
    <w:name w:val="heading 2"/>
    <w:basedOn w:val="1"/>
    <w:next w:val="1"/>
    <w:unhideWhenUsed/>
    <w:qFormat/>
    <w:uiPriority w:val="0"/>
    <w:pPr>
      <w:autoSpaceDE w:val="0"/>
      <w:autoSpaceDN w:val="0"/>
      <w:adjustRightInd w:val="0"/>
      <w:jc w:val="left"/>
      <w:outlineLvl w:val="1"/>
    </w:pPr>
    <w:rPr>
      <w:rFonts w:ascii="宋体" w:hAnsi="宋体" w:eastAsia="宋体"/>
      <w:b/>
      <w:color w:val="000000"/>
      <w:kern w:val="0"/>
      <w:sz w:val="24"/>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5">
    <w:name w:val="Normal Indent"/>
    <w:basedOn w:val="1"/>
    <w:uiPriority w:val="0"/>
    <w:pPr>
      <w:adjustRightInd w:val="0"/>
      <w:snapToGrid w:val="0"/>
      <w:spacing w:line="360" w:lineRule="auto"/>
      <w:ind w:firstLine="200" w:firstLineChars="200"/>
      <w:jc w:val="left"/>
    </w:pPr>
    <w:rPr>
      <w:sz w:val="21"/>
    </w:rPr>
  </w:style>
  <w:style w:type="paragraph" w:styleId="6">
    <w:name w:val="Document Map"/>
    <w:basedOn w:val="1"/>
    <w:uiPriority w:val="0"/>
    <w:rPr>
      <w:rFonts w:ascii="宋体" w:hAnsi="Times New Roman"/>
      <w:sz w:val="18"/>
      <w:szCs w:val="18"/>
    </w:rPr>
  </w:style>
  <w:style w:type="paragraph" w:styleId="7">
    <w:name w:val="Body Text"/>
    <w:basedOn w:val="1"/>
    <w:next w:val="1"/>
    <w:uiPriority w:val="0"/>
    <w:pPr>
      <w:spacing w:after="120"/>
    </w:pPr>
  </w:style>
  <w:style w:type="paragraph" w:styleId="8">
    <w:name w:val="footer"/>
    <w:basedOn w:val="1"/>
    <w:uiPriority w:val="0"/>
    <w:pPr>
      <w:tabs>
        <w:tab w:val="center" w:pos="4153"/>
        <w:tab w:val="right" w:pos="8306"/>
      </w:tabs>
      <w:snapToGrid w:val="0"/>
      <w:spacing w:beforeLines="0" w:line="240" w:lineRule="auto"/>
    </w:pPr>
    <w:rPr>
      <w:rFonts w:eastAsia="仿宋_GB2312"/>
      <w:sz w:val="18"/>
      <w:szCs w:val="24"/>
    </w:rPr>
  </w:style>
  <w:style w:type="paragraph" w:customStyle="1" w:styleId="11">
    <w:name w:val="标准正文"/>
    <w:basedOn w:val="12"/>
    <w:qFormat/>
    <w:uiPriority w:val="0"/>
    <w:pPr>
      <w:tabs>
        <w:tab w:val="left" w:pos="0"/>
      </w:tabs>
      <w:spacing w:before="60" w:after="60" w:line="360" w:lineRule="auto"/>
      <w:ind w:firstLine="482"/>
    </w:pPr>
    <w:rPr>
      <w:rFonts w:ascii="Arial" w:hAnsi="Arial" w:eastAsia="宋体"/>
      <w:sz w:val="24"/>
      <w:szCs w:val="20"/>
    </w:rPr>
  </w:style>
  <w:style w:type="paragraph" w:customStyle="1" w:styleId="12">
    <w:name w:val="Body Text Indent"/>
    <w:basedOn w:val="1"/>
    <w:qFormat/>
    <w:uiPriority w:val="0"/>
    <w:pPr>
      <w:spacing w:after="120" w:afterLines="0"/>
      <w:ind w:left="420" w:leftChars="200"/>
    </w:pPr>
    <w:rPr>
      <w:rFonts w:cs="Times New Roman"/>
    </w:rPr>
  </w:style>
  <w:style w:type="paragraph" w:customStyle="1" w:styleId="13">
    <w:name w:val="标题 #6 (2)"/>
    <w:basedOn w:val="1"/>
    <w:qFormat/>
    <w:uiPriority w:val="99"/>
    <w:pPr>
      <w:shd w:val="clear" w:color="auto" w:fill="FFFFFF"/>
      <w:spacing w:before="720" w:after="420" w:line="240" w:lineRule="atLeast"/>
      <w:jc w:val="distribute"/>
      <w:outlineLvl w:val="5"/>
    </w:pPr>
    <w:rPr>
      <w:rFonts w:ascii="MingLiU" w:eastAsia="MingLiU" w:cs="Times New Roman"/>
      <w:b/>
      <w:bCs/>
      <w:color w:val="auto"/>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2023-10-16T02:47:00Z</dcterms:created>
  <dc:creator>王磊</dc:creator>
  <cp:lastModifiedBy>王磊</cp:lastModifiedBy>
  <dcterms:modified xsi:type="dcterms:W3CDTF">2023-10-16T03:02:09Z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