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ascii="宋体" w:hAnsi="宋体" w:cs="宋体"/>
          <w:b/>
          <w:bCs/>
          <w:color w:val="auto"/>
          <w:spacing w:val="26"/>
          <w:sz w:val="48"/>
          <w:szCs w:val="48"/>
          <w:highlight w:val="none"/>
        </w:rPr>
      </w:pPr>
      <w:bookmarkStart w:id="0" w:name="_top"/>
      <w:bookmarkEnd w:id="0"/>
    </w:p>
    <w:p>
      <w:pPr>
        <w:spacing w:line="360" w:lineRule="auto"/>
        <w:ind w:right="-142" w:rightChars="-68"/>
        <w:jc w:val="center"/>
        <w:rPr>
          <w:rFonts w:ascii="宋体" w:hAnsi="宋体" w:cs="宋体"/>
          <w:b/>
          <w:bCs/>
          <w:color w:val="auto"/>
          <w:spacing w:val="26"/>
          <w:sz w:val="48"/>
          <w:szCs w:val="48"/>
          <w:highlight w:val="none"/>
        </w:rPr>
      </w:pPr>
      <w:r>
        <w:rPr>
          <w:rFonts w:hint="eastAsia" w:ascii="宋体" w:hAnsi="宋体" w:cs="宋体"/>
          <w:b/>
          <w:bCs/>
          <w:color w:val="auto"/>
          <w:spacing w:val="26"/>
          <w:sz w:val="48"/>
          <w:szCs w:val="48"/>
          <w:highlight w:val="none"/>
        </w:rPr>
        <w:t>番禺区大石街怡居新村一期小区微改造项目</w:t>
      </w: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文 件</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849" w:firstLineChars="283"/>
        <w:rPr>
          <w:rFonts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rPr>
        <w:t>广州市番禺区人民政府大石街道办事处</w:t>
      </w:r>
    </w:p>
    <w:p>
      <w:pPr>
        <w:spacing w:line="360" w:lineRule="auto"/>
        <w:ind w:firstLine="849" w:firstLineChars="283"/>
        <w:rPr>
          <w:rFonts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rPr>
        <w:t>广州新业建设管理有限公司</w:t>
      </w:r>
    </w:p>
    <w:p>
      <w:pPr>
        <w:ind w:firstLine="849" w:firstLineChars="283"/>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10</w:t>
      </w:r>
      <w:bookmarkStart w:id="29" w:name="_GoBack"/>
      <w:bookmarkEnd w:id="29"/>
      <w:r>
        <w:rPr>
          <w:rFonts w:hint="eastAsia" w:ascii="宋体" w:hAnsi="宋体" w:cs="宋体"/>
          <w:color w:val="auto"/>
          <w:sz w:val="30"/>
          <w:szCs w:val="30"/>
          <w:highlight w:val="none"/>
        </w:rPr>
        <w:t>月</w:t>
      </w:r>
    </w:p>
    <w:p>
      <w:pPr>
        <w:rPr>
          <w:rFonts w:ascii="宋体" w:hAnsi="宋体" w:cs="宋体"/>
          <w:color w:val="auto"/>
          <w:sz w:val="30"/>
          <w:szCs w:val="30"/>
          <w:highlight w:val="none"/>
        </w:rPr>
      </w:pPr>
    </w:p>
    <w:p>
      <w:pPr>
        <w:snapToGrid w:val="0"/>
        <w:spacing w:line="360" w:lineRule="auto"/>
        <w:jc w:val="center"/>
        <w:rPr>
          <w:rFonts w:ascii="宋体" w:hAnsi="宋体"/>
          <w:b/>
          <w:caps/>
          <w:color w:val="auto"/>
          <w:kern w:val="0"/>
          <w:highlight w:val="none"/>
        </w:rPr>
      </w:pPr>
      <w:r>
        <w:rPr>
          <w:rFonts w:ascii="宋体" w:hAnsi="宋体" w:cs="宋体"/>
          <w:color w:val="auto"/>
          <w:sz w:val="30"/>
          <w:szCs w:val="30"/>
          <w:highlight w:val="none"/>
        </w:rPr>
        <w:br w:type="page"/>
      </w:r>
      <w:r>
        <w:rPr>
          <w:rStyle w:val="43"/>
          <w:rFonts w:hint="eastAsia"/>
          <w:b/>
          <w:bCs/>
          <w:color w:val="auto"/>
          <w:sz w:val="24"/>
          <w:szCs w:val="28"/>
          <w:highlight w:val="none"/>
        </w:rPr>
        <w:t>目录</w:t>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"_Toc2272545" </w:instrText>
      </w:r>
      <w:r>
        <w:rPr>
          <w:color w:val="auto"/>
          <w:highlight w:val="none"/>
        </w:rPr>
        <w:fldChar w:fldCharType="separate"/>
      </w:r>
      <w:r>
        <w:rPr>
          <w:rStyle w:val="43"/>
          <w:rFonts w:hint="eastAsia"/>
          <w:color w:val="auto"/>
          <w:szCs w:val="24"/>
          <w:highlight w:val="none"/>
        </w:rPr>
        <w:t>第一章投标须知</w:t>
      </w:r>
      <w:r>
        <w:rPr>
          <w:color w:val="auto"/>
          <w:szCs w:val="24"/>
          <w:highlight w:val="none"/>
        </w:rPr>
        <w:tab/>
      </w:r>
      <w:r>
        <w:rPr>
          <w:color w:val="auto"/>
          <w:szCs w:val="24"/>
          <w:highlight w:val="none"/>
        </w:rPr>
        <w:fldChar w:fldCharType="begin"/>
      </w:r>
      <w:r>
        <w:rPr>
          <w:color w:val="auto"/>
          <w:szCs w:val="24"/>
          <w:highlight w:val="none"/>
        </w:rPr>
        <w:instrText xml:space="preserve"> PAGEREF _Toc2272545 \h </w:instrText>
      </w:r>
      <w:r>
        <w:rPr>
          <w:color w:val="auto"/>
          <w:szCs w:val="24"/>
          <w:highlight w:val="none"/>
        </w:rPr>
        <w:fldChar w:fldCharType="separate"/>
      </w:r>
      <w:r>
        <w:rPr>
          <w:color w:val="auto"/>
          <w:szCs w:val="24"/>
          <w:highlight w:val="none"/>
        </w:rPr>
        <w:t>2</w:t>
      </w:r>
      <w:r>
        <w:rPr>
          <w:color w:val="auto"/>
          <w:szCs w:val="24"/>
          <w:highlight w:val="none"/>
        </w:rPr>
        <w:fldChar w:fldCharType="end"/>
      </w:r>
      <w:r>
        <w:rPr>
          <w:color w:val="auto"/>
          <w:szCs w:val="24"/>
          <w:highlight w:val="none"/>
        </w:rPr>
        <w:fldChar w:fldCharType="end"/>
      </w:r>
    </w:p>
    <w:p>
      <w:pPr>
        <w:pStyle w:val="30"/>
        <w:rPr>
          <w:rFonts w:ascii="Calibri" w:hAnsi="Calibri"/>
          <w:color w:val="auto"/>
          <w:highlight w:val="none"/>
        </w:rPr>
      </w:pPr>
      <w:r>
        <w:rPr>
          <w:color w:val="auto"/>
          <w:highlight w:val="none"/>
        </w:rPr>
        <w:fldChar w:fldCharType="begin"/>
      </w:r>
      <w:r>
        <w:rPr>
          <w:color w:val="auto"/>
          <w:highlight w:val="none"/>
        </w:rPr>
        <w:instrText xml:space="preserve"> HYPERLINK \l "_Toc2272546" </w:instrText>
      </w:r>
      <w:r>
        <w:rPr>
          <w:color w:val="auto"/>
          <w:highlight w:val="none"/>
        </w:rPr>
        <w:fldChar w:fldCharType="separate"/>
      </w:r>
      <w:r>
        <w:rPr>
          <w:rStyle w:val="43"/>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_Toc2272546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Calibri" w:hAnsi="Calibri"/>
          <w:color w:val="auto"/>
          <w:highlight w:val="none"/>
        </w:rPr>
      </w:pPr>
      <w:r>
        <w:rPr>
          <w:color w:val="auto"/>
          <w:highlight w:val="none"/>
        </w:rPr>
        <w:fldChar w:fldCharType="begin"/>
      </w:r>
      <w:r>
        <w:rPr>
          <w:color w:val="auto"/>
          <w:highlight w:val="none"/>
        </w:rPr>
        <w:instrText xml:space="preserve"> HYPERLINK \l "_Toc2272547" </w:instrText>
      </w:r>
      <w:r>
        <w:rPr>
          <w:color w:val="auto"/>
          <w:highlight w:val="none"/>
        </w:rPr>
        <w:fldChar w:fldCharType="separate"/>
      </w:r>
      <w:r>
        <w:rPr>
          <w:rStyle w:val="43"/>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_Toc2272547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0"/>
        <w:rPr>
          <w:rFonts w:ascii="Calibri" w:hAnsi="Calibri"/>
          <w:color w:val="auto"/>
          <w:highlight w:val="none"/>
        </w:rPr>
      </w:pPr>
      <w:r>
        <w:rPr>
          <w:color w:val="auto"/>
          <w:highlight w:val="none"/>
        </w:rPr>
        <w:fldChar w:fldCharType="begin"/>
      </w:r>
      <w:r>
        <w:rPr>
          <w:color w:val="auto"/>
          <w:highlight w:val="none"/>
        </w:rPr>
        <w:instrText xml:space="preserve"> HYPERLINK \l "_Toc2272548" </w:instrText>
      </w:r>
      <w:r>
        <w:rPr>
          <w:color w:val="auto"/>
          <w:highlight w:val="none"/>
        </w:rPr>
        <w:fldChar w:fldCharType="separate"/>
      </w:r>
      <w:r>
        <w:rPr>
          <w:rStyle w:val="43"/>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_Toc2272548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"_Toc2272549" </w:instrText>
      </w:r>
      <w:r>
        <w:rPr>
          <w:color w:val="auto"/>
          <w:highlight w:val="none"/>
        </w:rPr>
        <w:fldChar w:fldCharType="separate"/>
      </w:r>
      <w:r>
        <w:rPr>
          <w:rStyle w:val="43"/>
          <w:rFonts w:hint="eastAsia"/>
          <w:color w:val="auto"/>
          <w:szCs w:val="24"/>
          <w:highlight w:val="none"/>
        </w:rPr>
        <w:t>（一）总则</w:t>
      </w:r>
      <w:r>
        <w:rPr>
          <w:color w:val="auto"/>
          <w:szCs w:val="24"/>
          <w:highlight w:val="none"/>
        </w:rPr>
        <w:tab/>
      </w:r>
      <w:r>
        <w:rPr>
          <w:color w:val="auto"/>
          <w:szCs w:val="24"/>
          <w:highlight w:val="none"/>
        </w:rPr>
        <w:fldChar w:fldCharType="begin"/>
      </w:r>
      <w:r>
        <w:rPr>
          <w:color w:val="auto"/>
          <w:szCs w:val="24"/>
          <w:highlight w:val="none"/>
        </w:rPr>
        <w:instrText xml:space="preserve"> PAGEREF _Toc2272549 \h </w:instrText>
      </w:r>
      <w:r>
        <w:rPr>
          <w:color w:val="auto"/>
          <w:szCs w:val="24"/>
          <w:highlight w:val="none"/>
        </w:rPr>
        <w:fldChar w:fldCharType="separate"/>
      </w:r>
      <w:r>
        <w:rPr>
          <w:color w:val="auto"/>
          <w:szCs w:val="24"/>
          <w:highlight w:val="none"/>
        </w:rPr>
        <w:t>18</w:t>
      </w:r>
      <w:r>
        <w:rPr>
          <w:color w:val="auto"/>
          <w:szCs w:val="24"/>
          <w:highlight w:val="none"/>
        </w:rPr>
        <w:fldChar w:fldCharType="end"/>
      </w:r>
      <w:r>
        <w:rPr>
          <w:color w:val="auto"/>
          <w:szCs w:val="24"/>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"_Toc2272550" </w:instrText>
      </w:r>
      <w:r>
        <w:rPr>
          <w:color w:val="auto"/>
          <w:highlight w:val="none"/>
        </w:rPr>
        <w:fldChar w:fldCharType="separate"/>
      </w:r>
      <w:r>
        <w:rPr>
          <w:rStyle w:val="43"/>
          <w:rFonts w:hint="eastAsia"/>
          <w:color w:val="auto"/>
          <w:szCs w:val="24"/>
          <w:highlight w:val="none"/>
        </w:rPr>
        <w:t>（二）招标文件</w:t>
      </w:r>
      <w:r>
        <w:rPr>
          <w:color w:val="auto"/>
          <w:szCs w:val="24"/>
          <w:highlight w:val="none"/>
        </w:rPr>
        <w:tab/>
      </w:r>
      <w:r>
        <w:rPr>
          <w:color w:val="auto"/>
          <w:szCs w:val="24"/>
          <w:highlight w:val="none"/>
        </w:rPr>
        <w:fldChar w:fldCharType="begin"/>
      </w:r>
      <w:r>
        <w:rPr>
          <w:color w:val="auto"/>
          <w:szCs w:val="24"/>
          <w:highlight w:val="none"/>
        </w:rPr>
        <w:instrText xml:space="preserve"> PAGEREF _Toc2272550 \h </w:instrText>
      </w:r>
      <w:r>
        <w:rPr>
          <w:color w:val="auto"/>
          <w:szCs w:val="24"/>
          <w:highlight w:val="none"/>
        </w:rPr>
        <w:fldChar w:fldCharType="separate"/>
      </w:r>
      <w:r>
        <w:rPr>
          <w:color w:val="auto"/>
          <w:szCs w:val="24"/>
          <w:highlight w:val="none"/>
        </w:rPr>
        <w:t>19</w:t>
      </w:r>
      <w:r>
        <w:rPr>
          <w:color w:val="auto"/>
          <w:szCs w:val="24"/>
          <w:highlight w:val="none"/>
        </w:rPr>
        <w:fldChar w:fldCharType="end"/>
      </w:r>
      <w:r>
        <w:rPr>
          <w:color w:val="auto"/>
          <w:szCs w:val="24"/>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"_Toc2272551" </w:instrText>
      </w:r>
      <w:r>
        <w:rPr>
          <w:color w:val="auto"/>
          <w:highlight w:val="none"/>
        </w:rPr>
        <w:fldChar w:fldCharType="separate"/>
      </w:r>
      <w:r>
        <w:rPr>
          <w:rStyle w:val="43"/>
          <w:rFonts w:hint="eastAsia"/>
          <w:color w:val="auto"/>
          <w:szCs w:val="24"/>
          <w:highlight w:val="none"/>
        </w:rPr>
        <w:t>（三）投标文件的编制</w:t>
      </w:r>
      <w:r>
        <w:rPr>
          <w:color w:val="auto"/>
          <w:szCs w:val="24"/>
          <w:highlight w:val="none"/>
        </w:rPr>
        <w:tab/>
      </w:r>
      <w:r>
        <w:rPr>
          <w:color w:val="auto"/>
          <w:szCs w:val="24"/>
          <w:highlight w:val="none"/>
        </w:rPr>
        <w:fldChar w:fldCharType="begin"/>
      </w:r>
      <w:r>
        <w:rPr>
          <w:color w:val="auto"/>
          <w:szCs w:val="24"/>
          <w:highlight w:val="none"/>
        </w:rPr>
        <w:instrText xml:space="preserve"> PAGEREF _Toc2272551 \h </w:instrText>
      </w:r>
      <w:r>
        <w:rPr>
          <w:color w:val="auto"/>
          <w:szCs w:val="24"/>
          <w:highlight w:val="none"/>
        </w:rPr>
        <w:fldChar w:fldCharType="separate"/>
      </w:r>
      <w:r>
        <w:rPr>
          <w:color w:val="auto"/>
          <w:szCs w:val="24"/>
          <w:highlight w:val="none"/>
        </w:rPr>
        <w:t>20</w:t>
      </w:r>
      <w:r>
        <w:rPr>
          <w:color w:val="auto"/>
          <w:szCs w:val="24"/>
          <w:highlight w:val="none"/>
        </w:rPr>
        <w:fldChar w:fldCharType="end"/>
      </w:r>
      <w:r>
        <w:rPr>
          <w:color w:val="auto"/>
          <w:szCs w:val="24"/>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"_Toc2272552" </w:instrText>
      </w:r>
      <w:r>
        <w:rPr>
          <w:color w:val="auto"/>
          <w:highlight w:val="none"/>
        </w:rPr>
        <w:fldChar w:fldCharType="separate"/>
      </w:r>
      <w:r>
        <w:rPr>
          <w:rStyle w:val="43"/>
          <w:rFonts w:hint="eastAsia"/>
          <w:color w:val="auto"/>
          <w:szCs w:val="24"/>
          <w:highlight w:val="none"/>
        </w:rPr>
        <w:t>（四）投标文件的提交</w:t>
      </w:r>
      <w:r>
        <w:rPr>
          <w:color w:val="auto"/>
          <w:szCs w:val="24"/>
          <w:highlight w:val="none"/>
        </w:rPr>
        <w:tab/>
      </w:r>
      <w:r>
        <w:rPr>
          <w:color w:val="auto"/>
          <w:szCs w:val="24"/>
          <w:highlight w:val="none"/>
        </w:rPr>
        <w:fldChar w:fldCharType="begin"/>
      </w:r>
      <w:r>
        <w:rPr>
          <w:color w:val="auto"/>
          <w:szCs w:val="24"/>
          <w:highlight w:val="none"/>
        </w:rPr>
        <w:instrText xml:space="preserve"> PAGEREF _Toc2272552 \h </w:instrText>
      </w:r>
      <w:r>
        <w:rPr>
          <w:color w:val="auto"/>
          <w:szCs w:val="24"/>
          <w:highlight w:val="none"/>
        </w:rPr>
        <w:fldChar w:fldCharType="separate"/>
      </w:r>
      <w:r>
        <w:rPr>
          <w:color w:val="auto"/>
          <w:szCs w:val="24"/>
          <w:highlight w:val="none"/>
        </w:rPr>
        <w:t>26</w:t>
      </w:r>
      <w:r>
        <w:rPr>
          <w:color w:val="auto"/>
          <w:szCs w:val="24"/>
          <w:highlight w:val="none"/>
        </w:rPr>
        <w:fldChar w:fldCharType="end"/>
      </w:r>
      <w:r>
        <w:rPr>
          <w:color w:val="auto"/>
          <w:szCs w:val="24"/>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"_Toc2272553" </w:instrText>
      </w:r>
      <w:r>
        <w:rPr>
          <w:color w:val="auto"/>
          <w:highlight w:val="none"/>
        </w:rPr>
        <w:fldChar w:fldCharType="separate"/>
      </w:r>
      <w:r>
        <w:rPr>
          <w:rStyle w:val="43"/>
          <w:rFonts w:hint="eastAsia"/>
          <w:color w:val="auto"/>
          <w:szCs w:val="24"/>
          <w:highlight w:val="none"/>
        </w:rPr>
        <w:t>（五）开标、评标、定标及合同签定</w:t>
      </w:r>
      <w:r>
        <w:rPr>
          <w:color w:val="auto"/>
          <w:szCs w:val="24"/>
          <w:highlight w:val="none"/>
        </w:rPr>
        <w:tab/>
      </w:r>
      <w:r>
        <w:rPr>
          <w:color w:val="auto"/>
          <w:szCs w:val="24"/>
          <w:highlight w:val="none"/>
        </w:rPr>
        <w:fldChar w:fldCharType="begin"/>
      </w:r>
      <w:r>
        <w:rPr>
          <w:color w:val="auto"/>
          <w:szCs w:val="24"/>
          <w:highlight w:val="none"/>
        </w:rPr>
        <w:instrText xml:space="preserve"> PAGEREF _Toc2272553 \h </w:instrText>
      </w:r>
      <w:r>
        <w:rPr>
          <w:color w:val="auto"/>
          <w:szCs w:val="24"/>
          <w:highlight w:val="none"/>
        </w:rPr>
        <w:fldChar w:fldCharType="separate"/>
      </w:r>
      <w:r>
        <w:rPr>
          <w:color w:val="auto"/>
          <w:szCs w:val="24"/>
          <w:highlight w:val="none"/>
        </w:rPr>
        <w:t>27</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HYPERLINK \l "_Toc2272554" </w:instrText>
      </w:r>
      <w:r>
        <w:rPr>
          <w:color w:val="auto"/>
          <w:highlight w:val="none"/>
        </w:rPr>
        <w:fldChar w:fldCharType="separate"/>
      </w:r>
      <w:r>
        <w:rPr>
          <w:rStyle w:val="43"/>
          <w:rFonts w:hint="eastAsia"/>
          <w:color w:val="auto"/>
          <w:szCs w:val="24"/>
          <w:highlight w:val="none"/>
        </w:rPr>
        <w:t>第二章开标、评标及定标办法</w:t>
      </w:r>
      <w:r>
        <w:rPr>
          <w:color w:val="auto"/>
          <w:szCs w:val="24"/>
          <w:highlight w:val="none"/>
        </w:rPr>
        <w:tab/>
      </w:r>
      <w:r>
        <w:rPr>
          <w:color w:val="auto"/>
          <w:szCs w:val="24"/>
          <w:highlight w:val="none"/>
        </w:rPr>
        <w:fldChar w:fldCharType="begin"/>
      </w:r>
      <w:r>
        <w:rPr>
          <w:color w:val="auto"/>
          <w:szCs w:val="24"/>
          <w:highlight w:val="none"/>
        </w:rPr>
        <w:instrText xml:space="preserve"> PAGEREF _Toc2272554 \h </w:instrText>
      </w:r>
      <w:r>
        <w:rPr>
          <w:color w:val="auto"/>
          <w:szCs w:val="24"/>
          <w:highlight w:val="none"/>
        </w:rPr>
        <w:fldChar w:fldCharType="separate"/>
      </w:r>
      <w:r>
        <w:rPr>
          <w:color w:val="auto"/>
          <w:szCs w:val="24"/>
          <w:highlight w:val="none"/>
        </w:rPr>
        <w:t>30</w:t>
      </w:r>
      <w:r>
        <w:rPr>
          <w:color w:val="auto"/>
          <w:szCs w:val="24"/>
          <w:highlight w:val="none"/>
        </w:rPr>
        <w:fldChar w:fldCharType="end"/>
      </w:r>
      <w:r>
        <w:rPr>
          <w:color w:val="auto"/>
          <w:szCs w:val="24"/>
          <w:highlight w:val="none"/>
        </w:rPr>
        <w:fldChar w:fldCharType="end"/>
      </w:r>
    </w:p>
    <w:p>
      <w:pPr>
        <w:pStyle w:val="30"/>
        <w:rPr>
          <w:rFonts w:ascii="Calibri" w:hAnsi="Calibri"/>
          <w:color w:val="auto"/>
          <w:highlight w:val="none"/>
        </w:rPr>
      </w:pPr>
      <w:r>
        <w:rPr>
          <w:color w:val="auto"/>
          <w:highlight w:val="none"/>
        </w:rPr>
        <w:fldChar w:fldCharType="begin"/>
      </w:r>
      <w:r>
        <w:rPr>
          <w:color w:val="auto"/>
          <w:highlight w:val="none"/>
        </w:rPr>
        <w:instrText xml:space="preserve"> HYPERLINK \l "_Toc2272555" </w:instrText>
      </w:r>
      <w:r>
        <w:rPr>
          <w:color w:val="auto"/>
          <w:highlight w:val="none"/>
        </w:rPr>
        <w:fldChar w:fldCharType="separate"/>
      </w:r>
      <w:r>
        <w:rPr>
          <w:rStyle w:val="43"/>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_Toc2272555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0"/>
        <w:rPr>
          <w:rFonts w:ascii="Calibri" w:hAnsi="Calibri"/>
          <w:color w:val="auto"/>
          <w:highlight w:val="none"/>
        </w:rPr>
      </w:pPr>
      <w:r>
        <w:rPr>
          <w:color w:val="auto"/>
          <w:highlight w:val="none"/>
        </w:rPr>
        <w:fldChar w:fldCharType="begin"/>
      </w:r>
      <w:r>
        <w:rPr>
          <w:color w:val="auto"/>
          <w:highlight w:val="none"/>
        </w:rPr>
        <w:instrText xml:space="preserve"> HYPERLINK \l "_Toc2272556" </w:instrText>
      </w:r>
      <w:r>
        <w:rPr>
          <w:color w:val="auto"/>
          <w:highlight w:val="none"/>
        </w:rPr>
        <w:fldChar w:fldCharType="separate"/>
      </w:r>
      <w:r>
        <w:rPr>
          <w:rStyle w:val="43"/>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_Toc2272556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"_Toc2272557" </w:instrText>
      </w:r>
      <w:r>
        <w:rPr>
          <w:color w:val="auto"/>
          <w:highlight w:val="none"/>
        </w:rPr>
        <w:fldChar w:fldCharType="separate"/>
      </w:r>
      <w:r>
        <w:rPr>
          <w:rStyle w:val="43"/>
          <w:rFonts w:hint="eastAsia"/>
          <w:color w:val="auto"/>
          <w:szCs w:val="24"/>
          <w:highlight w:val="none"/>
        </w:rPr>
        <w:t>（一）总则</w:t>
      </w:r>
      <w:r>
        <w:rPr>
          <w:color w:val="auto"/>
          <w:szCs w:val="24"/>
          <w:highlight w:val="none"/>
        </w:rPr>
        <w:tab/>
      </w:r>
      <w:r>
        <w:rPr>
          <w:color w:val="auto"/>
          <w:szCs w:val="24"/>
          <w:highlight w:val="none"/>
        </w:rPr>
        <w:fldChar w:fldCharType="begin"/>
      </w:r>
      <w:r>
        <w:rPr>
          <w:color w:val="auto"/>
          <w:szCs w:val="24"/>
          <w:highlight w:val="none"/>
        </w:rPr>
        <w:instrText xml:space="preserve"> PAGEREF _Toc2272557 \h </w:instrText>
      </w:r>
      <w:r>
        <w:rPr>
          <w:color w:val="auto"/>
          <w:szCs w:val="24"/>
          <w:highlight w:val="none"/>
        </w:rPr>
        <w:fldChar w:fldCharType="separate"/>
      </w:r>
      <w:r>
        <w:rPr>
          <w:color w:val="auto"/>
          <w:szCs w:val="24"/>
          <w:highlight w:val="none"/>
        </w:rPr>
        <w:t>36</w:t>
      </w:r>
      <w:r>
        <w:rPr>
          <w:color w:val="auto"/>
          <w:szCs w:val="24"/>
          <w:highlight w:val="none"/>
        </w:rPr>
        <w:fldChar w:fldCharType="end"/>
      </w:r>
      <w:r>
        <w:rPr>
          <w:color w:val="auto"/>
          <w:szCs w:val="24"/>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"_Toc2272558" </w:instrText>
      </w:r>
      <w:r>
        <w:rPr>
          <w:color w:val="auto"/>
          <w:highlight w:val="none"/>
        </w:rPr>
        <w:fldChar w:fldCharType="separate"/>
      </w:r>
      <w:r>
        <w:rPr>
          <w:rStyle w:val="43"/>
          <w:rFonts w:hint="eastAsia"/>
          <w:color w:val="auto"/>
          <w:szCs w:val="24"/>
          <w:highlight w:val="none"/>
        </w:rPr>
        <w:t>（二）开标评标办法程序和细则</w:t>
      </w:r>
      <w:r>
        <w:rPr>
          <w:color w:val="auto"/>
          <w:szCs w:val="24"/>
          <w:highlight w:val="none"/>
        </w:rPr>
        <w:tab/>
      </w:r>
      <w:r>
        <w:rPr>
          <w:color w:val="auto"/>
          <w:szCs w:val="24"/>
          <w:highlight w:val="none"/>
        </w:rPr>
        <w:fldChar w:fldCharType="begin"/>
      </w:r>
      <w:r>
        <w:rPr>
          <w:color w:val="auto"/>
          <w:szCs w:val="24"/>
          <w:highlight w:val="none"/>
        </w:rPr>
        <w:instrText xml:space="preserve"> PAGEREF _Toc2272558 \h </w:instrText>
      </w:r>
      <w:r>
        <w:rPr>
          <w:color w:val="auto"/>
          <w:szCs w:val="24"/>
          <w:highlight w:val="none"/>
        </w:rPr>
        <w:fldChar w:fldCharType="separate"/>
      </w:r>
      <w:r>
        <w:rPr>
          <w:color w:val="auto"/>
          <w:szCs w:val="24"/>
          <w:highlight w:val="none"/>
        </w:rPr>
        <w:t>38</w:t>
      </w:r>
      <w:r>
        <w:rPr>
          <w:color w:val="auto"/>
          <w:szCs w:val="24"/>
          <w:highlight w:val="none"/>
        </w:rPr>
        <w:fldChar w:fldCharType="end"/>
      </w:r>
      <w:r>
        <w:rPr>
          <w:color w:val="auto"/>
          <w:szCs w:val="24"/>
          <w:highlight w:val="none"/>
        </w:rPr>
        <w:fldChar w:fldCharType="end"/>
      </w:r>
    </w:p>
    <w:p>
      <w:pPr>
        <w:pStyle w:val="19"/>
        <w:tabs>
          <w:tab w:val="right" w:leader="dot" w:pos="9060"/>
        </w:tabs>
        <w:ind w:left="840"/>
        <w:rPr>
          <w:rFonts w:ascii="Calibri" w:hAnsi="Calibri"/>
          <w:color w:val="auto"/>
          <w:szCs w:val="24"/>
          <w:highlight w:val="none"/>
        </w:rPr>
      </w:pPr>
      <w:r>
        <w:rPr>
          <w:color w:val="auto"/>
          <w:highlight w:val="none"/>
        </w:rPr>
        <w:fldChar w:fldCharType="begin"/>
      </w:r>
      <w:r>
        <w:rPr>
          <w:color w:val="auto"/>
          <w:highlight w:val="none"/>
        </w:rPr>
        <w:instrText xml:space="preserve"> HYPERLINK \l "_Toc2272564" </w:instrText>
      </w:r>
      <w:r>
        <w:rPr>
          <w:color w:val="auto"/>
          <w:highlight w:val="none"/>
        </w:rPr>
        <w:fldChar w:fldCharType="separate"/>
      </w:r>
      <w:r>
        <w:rPr>
          <w:rStyle w:val="43"/>
          <w:rFonts w:hint="eastAsia"/>
          <w:color w:val="auto"/>
          <w:szCs w:val="24"/>
          <w:highlight w:val="none"/>
        </w:rPr>
        <w:t>可选办法七（适合综合评分法四，技术标与经济标同时开启）</w:t>
      </w:r>
      <w:r>
        <w:rPr>
          <w:color w:val="auto"/>
          <w:szCs w:val="24"/>
          <w:highlight w:val="none"/>
        </w:rPr>
        <w:tab/>
      </w:r>
      <w:r>
        <w:rPr>
          <w:color w:val="auto"/>
          <w:szCs w:val="24"/>
          <w:highlight w:val="none"/>
        </w:rPr>
        <w:fldChar w:fldCharType="begin"/>
      </w:r>
      <w:r>
        <w:rPr>
          <w:color w:val="auto"/>
          <w:szCs w:val="24"/>
          <w:highlight w:val="none"/>
        </w:rPr>
        <w:instrText xml:space="preserve"> PAGEREF _Toc2272564 \h </w:instrText>
      </w:r>
      <w:r>
        <w:rPr>
          <w:color w:val="auto"/>
          <w:szCs w:val="24"/>
          <w:highlight w:val="none"/>
        </w:rPr>
        <w:fldChar w:fldCharType="separate"/>
      </w:r>
      <w:r>
        <w:rPr>
          <w:color w:val="auto"/>
          <w:szCs w:val="24"/>
          <w:highlight w:val="none"/>
        </w:rPr>
        <w:t>39</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HYPERLINK \l "_Toc2272566" </w:instrText>
      </w:r>
      <w:r>
        <w:rPr>
          <w:color w:val="auto"/>
          <w:highlight w:val="none"/>
        </w:rPr>
        <w:fldChar w:fldCharType="separate"/>
      </w:r>
      <w:r>
        <w:rPr>
          <w:rStyle w:val="43"/>
          <w:rFonts w:hint="eastAsia"/>
          <w:color w:val="auto"/>
          <w:szCs w:val="24"/>
          <w:highlight w:val="none"/>
        </w:rPr>
        <w:t>第三章合同条款</w:t>
      </w:r>
      <w:r>
        <w:rPr>
          <w:color w:val="auto"/>
          <w:szCs w:val="24"/>
          <w:highlight w:val="none"/>
        </w:rPr>
        <w:tab/>
      </w:r>
      <w:r>
        <w:rPr>
          <w:color w:val="auto"/>
          <w:szCs w:val="24"/>
          <w:highlight w:val="none"/>
        </w:rPr>
        <w:fldChar w:fldCharType="begin"/>
      </w:r>
      <w:r>
        <w:rPr>
          <w:color w:val="auto"/>
          <w:szCs w:val="24"/>
          <w:highlight w:val="none"/>
        </w:rPr>
        <w:instrText xml:space="preserve"> PAGEREF _Toc2272566 \h </w:instrText>
      </w:r>
      <w:r>
        <w:rPr>
          <w:color w:val="auto"/>
          <w:szCs w:val="24"/>
          <w:highlight w:val="none"/>
        </w:rPr>
        <w:fldChar w:fldCharType="separate"/>
      </w:r>
      <w:r>
        <w:rPr>
          <w:color w:val="auto"/>
          <w:szCs w:val="24"/>
          <w:highlight w:val="none"/>
        </w:rPr>
        <w:t>55</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HYPERLINK \l "_Toc2272567" </w:instrText>
      </w:r>
      <w:r>
        <w:rPr>
          <w:color w:val="auto"/>
          <w:highlight w:val="none"/>
        </w:rPr>
        <w:fldChar w:fldCharType="separate"/>
      </w:r>
      <w:r>
        <w:rPr>
          <w:rStyle w:val="43"/>
          <w:rFonts w:hint="eastAsia"/>
          <w:color w:val="auto"/>
          <w:szCs w:val="24"/>
          <w:highlight w:val="none"/>
        </w:rPr>
        <w:t>第四章投标文件格式</w:t>
      </w:r>
      <w:r>
        <w:rPr>
          <w:color w:val="auto"/>
          <w:szCs w:val="24"/>
          <w:highlight w:val="none"/>
        </w:rPr>
        <w:tab/>
      </w:r>
      <w:r>
        <w:rPr>
          <w:color w:val="auto"/>
          <w:szCs w:val="24"/>
          <w:highlight w:val="none"/>
        </w:rPr>
        <w:fldChar w:fldCharType="begin"/>
      </w:r>
      <w:r>
        <w:rPr>
          <w:color w:val="auto"/>
          <w:szCs w:val="24"/>
          <w:highlight w:val="none"/>
        </w:rPr>
        <w:instrText xml:space="preserve"> PAGEREF _Toc2272567 \h </w:instrText>
      </w:r>
      <w:r>
        <w:rPr>
          <w:color w:val="auto"/>
          <w:szCs w:val="24"/>
          <w:highlight w:val="none"/>
        </w:rPr>
        <w:fldChar w:fldCharType="separate"/>
      </w:r>
      <w:r>
        <w:rPr>
          <w:color w:val="auto"/>
          <w:szCs w:val="24"/>
          <w:highlight w:val="none"/>
        </w:rPr>
        <w:t>56</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HYPERLINK \l "_Toc2272568" </w:instrText>
      </w:r>
      <w:r>
        <w:rPr>
          <w:color w:val="auto"/>
          <w:highlight w:val="none"/>
        </w:rPr>
        <w:fldChar w:fldCharType="separate"/>
      </w:r>
      <w:r>
        <w:rPr>
          <w:rStyle w:val="43"/>
          <w:rFonts w:hint="eastAsia"/>
          <w:color w:val="auto"/>
          <w:szCs w:val="24"/>
          <w:highlight w:val="none"/>
        </w:rPr>
        <w:t>第五章技术条件（工程建设标准）</w:t>
      </w:r>
      <w:r>
        <w:rPr>
          <w:color w:val="auto"/>
          <w:szCs w:val="24"/>
          <w:highlight w:val="none"/>
        </w:rPr>
        <w:tab/>
      </w:r>
      <w:r>
        <w:rPr>
          <w:color w:val="auto"/>
          <w:szCs w:val="24"/>
          <w:highlight w:val="none"/>
        </w:rPr>
        <w:fldChar w:fldCharType="begin"/>
      </w:r>
      <w:r>
        <w:rPr>
          <w:color w:val="auto"/>
          <w:szCs w:val="24"/>
          <w:highlight w:val="none"/>
        </w:rPr>
        <w:instrText xml:space="preserve"> PAGEREF _Toc2272568 \h </w:instrText>
      </w:r>
      <w:r>
        <w:rPr>
          <w:color w:val="auto"/>
          <w:szCs w:val="24"/>
          <w:highlight w:val="none"/>
        </w:rPr>
        <w:fldChar w:fldCharType="separate"/>
      </w:r>
      <w:r>
        <w:rPr>
          <w:color w:val="auto"/>
          <w:szCs w:val="24"/>
          <w:highlight w:val="none"/>
        </w:rPr>
        <w:t>72</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HYPERLINK \l "_Toc2272569" </w:instrText>
      </w:r>
      <w:r>
        <w:rPr>
          <w:color w:val="auto"/>
          <w:highlight w:val="none"/>
        </w:rPr>
        <w:fldChar w:fldCharType="separate"/>
      </w:r>
      <w:r>
        <w:rPr>
          <w:rStyle w:val="43"/>
          <w:rFonts w:hint="eastAsia"/>
          <w:color w:val="auto"/>
          <w:szCs w:val="24"/>
          <w:highlight w:val="none"/>
        </w:rPr>
        <w:t>第六章图纸及勘察资料</w:t>
      </w:r>
      <w:r>
        <w:rPr>
          <w:color w:val="auto"/>
          <w:szCs w:val="24"/>
          <w:highlight w:val="none"/>
        </w:rPr>
        <w:tab/>
      </w:r>
      <w:r>
        <w:rPr>
          <w:color w:val="auto"/>
          <w:szCs w:val="24"/>
          <w:highlight w:val="none"/>
        </w:rPr>
        <w:fldChar w:fldCharType="begin"/>
      </w:r>
      <w:r>
        <w:rPr>
          <w:color w:val="auto"/>
          <w:szCs w:val="24"/>
          <w:highlight w:val="none"/>
        </w:rPr>
        <w:instrText xml:space="preserve"> PAGEREF _Toc2272569 \h </w:instrText>
      </w:r>
      <w:r>
        <w:rPr>
          <w:color w:val="auto"/>
          <w:szCs w:val="24"/>
          <w:highlight w:val="none"/>
        </w:rPr>
        <w:fldChar w:fldCharType="separate"/>
      </w:r>
      <w:r>
        <w:rPr>
          <w:color w:val="auto"/>
          <w:szCs w:val="24"/>
          <w:highlight w:val="none"/>
        </w:rPr>
        <w:t>77</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Cs w:val="24"/>
          <w:highlight w:val="none"/>
        </w:rPr>
      </w:pPr>
      <w:r>
        <w:rPr>
          <w:color w:val="auto"/>
          <w:highlight w:val="none"/>
        </w:rPr>
        <w:fldChar w:fldCharType="begin"/>
      </w:r>
      <w:r>
        <w:rPr>
          <w:color w:val="auto"/>
          <w:highlight w:val="none"/>
        </w:rPr>
        <w:instrText xml:space="preserve"> HYPERLINK \l "_Toc2272570" </w:instrText>
      </w:r>
      <w:r>
        <w:rPr>
          <w:color w:val="auto"/>
          <w:highlight w:val="none"/>
        </w:rPr>
        <w:fldChar w:fldCharType="separate"/>
      </w:r>
      <w:r>
        <w:rPr>
          <w:rStyle w:val="43"/>
          <w:rFonts w:hint="eastAsia"/>
          <w:color w:val="auto"/>
          <w:szCs w:val="24"/>
          <w:highlight w:val="none"/>
        </w:rPr>
        <w:t>第七章工程量清单</w:t>
      </w:r>
      <w:r>
        <w:rPr>
          <w:color w:val="auto"/>
          <w:szCs w:val="24"/>
          <w:highlight w:val="none"/>
        </w:rPr>
        <w:tab/>
      </w:r>
      <w:r>
        <w:rPr>
          <w:color w:val="auto"/>
          <w:szCs w:val="24"/>
          <w:highlight w:val="none"/>
        </w:rPr>
        <w:fldChar w:fldCharType="begin"/>
      </w:r>
      <w:r>
        <w:rPr>
          <w:color w:val="auto"/>
          <w:szCs w:val="24"/>
          <w:highlight w:val="none"/>
        </w:rPr>
        <w:instrText xml:space="preserve"> PAGEREF _Toc2272570 \h </w:instrText>
      </w:r>
      <w:r>
        <w:rPr>
          <w:color w:val="auto"/>
          <w:szCs w:val="24"/>
          <w:highlight w:val="none"/>
        </w:rPr>
        <w:fldChar w:fldCharType="separate"/>
      </w:r>
      <w:r>
        <w:rPr>
          <w:color w:val="auto"/>
          <w:szCs w:val="24"/>
          <w:highlight w:val="none"/>
        </w:rPr>
        <w:t>77</w:t>
      </w:r>
      <w:r>
        <w:rPr>
          <w:color w:val="auto"/>
          <w:szCs w:val="24"/>
          <w:highlight w:val="none"/>
        </w:rPr>
        <w:fldChar w:fldCharType="end"/>
      </w:r>
      <w:r>
        <w:rPr>
          <w:color w:val="auto"/>
          <w:szCs w:val="24"/>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"_Toc2272571" </w:instrText>
      </w:r>
      <w:r>
        <w:rPr>
          <w:color w:val="auto"/>
          <w:highlight w:val="none"/>
        </w:rPr>
        <w:fldChar w:fldCharType="separate"/>
      </w:r>
      <w:r>
        <w:rPr>
          <w:rStyle w:val="43"/>
          <w:rFonts w:hint="eastAsia"/>
          <w:color w:val="auto"/>
          <w:szCs w:val="24"/>
          <w:highlight w:val="none"/>
        </w:rPr>
        <w:t>第八章最高投标限价</w:t>
      </w:r>
      <w:r>
        <w:rPr>
          <w:color w:val="auto"/>
          <w:szCs w:val="24"/>
          <w:highlight w:val="none"/>
        </w:rPr>
        <w:tab/>
      </w:r>
      <w:r>
        <w:rPr>
          <w:color w:val="auto"/>
          <w:szCs w:val="24"/>
          <w:highlight w:val="none"/>
        </w:rPr>
        <w:fldChar w:fldCharType="begin"/>
      </w:r>
      <w:r>
        <w:rPr>
          <w:color w:val="auto"/>
          <w:szCs w:val="24"/>
          <w:highlight w:val="none"/>
        </w:rPr>
        <w:instrText xml:space="preserve"> PAGEREF _Toc2272571 \h </w:instrText>
      </w:r>
      <w:r>
        <w:rPr>
          <w:color w:val="auto"/>
          <w:szCs w:val="24"/>
          <w:highlight w:val="none"/>
        </w:rPr>
        <w:fldChar w:fldCharType="separate"/>
      </w:r>
      <w:r>
        <w:rPr>
          <w:color w:val="auto"/>
          <w:szCs w:val="24"/>
          <w:highlight w:val="none"/>
        </w:rPr>
        <w:t>77</w:t>
      </w:r>
      <w:r>
        <w:rPr>
          <w:color w:val="auto"/>
          <w:szCs w:val="24"/>
          <w:highlight w:val="none"/>
        </w:rPr>
        <w:fldChar w:fldCharType="end"/>
      </w:r>
      <w:r>
        <w:rPr>
          <w:color w:val="auto"/>
          <w:szCs w:val="24"/>
          <w:highlight w:val="none"/>
        </w:rPr>
        <w:fldChar w:fldCharType="end"/>
      </w:r>
    </w:p>
    <w:p>
      <w:pPr>
        <w:pStyle w:val="3"/>
        <w:tabs>
          <w:tab w:val="center" w:pos="4535"/>
          <w:tab w:val="left" w:pos="6825"/>
        </w:tabs>
        <w:rPr>
          <w:color w:val="auto"/>
          <w:highlight w:val="none"/>
        </w:rPr>
      </w:pPr>
      <w:r>
        <w:rPr>
          <w:color w:val="auto"/>
          <w:highlight w:val="none"/>
        </w:rPr>
        <w:fldChar w:fldCharType="end"/>
      </w:r>
      <w:bookmarkStart w:id="1" w:name="_Toc2272545"/>
    </w:p>
    <w:p>
      <w:pPr>
        <w:widowControl/>
        <w:jc w:val="left"/>
        <w:rPr>
          <w:rFonts w:ascii="Arial" w:hAnsi="Arial"/>
          <w:b/>
          <w:color w:val="auto"/>
          <w:kern w:val="44"/>
          <w:sz w:val="28"/>
          <w:szCs w:val="28"/>
          <w:highlight w:val="none"/>
        </w:rPr>
      </w:pPr>
      <w:r>
        <w:rPr>
          <w:color w:val="auto"/>
          <w:highlight w:val="none"/>
        </w:rPr>
        <w:br w:type="page"/>
      </w:r>
    </w:p>
    <w:p>
      <w:pPr>
        <w:pStyle w:val="3"/>
        <w:tabs>
          <w:tab w:val="center" w:pos="4535"/>
          <w:tab w:val="left" w:pos="6825"/>
        </w:tabs>
        <w:spacing w:before="0"/>
        <w:jc w:val="center"/>
        <w:rPr>
          <w:color w:val="auto"/>
          <w:highlight w:val="none"/>
        </w:rPr>
      </w:pPr>
      <w:r>
        <w:rPr>
          <w:rFonts w:hint="eastAsia"/>
          <w:color w:val="auto"/>
          <w:highlight w:val="none"/>
        </w:rPr>
        <w:t>第一章投标须知</w:t>
      </w:r>
      <w:bookmarkEnd w:id="1"/>
    </w:p>
    <w:p>
      <w:pPr>
        <w:pStyle w:val="7"/>
        <w:spacing w:before="0"/>
        <w:rPr>
          <w:color w:val="auto"/>
          <w:highlight w:val="none"/>
        </w:rPr>
      </w:pPr>
      <w:bookmarkStart w:id="2" w:name="_Toc2272546"/>
      <w:r>
        <w:rPr>
          <w:rFonts w:hint="eastAsia"/>
          <w:color w:val="auto"/>
          <w:highlight w:val="none"/>
        </w:rPr>
        <w:t>一、投标须知前附表</w:t>
      </w:r>
      <w:bookmarkEnd w:id="2"/>
    </w:p>
    <w:p>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61"/>
        <w:gridCol w:w="1575"/>
        <w:gridCol w:w="62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86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575"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212"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广州市番禺区人民政府大石街道办事处</w:t>
            </w:r>
          </w:p>
          <w:p>
            <w:pPr>
              <w:rPr>
                <w:rFonts w:ascii="宋体" w:hAnsi="宋体"/>
                <w:color w:val="auto"/>
                <w:szCs w:val="21"/>
                <w:highlight w:val="non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广州新业建设管理有限公司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 xml:space="preserve">           </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番禺区大石街怡居新村一期小区微改造项目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包工、包料、包工期、包质量、包安全、包文明施工，以及为履行合同的所有合理费用。按图纸总价大包干、项目措施费包干（所有材料必须经业主、监理和设计等相关单位认可才能进场）。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u w:val="single"/>
              </w:rPr>
              <w:t xml:space="preserve">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月计划开工，施工总期：</w:t>
            </w:r>
            <w:r>
              <w:rPr>
                <w:rFonts w:hint="eastAsia" w:ascii="宋体" w:hAnsi="宋体" w:cs="宋体"/>
                <w:color w:val="auto"/>
                <w:szCs w:val="21"/>
                <w:highlight w:val="none"/>
                <w:u w:val="single"/>
              </w:rPr>
              <w:t>150</w:t>
            </w:r>
            <w:r>
              <w:rPr>
                <w:rFonts w:hint="eastAsia" w:ascii="宋体" w:hAnsi="宋体" w:cs="宋体"/>
                <w:color w:val="auto"/>
                <w:szCs w:val="21"/>
                <w:highlight w:val="none"/>
              </w:rPr>
              <w:t>日历天。</w:t>
            </w:r>
          </w:p>
          <w:p>
            <w:pPr>
              <w:rPr>
                <w:rFonts w:ascii="宋体" w:hAnsi="宋体"/>
                <w:color w:val="auto"/>
                <w:szCs w:val="21"/>
                <w:highlight w:val="none"/>
              </w:rPr>
            </w:pPr>
            <w:r>
              <w:rPr>
                <w:rFonts w:hint="eastAsia" w:ascii="宋体" w:hAnsi="宋体" w:cs="宋体"/>
                <w:color w:val="auto"/>
                <w:szCs w:val="20"/>
                <w:highlight w:val="none"/>
              </w:rPr>
              <w:t>（工期以开工令发出之日起开始计算工期）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212"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olor w:val="auto"/>
                <w:szCs w:val="21"/>
                <w:highlight w:val="none"/>
              </w:rPr>
              <w:t>工程量清单计价</w:t>
            </w:r>
            <w:r>
              <w:rPr>
                <w:rFonts w:hint="eastAsia"/>
                <w:color w:val="auto"/>
                <w:szCs w:val="21"/>
                <w:highlight w:val="none"/>
              </w:rPr>
              <w:t>，按国家、省有关计价规范执行及合同条款相关约定。</w:t>
            </w:r>
          </w:p>
          <w:p>
            <w:pPr>
              <w:rPr>
                <w:rFonts w:ascii="宋体" w:hAnsi="宋体"/>
                <w:color w:val="auto"/>
                <w:szCs w:val="21"/>
                <w:highlight w:val="none"/>
              </w:rPr>
            </w:pPr>
            <w:r>
              <w:rPr>
                <w:rFonts w:hint="eastAsia"/>
                <w:color w:val="auto"/>
                <w:szCs w:val="21"/>
                <w:highlight w:val="non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w:t>
            </w:r>
            <w:r>
              <w:rPr>
                <w:rFonts w:hint="eastAsia" w:ascii="宋体" w:hAnsi="宋体"/>
                <w:color w:val="auto"/>
                <w:szCs w:val="21"/>
                <w:highlight w:val="none"/>
                <w:u w:val="single"/>
              </w:rPr>
              <w:t>从递交投标文件截止之日计起</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212" w:type="dxa"/>
            <w:tcBorders>
              <w:top w:val="single" w:color="auto" w:sz="4" w:space="0"/>
              <w:left w:val="single" w:color="auto" w:sz="4" w:space="0"/>
              <w:bottom w:val="single" w:color="auto" w:sz="4" w:space="0"/>
              <w:right w:val="double" w:color="auto" w:sz="4" w:space="0"/>
            </w:tcBorders>
            <w:vAlign w:val="center"/>
          </w:tcPr>
          <w:p>
            <w:pPr>
              <w:pStyle w:val="8"/>
              <w:ind w:firstLine="0"/>
              <w:rPr>
                <w:color w:val="auto"/>
                <w:highlight w:val="none"/>
              </w:rPr>
            </w:pPr>
            <w:r>
              <w:rPr>
                <w:rFonts w:hint="eastAsia" w:ascii="宋体" w:hAnsi="宋体"/>
                <w:color w:val="auto"/>
                <w:szCs w:val="21"/>
                <w:highlight w:val="none"/>
                <w:u w:val="single"/>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212" w:type="dxa"/>
            <w:tcBorders>
              <w:top w:val="single" w:color="auto" w:sz="4" w:space="0"/>
              <w:left w:val="single" w:color="auto" w:sz="4" w:space="0"/>
              <w:bottom w:val="single" w:color="auto" w:sz="4" w:space="0"/>
              <w:right w:val="double" w:color="auto" w:sz="4" w:space="0"/>
            </w:tcBorders>
            <w:vAlign w:val="center"/>
          </w:tcPr>
          <w:p>
            <w:pPr>
              <w:pStyle w:val="20"/>
              <w:jc w:val="left"/>
              <w:rPr>
                <w:rFonts w:ascii="宋体" w:hAnsi="宋体"/>
                <w:color w:val="auto"/>
                <w:szCs w:val="21"/>
                <w:highlight w:val="none"/>
                <w:u w:val="single"/>
              </w:rPr>
            </w:pPr>
            <w:r>
              <w:rPr>
                <w:rFonts w:hint="eastAsia" w:ascii="宋体" w:hAnsi="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疑问提交时间：年月日时前</w:t>
            </w:r>
            <w:r>
              <w:rPr>
                <w:rFonts w:hint="eastAsia" w:ascii="宋体" w:hAnsi="宋体"/>
                <w:color w:val="auto"/>
                <w:szCs w:val="21"/>
                <w:highlight w:val="none"/>
                <w:u w:val="single"/>
              </w:rPr>
              <w:t>（递交投标文件截止日期前18天）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u w:val="single"/>
              </w:rPr>
            </w:pPr>
            <w:r>
              <w:rPr>
                <w:rFonts w:hint="eastAsia" w:ascii="宋体" w:hAnsi="宋体"/>
                <w:color w:val="auto"/>
                <w:szCs w:val="21"/>
                <w:highlight w:val="none"/>
                <w:u w:val="single"/>
              </w:rPr>
              <w:t>招标人澄清、修补或答疑期限：在递交投标文件截止日期前15 日</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rPr>
              <w:t>2023年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1、开标开始时间：2023年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   室。投标人也可选择参加在线开标，具体按照交易平台相关指南进行操作。</w:t>
            </w:r>
            <w:r>
              <w:rPr>
                <w:rStyle w:val="131"/>
                <w:rFonts w:hint="eastAsia" w:ascii="宋体" w:hAnsi="宋体"/>
                <w:b/>
                <w:bCs/>
                <w:color w:val="auto"/>
                <w:szCs w:val="21"/>
                <w:highlight w:val="none"/>
              </w:rPr>
              <w:t>详见：</w:t>
            </w:r>
            <w:r>
              <w:rPr>
                <w:rFonts w:hint="eastAsia" w:ascii="宋体" w:hAnsi="宋体"/>
                <w:b/>
                <w:bCs/>
                <w:color w:val="auto"/>
                <w:szCs w:val="21"/>
                <w:highlight w:val="none"/>
                <w:u w:val="single"/>
              </w:rPr>
              <w:t>广州公共资源交易中心网站（http:/ www.gzggzy.cn）服务指南栏目</w:t>
            </w:r>
            <w:r>
              <w:rPr>
                <w:rStyle w:val="131"/>
                <w:rFonts w:hint="eastAsia" w:ascii="宋体" w:hAnsi="宋体"/>
                <w:b/>
                <w:bCs/>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2、递交投标文件备用光盘时间：2023年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分至2023年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highlight w:val="none"/>
                <w:u w:val="single"/>
              </w:rPr>
              <w:t>广州公共资源交易中心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w:t>
            </w:r>
            <w:r>
              <w:rPr>
                <w:rStyle w:val="131"/>
                <w:rFonts w:hint="eastAsia" w:ascii="宋体" w:hAnsi="宋体"/>
                <w:color w:val="auto"/>
                <w:highlight w:val="none"/>
              </w:rPr>
              <w:t>补充公告和</w:t>
            </w:r>
            <w:r>
              <w:rPr>
                <w:rFonts w:hint="eastAsia" w:ascii="宋体" w:hAnsi="宋体" w:cs="仿宋_GB2312"/>
                <w:color w:val="auto"/>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212" w:type="dxa"/>
            <w:tcBorders>
              <w:top w:val="single" w:color="auto" w:sz="4" w:space="0"/>
              <w:left w:val="single" w:color="auto" w:sz="4" w:space="0"/>
              <w:bottom w:val="single" w:color="auto" w:sz="4" w:space="0"/>
              <w:right w:val="double" w:color="auto" w:sz="4" w:space="0"/>
            </w:tcBorders>
            <w:vAlign w:val="center"/>
          </w:tcPr>
          <w:p>
            <w:pPr>
              <w:pStyle w:val="5"/>
              <w:snapToGrid w:val="0"/>
              <w:spacing w:after="156" w:afterLines="50"/>
              <w:ind w:firstLine="0"/>
              <w:rPr>
                <w:rFonts w:ascii="宋体" w:hAnsi="宋体" w:eastAsia="宋体" w:cs="Times New Roman"/>
                <w:color w:val="auto"/>
                <w:highlight w:val="none"/>
                <w:u w:val="single"/>
              </w:rPr>
            </w:pPr>
            <w:r>
              <w:rPr>
                <w:rFonts w:hint="eastAsia" w:ascii="宋体" w:hAnsi="宋体" w:eastAsia="宋体" w:cs="Times New Roman"/>
                <w:color w:val="auto"/>
                <w:highlight w:val="none"/>
                <w:u w:val="single"/>
              </w:rPr>
              <w:t>方式一：选取方法办法七（适合综合评分法四，技术标与经济标同时开启）；</w:t>
            </w:r>
          </w:p>
          <w:p>
            <w:pPr>
              <w:pStyle w:val="5"/>
              <w:snapToGrid w:val="0"/>
              <w:spacing w:after="156" w:afterLines="50"/>
              <w:ind w:firstLine="0"/>
              <w:rPr>
                <w:rFonts w:ascii="宋体" w:hAnsi="宋体" w:eastAsia="宋体" w:cs="Times New Roman"/>
                <w:color w:val="auto"/>
                <w:highlight w:val="none"/>
                <w:u w:val="single"/>
              </w:rPr>
            </w:pPr>
            <w:r>
              <w:rPr>
                <w:rFonts w:hint="eastAsia" w:ascii="宋体" w:hAnsi="宋体" w:eastAsia="宋体" w:cs="Times New Roman"/>
                <w:color w:val="auto"/>
                <w:highlight w:val="none"/>
                <w:u w:val="single"/>
              </w:rPr>
              <w:t>投标人总得分=技术得分（20分）＋经济得分(100分)×经济得分权重（80%）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21</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212"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22</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rPr>
              <w:t>5,936,787.05</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212" w:type="dxa"/>
            <w:tcBorders>
              <w:top w:val="single" w:color="auto" w:sz="4" w:space="0"/>
              <w:left w:val="single" w:color="auto" w:sz="4" w:space="0"/>
              <w:bottom w:val="single" w:color="auto" w:sz="4" w:space="0"/>
              <w:right w:val="double" w:color="auto" w:sz="4" w:space="0"/>
            </w:tcBorders>
            <w:vAlign w:val="center"/>
          </w:tcPr>
          <w:p>
            <w:pPr>
              <w:ind w:left="630" w:hanging="630" w:hangingChars="300"/>
              <w:rPr>
                <w:color w:val="auto"/>
                <w:highlight w:val="none"/>
              </w:rPr>
            </w:pPr>
            <w:r>
              <w:rPr>
                <w:rFonts w:hint="eastAsia"/>
                <w:color w:val="auto"/>
                <w:highlight w:val="none"/>
              </w:rPr>
              <w:t>本项目绿色施工安全防护措施费为</w:t>
            </w:r>
            <w:r>
              <w:rPr>
                <w:rFonts w:hint="eastAsia" w:ascii="宋体" w:hAnsi="宋体"/>
                <w:color w:val="auto"/>
                <w:szCs w:val="21"/>
                <w:highlight w:val="none"/>
                <w:u w:val="single"/>
              </w:rPr>
              <w:t>1,065,778.53</w:t>
            </w:r>
            <w:r>
              <w:rPr>
                <w:rFonts w:hint="eastAsia"/>
                <w:color w:val="auto"/>
                <w:highlight w:val="none"/>
              </w:rPr>
              <w:t>元，暂列金额为</w:t>
            </w:r>
            <w:r>
              <w:rPr>
                <w:rFonts w:hint="eastAsia" w:ascii="宋体" w:hAnsi="宋体"/>
                <w:color w:val="auto"/>
                <w:szCs w:val="21"/>
                <w:highlight w:val="none"/>
                <w:u w:val="single"/>
              </w:rPr>
              <w:t xml:space="preserve"> / </w:t>
            </w:r>
            <w:r>
              <w:rPr>
                <w:rFonts w:hint="eastAsia"/>
                <w:color w:val="auto"/>
                <w:highlight w:val="none"/>
              </w:rPr>
              <w:t>元，暂估价为</w:t>
            </w:r>
            <w:r>
              <w:rPr>
                <w:rFonts w:hint="eastAsia" w:ascii="宋体" w:hAnsi="宋体"/>
                <w:color w:val="auto"/>
                <w:szCs w:val="21"/>
                <w:highlight w:val="none"/>
                <w:u w:val="single"/>
              </w:rPr>
              <w:t xml:space="preserve"> /  </w:t>
            </w:r>
            <w:r>
              <w:rPr>
                <w:rFonts w:hint="eastAsia" w:ascii="宋体" w:hAnsi="宋体"/>
                <w:color w:val="auto"/>
                <w:szCs w:val="21"/>
                <w:highlight w:val="none"/>
              </w:rPr>
              <w:t>元</w:t>
            </w:r>
            <w:r>
              <w:rPr>
                <w:rFonts w:hint="eastAsia"/>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eastAsia="宋体" w:cs="Times New Roman"/>
                <w:color w:val="auto"/>
                <w:szCs w:val="21"/>
                <w:highlight w:val="none"/>
              </w:rPr>
              <w:t>保修期</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26</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hint="eastAsia" w:ascii="宋体" w:hAnsi="宋体"/>
                <w:strike/>
                <w:color w:val="auto"/>
                <w:szCs w:val="21"/>
                <w:highlight w:val="none"/>
              </w:rPr>
              <w:instrText xml:space="preserve">= 1 \* GB3</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hint="eastAsia" w:ascii="宋体" w:hAnsi="宋体"/>
                <w:strike/>
                <w:color w:val="auto"/>
                <w:szCs w:val="21"/>
                <w:highlight w:val="none"/>
              </w:rPr>
              <w:instrText xml:space="preserve">= 2 \* GB3</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将第一阶段得分由高至低排序，前名投标人进入第二阶段评审（适用于通过技术有效性审查家数大于家的，招标人可根据工程具体情况，确定不少于家进入第二阶段）。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5,639,947.70</w:t>
            </w:r>
            <w:r>
              <w:rPr>
                <w:rFonts w:hint="eastAsia" w:ascii="宋体" w:hAnsi="宋体"/>
                <w:color w:val="auto"/>
                <w:szCs w:val="21"/>
                <w:highlight w:val="none"/>
              </w:rPr>
              <w:t>元</w:t>
            </w:r>
            <w:r>
              <w:rPr>
                <w:rFonts w:hint="eastAsia" w:ascii="宋体" w:hAnsi="宋体" w:cs="宋体"/>
                <w:color w:val="auto"/>
                <w:szCs w:val="21"/>
                <w:highlight w:val="none"/>
              </w:rPr>
              <w:t>（招标控制价的</w:t>
            </w:r>
            <w:r>
              <w:rPr>
                <w:rFonts w:ascii="宋体" w:hAnsi="宋体" w:cs="宋体"/>
                <w:color w:val="auto"/>
                <w:szCs w:val="21"/>
                <w:highlight w:val="none"/>
              </w:rPr>
              <w:t>9</w:t>
            </w: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28</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第一阶段各分值的权重：技术分权重为%，综合诚信评价分数权重为%。</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30</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企业综合诚信评价分数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本项目的企业综合诚信评价分数，以排名为准。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31</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32</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33</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MS Mincho" w:hAnsi="MS Mincho" w:eastAsia="MS Mincho" w:cs="MS Mincho"/>
                <w:color w:val="auto"/>
                <w:kern w:val="0"/>
                <w:szCs w:val="21"/>
                <w:highlight w:val="none"/>
                <w:lang w:val="zh-CN"/>
              </w:rPr>
              <w:t>□</w:t>
            </w:r>
            <w:r>
              <w:rPr>
                <w:rFonts w:hint="eastAsia" w:ascii="宋体" w:hAnsi="宋体"/>
                <w:color w:val="auto"/>
                <w:kern w:val="0"/>
                <w:szCs w:val="21"/>
                <w:highlight w:val="none"/>
                <w:lang w:val="zh-CN"/>
              </w:rPr>
              <w:t>不允许；</w:t>
            </w:r>
          </w:p>
          <w:p>
            <w:pPr>
              <w:rPr>
                <w:rStyle w:val="131"/>
                <w:rFonts w:asciiTheme="minorEastAsia" w:hAnsiTheme="minorEastAsia" w:eastAsiaTheme="minorEastAsia"/>
                <w:color w:val="auto"/>
                <w:kern w:val="0"/>
                <w:szCs w:val="21"/>
                <w:highlight w:val="none"/>
              </w:rPr>
            </w:pPr>
            <w:r>
              <w:rPr>
                <w:rFonts w:hint="eastAsia" w:ascii="宋体" w:hAnsi="宋体"/>
                <w:color w:val="auto"/>
                <w:kern w:val="0"/>
                <w:szCs w:val="21"/>
                <w:highlight w:val="none"/>
                <w:lang w:val="zh-CN"/>
              </w:rPr>
              <w:t>☑允许：</w:t>
            </w:r>
            <w:r>
              <w:rPr>
                <w:rStyle w:val="131"/>
                <w:rFonts w:asciiTheme="minorEastAsia" w:hAnsiTheme="minorEastAsia" w:eastAsiaTheme="minorEastAsia"/>
                <w:color w:val="auto"/>
                <w:kern w:val="0"/>
                <w:szCs w:val="21"/>
                <w:highlight w:val="none"/>
                <w:lang w:val="zh-CN"/>
              </w:rPr>
              <w:t>分包内容要要求：</w:t>
            </w:r>
            <w:r>
              <w:rPr>
                <w:rStyle w:val="131"/>
                <w:rFonts w:hint="eastAsia" w:asciiTheme="minorEastAsia" w:hAnsiTheme="minorEastAsia" w:eastAsiaTheme="minorEastAsia"/>
                <w:color w:val="auto"/>
                <w:kern w:val="0"/>
                <w:szCs w:val="21"/>
                <w:highlight w:val="none"/>
              </w:rPr>
              <w:t>非主体、非关键性工程。</w:t>
            </w:r>
          </w:p>
          <w:p>
            <w:pPr>
              <w:rPr>
                <w:rStyle w:val="131"/>
                <w:rFonts w:asciiTheme="minorEastAsia" w:hAnsiTheme="minorEastAsia" w:eastAsiaTheme="minorEastAsia"/>
                <w:color w:val="auto"/>
                <w:kern w:val="0"/>
                <w:szCs w:val="21"/>
                <w:highlight w:val="none"/>
                <w:lang w:val="zh-CN"/>
              </w:rPr>
            </w:pPr>
            <w:r>
              <w:rPr>
                <w:rStyle w:val="131"/>
                <w:rFonts w:asciiTheme="minorEastAsia" w:hAnsiTheme="minorEastAsia" w:eastAsiaTheme="minorEastAsia"/>
                <w:color w:val="auto"/>
                <w:kern w:val="0"/>
                <w:szCs w:val="21"/>
                <w:highlight w:val="none"/>
                <w:lang w:val="zh-CN"/>
              </w:rPr>
              <w:t xml:space="preserve">        分包金额要求：</w:t>
            </w:r>
            <w:r>
              <w:rPr>
                <w:rStyle w:val="131"/>
                <w:rFonts w:hint="eastAsia" w:asciiTheme="minorEastAsia" w:hAnsiTheme="minorEastAsia" w:eastAsiaTheme="minorEastAsia"/>
                <w:color w:val="auto"/>
                <w:kern w:val="0"/>
                <w:szCs w:val="21"/>
                <w:highlight w:val="none"/>
                <w:u w:val="single"/>
              </w:rPr>
              <w:t>/</w:t>
            </w:r>
          </w:p>
          <w:p>
            <w:pPr>
              <w:rPr>
                <w:rStyle w:val="131"/>
                <w:rFonts w:asciiTheme="minorEastAsia" w:hAnsiTheme="minorEastAsia" w:eastAsiaTheme="minorEastAsia"/>
                <w:color w:val="auto"/>
                <w:kern w:val="0"/>
                <w:szCs w:val="21"/>
                <w:highlight w:val="none"/>
              </w:rPr>
            </w:pPr>
            <w:r>
              <w:rPr>
                <w:rStyle w:val="131"/>
                <w:rFonts w:asciiTheme="minorEastAsia" w:hAnsiTheme="minorEastAsia" w:eastAsiaTheme="minorEastAsia"/>
                <w:color w:val="auto"/>
                <w:kern w:val="0"/>
                <w:szCs w:val="21"/>
                <w:highlight w:val="none"/>
                <w:lang w:val="zh-CN"/>
              </w:rPr>
              <w:t xml:space="preserve">        对分包人的资质要求：</w:t>
            </w:r>
            <w:r>
              <w:rPr>
                <w:rStyle w:val="131"/>
                <w:rFonts w:hint="eastAsia" w:asciiTheme="minorEastAsia" w:hAnsiTheme="minorEastAsia" w:eastAsiaTheme="minorEastAsia"/>
                <w:color w:val="auto"/>
                <w:kern w:val="0"/>
                <w:szCs w:val="21"/>
                <w:highlight w:val="none"/>
              </w:rPr>
              <w:t>按国家资质管理规定执行。</w:t>
            </w:r>
          </w:p>
          <w:p>
            <w:pPr>
              <w:rPr>
                <w:rFonts w:ascii="宋体" w:hAnsi="宋体"/>
                <w:color w:val="auto"/>
                <w:kern w:val="0"/>
                <w:szCs w:val="21"/>
                <w:highlight w:val="none"/>
                <w:lang w:val="zh-CN"/>
              </w:rPr>
            </w:pPr>
            <w:r>
              <w:rPr>
                <w:rStyle w:val="131"/>
                <w:rFonts w:asciiTheme="minorEastAsia" w:hAnsiTheme="minorEastAsia" w:eastAsiaTheme="minorEastAsia"/>
                <w:color w:val="auto"/>
                <w:kern w:val="0"/>
                <w:szCs w:val="21"/>
                <w:highlight w:val="none"/>
                <w:lang w:val="zh-CN"/>
              </w:rPr>
              <w:t xml:space="preserve">        对分包人的其他要求：</w:t>
            </w:r>
            <w:r>
              <w:rPr>
                <w:rStyle w:val="131"/>
                <w:rFonts w:hint="eastAsia" w:asciiTheme="minorEastAsia" w:hAnsiTheme="minorEastAsia" w:eastAsiaTheme="minorEastAsia"/>
                <w:color w:val="auto"/>
                <w:kern w:val="0"/>
                <w:szCs w:val="21"/>
                <w:highlight w:val="none"/>
              </w:rPr>
              <w:t>需经招标人书面同意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r>
        <w:rPr>
          <w:color w:val="auto"/>
          <w:highlight w:val="none"/>
        </w:rPr>
        <w:br w:type="page"/>
      </w:r>
      <w:bookmarkStart w:id="3" w:name="_Toc2272547"/>
      <w:r>
        <w:rPr>
          <w:rFonts w:hint="eastAsia"/>
          <w:color w:val="auto"/>
          <w:highlight w:val="none"/>
        </w:rPr>
        <w:t>二、投标须知修改表</w:t>
      </w:r>
      <w:bookmarkEnd w:id="3"/>
    </w:p>
    <w:p>
      <w:pPr>
        <w:pStyle w:val="5"/>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0" w:firstLineChars="200"/>
        <w:rPr>
          <w:b/>
          <w:color w:val="auto"/>
          <w:szCs w:val="21"/>
          <w:highlight w:val="none"/>
        </w:rPr>
      </w:pPr>
      <w:r>
        <w:rPr>
          <w:rFonts w:hint="eastAsia"/>
          <w:b/>
          <w:color w:val="auto"/>
          <w:szCs w:val="21"/>
          <w:highlight w:val="none"/>
        </w:rPr>
        <w:t>条款号：</w:t>
      </w:r>
      <w:r>
        <w:rPr>
          <w:b/>
          <w:color w:val="auto"/>
          <w:szCs w:val="21"/>
          <w:highlight w:val="none"/>
        </w:rPr>
        <w:t>7</w:t>
      </w:r>
      <w:r>
        <w:rPr>
          <w:rFonts w:hint="eastAsia"/>
          <w:b/>
          <w:color w:val="auto"/>
          <w:szCs w:val="21"/>
          <w:highlight w:val="none"/>
        </w:rPr>
        <w:t>.1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b/>
          <w:color w:val="auto"/>
          <w:szCs w:val="21"/>
          <w:highlight w:val="none"/>
        </w:rPr>
        <w:t xml:space="preserve">7.1 </w:t>
      </w:r>
      <w:r>
        <w:rPr>
          <w:rFonts w:hint="eastAsia"/>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color w:val="auto"/>
          <w:szCs w:val="21"/>
          <w:highlight w:val="none"/>
        </w:rPr>
      </w:pPr>
      <w:r>
        <w:rPr>
          <w:rFonts w:hint="eastAsia"/>
          <w:color w:val="auto"/>
          <w:szCs w:val="21"/>
          <w:highlight w:val="none"/>
        </w:rPr>
        <w:t>第一章  投标须知</w:t>
      </w:r>
    </w:p>
    <w:p>
      <w:pPr>
        <w:spacing w:line="360" w:lineRule="auto"/>
        <w:ind w:firstLine="420" w:firstLineChars="200"/>
        <w:rPr>
          <w:color w:val="auto"/>
          <w:szCs w:val="21"/>
          <w:highlight w:val="none"/>
        </w:rPr>
      </w:pPr>
      <w:r>
        <w:rPr>
          <w:rFonts w:hint="eastAsia"/>
          <w:color w:val="auto"/>
          <w:szCs w:val="21"/>
          <w:highlight w:val="none"/>
        </w:rPr>
        <w:t>第二章  开标、评标及定标办法</w:t>
      </w:r>
    </w:p>
    <w:p>
      <w:pPr>
        <w:spacing w:line="360" w:lineRule="auto"/>
        <w:ind w:firstLine="420" w:firstLineChars="200"/>
        <w:rPr>
          <w:color w:val="auto"/>
          <w:szCs w:val="21"/>
          <w:highlight w:val="none"/>
        </w:rPr>
      </w:pPr>
      <w:r>
        <w:rPr>
          <w:rFonts w:hint="eastAsia"/>
          <w:color w:val="auto"/>
          <w:szCs w:val="21"/>
          <w:highlight w:val="none"/>
        </w:rPr>
        <w:t>第三章  合同条款</w:t>
      </w:r>
    </w:p>
    <w:p>
      <w:pPr>
        <w:spacing w:line="360" w:lineRule="auto"/>
        <w:ind w:firstLine="420" w:firstLineChars="200"/>
        <w:rPr>
          <w:color w:val="auto"/>
          <w:szCs w:val="21"/>
          <w:highlight w:val="none"/>
        </w:rPr>
      </w:pPr>
      <w:r>
        <w:rPr>
          <w:rFonts w:hint="eastAsia"/>
          <w:color w:val="auto"/>
          <w:szCs w:val="21"/>
          <w:highlight w:val="none"/>
        </w:rPr>
        <w:t>第四章  投标文件格式</w:t>
      </w:r>
    </w:p>
    <w:p>
      <w:pPr>
        <w:spacing w:line="360" w:lineRule="auto"/>
        <w:ind w:firstLine="420" w:firstLineChars="200"/>
        <w:rPr>
          <w:color w:val="auto"/>
          <w:szCs w:val="21"/>
          <w:highlight w:val="none"/>
        </w:rPr>
      </w:pPr>
      <w:r>
        <w:rPr>
          <w:rFonts w:hint="eastAsia"/>
          <w:color w:val="auto"/>
          <w:szCs w:val="21"/>
          <w:highlight w:val="none"/>
        </w:rPr>
        <w:t>第五章  技术条件（工程建设标准）（另册）</w:t>
      </w:r>
    </w:p>
    <w:p>
      <w:pPr>
        <w:spacing w:line="360" w:lineRule="auto"/>
        <w:ind w:firstLine="420" w:firstLineChars="200"/>
        <w:rPr>
          <w:color w:val="auto"/>
          <w:szCs w:val="21"/>
          <w:highlight w:val="none"/>
        </w:rPr>
      </w:pPr>
      <w:r>
        <w:rPr>
          <w:rFonts w:hint="eastAsia"/>
          <w:color w:val="auto"/>
          <w:szCs w:val="21"/>
          <w:highlight w:val="none"/>
        </w:rPr>
        <w:t>第六章  图纸及勘察资料</w:t>
      </w:r>
      <w:bookmarkStart w:id="4" w:name="_Hlk48663595"/>
      <w:r>
        <w:rPr>
          <w:rFonts w:hint="eastAsia"/>
          <w:color w:val="auto"/>
          <w:szCs w:val="21"/>
          <w:highlight w:val="none"/>
        </w:rPr>
        <w:t>（另册）</w:t>
      </w:r>
      <w:bookmarkEnd w:id="4"/>
    </w:p>
    <w:p>
      <w:pPr>
        <w:spacing w:line="360" w:lineRule="auto"/>
        <w:ind w:firstLine="420" w:firstLineChars="200"/>
        <w:rPr>
          <w:color w:val="auto"/>
          <w:szCs w:val="21"/>
          <w:highlight w:val="none"/>
        </w:rPr>
      </w:pPr>
      <w:r>
        <w:rPr>
          <w:rFonts w:hint="eastAsia"/>
          <w:color w:val="auto"/>
          <w:szCs w:val="21"/>
          <w:highlight w:val="none"/>
        </w:rPr>
        <w:t>第七章  招标工程量清单（另册）</w:t>
      </w:r>
    </w:p>
    <w:p>
      <w:pPr>
        <w:spacing w:line="360" w:lineRule="auto"/>
        <w:ind w:firstLine="420" w:firstLineChars="200"/>
        <w:rPr>
          <w:color w:val="auto"/>
          <w:szCs w:val="21"/>
          <w:highlight w:val="none"/>
        </w:rPr>
      </w:pPr>
      <w:r>
        <w:rPr>
          <w:rFonts w:hint="eastAsia"/>
          <w:color w:val="auto"/>
          <w:szCs w:val="21"/>
          <w:highlight w:val="none"/>
        </w:rPr>
        <w:t>第八章  最高投标限价</w:t>
      </w:r>
    </w:p>
    <w:p>
      <w:pPr>
        <w:pBdr>
          <w:bottom w:val="single" w:color="auto" w:sz="6" w:space="1"/>
        </w:pBdr>
        <w:spacing w:line="360" w:lineRule="auto"/>
        <w:ind w:firstLine="470" w:firstLineChars="224"/>
        <w:rPr>
          <w:color w:val="auto"/>
          <w:szCs w:val="21"/>
          <w:highlight w:val="none"/>
          <w:u w:val="single"/>
        </w:rPr>
      </w:pPr>
      <w:r>
        <w:rPr>
          <w:rFonts w:hint="eastAsia"/>
          <w:b/>
          <w:color w:val="auto"/>
          <w:szCs w:val="21"/>
          <w:highlight w:val="none"/>
        </w:rPr>
        <w:t>现文：</w:t>
      </w:r>
      <w:r>
        <w:rPr>
          <w:b/>
          <w:color w:val="auto"/>
          <w:szCs w:val="21"/>
          <w:highlight w:val="none"/>
        </w:rPr>
        <w:t>7.1</w:t>
      </w:r>
      <w:r>
        <w:rPr>
          <w:rFonts w:hint="eastAsia"/>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color w:val="auto"/>
          <w:szCs w:val="21"/>
          <w:highlight w:val="none"/>
        </w:rPr>
        <w:t>和按本须知第9条发出的澄清或修改：</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第一章  投标须知</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第二章  开标、评标及定标办法</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第三章  合同条款</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第四章  投标文件格式</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第五章  技术条件（工程建设标准）</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第六章  图纸及勘察资料（另册）</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第七章  招标工程量清单（另册）</w:t>
      </w:r>
    </w:p>
    <w:p>
      <w:pPr>
        <w:pBdr>
          <w:bottom w:val="single" w:color="auto" w:sz="6" w:space="1"/>
        </w:pBdr>
        <w:spacing w:line="360" w:lineRule="auto"/>
        <w:ind w:firstLine="470" w:firstLineChars="224"/>
        <w:rPr>
          <w:b/>
          <w:color w:val="auto"/>
          <w:szCs w:val="21"/>
          <w:highlight w:val="none"/>
        </w:rPr>
      </w:pPr>
      <w:r>
        <w:rPr>
          <w:rFonts w:hint="eastAsia"/>
          <w:color w:val="auto"/>
          <w:szCs w:val="21"/>
          <w:highlight w:val="none"/>
          <w:u w:val="single"/>
        </w:rPr>
        <w:t>第八章  最高投标限价（另册）</w:t>
      </w:r>
    </w:p>
    <w:p>
      <w:pPr>
        <w:spacing w:line="360" w:lineRule="auto"/>
        <w:ind w:firstLine="420" w:firstLineChars="200"/>
        <w:rPr>
          <w:b/>
          <w:color w:val="auto"/>
          <w:szCs w:val="21"/>
          <w:highlight w:val="none"/>
        </w:rPr>
      </w:pPr>
      <w:r>
        <w:rPr>
          <w:rFonts w:hint="eastAsia"/>
          <w:b/>
          <w:color w:val="auto"/>
          <w:szCs w:val="21"/>
          <w:highlight w:val="none"/>
        </w:rPr>
        <w:t>条款号：8.1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color w:val="auto"/>
          <w:szCs w:val="21"/>
          <w:highlight w:val="none"/>
          <w:u w:val="single"/>
        </w:rPr>
        <w:t>(</w:t>
      </w:r>
      <w:r>
        <w:rPr>
          <w:rFonts w:hint="eastAsia"/>
          <w:color w:val="auto"/>
          <w:szCs w:val="21"/>
          <w:highlight w:val="none"/>
          <w:u w:val="single"/>
        </w:rPr>
        <w:t>提问一律不得署名</w:t>
      </w:r>
      <w:r>
        <w:rPr>
          <w:color w:val="auto"/>
          <w:szCs w:val="21"/>
          <w:highlight w:val="none"/>
          <w:u w:val="single"/>
        </w:rPr>
        <w:t>)</w:t>
      </w:r>
      <w:r>
        <w:rPr>
          <w:rFonts w:hint="eastAsia"/>
          <w:color w:val="auto"/>
          <w:szCs w:val="21"/>
          <w:highlight w:val="none"/>
          <w:u w:val="singl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原文：8.2</w:t>
      </w:r>
      <w:r>
        <w:rPr>
          <w:rFonts w:hint="eastAsia" w:ascii="宋体" w:hAnsi="宋体" w:cs="宋体"/>
          <w:bCs/>
          <w:color w:val="auto"/>
          <w:szCs w:val="21"/>
          <w:highlight w:val="none"/>
        </w:rPr>
        <w:t>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470" w:firstLineChars="224"/>
        <w:rPr>
          <w:b/>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w:t>
      </w:r>
      <w:bookmarkStart w:id="5" w:name="_Hlk62738754"/>
      <w:r>
        <w:rPr>
          <w:rFonts w:hint="eastAsia" w:ascii="宋体" w:hAnsi="宋体" w:cs="宋体"/>
          <w:bCs/>
          <w:color w:val="auto"/>
          <w:szCs w:val="21"/>
          <w:highlight w:val="none"/>
          <w:u w:val="single"/>
        </w:rPr>
        <w:t>项目查询（日程安排、答疑纪要）</w:t>
      </w:r>
      <w:bookmarkEnd w:id="5"/>
      <w:r>
        <w:rPr>
          <w:rFonts w:hint="eastAsia" w:ascii="宋体" w:hAnsi="宋体" w:cs="宋体"/>
          <w:bCs/>
          <w:color w:val="auto"/>
          <w:szCs w:val="21"/>
          <w:highlight w:val="none"/>
          <w:u w:val="single"/>
        </w:rPr>
        <w:t>”</w:t>
      </w:r>
      <w:r>
        <w:rPr>
          <w:rFonts w:hint="eastAsia" w:ascii="宋体" w:hAnsi="宋体" w:cs="宋体"/>
          <w:bCs/>
          <w:color w:val="auto"/>
          <w:szCs w:val="21"/>
          <w:highlight w:val="none"/>
        </w:rPr>
        <w:t>专区公开发布。答疑纪要一经在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发布，视作已发放给所有投标人。</w:t>
      </w:r>
    </w:p>
    <w:p>
      <w:pPr>
        <w:pStyle w:val="5"/>
        <w:spacing w:after="0" w:line="400" w:lineRule="exact"/>
        <w:ind w:firstLine="420" w:firstLineChars="200"/>
        <w:rPr>
          <w:rFonts w:ascii="宋体" w:hAnsi="宋体"/>
          <w:b/>
          <w:color w:val="auto"/>
          <w:szCs w:val="21"/>
          <w:highlight w:val="none"/>
        </w:rPr>
      </w:pPr>
      <w:bookmarkStart w:id="6" w:name="_Hlk61366684"/>
      <w:r>
        <w:rPr>
          <w:rFonts w:hint="eastAsia" w:ascii="宋体" w:hAnsi="宋体" w:eastAsia="宋体"/>
          <w:b/>
          <w:color w:val="auto"/>
          <w:szCs w:val="21"/>
          <w:highlight w:val="none"/>
        </w:rPr>
        <w:t>条款号：8.</w:t>
      </w:r>
      <w:r>
        <w:rPr>
          <w:rFonts w:ascii="宋体" w:hAnsi="宋体" w:eastAsia="宋体"/>
          <w:b/>
          <w:color w:val="auto"/>
          <w:szCs w:val="21"/>
          <w:highlight w:val="none"/>
        </w:rPr>
        <w:t>3</w:t>
      </w:r>
      <w:r>
        <w:rPr>
          <w:rFonts w:hint="eastAsia" w:ascii="宋体" w:hAnsi="宋体" w:eastAsia="宋体"/>
          <w:b/>
          <w:color w:val="auto"/>
          <w:szCs w:val="21"/>
          <w:highlight w:val="none"/>
        </w:rPr>
        <w:t xml:space="preserve">              修改类型：修改</w:t>
      </w:r>
    </w:p>
    <w:p>
      <w:pPr>
        <w:pStyle w:val="5"/>
        <w:spacing w:after="0" w:line="400" w:lineRule="exact"/>
        <w:ind w:firstLine="420" w:firstLineChars="200"/>
        <w:rPr>
          <w:rFonts w:ascii="宋体" w:hAnsi="宋体" w:eastAsia="宋体"/>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Cs/>
          <w:color w:val="auto"/>
          <w:szCs w:val="21"/>
          <w:highlight w:val="none"/>
        </w:rPr>
        <w:t>：</w:t>
      </w:r>
      <w:r>
        <w:rPr>
          <w:rFonts w:hint="eastAsia" w:ascii="宋体" w:hAnsi="宋体" w:eastAsia="宋体"/>
          <w:b/>
          <w:color w:val="auto"/>
          <w:szCs w:val="21"/>
          <w:highlight w:val="none"/>
        </w:rPr>
        <w:t>8.</w:t>
      </w:r>
      <w:r>
        <w:rPr>
          <w:rFonts w:ascii="宋体" w:hAnsi="宋体" w:eastAsia="宋体"/>
          <w:b/>
          <w:color w:val="auto"/>
          <w:szCs w:val="21"/>
          <w:highlight w:val="none"/>
        </w:rPr>
        <w:t>3</w:t>
      </w:r>
      <w:r>
        <w:rPr>
          <w:rFonts w:hint="eastAsia" w:ascii="宋体" w:hAnsi="宋体" w:eastAsia="宋体"/>
          <w:bCs/>
          <w:color w:val="auto"/>
          <w:szCs w:val="21"/>
          <w:highlight w:val="none"/>
        </w:rPr>
        <w:t>答疑会会议纪要为招标文件的一部分。</w:t>
      </w:r>
    </w:p>
    <w:p>
      <w:pPr>
        <w:pBdr>
          <w:bottom w:val="single" w:color="auto" w:sz="6" w:space="1"/>
        </w:pBdr>
        <w:spacing w:line="360" w:lineRule="auto"/>
        <w:ind w:firstLine="422"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条款号：8.4             修改类型：修改</w:t>
      </w:r>
      <w:bookmarkEnd w:id="6"/>
    </w:p>
    <w:p>
      <w:pPr>
        <w:pStyle w:val="5"/>
        <w:spacing w:after="0" w:line="400" w:lineRule="exact"/>
        <w:ind w:firstLine="420" w:firstLineChars="200"/>
        <w:rPr>
          <w:rFonts w:ascii="宋体" w:hAnsi="宋体" w:eastAsia="宋体"/>
          <w:bCs/>
          <w:color w:val="auto"/>
          <w:szCs w:val="21"/>
          <w:highlight w:val="none"/>
        </w:rPr>
      </w:pPr>
      <w:r>
        <w:rPr>
          <w:rFonts w:hint="eastAsia" w:ascii="宋体" w:hAnsi="宋体" w:eastAsia="宋体"/>
          <w:b/>
          <w:color w:val="auto"/>
          <w:szCs w:val="21"/>
          <w:highlight w:val="none"/>
        </w:rPr>
        <w:t>原文：8.4</w:t>
      </w:r>
      <w:r>
        <w:rPr>
          <w:rFonts w:hint="eastAsia" w:ascii="宋体" w:hAnsi="宋体" w:eastAsia="宋体"/>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Style w:val="5"/>
        <w:spacing w:after="0" w:line="360" w:lineRule="auto"/>
        <w:rPr>
          <w:rFonts w:ascii="宋体" w:hAnsi="宋体"/>
          <w:color w:val="auto"/>
          <w:szCs w:val="21"/>
          <w:highlight w:val="none"/>
        </w:rPr>
      </w:pPr>
      <w:r>
        <w:rPr>
          <w:rFonts w:hint="eastAsia" w:ascii="宋体" w:hAnsi="宋体" w:eastAsia="宋体"/>
          <w:b/>
          <w:color w:val="auto"/>
          <w:szCs w:val="21"/>
          <w:highlight w:val="none"/>
        </w:rPr>
        <w:t>原文：</w:t>
      </w:r>
      <w:r>
        <w:rPr>
          <w:rFonts w:hint="eastAsia" w:ascii="宋体" w:hAnsi="宋体"/>
          <w:b/>
          <w:bCs/>
          <w:color w:val="auto"/>
          <w:szCs w:val="21"/>
          <w:highlight w:val="none"/>
        </w:rPr>
        <w:t>9.2</w:t>
      </w:r>
      <w:r>
        <w:rPr>
          <w:rFonts w:hint="eastAsia" w:ascii="宋体" w:hAnsi="宋体" w:eastAsia="宋体"/>
          <w:bCs/>
          <w:color w:val="auto"/>
          <w:szCs w:val="21"/>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1"/>
        <w:rPr>
          <w:color w:val="auto"/>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spacing w:line="360" w:lineRule="auto"/>
        <w:ind w:firstLine="210" w:firstLineChars="1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在广州公共资源交易中心网站“项目查询（日程安排、答疑纪要）”专区公开发布。</w:t>
      </w:r>
      <w:r>
        <w:rPr>
          <w:rFonts w:hint="eastAsia" w:ascii="宋体" w:hAnsi="宋体" w:cs="宋体"/>
          <w:color w:val="auto"/>
          <w:szCs w:val="21"/>
          <w:highlight w:val="none"/>
        </w:rPr>
        <w:t>当招标文件的澄清、修改、补充等在同一内容的表述不一致时，以最后发出的文件为准。</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（11）专职安全员须具有在有效期内的安全考核合格证书（C类或C3类）或建筑施工企业专职安全生产管理人员安全生产考核合格证书（取自平台内上传件）；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11.2.5施工组织设计或施工方案。</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11.2技术标投标文件主要包括下列内容:</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 xml:space="preserve">11.2.1 </w:t>
      </w:r>
      <w:bookmarkStart w:id="7" w:name="_Hlk47945758"/>
      <w:r>
        <w:rPr>
          <w:rFonts w:hint="eastAsia" w:ascii="宋体" w:hAnsi="宋体" w:cs="宋体"/>
          <w:bCs/>
          <w:color w:val="auto"/>
          <w:szCs w:val="21"/>
          <w:highlight w:val="none"/>
          <w:u w:val="single"/>
        </w:rPr>
        <w:t>技术标投标文件封面、广州建设工程施工招标投标书(格式按招标文件要求)</w:t>
      </w:r>
      <w:bookmarkEnd w:id="7"/>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经投标人盖章的法定代表人证明书、投标人盖章及法定代表人签字或盖章的本投标文件授权委托证明书</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，具体要求详见招标公告（扫描件或取自平台内上传件）；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（9）拟委派项目负责人的建筑工程专业贰级或以上级别的注册建造师（不包括建造师临时执业证书）。</w:t>
      </w:r>
      <w:r>
        <w:rPr>
          <w:rFonts w:hint="eastAsia" w:ascii="宋体" w:hAnsi="宋体" w:cs="宋体"/>
          <w:bCs/>
          <w:color w:val="auto"/>
          <w:szCs w:val="21"/>
          <w:highlight w:val="none"/>
        </w:rPr>
        <w:t xml:space="preserve">（取自平台内上传件）；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（11）专职安全员须具有在有效期内的安全考核合格证书（C类）或建筑施工企业专职安全生产管理人员安全生产考核合格证书（C3）（取自平台内上传件）；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11.2.3 技术评审资料；</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 xml:space="preserve"> 承诺书(格式按招标文件</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7</w:t>
      </w:r>
      <w:r>
        <w:rPr>
          <w:rFonts w:hint="eastAsia" w:ascii="宋体" w:hAnsi="宋体" w:cs="宋体"/>
          <w:bCs/>
          <w:color w:val="auto"/>
          <w:szCs w:val="21"/>
          <w:highlight w:val="none"/>
          <w:u w:val="single"/>
        </w:rPr>
        <w:t xml:space="preserve"> 投标函(格式按招标文件要求)；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8</w:t>
      </w:r>
      <w:r>
        <w:rPr>
          <w:rFonts w:hint="eastAsia" w:ascii="宋体" w:hAnsi="宋体" w:cs="宋体"/>
          <w:bCs/>
          <w:color w:val="auto"/>
          <w:szCs w:val="21"/>
          <w:highlight w:val="none"/>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投标人认为应该提供的其他资料。</w:t>
      </w:r>
    </w:p>
    <w:p>
      <w:pPr>
        <w:spacing w:line="360" w:lineRule="auto"/>
        <w:ind w:firstLine="420" w:firstLineChars="200"/>
        <w:rPr>
          <w:b/>
          <w:color w:val="auto"/>
          <w:szCs w:val="21"/>
          <w:highlight w:val="none"/>
        </w:rPr>
      </w:pPr>
      <w:r>
        <w:rPr>
          <w:rFonts w:hint="eastAsia"/>
          <w:b/>
          <w:color w:val="auto"/>
          <w:szCs w:val="21"/>
          <w:highlight w:val="none"/>
        </w:rPr>
        <w:t>条款号：11.3修改类型：修改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bookmarkStart w:id="8" w:name="_Hlk60754295"/>
      <w:r>
        <w:rPr>
          <w:rFonts w:hint="eastAsia"/>
          <w:color w:val="auto"/>
          <w:szCs w:val="21"/>
          <w:highlight w:val="none"/>
          <w:u w:val="single"/>
        </w:rPr>
        <w:t>经济标投标文件封面</w:t>
      </w:r>
      <w:bookmarkEnd w:id="8"/>
      <w:r>
        <w:rPr>
          <w:rFonts w:hint="eastAsia"/>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 xml:space="preserve">原文：12.2 </w:t>
      </w:r>
      <w:r>
        <w:rPr>
          <w:rFonts w:hint="eastAsia" w:ascii="宋体" w:hAnsi="宋体" w:cs="宋体"/>
          <w:bCs/>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 xml:space="preserve">现文：12.2 </w:t>
      </w:r>
      <w:r>
        <w:rPr>
          <w:rFonts w:hint="eastAsia" w:ascii="宋体" w:hAnsi="宋体" w:cs="宋体"/>
          <w:bCs/>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交易平台关于全流程电子化项目的相关指南进行操作。详见：</w:t>
      </w:r>
      <w:r>
        <w:rPr>
          <w:rFonts w:hint="eastAsia" w:ascii="宋体" w:hAnsi="宋体" w:cs="宋体"/>
          <w:b/>
          <w:color w:val="auto"/>
          <w:szCs w:val="21"/>
          <w:highlight w:val="none"/>
        </w:rPr>
        <w:t>广州公共资源交易中心网站。</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原文：12.3</w:t>
      </w:r>
      <w:r>
        <w:rPr>
          <w:rFonts w:hint="eastAsia" w:ascii="宋体" w:hAnsi="宋体" w:cs="宋体"/>
          <w:bCs/>
          <w:color w:val="auto"/>
          <w:szCs w:val="21"/>
          <w:highlight w:val="none"/>
        </w:rPr>
        <w:t xml:space="preserve"> 投标文件应按照交易平台关于全流程电子化项目的相关指南进行编制，详见：。</w:t>
      </w:r>
    </w:p>
    <w:p>
      <w:pPr>
        <w:spacing w:line="360" w:lineRule="auto"/>
        <w:ind w:firstLine="470" w:firstLineChars="224"/>
        <w:rPr>
          <w:rFonts w:ascii="宋体" w:hAnsi="宋体" w:cs="宋体"/>
          <w:b/>
          <w:color w:val="auto"/>
          <w:szCs w:val="21"/>
          <w:highlight w:val="none"/>
        </w:rPr>
      </w:pPr>
      <w:r>
        <w:rPr>
          <w:rFonts w:hint="eastAsia" w:ascii="宋体" w:hAnsi="宋体" w:cs="宋体"/>
          <w:color w:val="auto"/>
          <w:szCs w:val="21"/>
          <w:highlight w:val="none"/>
        </w:rPr>
        <w:t>如不按上述要求编制引起系统无法检索、读取相关信息的，其后果由投标人承担。</w:t>
      </w:r>
    </w:p>
    <w:p>
      <w:pPr>
        <w:pBdr>
          <w:bottom w:val="single" w:color="auto" w:sz="6" w:space="1"/>
        </w:pBdr>
        <w:spacing w:line="460" w:lineRule="exact"/>
        <w:ind w:firstLine="411" w:firstLineChars="196"/>
        <w:rPr>
          <w:rFonts w:ascii="宋体" w:hAnsi="宋体" w:cs="宋体"/>
          <w:b/>
          <w:bCs/>
          <w:color w:val="auto"/>
          <w:szCs w:val="21"/>
          <w:highlight w:val="none"/>
          <w:u w:val="single"/>
        </w:rPr>
      </w:pPr>
      <w:r>
        <w:rPr>
          <w:rFonts w:hint="eastAsia" w:ascii="宋体" w:hAnsi="宋体" w:cs="宋体"/>
          <w:b/>
          <w:color w:val="auto"/>
          <w:szCs w:val="21"/>
          <w:highlight w:val="none"/>
        </w:rPr>
        <w:t>现文：12.3</w:t>
      </w:r>
      <w:r>
        <w:rPr>
          <w:rFonts w:hint="eastAsia" w:ascii="宋体" w:hAnsi="宋体" w:cs="宋体"/>
          <w:bCs/>
          <w:color w:val="auto"/>
          <w:szCs w:val="21"/>
          <w:highlight w:val="none"/>
        </w:rPr>
        <w:t xml:space="preserve"> 投标文件应按照交易平台关于全流程电子化项目的相关指南进行编制，</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如不按上述要求编制引起系统无法检索、读取相关信息的，其后果由投标人承担。</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条款号：13.4修改类型：修改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w:t>
      </w:r>
      <w:r>
        <w:rPr>
          <w:rFonts w:hint="eastAsia" w:ascii="宋体" w:hAnsi="宋体" w:cs="宋体"/>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0" w:firstLineChars="200"/>
        <w:rPr>
          <w:rFonts w:ascii="宋体" w:hAnsi="宋体"/>
          <w:color w:val="auto"/>
          <w:szCs w:val="21"/>
          <w:highlight w:val="none"/>
        </w:rPr>
      </w:pPr>
      <w:r>
        <w:rPr>
          <w:rFonts w:hint="eastAsia" w:ascii="宋体" w:hAnsi="宋体" w:eastAsia="宋体"/>
          <w:b/>
          <w:color w:val="auto"/>
          <w:szCs w:val="21"/>
          <w:highlight w:val="none"/>
        </w:rPr>
        <w:t>原文：</w:t>
      </w:r>
      <w:r>
        <w:rPr>
          <w:rFonts w:hint="eastAsia" w:ascii="宋体" w:hAnsi="宋体" w:eastAsia="宋体"/>
          <w:b/>
          <w:bCs/>
          <w:color w:val="auto"/>
          <w:szCs w:val="21"/>
          <w:highlight w:val="none"/>
        </w:rPr>
        <w:t>13.5</w:t>
      </w:r>
      <w:r>
        <w:rPr>
          <w:rFonts w:hint="eastAsia" w:ascii="宋体" w:hAnsi="宋体" w:eastAsia="宋体"/>
          <w:color w:val="auto"/>
          <w:szCs w:val="21"/>
          <w:highlight w:val="none"/>
        </w:rPr>
        <w:t>工程项目实施期间……，中标后双方协商约定。</w:t>
      </w:r>
    </w:p>
    <w:p>
      <w:pPr>
        <w:pStyle w:val="5"/>
        <w:pBdr>
          <w:bottom w:val="single" w:color="auto" w:sz="6" w:space="1"/>
        </w:pBdr>
        <w:spacing w:after="0" w:line="360" w:lineRule="auto"/>
        <w:ind w:firstLine="420" w:firstLineChars="200"/>
        <w:rPr>
          <w:rFonts w:ascii="宋体" w:hAnsi="宋体"/>
          <w:color w:val="auto"/>
          <w:szCs w:val="21"/>
          <w:highlight w:val="none"/>
          <w:u w:val="single"/>
        </w:rPr>
      </w:pPr>
      <w:r>
        <w:rPr>
          <w:rFonts w:hint="eastAsia" w:ascii="宋体" w:hAnsi="宋体" w:eastAsia="宋体"/>
          <w:b/>
          <w:color w:val="auto"/>
          <w:szCs w:val="21"/>
          <w:highlight w:val="none"/>
        </w:rPr>
        <w:t>现文：13.5</w:t>
      </w:r>
      <w:r>
        <w:rPr>
          <w:rFonts w:hint="eastAsia" w:ascii="宋体" w:hAnsi="宋体" w:eastAsia="宋体"/>
          <w:color w:val="auto"/>
          <w:szCs w:val="21"/>
          <w:highlight w:val="none"/>
          <w:u w:val="single"/>
        </w:rPr>
        <w:t>变更结算方式按招标文件及施工合同相关规定执行。</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13.9</w:t>
      </w:r>
      <w:r>
        <w:rPr>
          <w:rFonts w:hint="eastAsia" w:ascii="宋体" w:hAnsi="宋体" w:cs="宋体"/>
          <w:color w:val="auto"/>
          <w:szCs w:val="21"/>
          <w:highlight w:val="none"/>
          <w:u w:val="single"/>
        </w:rPr>
        <w:t>主要材料的价格调整按照合同约定执行。</w:t>
      </w:r>
    </w:p>
    <w:p>
      <w:pPr>
        <w:pBdr>
          <w:bottom w:val="single" w:color="auto" w:sz="4"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4</w:t>
      </w:r>
      <w:r>
        <w:rPr>
          <w:rFonts w:hint="eastAsia" w:ascii="宋体" w:hAnsi="宋体" w:cs="宋体"/>
          <w:b/>
          <w:color w:val="auto"/>
          <w:szCs w:val="21"/>
          <w:highlight w:val="none"/>
        </w:rPr>
        <w:t>.1           修改类型：修改</w:t>
      </w:r>
    </w:p>
    <w:p>
      <w:pPr>
        <w:pBdr>
          <w:bottom w:val="single" w:color="auto" w:sz="4" w:space="1"/>
        </w:pBdr>
        <w:spacing w:line="360" w:lineRule="auto"/>
        <w:ind w:firstLine="420" w:firstLineChars="200"/>
        <w:rPr>
          <w:rFonts w:ascii="宋体" w:hAnsi="宋体"/>
          <w:color w:val="auto"/>
          <w:szCs w:val="21"/>
          <w:highlight w:val="none"/>
        </w:rPr>
      </w:pPr>
      <w:r>
        <w:rPr>
          <w:rFonts w:hint="eastAsia" w:ascii="宋体" w:hAnsi="宋体" w:cs="宋体"/>
          <w:b/>
          <w:color w:val="auto"/>
          <w:szCs w:val="21"/>
          <w:highlight w:val="none"/>
        </w:rPr>
        <w:t>原文：16.4</w:t>
      </w:r>
      <w:r>
        <w:rPr>
          <w:rFonts w:hint="eastAsia" w:ascii="宋体" w:hAnsi="宋体"/>
          <w:color w:val="auto"/>
          <w:szCs w:val="21"/>
          <w:highlight w:val="none"/>
        </w:rPr>
        <w:t>如有下列情况之一的，招标人可以不予退还投标保证金（是否退还投标保证金由招标人在招标文件中规定）：</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4" w:space="1"/>
        </w:pBdr>
        <w:spacing w:line="360" w:lineRule="auto"/>
        <w:ind w:firstLine="420" w:firstLineChars="200"/>
        <w:rPr>
          <w:rFonts w:ascii="宋体" w:hAnsi="宋体"/>
          <w:color w:val="auto"/>
          <w:szCs w:val="21"/>
          <w:highlight w:val="none"/>
          <w:u w:val="single"/>
        </w:rPr>
      </w:pPr>
      <w:r>
        <w:rPr>
          <w:rFonts w:hint="eastAsia" w:ascii="宋体" w:hAnsi="宋体" w:cs="宋体"/>
          <w:b/>
          <w:color w:val="auto"/>
          <w:szCs w:val="21"/>
          <w:highlight w:val="none"/>
        </w:rPr>
        <w:t>现文：16.4</w:t>
      </w:r>
      <w:r>
        <w:rPr>
          <w:rFonts w:hint="eastAsia" w:ascii="宋体" w:hAnsi="宋体"/>
          <w:color w:val="auto"/>
          <w:szCs w:val="21"/>
          <w:highlight w:val="none"/>
        </w:rPr>
        <w:t>如有下列情况之一的，</w:t>
      </w:r>
      <w:r>
        <w:rPr>
          <w:rFonts w:hint="eastAsia" w:ascii="宋体" w:hAnsi="宋体"/>
          <w:color w:val="auto"/>
          <w:szCs w:val="21"/>
          <w:highlight w:val="none"/>
          <w:u w:val="single"/>
        </w:rPr>
        <w:t>招标人将不予退还投标保证金：</w:t>
      </w:r>
    </w:p>
    <w:p>
      <w:pPr>
        <w:pBdr>
          <w:bottom w:val="single" w:color="auto" w:sz="4" w:space="1"/>
        </w:pBd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16.4.1因投标人原因造成投标文件未解密的；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16.5</w:t>
      </w:r>
      <w:r>
        <w:rPr>
          <w:rFonts w:hint="eastAsia" w:ascii="宋体" w:hAnsi="宋体" w:cs="宋体"/>
          <w:b/>
          <w:color w:val="auto"/>
          <w:szCs w:val="21"/>
          <w:highlight w:val="none"/>
        </w:rPr>
        <w:t xml:space="preserve">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16.5.1投标人存在16.4条款所列情形且投标人提交的保函、担保或保证保险无法兑付的；</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16.5.3按招标文件要求免于提供投标保证金的投标人存在16.4条款所列情形，且未按招标人要求补交投标保证金的；</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16.5.3按招标文件要求免于提供投标保证金的投标人存在16.4条款所列情形的。</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注：16.5.3款由招标人二选一，需在招标文件中明确。</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16.5投标人如存在下列情况之一的，将被拒绝在</w:t>
      </w:r>
      <w:r>
        <w:rPr>
          <w:rFonts w:hint="eastAsia" w:ascii="宋体" w:hAnsi="宋体" w:cs="宋体"/>
          <w:bCs/>
          <w:color w:val="auto"/>
          <w:szCs w:val="21"/>
          <w:highlight w:val="none"/>
          <w:u w:val="single"/>
        </w:rPr>
        <w:t>1年内</w:t>
      </w:r>
      <w:r>
        <w:rPr>
          <w:rFonts w:hint="eastAsia" w:ascii="宋体" w:hAnsi="宋体" w:cs="宋体"/>
          <w:bCs/>
          <w:color w:val="auto"/>
          <w:szCs w:val="21"/>
          <w:highlight w:val="none"/>
        </w:rPr>
        <w:t>参与招标人后续工程投标：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原文：17.1</w:t>
      </w:r>
      <w:r>
        <w:rPr>
          <w:rFonts w:hint="eastAsia" w:ascii="宋体" w:hAnsi="宋体" w:cs="宋体"/>
          <w:bCs/>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现文：17.1</w:t>
      </w:r>
      <w:r>
        <w:rPr>
          <w:rFonts w:hint="eastAsia" w:ascii="宋体" w:hAnsi="宋体" w:cs="宋体"/>
          <w:bCs/>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递交的电子投标文件（不含备用光盘）必须进行加密。按照交易平台关于全流程电子化项目的相关指南进行操作。详见：广州公共资源交易中心网站</w:t>
      </w:r>
      <w:r>
        <w:rPr>
          <w:rFonts w:hint="eastAsia" w:ascii="宋体" w:hAnsi="宋体" w:cs="宋体"/>
          <w:color w:val="auto"/>
          <w:szCs w:val="21"/>
          <w:highlight w:val="non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未按要求加密的投标文件，交易平台将予以拒收。</w:t>
      </w:r>
    </w:p>
    <w:p>
      <w:pPr>
        <w:pBdr>
          <w:bottom w:val="single" w:color="auto" w:sz="6" w:space="1"/>
        </w:pBdr>
        <w:spacing w:line="360" w:lineRule="auto"/>
        <w:ind w:firstLine="420"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19.1投标人通过交易平台递交电子投标文件。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条款号：21.1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本须知前附表第17项规定的投标截止时间后送达的电子投标文件，交易平台将予以拒收。</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条款号：27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27.1招标人将在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w:t>
      </w:r>
      <w:r>
        <w:rPr>
          <w:rFonts w:hint="eastAsia" w:ascii="宋体" w:hAnsi="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条款号：28.4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28.4招标人支付工程款时，中标人应按规定开具发票。</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28.4招标人支付工程款时，中标人应</w:t>
      </w:r>
      <w:r>
        <w:rPr>
          <w:rFonts w:hint="eastAsia" w:ascii="宋体" w:hAnsi="宋体" w:cs="宋体"/>
          <w:color w:val="auto"/>
          <w:szCs w:val="21"/>
          <w:highlight w:val="none"/>
        </w:rPr>
        <w:t>按规定开具</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spacing w:line="360" w:lineRule="auto"/>
        <w:ind w:firstLine="420" w:firstLineChars="200"/>
        <w:rPr>
          <w:rStyle w:val="131"/>
          <w:rFonts w:ascii="宋体" w:hAnsi="宋体"/>
          <w:b/>
          <w:color w:val="auto"/>
          <w:szCs w:val="21"/>
          <w:highlight w:val="none"/>
        </w:rPr>
      </w:pPr>
      <w:r>
        <w:rPr>
          <w:rStyle w:val="131"/>
          <w:rFonts w:ascii="宋体" w:hAnsi="宋体"/>
          <w:b/>
          <w:color w:val="auto"/>
          <w:szCs w:val="21"/>
          <w:highlight w:val="none"/>
        </w:rPr>
        <w:t>条款号：</w:t>
      </w:r>
      <w:r>
        <w:rPr>
          <w:rStyle w:val="131"/>
          <w:rFonts w:hint="eastAsia" w:ascii="宋体" w:hAnsi="宋体"/>
          <w:b/>
          <w:color w:val="auto"/>
          <w:szCs w:val="21"/>
          <w:highlight w:val="none"/>
        </w:rPr>
        <w:t>32.3</w:t>
      </w:r>
      <w:r>
        <w:rPr>
          <w:rStyle w:val="131"/>
          <w:rFonts w:ascii="宋体" w:hAnsi="宋体"/>
          <w:b/>
          <w:color w:val="auto"/>
          <w:szCs w:val="21"/>
          <w:highlight w:val="none"/>
        </w:rPr>
        <w:t xml:space="preserve">          修改类型：修改</w:t>
      </w:r>
    </w:p>
    <w:p>
      <w:pPr>
        <w:pBdr>
          <w:bottom w:val="single" w:color="000000" w:sz="6" w:space="1"/>
        </w:pBdr>
        <w:spacing w:line="360" w:lineRule="auto"/>
        <w:ind w:firstLine="420" w:firstLineChars="200"/>
        <w:rPr>
          <w:rStyle w:val="131"/>
          <w:rFonts w:ascii="宋体" w:hAnsi="宋体"/>
          <w:b/>
          <w:color w:val="auto"/>
          <w:szCs w:val="21"/>
          <w:highlight w:val="none"/>
        </w:rPr>
      </w:pPr>
      <w:r>
        <w:rPr>
          <w:rStyle w:val="131"/>
          <w:rFonts w:ascii="宋体" w:hAnsi="宋体"/>
          <w:b/>
          <w:color w:val="auto"/>
          <w:szCs w:val="21"/>
          <w:highlight w:val="none"/>
        </w:rPr>
        <w:t>原文：</w:t>
      </w:r>
      <w:r>
        <w:rPr>
          <w:rStyle w:val="131"/>
          <w:rFonts w:hint="eastAsia" w:ascii="宋体" w:hAnsi="宋体"/>
          <w:bCs/>
          <w:color w:val="auto"/>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r>
        <w:rPr>
          <w:rStyle w:val="131"/>
          <w:rFonts w:hint="eastAsia" w:ascii="宋体" w:hAnsi="宋体"/>
          <w:b/>
          <w:color w:val="auto"/>
          <w:szCs w:val="21"/>
          <w:highlight w:val="none"/>
        </w:rPr>
        <w:t>。</w:t>
      </w:r>
    </w:p>
    <w:p>
      <w:pPr>
        <w:pBdr>
          <w:bottom w:val="single" w:color="000000" w:sz="6" w:space="1"/>
        </w:pBdr>
        <w:spacing w:line="360" w:lineRule="auto"/>
        <w:ind w:firstLine="420" w:firstLineChars="200"/>
        <w:rPr>
          <w:rFonts w:ascii="宋体" w:hAnsi="宋体" w:cs="宋体"/>
          <w:b/>
          <w:color w:val="auto"/>
          <w:szCs w:val="21"/>
          <w:highlight w:val="none"/>
        </w:rPr>
      </w:pPr>
      <w:r>
        <w:rPr>
          <w:rStyle w:val="131"/>
          <w:rFonts w:ascii="宋体" w:hAnsi="宋体"/>
          <w:b/>
          <w:color w:val="auto"/>
          <w:szCs w:val="21"/>
          <w:highlight w:val="none"/>
        </w:rPr>
        <w:t>现文：</w:t>
      </w:r>
      <w:r>
        <w:rPr>
          <w:rStyle w:val="131"/>
          <w:rFonts w:hint="eastAsia" w:ascii="宋体" w:hAnsi="宋体"/>
          <w:bCs/>
          <w:color w:val="auto"/>
          <w:szCs w:val="21"/>
          <w:highlight w:val="none"/>
        </w:rPr>
        <w:t>32.3 投标人如在本项目中存在串通投标、弄虚作假</w:t>
      </w:r>
      <w:r>
        <w:rPr>
          <w:rStyle w:val="131"/>
          <w:rFonts w:hint="eastAsia" w:ascii="宋体" w:hAnsi="宋体"/>
          <w:b/>
          <w:color w:val="auto"/>
          <w:szCs w:val="21"/>
          <w:highlight w:val="none"/>
        </w:rPr>
        <w:t>骗取中标</w:t>
      </w:r>
      <w:r>
        <w:rPr>
          <w:rStyle w:val="131"/>
          <w:rFonts w:hint="eastAsia" w:ascii="宋体" w:hAnsi="宋体"/>
          <w:bCs/>
          <w:color w:val="auto"/>
          <w:szCs w:val="21"/>
          <w:highlight w:val="none"/>
        </w:rPr>
        <w:t>、行贿情形的，中标无效，行政监督部门将对其违法行为进行政处罚。</w:t>
      </w:r>
      <w:r>
        <w:rPr>
          <w:rStyle w:val="131"/>
          <w:rFonts w:hint="eastAsia" w:ascii="宋体" w:hAnsi="宋体"/>
          <w:b/>
          <w:color w:val="auto"/>
          <w:szCs w:val="21"/>
          <w:highlight w:val="none"/>
        </w:rPr>
        <w:t>该投标人将被招标人列入黑名单并限制其参与招标人后续项目的投标。</w:t>
      </w:r>
    </w:p>
    <w:p>
      <w:pPr>
        <w:pStyle w:val="2"/>
        <w:rPr>
          <w:color w:val="auto"/>
          <w:highlight w:val="none"/>
        </w:rPr>
      </w:pPr>
    </w:p>
    <w:p>
      <w:pPr>
        <w:spacing w:line="360" w:lineRule="auto"/>
        <w:ind w:firstLine="420" w:firstLineChars="200"/>
        <w:rPr>
          <w:rStyle w:val="131"/>
          <w:rFonts w:ascii="宋体" w:hAnsi="宋体"/>
          <w:b/>
          <w:color w:val="auto"/>
          <w:szCs w:val="21"/>
          <w:highlight w:val="none"/>
        </w:rPr>
      </w:pPr>
      <w:r>
        <w:rPr>
          <w:rStyle w:val="131"/>
          <w:rFonts w:ascii="宋体" w:hAnsi="宋体"/>
          <w:b/>
          <w:color w:val="auto"/>
          <w:szCs w:val="21"/>
          <w:highlight w:val="none"/>
        </w:rPr>
        <w:t>条款号：</w:t>
      </w:r>
      <w:r>
        <w:rPr>
          <w:rStyle w:val="131"/>
          <w:rFonts w:hint="eastAsia" w:ascii="宋体" w:hAnsi="宋体"/>
          <w:b/>
          <w:color w:val="auto"/>
          <w:szCs w:val="21"/>
          <w:highlight w:val="none"/>
        </w:rPr>
        <w:t>33</w:t>
      </w:r>
      <w:r>
        <w:rPr>
          <w:rStyle w:val="131"/>
          <w:rFonts w:ascii="宋体" w:hAnsi="宋体"/>
          <w:b/>
          <w:color w:val="auto"/>
          <w:szCs w:val="21"/>
          <w:highlight w:val="none"/>
        </w:rPr>
        <w:t xml:space="preserve">          修改类型：删除</w:t>
      </w:r>
    </w:p>
    <w:p>
      <w:pPr>
        <w:spacing w:line="360" w:lineRule="auto"/>
        <w:ind w:firstLine="420" w:firstLineChars="200"/>
        <w:rPr>
          <w:rStyle w:val="131"/>
          <w:rFonts w:ascii="宋体" w:hAnsi="宋体"/>
          <w:color w:val="auto"/>
          <w:szCs w:val="21"/>
          <w:highlight w:val="none"/>
        </w:rPr>
      </w:pPr>
      <w:r>
        <w:rPr>
          <w:rStyle w:val="131"/>
          <w:rFonts w:ascii="宋体" w:hAnsi="宋体"/>
          <w:b/>
          <w:color w:val="auto"/>
          <w:szCs w:val="21"/>
          <w:highlight w:val="none"/>
        </w:rPr>
        <w:t>原文：</w:t>
      </w:r>
      <w:r>
        <w:rPr>
          <w:rStyle w:val="131"/>
          <w:rFonts w:hint="eastAsia" w:ascii="宋体" w:hAnsi="宋体"/>
          <w:color w:val="auto"/>
          <w:szCs w:val="21"/>
          <w:highlight w:val="none"/>
        </w:rPr>
        <w:t>33 投标人信誉的要求</w:t>
      </w:r>
    </w:p>
    <w:p>
      <w:pPr>
        <w:spacing w:line="360" w:lineRule="auto"/>
        <w:ind w:firstLine="420" w:firstLineChars="200"/>
        <w:rPr>
          <w:rStyle w:val="131"/>
          <w:rFonts w:ascii="宋体" w:hAnsi="宋体"/>
          <w:color w:val="auto"/>
          <w:szCs w:val="21"/>
          <w:highlight w:val="none"/>
        </w:rPr>
      </w:pPr>
      <w:r>
        <w:rPr>
          <w:rStyle w:val="131"/>
          <w:rFonts w:hint="eastAsia" w:ascii="宋体" w:hAnsi="宋体"/>
          <w:color w:val="auto"/>
          <w:szCs w:val="21"/>
          <w:highlight w:val="none"/>
        </w:rPr>
        <w:t>存在下列情形之一的，招标人可以限制其投标（需在招标文件中明确评定方法）</w:t>
      </w:r>
    </w:p>
    <w:p>
      <w:pPr>
        <w:spacing w:line="360" w:lineRule="auto"/>
        <w:ind w:firstLine="420" w:firstLineChars="200"/>
        <w:rPr>
          <w:rStyle w:val="131"/>
          <w:rFonts w:ascii="宋体" w:hAnsi="宋体"/>
          <w:color w:val="auto"/>
          <w:szCs w:val="21"/>
          <w:highlight w:val="none"/>
        </w:rPr>
      </w:pPr>
      <w:r>
        <w:rPr>
          <w:rStyle w:val="131"/>
          <w:rFonts w:hint="eastAsia" w:ascii="宋体" w:hAnsi="宋体"/>
          <w:color w:val="auto"/>
          <w:szCs w:val="21"/>
          <w:highlight w:val="none"/>
        </w:rPr>
        <w:t>（1）被住房城乡建设行政主管部门在全国建筑市场监管一体化工作平台列入建筑市场主体“黑名单”；</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rPr>
      </w:pPr>
      <w:r>
        <w:rPr>
          <w:rStyle w:val="131"/>
          <w:rFonts w:hint="eastAsia" w:hAnsi="宋体"/>
          <w:color w:val="auto"/>
          <w:szCs w:val="21"/>
          <w:highlight w:val="none"/>
        </w:rPr>
        <w:t>（2）被发改委、人力资源社会保障、质检总局等有关部门、单位在“信用中国”网站中列入联合惩戒失信黑名单。</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9" w:name="_Toc2272548"/>
      <w:r>
        <w:rPr>
          <w:rFonts w:hint="eastAsia"/>
          <w:color w:val="auto"/>
          <w:highlight w:val="none"/>
        </w:rPr>
        <w:t>三、投标须知通用条款</w:t>
      </w:r>
      <w:bookmarkEnd w:id="9"/>
    </w:p>
    <w:p>
      <w:pPr>
        <w:pStyle w:val="9"/>
        <w:snapToGrid w:val="0"/>
        <w:spacing w:before="156" w:after="156"/>
        <w:rPr>
          <w:color w:val="auto"/>
          <w:highlight w:val="none"/>
        </w:rPr>
      </w:pPr>
      <w:bookmarkStart w:id="10" w:name="_Toc2272549"/>
      <w:r>
        <w:rPr>
          <w:rFonts w:hint="eastAsia"/>
          <w:color w:val="auto"/>
          <w:highlight w:val="none"/>
        </w:rPr>
        <w:t>（一）总则</w:t>
      </w:r>
      <w:bookmarkEnd w:id="10"/>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w:t>
      </w:r>
      <w:r>
        <w:rPr>
          <w:rFonts w:hint="eastAsia" w:ascii="宋体" w:hAnsi="宋体" w:eastAsia="宋体"/>
          <w:b/>
          <w:bCs/>
          <w:color w:val="auto"/>
          <w:sz w:val="24"/>
          <w:highlight w:val="none"/>
        </w:rPr>
        <w:t>、定义</w:t>
      </w:r>
    </w:p>
    <w:p>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）“投标人”指向招标人提交投标文件的当事人。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9"/>
        <w:snapToGrid w:val="0"/>
        <w:spacing w:before="156" w:after="156"/>
        <w:rPr>
          <w:color w:val="auto"/>
          <w:highlight w:val="none"/>
        </w:rPr>
      </w:pPr>
      <w:bookmarkStart w:id="11" w:name="_Toc2272550"/>
      <w:r>
        <w:rPr>
          <w:rFonts w:hint="eastAsia"/>
          <w:color w:val="auto"/>
          <w:highlight w:val="none"/>
        </w:rPr>
        <w:t>（二）招标文件</w:t>
      </w:r>
      <w:bookmarkEnd w:id="11"/>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pStyle w:val="5"/>
        <w:spacing w:after="0" w:line="360" w:lineRule="auto"/>
        <w:ind w:firstLine="480" w:firstLineChars="200"/>
        <w:rPr>
          <w:rFonts w:ascii="宋体" w:hAnsi="宋体" w:eastAsia="宋体"/>
          <w:color w:val="auto"/>
          <w:sz w:val="24"/>
          <w:highlight w:val="none"/>
        </w:rPr>
      </w:pPr>
      <w:r>
        <w:rPr>
          <w:rFonts w:ascii="宋体" w:hAnsi="宋体"/>
          <w:bCs/>
          <w:color w:val="auto"/>
          <w:sz w:val="24"/>
          <w:highlight w:val="none"/>
        </w:rPr>
        <w:t>7.1</w:t>
      </w:r>
      <w:r>
        <w:rPr>
          <w:rFonts w:hint="eastAsia" w:ascii="宋体" w:hAnsi="宋体" w:eastAsia="宋体"/>
          <w:color w:val="auto"/>
          <w:sz w:val="24"/>
          <w:highlight w:val="none"/>
        </w:rPr>
        <w:t>本招标文件包括下列文件，以及所有按本须知第8条发出的招标答疑纪要和按本须知第9条发出的澄清或修改：</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第一章  投标须知</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第二章  开标、评标及定标办法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  合同条款</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第四章  投标文件格式</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第五章  技术条件（工程建设标准）</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第六章  图纸及勘察资料（另册）</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第七章  招标工程量清单（另册）</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第八章  最高投标限价（另册）</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7.3 </w:t>
      </w:r>
      <w:r>
        <w:rPr>
          <w:rFonts w:hint="eastAsia" w:ascii="宋体" w:hAnsi="宋体" w:eastAsia="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8</w:t>
      </w:r>
      <w:r>
        <w:rPr>
          <w:rFonts w:hint="eastAsia" w:ascii="宋体" w:hAnsi="宋体" w:eastAsia="宋体"/>
          <w:b/>
          <w:bCs/>
          <w:color w:val="auto"/>
          <w:sz w:val="24"/>
          <w:highlight w:val="none"/>
        </w:rPr>
        <w:t>．招标答疑</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8.1 </w:t>
      </w:r>
      <w:r>
        <w:rPr>
          <w:rFonts w:hint="eastAsia" w:ascii="宋体" w:hAnsi="宋体" w:eastAsia="宋体"/>
          <w:color w:val="auto"/>
          <w:sz w:val="24"/>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提问一律不得署名)。</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8.2</w:t>
      </w:r>
      <w:r>
        <w:rPr>
          <w:rFonts w:hint="eastAsia" w:ascii="宋体" w:hAnsi="宋体" w:eastAsia="宋体"/>
          <w:bCs/>
          <w:color w:val="auto"/>
          <w:sz w:val="24"/>
          <w:szCs w:val="24"/>
          <w:highlight w:val="none"/>
        </w:rPr>
        <w:t>招标答疑会会议纪要将在提交投标文件截止时间15日前在</w:t>
      </w:r>
      <w:r>
        <w:rPr>
          <w:rFonts w:hint="eastAsia" w:ascii="宋体" w:hAnsi="宋体" w:eastAsia="宋体"/>
          <w:bCs/>
          <w:color w:val="auto"/>
          <w:sz w:val="24"/>
          <w:szCs w:val="24"/>
          <w:highlight w:val="none"/>
          <w:u w:val="single"/>
        </w:rPr>
        <w:t>广州公共资源交易中心网站</w:t>
      </w:r>
      <w:r>
        <w:rPr>
          <w:rFonts w:hint="eastAsia" w:ascii="宋体" w:hAnsi="宋体" w:eastAsia="宋体"/>
          <w:bCs/>
          <w:color w:val="auto"/>
          <w:sz w:val="24"/>
          <w:szCs w:val="24"/>
          <w:highlight w:val="none"/>
        </w:rPr>
        <w:t>交易平台</w:t>
      </w:r>
      <w:r>
        <w:rPr>
          <w:rFonts w:hint="eastAsia" w:ascii="宋体" w:hAnsi="宋体" w:eastAsia="宋体"/>
          <w:bCs/>
          <w:color w:val="auto"/>
          <w:sz w:val="24"/>
          <w:szCs w:val="24"/>
          <w:highlight w:val="none"/>
          <w:u w:val="single"/>
        </w:rPr>
        <w:t>“项目查询（日程安排、答疑纪要）”</w:t>
      </w:r>
      <w:r>
        <w:rPr>
          <w:rFonts w:hint="eastAsia" w:ascii="宋体" w:hAnsi="宋体" w:eastAsia="宋体"/>
          <w:bCs/>
          <w:color w:val="auto"/>
          <w:sz w:val="24"/>
          <w:szCs w:val="24"/>
          <w:highlight w:val="none"/>
        </w:rPr>
        <w:t>专区公开发布。答疑纪要一经在</w:t>
      </w:r>
      <w:r>
        <w:rPr>
          <w:rFonts w:hint="eastAsia" w:ascii="宋体" w:hAnsi="宋体" w:eastAsia="宋体"/>
          <w:bCs/>
          <w:color w:val="auto"/>
          <w:sz w:val="24"/>
          <w:szCs w:val="24"/>
          <w:highlight w:val="none"/>
          <w:u w:val="single"/>
        </w:rPr>
        <w:t>广州公共资源交易中心网站</w:t>
      </w:r>
      <w:r>
        <w:rPr>
          <w:rFonts w:hint="eastAsia" w:ascii="宋体" w:hAnsi="宋体" w:eastAsia="宋体"/>
          <w:bCs/>
          <w:color w:val="auto"/>
          <w:sz w:val="24"/>
          <w:szCs w:val="24"/>
          <w:highlight w:val="none"/>
        </w:rPr>
        <w:t>发布，视作已发放给所有投标人</w:t>
      </w:r>
      <w:r>
        <w:rPr>
          <w:rFonts w:hint="eastAsia" w:ascii="宋体" w:hAnsi="宋体" w:eastAsia="宋体"/>
          <w:color w:val="auto"/>
          <w:sz w:val="24"/>
          <w:szCs w:val="24"/>
          <w:highlight w:val="none"/>
        </w:rPr>
        <w:t>。</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8.3</w:t>
      </w:r>
      <w:r>
        <w:rPr>
          <w:rFonts w:hint="eastAsia" w:ascii="宋体" w:hAnsi="宋体" w:eastAsia="宋体"/>
          <w:color w:val="auto"/>
          <w:sz w:val="24"/>
          <w:szCs w:val="24"/>
          <w:highlight w:val="none"/>
          <w:u w:val="single"/>
        </w:rPr>
        <w:t>招标答疑纪要</w:t>
      </w:r>
      <w:r>
        <w:rPr>
          <w:rFonts w:hint="eastAsia" w:ascii="宋体" w:hAnsi="宋体" w:eastAsia="宋体"/>
          <w:color w:val="auto"/>
          <w:sz w:val="24"/>
          <w:szCs w:val="24"/>
          <w:highlight w:val="none"/>
        </w:rPr>
        <w:t>为招标文件的一部分。</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8.4若</w:t>
      </w:r>
      <w:r>
        <w:rPr>
          <w:rFonts w:hint="eastAsia" w:ascii="宋体" w:hAnsi="宋体" w:eastAsia="宋体"/>
          <w:color w:val="auto"/>
          <w:sz w:val="24"/>
          <w:szCs w:val="24"/>
          <w:highlight w:val="none"/>
          <w:u w:val="single"/>
        </w:rPr>
        <w:t>招标答疑纪要</w:t>
      </w:r>
      <w:r>
        <w:rPr>
          <w:rFonts w:hint="eastAsia" w:ascii="宋体" w:hAnsi="宋体" w:eastAsia="宋体"/>
          <w:color w:val="auto"/>
          <w:sz w:val="24"/>
          <w:szCs w:val="24"/>
          <w:highlight w:val="none"/>
        </w:rPr>
        <w:t>与招标文件有矛盾时，以</w:t>
      </w:r>
      <w:r>
        <w:rPr>
          <w:rFonts w:hint="eastAsia" w:ascii="宋体" w:hAnsi="宋体" w:eastAsia="宋体"/>
          <w:color w:val="auto"/>
          <w:sz w:val="24"/>
          <w:szCs w:val="24"/>
          <w:highlight w:val="none"/>
          <w:u w:val="single"/>
        </w:rPr>
        <w:t>广州公共资源交易中心交易平台</w:t>
      </w:r>
      <w:r>
        <w:rPr>
          <w:rFonts w:hint="eastAsia" w:ascii="宋体" w:hAnsi="宋体" w:eastAsia="宋体"/>
          <w:color w:val="auto"/>
          <w:sz w:val="24"/>
          <w:szCs w:val="24"/>
          <w:highlight w:val="none"/>
        </w:rPr>
        <w:t>最后发布的答疑纪要为准。</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9.</w:t>
      </w:r>
      <w:r>
        <w:rPr>
          <w:rFonts w:hint="eastAsia" w:ascii="宋体" w:hAnsi="宋体" w:eastAsia="宋体"/>
          <w:b/>
          <w:bCs/>
          <w:color w:val="auto"/>
          <w:sz w:val="24"/>
          <w:highlight w:val="none"/>
        </w:rPr>
        <w:t>招标文件的澄清与修改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9.1</w:t>
      </w:r>
      <w:r>
        <w:rPr>
          <w:rFonts w:hint="eastAsia" w:ascii="宋体" w:hAnsi="宋体" w:eastAsia="宋体"/>
          <w:color w:val="auto"/>
          <w:sz w:val="24"/>
          <w:highlight w:val="none"/>
        </w:rPr>
        <w:t>招标文件发出后</w:t>
      </w:r>
      <w:r>
        <w:rPr>
          <w:rFonts w:ascii="宋体" w:hAnsi="宋体" w:eastAsia="宋体"/>
          <w:color w:val="auto"/>
          <w:sz w:val="24"/>
          <w:highlight w:val="none"/>
        </w:rPr>
        <w:t>,</w:t>
      </w:r>
      <w:r>
        <w:rPr>
          <w:rFonts w:hint="eastAsia" w:ascii="宋体" w:hAnsi="宋体" w:eastAsia="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9.2招标文件的澄清或修改将在</w:t>
      </w:r>
      <w:r>
        <w:rPr>
          <w:rFonts w:hint="eastAsia" w:ascii="宋体" w:hAnsi="宋体" w:eastAsia="宋体"/>
          <w:color w:val="auto"/>
          <w:sz w:val="24"/>
          <w:szCs w:val="24"/>
          <w:highlight w:val="none"/>
          <w:u w:val="single"/>
        </w:rPr>
        <w:t>广州公共资源交易中心</w:t>
      </w:r>
      <w:r>
        <w:rPr>
          <w:rFonts w:hint="eastAsia" w:ascii="宋体" w:hAnsi="宋体" w:eastAsia="宋体"/>
          <w:color w:val="auto"/>
          <w:sz w:val="24"/>
          <w:szCs w:val="24"/>
          <w:highlight w:val="none"/>
        </w:rPr>
        <w:t>交易平台“</w:t>
      </w:r>
      <w:r>
        <w:rPr>
          <w:rFonts w:hint="eastAsia" w:ascii="宋体" w:hAnsi="宋体" w:eastAsia="宋体"/>
          <w:color w:val="auto"/>
          <w:sz w:val="24"/>
          <w:szCs w:val="24"/>
          <w:highlight w:val="none"/>
          <w:u w:val="single"/>
        </w:rPr>
        <w:t>项目查询（日程安排、答疑纪要</w:t>
      </w:r>
      <w:r>
        <w:rPr>
          <w:rFonts w:hint="eastAsia" w:ascii="宋体" w:hAnsi="宋体" w:eastAsia="宋体"/>
          <w:color w:val="auto"/>
          <w:sz w:val="24"/>
          <w:szCs w:val="24"/>
          <w:highlight w:val="none"/>
        </w:rPr>
        <w:t>）”专区公开发布。答疑纪要一经在</w:t>
      </w:r>
      <w:r>
        <w:rPr>
          <w:rFonts w:hint="eastAsia" w:ascii="宋体" w:hAnsi="宋体" w:eastAsia="宋体"/>
          <w:color w:val="auto"/>
          <w:sz w:val="24"/>
          <w:szCs w:val="24"/>
          <w:highlight w:val="none"/>
          <w:u w:val="single"/>
        </w:rPr>
        <w:t>广州公共资源交易中心</w:t>
      </w:r>
      <w:r>
        <w:rPr>
          <w:rFonts w:hint="eastAsia" w:ascii="宋体" w:hAnsi="宋体" w:eastAsia="宋体"/>
          <w:color w:val="auto"/>
          <w:sz w:val="24"/>
          <w:szCs w:val="24"/>
          <w:highlight w:val="none"/>
        </w:rPr>
        <w:t>交易平台发布，视作已发放给所有投标人，以</w:t>
      </w:r>
      <w:r>
        <w:rPr>
          <w:rFonts w:hint="eastAsia" w:ascii="宋体" w:hAnsi="宋体" w:eastAsia="宋体"/>
          <w:color w:val="auto"/>
          <w:sz w:val="24"/>
          <w:szCs w:val="24"/>
          <w:highlight w:val="none"/>
          <w:u w:val="single"/>
        </w:rPr>
        <w:t xml:space="preserve"> 广州公共资源交易中心</w:t>
      </w:r>
      <w:r>
        <w:rPr>
          <w:rFonts w:hint="eastAsia" w:ascii="宋体" w:hAnsi="宋体" w:eastAsia="宋体"/>
          <w:color w:val="auto"/>
          <w:sz w:val="24"/>
          <w:szCs w:val="24"/>
          <w:highlight w:val="none"/>
        </w:rPr>
        <w:t>交易平台上网发布时间作为送达时间。</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9.3</w:t>
      </w:r>
      <w:r>
        <w:rPr>
          <w:rFonts w:hint="eastAsia" w:ascii="宋体" w:hAnsi="宋体" w:eastAsia="宋体"/>
          <w:color w:val="auto"/>
          <w:sz w:val="24"/>
          <w:highlight w:val="none"/>
        </w:rPr>
        <w:t>招标文件的修改内容为招标文件的组成部分。</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9.4招标文件的澄清或修改</w:t>
      </w:r>
      <w:r>
        <w:rPr>
          <w:rFonts w:hint="eastAsia" w:ascii="宋体" w:hAnsi="宋体" w:eastAsia="宋体"/>
          <w:color w:val="auto"/>
          <w:sz w:val="24"/>
          <w:szCs w:val="24"/>
          <w:highlight w:val="none"/>
          <w:u w:val="single"/>
        </w:rPr>
        <w:t>在广州公共资源交易中心网站“项目查询（日程安排、答疑纪要）”专区公开发布。</w:t>
      </w:r>
      <w:r>
        <w:rPr>
          <w:rFonts w:hint="eastAsia" w:ascii="宋体" w:hAnsi="宋体" w:eastAsia="宋体"/>
          <w:color w:val="auto"/>
          <w:sz w:val="24"/>
          <w:szCs w:val="24"/>
          <w:highlight w:val="none"/>
        </w:rPr>
        <w:t>当招标文件的澄清、修改、补充等在同一内容的表述不一致时，以最后发出的文件为准。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9.5</w:t>
      </w:r>
      <w:r>
        <w:rPr>
          <w:rFonts w:hint="eastAsia" w:ascii="宋体" w:hAnsi="宋体" w:eastAsia="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napToGrid w:val="0"/>
        <w:spacing w:before="156" w:after="156"/>
        <w:rPr>
          <w:color w:val="auto"/>
          <w:highlight w:val="none"/>
        </w:rPr>
      </w:pPr>
      <w:bookmarkStart w:id="12" w:name="_Toc2272551"/>
      <w:r>
        <w:rPr>
          <w:rFonts w:hint="eastAsia"/>
          <w:color w:val="auto"/>
          <w:highlight w:val="none"/>
        </w:rPr>
        <w:t>（三）投标文件的编制</w:t>
      </w:r>
      <w:bookmarkEnd w:id="12"/>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10</w:t>
      </w:r>
      <w:r>
        <w:rPr>
          <w:rFonts w:hint="eastAsia" w:ascii="宋体" w:hAnsi="宋体" w:eastAsia="宋体"/>
          <w:b/>
          <w:bCs/>
          <w:color w:val="auto"/>
          <w:sz w:val="24"/>
          <w:highlight w:val="none"/>
        </w:rPr>
        <w:t>．投标文件的语言及度量衡单位</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10.1 </w:t>
      </w:r>
      <w:r>
        <w:rPr>
          <w:rFonts w:hint="eastAsia" w:ascii="宋体" w:hAnsi="宋体" w:eastAsia="宋体"/>
          <w:color w:val="auto"/>
          <w:sz w:val="24"/>
          <w:highlight w:val="none"/>
        </w:rPr>
        <w:t>投标文件和与投标有关的所有文件均应使用中文。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10.2 </w:t>
      </w:r>
      <w:r>
        <w:rPr>
          <w:rFonts w:hint="eastAsia" w:ascii="宋体" w:hAnsi="宋体" w:eastAsia="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11</w:t>
      </w:r>
      <w:r>
        <w:rPr>
          <w:rFonts w:hint="eastAsia" w:ascii="宋体" w:hAnsi="宋体" w:eastAsia="宋体"/>
          <w:b/>
          <w:bCs/>
          <w:color w:val="auto"/>
          <w:sz w:val="24"/>
          <w:highlight w:val="none"/>
        </w:rPr>
        <w:t>．投标文件的组成</w:t>
      </w:r>
    </w:p>
    <w:p>
      <w:pPr>
        <w:pStyle w:val="5"/>
        <w:spacing w:after="0" w:line="360" w:lineRule="auto"/>
        <w:ind w:firstLine="480" w:firstLineChars="200"/>
        <w:rPr>
          <w:rFonts w:ascii="宋体" w:hAnsi="宋体" w:eastAsia="宋体"/>
          <w:b/>
          <w:color w:val="auto"/>
          <w:sz w:val="24"/>
          <w:highlight w:val="none"/>
        </w:rPr>
      </w:pPr>
      <w:r>
        <w:rPr>
          <w:rFonts w:ascii="宋体" w:hAnsi="宋体" w:eastAsia="宋体"/>
          <w:color w:val="auto"/>
          <w:sz w:val="24"/>
          <w:highlight w:val="none"/>
        </w:rPr>
        <w:t xml:space="preserve">11.1 </w:t>
      </w:r>
      <w:r>
        <w:rPr>
          <w:rFonts w:hint="eastAsia" w:ascii="宋体" w:hAnsi="宋体" w:eastAsia="宋体"/>
          <w:color w:val="auto"/>
          <w:sz w:val="24"/>
          <w:highlight w:val="none"/>
        </w:rPr>
        <w:t>投标文件由技术部分（含资格审查文件）和经济部分二部分投标文件组成</w:t>
      </w:r>
      <w:r>
        <w:rPr>
          <w:rFonts w:hint="eastAsia" w:ascii="宋体" w:hAnsi="宋体" w:eastAsia="宋体"/>
          <w:b/>
          <w:color w:val="auto"/>
          <w:sz w:val="24"/>
          <w:highlight w:val="none"/>
        </w:rPr>
        <w:t>。</w:t>
      </w:r>
    </w:p>
    <w:p>
      <w:pPr>
        <w:tabs>
          <w:tab w:val="left" w:pos="1125"/>
        </w:tabs>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rPr>
        <w:t>11.2</w:t>
      </w:r>
      <w:r>
        <w:rPr>
          <w:rFonts w:hint="eastAsia" w:ascii="宋体" w:hAnsi="宋体"/>
          <w:bCs/>
          <w:color w:val="auto"/>
          <w:sz w:val="24"/>
          <w:highlight w:val="none"/>
          <w:u w:val="single"/>
        </w:rPr>
        <w:t>技术标投标文件主要包括下列内容</w:t>
      </w:r>
      <w:r>
        <w:rPr>
          <w:rFonts w:hint="eastAsia" w:ascii="宋体" w:hAnsi="宋体"/>
          <w:bCs/>
          <w:color w:val="auto"/>
          <w:sz w:val="24"/>
          <w:highlight w:val="none"/>
        </w:rPr>
        <w:t>:</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11.2.1</w:t>
      </w:r>
      <w:r>
        <w:rPr>
          <w:rFonts w:hint="eastAsia" w:ascii="宋体" w:hAnsi="宋体"/>
          <w:bCs/>
          <w:color w:val="auto"/>
          <w:sz w:val="24"/>
          <w:highlight w:val="none"/>
          <w:u w:val="single"/>
        </w:rPr>
        <w:t xml:space="preserve"> 技术标投标文件封面、广州建设工程施工招标投标书(格式按招标文件要求)</w:t>
      </w:r>
      <w:r>
        <w:rPr>
          <w:rFonts w:hint="eastAsia" w:ascii="宋体" w:hAnsi="宋体"/>
          <w:bCs/>
          <w:color w:val="auto"/>
          <w:sz w:val="24"/>
          <w:highlight w:val="none"/>
        </w:rPr>
        <w:t>；</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11.2.2 资格审查文件：</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（1）投标人声明； </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u w:val="single"/>
        </w:rPr>
        <w:t>经投标人盖章的法定代表人证明书、投标人盖章及法定代表人签字或盖章的本投标文件授权委托证明书</w:t>
      </w:r>
      <w:r>
        <w:rPr>
          <w:rFonts w:hint="eastAsia" w:ascii="宋体" w:hAnsi="宋体"/>
          <w:bCs/>
          <w:color w:val="auto"/>
          <w:sz w:val="24"/>
          <w:highlight w:val="none"/>
        </w:rPr>
        <w:t>；</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（3）企业营业执照（取自平台内上传件）；</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（4）企业资质证书（取自平台内上传件）；</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（5）建筑施工企业安全生产许可证（取自平台内上传件）；</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（6）项目负责人（按网上投标登记时选择拟投标的项目负责人）</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（7）专职安全员（按网上投标登记时选择拟投标的专职安全员）</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（8）拟委托技术负责人的相关证书、资料，</w:t>
      </w:r>
      <w:r>
        <w:rPr>
          <w:rFonts w:hint="eastAsia" w:ascii="宋体" w:hAnsi="宋体"/>
          <w:bCs/>
          <w:color w:val="auto"/>
          <w:sz w:val="24"/>
          <w:highlight w:val="none"/>
          <w:u w:val="single"/>
        </w:rPr>
        <w:t>具体要求详见招标公告（扫描件或取自平台内上传件）</w:t>
      </w:r>
      <w:r>
        <w:rPr>
          <w:rFonts w:hint="eastAsia" w:ascii="宋体" w:hAnsi="宋体"/>
          <w:bCs/>
          <w:color w:val="auto"/>
          <w:sz w:val="24"/>
          <w:highlight w:val="none"/>
        </w:rPr>
        <w:t>；</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（9）拟委派项目负责人的建筑工程专业贰级或以上级别的注册建造师（不包括建造师临时执业证书）。（取自平台内上传件）</w:t>
      </w:r>
      <w:r>
        <w:rPr>
          <w:rFonts w:hint="eastAsia" w:ascii="宋体" w:hAnsi="宋体"/>
          <w:bCs/>
          <w:color w:val="auto"/>
          <w:sz w:val="24"/>
          <w:highlight w:val="none"/>
        </w:rPr>
        <w:t xml:space="preserve">； </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（10）项目负责人安全生产考核合格证明或在有效期内的安全考核合格证书（B类）或建筑施工企业项目负责人安全生产考核合格证书（取自平台内上传件）；</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（11）专职安全员须具有在有效期内的安全考核合格证书（C类）或建筑施工企业专职安全生产管理人员安全生产考核合格证书（C3）（取自平台内上传件）；</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（12）资格审查前，投标人须在广州市住房和城乡建设局建立企业信用档案，拟担任本工程项目负责人、专职安全员须是本企业信用档案中的在册人员。</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11.2.3 技术评审资料；</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11.2.4 人员投入承诺书(格式按招标文件要求)；</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11.2.5 投标人廉洁承诺书(格式按招标文件要求)；</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11.2.6 承诺书(格式按招标文件；</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11.2.7 投标函(格式按招标文件要求)；</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11.2.8 施工项目管理团队人员信息表(格式按招标文件要求)；</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11.2.9 按照招标文件要求填写的《参与编制技术标投标文件人员名单》；</w:t>
      </w:r>
    </w:p>
    <w:p>
      <w:pPr>
        <w:tabs>
          <w:tab w:val="left" w:pos="1125"/>
        </w:tabs>
        <w:spacing w:line="360" w:lineRule="auto"/>
        <w:ind w:firstLine="480" w:firstLineChars="200"/>
        <w:rPr>
          <w:rFonts w:ascii="宋体"/>
          <w:color w:val="auto"/>
          <w:sz w:val="24"/>
          <w:highlight w:val="none"/>
          <w:u w:val="single"/>
        </w:rPr>
      </w:pPr>
      <w:r>
        <w:rPr>
          <w:rFonts w:hint="eastAsia" w:ascii="宋体" w:hAnsi="宋体"/>
          <w:bCs/>
          <w:color w:val="auto"/>
          <w:sz w:val="24"/>
          <w:highlight w:val="none"/>
          <w:u w:val="single"/>
        </w:rPr>
        <w:t>11.2.10投标人认为应该提供的其他资料</w:t>
      </w:r>
      <w:r>
        <w:rPr>
          <w:rFonts w:hint="eastAsia" w:ascii="宋体" w:hAnsi="宋体"/>
          <w:color w:val="auto"/>
          <w:sz w:val="24"/>
          <w:highlight w:val="none"/>
          <w:u w:val="single"/>
        </w:rPr>
        <w:t>。</w:t>
      </w:r>
    </w:p>
    <w:p>
      <w:pPr>
        <w:tabs>
          <w:tab w:val="left" w:pos="1125"/>
        </w:tabs>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经济标投标文件主要包括下列内容：</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11.3.1经济标投标文件封面(格式按招标文件要求)</w:t>
      </w:r>
      <w:r>
        <w:rPr>
          <w:rFonts w:hint="eastAsia" w:ascii="宋体" w:hAnsi="宋体"/>
          <w:bCs/>
          <w:color w:val="auto"/>
          <w:sz w:val="24"/>
          <w:highlight w:val="none"/>
        </w:rPr>
        <w:t>。</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pPr>
        <w:tabs>
          <w:tab w:val="left" w:pos="11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11.3.3按照招标文件要求填写的《参与编制经济标投标文件人员名单》。</w:t>
      </w:r>
    </w:p>
    <w:p>
      <w:pPr>
        <w:tabs>
          <w:tab w:val="left" w:pos="1125"/>
        </w:tabs>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11.3.4 对投标文件编制的承诺(格式按招标文件要求)；</w:t>
      </w:r>
    </w:p>
    <w:p>
      <w:pPr>
        <w:tabs>
          <w:tab w:val="left" w:pos="1125"/>
        </w:tabs>
        <w:spacing w:line="360" w:lineRule="auto"/>
        <w:ind w:firstLine="480" w:firstLineChars="200"/>
        <w:rPr>
          <w:rFonts w:ascii="宋体" w:hAnsi="宋体"/>
          <w:color w:val="auto"/>
          <w:sz w:val="24"/>
          <w:highlight w:val="none"/>
        </w:rPr>
      </w:pPr>
      <w:r>
        <w:rPr>
          <w:rFonts w:hint="eastAsia" w:ascii="宋体" w:hAnsi="宋体"/>
          <w:bCs/>
          <w:color w:val="auto"/>
          <w:sz w:val="24"/>
          <w:highlight w:val="none"/>
          <w:u w:val="single"/>
        </w:rPr>
        <w:t>11.3.5若投标人的投标报价低于工程成本警戒价的，投标人还须提供详细的施工组织设计、单价、措施性费用、单价分析表、主要材料价格表、投标人成本分析供评标委员会评审</w:t>
      </w:r>
      <w:r>
        <w:rPr>
          <w:rFonts w:hint="eastAsia" w:ascii="宋体" w:hAnsi="宋体"/>
          <w:color w:val="auto"/>
          <w:sz w:val="24"/>
          <w:highlight w:val="none"/>
          <w:u w:val="single"/>
        </w:rPr>
        <w:t>。</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12</w:t>
      </w:r>
      <w:r>
        <w:rPr>
          <w:rFonts w:hint="eastAsia" w:ascii="宋体" w:hAnsi="宋体" w:eastAsia="宋体"/>
          <w:b/>
          <w:bCs/>
          <w:color w:val="auto"/>
          <w:sz w:val="24"/>
          <w:highlight w:val="none"/>
        </w:rPr>
        <w:t>．投标文件格式</w:t>
      </w:r>
    </w:p>
    <w:p>
      <w:pPr>
        <w:pStyle w:val="5"/>
        <w:spacing w:after="0"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12.1 </w:t>
      </w:r>
      <w:r>
        <w:rPr>
          <w:rFonts w:hint="eastAsia" w:ascii="宋体" w:hAnsi="宋体" w:eastAsia="宋体" w:cs="Times New Roman"/>
          <w:bCs/>
          <w:color w:val="auto"/>
          <w:sz w:val="24"/>
          <w:szCs w:val="24"/>
          <w:highlight w:val="none"/>
        </w:rPr>
        <w:t>投标文件包括本须知第</w:t>
      </w:r>
      <w:r>
        <w:rPr>
          <w:rFonts w:ascii="宋体" w:hAnsi="宋体" w:eastAsia="宋体" w:cs="Times New Roman"/>
          <w:bCs/>
          <w:color w:val="auto"/>
          <w:sz w:val="24"/>
          <w:szCs w:val="24"/>
          <w:highlight w:val="none"/>
        </w:rPr>
        <w:t>11</w:t>
      </w:r>
      <w:r>
        <w:rPr>
          <w:rFonts w:hint="eastAsia" w:ascii="宋体" w:hAnsi="宋体" w:eastAsia="宋体" w:cs="Times New Roman"/>
          <w:bCs/>
          <w:color w:val="auto"/>
          <w:sz w:val="24"/>
          <w:szCs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s="Times New Roman"/>
          <w:bCs/>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w:t>
      </w:r>
      <w:r>
        <w:rPr>
          <w:rFonts w:hint="eastAsia" w:ascii="宋体" w:hAnsi="宋体" w:eastAsia="宋体" w:cs="Times New Roman"/>
          <w:bCs/>
          <w:color w:val="auto"/>
          <w:sz w:val="24"/>
          <w:szCs w:val="24"/>
          <w:highlight w:val="none"/>
          <w:u w:val="single"/>
        </w:rPr>
        <w:t>广州公共资源交易中心</w:t>
      </w:r>
      <w:r>
        <w:rPr>
          <w:rFonts w:hint="eastAsia" w:ascii="宋体" w:hAnsi="宋体" w:eastAsia="宋体" w:cs="Times New Roman"/>
          <w:bCs/>
          <w:color w:val="auto"/>
          <w:sz w:val="24"/>
          <w:szCs w:val="24"/>
          <w:highlight w:val="none"/>
        </w:rPr>
        <w:t>交易平台关于全流程电子化项目的相关指南进行操作。详见：</w:t>
      </w:r>
      <w:r>
        <w:rPr>
          <w:rFonts w:hint="eastAsia" w:ascii="宋体" w:hAnsi="宋体" w:eastAsia="宋体" w:cs="Times New Roman"/>
          <w:b/>
          <w:color w:val="auto"/>
          <w:sz w:val="24"/>
          <w:szCs w:val="24"/>
          <w:highlight w:val="none"/>
        </w:rPr>
        <w:t>广州公共资源交易中心网站</w:t>
      </w:r>
      <w:r>
        <w:rPr>
          <w:rFonts w:hint="eastAsia" w:ascii="宋体" w:hAnsi="宋体" w:eastAsia="宋体"/>
          <w:color w:val="auto"/>
          <w:sz w:val="24"/>
          <w:szCs w:val="24"/>
          <w:highlight w:val="none"/>
        </w:rPr>
        <w:t>。</w:t>
      </w:r>
    </w:p>
    <w:p>
      <w:pPr>
        <w:pStyle w:val="5"/>
        <w:spacing w:after="0" w:line="360" w:lineRule="auto"/>
        <w:ind w:firstLine="0"/>
        <w:rPr>
          <w:rFonts w:ascii="宋体" w:hAnsi="宋体" w:eastAsia="宋体"/>
          <w:bCs/>
          <w:color w:val="auto"/>
          <w:sz w:val="24"/>
          <w:szCs w:val="24"/>
          <w:highlight w:val="none"/>
        </w:rPr>
      </w:pPr>
      <w:r>
        <w:rPr>
          <w:rFonts w:hint="eastAsia" w:ascii="宋体" w:hAnsi="宋体" w:eastAsia="宋体"/>
          <w:color w:val="auto"/>
          <w:sz w:val="24"/>
          <w:highlight w:val="none"/>
        </w:rPr>
        <w:t xml:space="preserve">12.3 </w:t>
      </w:r>
      <w:r>
        <w:rPr>
          <w:rFonts w:hint="eastAsia" w:ascii="宋体" w:hAnsi="宋体" w:eastAsia="宋体"/>
          <w:bCs/>
          <w:color w:val="auto"/>
          <w:sz w:val="24"/>
          <w:szCs w:val="24"/>
          <w:highlight w:val="none"/>
        </w:rPr>
        <w:t>投标文件应按照交易平台关于全流程电子化项目的相关指南进行编制，详见：</w:t>
      </w:r>
      <w:r>
        <w:rPr>
          <w:rFonts w:hint="eastAsia" w:ascii="宋体" w:hAnsi="宋体" w:eastAsia="宋体"/>
          <w:bCs/>
          <w:color w:val="auto"/>
          <w:sz w:val="24"/>
          <w:szCs w:val="24"/>
          <w:highlight w:val="none"/>
          <w:u w:val="single"/>
        </w:rPr>
        <w:t>广州公共资源交易中心网站</w:t>
      </w:r>
      <w:r>
        <w:rPr>
          <w:rFonts w:hint="eastAsia" w:ascii="宋体" w:hAnsi="宋体" w:eastAsia="宋体"/>
          <w:bCs/>
          <w:color w:val="auto"/>
          <w:sz w:val="24"/>
          <w:szCs w:val="24"/>
          <w:highlight w:val="none"/>
        </w:rPr>
        <w:t>。</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13</w:t>
      </w:r>
      <w:r>
        <w:rPr>
          <w:rFonts w:hint="eastAsia" w:ascii="宋体" w:hAnsi="宋体" w:eastAsia="宋体"/>
          <w:b/>
          <w:bCs/>
          <w:color w:val="auto"/>
          <w:sz w:val="24"/>
          <w:highlight w:val="none"/>
        </w:rPr>
        <w:t>．投标报价及造价承包和变更结算方式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13.1 </w:t>
      </w:r>
      <w:r>
        <w:rPr>
          <w:rFonts w:hint="eastAsia" w:ascii="宋体" w:hAnsi="宋体" w:eastAsia="宋体"/>
          <w:color w:val="auto"/>
          <w:sz w:val="24"/>
          <w:highlight w:val="none"/>
        </w:rPr>
        <w:t>本工程的投标报价采用投标须知前附表第12项所规定的方式。投标文件中的大写金额和小写金额不一致的，以大写金额为准，投标报价精确到“分”。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13.2</w:t>
      </w:r>
      <w:r>
        <w:rPr>
          <w:rFonts w:hint="eastAsia" w:ascii="宋体" w:hAnsi="宋体" w:eastAsia="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13.3</w:t>
      </w:r>
      <w:r>
        <w:rPr>
          <w:rFonts w:hint="eastAsia" w:ascii="宋体" w:hAnsi="宋体" w:eastAsia="宋体"/>
          <w:color w:val="auto"/>
          <w:sz w:val="24"/>
          <w:highlight w:val="none"/>
        </w:rPr>
        <w:t>投标人的投标报价，应是按照投标须知前附表第</w:t>
      </w:r>
      <w:r>
        <w:rPr>
          <w:rFonts w:ascii="宋体" w:hAnsi="宋体" w:eastAsia="宋体"/>
          <w:color w:val="auto"/>
          <w:sz w:val="24"/>
          <w:highlight w:val="none"/>
        </w:rPr>
        <w:t>8</w:t>
      </w:r>
      <w:r>
        <w:rPr>
          <w:rFonts w:hint="eastAsia" w:ascii="宋体" w:hAnsi="宋体" w:eastAsia="宋体"/>
          <w:color w:val="auto"/>
          <w:sz w:val="24"/>
          <w:highlight w:val="none"/>
        </w:rPr>
        <w:t>项的工期要求，在投标须知前附表第</w:t>
      </w:r>
      <w:r>
        <w:rPr>
          <w:rFonts w:ascii="宋体" w:hAnsi="宋体" w:eastAsia="宋体"/>
          <w:color w:val="auto"/>
          <w:sz w:val="24"/>
          <w:highlight w:val="none"/>
        </w:rPr>
        <w:t>3</w:t>
      </w:r>
      <w:r>
        <w:rPr>
          <w:rFonts w:hint="eastAsia" w:ascii="宋体" w:hAnsi="宋体" w:eastAsia="宋体"/>
          <w:color w:val="auto"/>
          <w:sz w:val="24"/>
          <w:highlight w:val="none"/>
        </w:rPr>
        <w:t>项的建设地点，完成投标须知前附表第</w:t>
      </w:r>
      <w:r>
        <w:rPr>
          <w:rFonts w:ascii="宋体" w:hAnsi="宋体" w:eastAsia="宋体"/>
          <w:color w:val="auto"/>
          <w:sz w:val="24"/>
          <w:highlight w:val="none"/>
        </w:rPr>
        <w:t>7</w:t>
      </w:r>
      <w:r>
        <w:rPr>
          <w:rFonts w:hint="eastAsia" w:ascii="宋体" w:hAnsi="宋体" w:eastAsia="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13.4</w:t>
      </w:r>
      <w:r>
        <w:rPr>
          <w:rFonts w:hint="eastAsia" w:ascii="宋体" w:hAnsi="宋体" w:eastAsia="宋体"/>
          <w:color w:val="auto"/>
          <w:sz w:val="24"/>
          <w:highlight w:val="none"/>
        </w:rPr>
        <w:t>投标人一旦中标，投标人对招标人提供的招标工程量清单中列出的工程项目所报出的综合单价，在工程结算时将不得变更，</w:t>
      </w:r>
      <w:r>
        <w:rPr>
          <w:rFonts w:hint="eastAsia" w:ascii="宋体" w:hAnsi="宋体" w:eastAsia="宋体"/>
          <w:color w:val="auto"/>
          <w:sz w:val="24"/>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r>
        <w:rPr>
          <w:rFonts w:hint="eastAsia" w:ascii="宋体" w:hAnsi="宋体" w:eastAsia="宋体"/>
          <w:color w:val="auto"/>
          <w:sz w:val="24"/>
          <w:highlight w:val="none"/>
        </w:rPr>
        <w:t>。</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w:t>
      </w:r>
      <w:r>
        <w:rPr>
          <w:rFonts w:hint="eastAsia" w:ascii="宋体" w:hAnsi="宋体" w:eastAsia="宋体"/>
          <w:color w:val="auto"/>
          <w:sz w:val="24"/>
          <w:highlight w:val="none"/>
        </w:rPr>
        <w:t>变更结算方式按招标文件及施工合同相关规定执行。</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w:t>
      </w:r>
      <w:r>
        <w:rPr>
          <w:rFonts w:hint="eastAsia" w:ascii="宋体" w:hAnsi="宋体" w:eastAsia="宋体"/>
          <w:color w:val="auto"/>
          <w:sz w:val="24"/>
          <w:highlight w:val="none"/>
        </w:rPr>
        <w:t>暂列金额、暂估价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13.6.1</w:t>
      </w:r>
      <w:r>
        <w:rPr>
          <w:rFonts w:hint="eastAsia" w:ascii="宋体" w:hAnsi="宋体" w:eastAsia="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13.6.2</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13.6.3</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13.6.4</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olor w:val="auto"/>
          <w:sz w:val="24"/>
          <w:highlight w:val="none"/>
        </w:rPr>
        <w:t>13.5</w:t>
      </w:r>
      <w:r>
        <w:rPr>
          <w:rFonts w:hint="eastAsia" w:ascii="宋体" w:hAnsi="宋体" w:eastAsia="宋体"/>
          <w:color w:val="auto"/>
          <w:sz w:val="24"/>
          <w:highlight w:val="none"/>
        </w:rPr>
        <w:t>款规定确定。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13.6.5</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13.6.6 </w:t>
      </w:r>
      <w:r>
        <w:rPr>
          <w:rFonts w:hint="eastAsia" w:ascii="宋体" w:hAnsi="宋体" w:eastAsia="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13.7</w:t>
      </w:r>
      <w:r>
        <w:rPr>
          <w:rFonts w:hint="eastAsia" w:ascii="宋体" w:hAnsi="宋体" w:eastAsia="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13.8</w:t>
      </w:r>
      <w:r>
        <w:rPr>
          <w:rFonts w:hint="eastAsia" w:ascii="宋体" w:hAnsi="宋体" w:eastAsia="宋体"/>
          <w:color w:val="auto"/>
          <w:sz w:val="24"/>
          <w:highlight w:val="none"/>
        </w:rPr>
        <w:t>属于承包人自行采购的主要材料、设备，招标人应当在招标文件中提出材料、设备的技术标准或者质量要求，或者提出不少于</w:t>
      </w:r>
      <w:r>
        <w:rPr>
          <w:rFonts w:ascii="宋体" w:hAnsi="宋体" w:eastAsia="宋体"/>
          <w:color w:val="auto"/>
          <w:sz w:val="24"/>
          <w:highlight w:val="none"/>
        </w:rPr>
        <w:t>3</w:t>
      </w:r>
      <w:r>
        <w:rPr>
          <w:rFonts w:hint="eastAsia" w:ascii="宋体" w:hAnsi="宋体" w:eastAsia="宋体"/>
          <w:color w:val="auto"/>
          <w:sz w:val="24"/>
          <w:highlight w:val="none"/>
        </w:rPr>
        <w:t>个同等档次品牌或分包商供投标人报价时选择</w:t>
      </w:r>
      <w:r>
        <w:rPr>
          <w:rFonts w:ascii="宋体" w:hAnsi="宋体" w:eastAsia="宋体"/>
          <w:color w:val="auto"/>
          <w:sz w:val="24"/>
          <w:highlight w:val="none"/>
        </w:rPr>
        <w:t>,</w:t>
      </w:r>
      <w:r>
        <w:rPr>
          <w:rFonts w:hint="eastAsia" w:ascii="宋体" w:hAnsi="宋体" w:eastAsia="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highlight w:val="none"/>
        </w:rPr>
        <w:t>13.9</w:t>
      </w:r>
      <w:r>
        <w:rPr>
          <w:rFonts w:hint="eastAsia" w:ascii="宋体" w:hAnsi="宋体" w:eastAsia="宋体"/>
          <w:color w:val="auto"/>
          <w:sz w:val="24"/>
          <w:highlight w:val="none"/>
          <w:u w:val="single"/>
        </w:rPr>
        <w:t>主要材料的价格调整按照合同约定执行</w:t>
      </w:r>
      <w:r>
        <w:rPr>
          <w:rFonts w:hint="eastAsia" w:ascii="宋体" w:hAnsi="宋体" w:eastAsia="宋体"/>
          <w:color w:val="auto"/>
          <w:sz w:val="24"/>
          <w:szCs w:val="24"/>
          <w:highlight w:val="none"/>
        </w:rPr>
        <w:t>。</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14</w:t>
      </w:r>
      <w:r>
        <w:rPr>
          <w:rFonts w:hint="eastAsia" w:ascii="宋体" w:hAnsi="宋体" w:eastAsia="宋体"/>
          <w:b/>
          <w:bCs/>
          <w:color w:val="auto"/>
          <w:sz w:val="24"/>
          <w:highlight w:val="none"/>
        </w:rPr>
        <w:t>．投标货币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14.1 </w:t>
      </w:r>
      <w:r>
        <w:rPr>
          <w:rFonts w:hint="eastAsia" w:ascii="宋体" w:hAnsi="宋体" w:eastAsia="宋体"/>
          <w:color w:val="auto"/>
          <w:sz w:val="24"/>
          <w:highlight w:val="none"/>
        </w:rPr>
        <w:t>本工程投标报价采用的币种为人民币。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b/>
          <w:bCs/>
          <w:color w:val="auto"/>
          <w:sz w:val="24"/>
          <w:highlight w:val="none"/>
        </w:rPr>
        <w:t>15</w:t>
      </w:r>
      <w:r>
        <w:rPr>
          <w:rFonts w:hint="eastAsia" w:ascii="宋体" w:hAnsi="宋体" w:eastAsia="宋体"/>
          <w:b/>
          <w:bCs/>
          <w:color w:val="auto"/>
          <w:sz w:val="24"/>
          <w:highlight w:val="none"/>
        </w:rPr>
        <w:t>．投标有效期</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15.1 </w:t>
      </w:r>
      <w:r>
        <w:rPr>
          <w:rFonts w:hint="eastAsia" w:ascii="宋体" w:hAnsi="宋体" w:eastAsia="宋体"/>
          <w:color w:val="auto"/>
          <w:sz w:val="24"/>
          <w:highlight w:val="none"/>
        </w:rPr>
        <w:t>投标有效期见投标须知前附表第</w:t>
      </w:r>
      <w:r>
        <w:rPr>
          <w:rFonts w:ascii="宋体" w:hAnsi="宋体" w:eastAsia="宋体"/>
          <w:color w:val="auto"/>
          <w:sz w:val="24"/>
          <w:highlight w:val="none"/>
        </w:rPr>
        <w:t>13</w:t>
      </w:r>
      <w:r>
        <w:rPr>
          <w:rFonts w:hint="eastAsia" w:ascii="宋体" w:hAnsi="宋体" w:eastAsia="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auto"/>
          <w:sz w:val="24"/>
          <w:highlight w:val="none"/>
        </w:rPr>
        <w:t>16</w:t>
      </w:r>
      <w:r>
        <w:rPr>
          <w:rFonts w:hint="eastAsia" w:ascii="宋体" w:hAnsi="宋体" w:eastAsia="宋体"/>
          <w:color w:val="auto"/>
          <w:sz w:val="24"/>
          <w:highlight w:val="none"/>
        </w:rPr>
        <w:t>条关于投标保证金的退还与不予退还的规定仍然适用。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16</w:t>
      </w:r>
      <w:r>
        <w:rPr>
          <w:rFonts w:hint="eastAsia" w:ascii="宋体" w:hAnsi="宋体" w:eastAsia="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16.3</w:t>
      </w:r>
      <w:r>
        <w:rPr>
          <w:rFonts w:hint="eastAsia" w:ascii="宋体" w:hAnsi="宋体"/>
          <w:color w:val="auto"/>
          <w:sz w:val="24"/>
          <w:szCs w:val="24"/>
          <w:highlight w:val="none"/>
        </w:rPr>
        <w:t>投标保证金应依据法律法规的相关规定退还。</w:t>
      </w:r>
    </w:p>
    <w:p>
      <w:pPr>
        <w:spacing w:line="360" w:lineRule="auto"/>
        <w:ind w:firstLine="480" w:firstLineChars="200"/>
        <w:rPr>
          <w:rFonts w:ascii="宋体" w:hAnsi="宋体"/>
          <w:color w:val="auto"/>
          <w:sz w:val="24"/>
          <w:szCs w:val="24"/>
          <w:highlight w:val="none"/>
        </w:rPr>
      </w:pPr>
      <w:r>
        <w:rPr>
          <w:rFonts w:ascii="宋体" w:hAnsi="宋体"/>
          <w:color w:val="auto"/>
          <w:sz w:val="24"/>
          <w:highlight w:val="none"/>
        </w:rPr>
        <w:t>16.</w:t>
      </w:r>
      <w:r>
        <w:rPr>
          <w:rFonts w:hint="eastAsia" w:ascii="宋体" w:hAnsi="宋体"/>
          <w:color w:val="auto"/>
          <w:sz w:val="24"/>
          <w:highlight w:val="none"/>
        </w:rPr>
        <w:t>4</w:t>
      </w:r>
      <w:r>
        <w:rPr>
          <w:rFonts w:hint="eastAsia" w:ascii="宋体" w:hAnsi="宋体"/>
          <w:color w:val="auto"/>
          <w:sz w:val="24"/>
          <w:szCs w:val="24"/>
          <w:highlight w:val="none"/>
        </w:rPr>
        <w:t>如有下列情况之一的，</w:t>
      </w:r>
      <w:r>
        <w:rPr>
          <w:rFonts w:hint="eastAsia" w:ascii="宋体" w:hAnsi="宋体"/>
          <w:color w:val="auto"/>
          <w:sz w:val="24"/>
          <w:szCs w:val="24"/>
          <w:highlight w:val="none"/>
          <w:u w:val="single"/>
        </w:rPr>
        <w:t>招标人将不予退还投标保证金</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16.4.1因投标人原因造成投标文件未解密的</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537" w:firstLineChars="224"/>
        <w:rPr>
          <w:rFonts w:ascii="宋体" w:hAnsi="宋体" w:cs="宋体"/>
          <w:bCs/>
          <w:color w:val="auto"/>
          <w:sz w:val="24"/>
          <w:szCs w:val="24"/>
          <w:highlight w:val="none"/>
        </w:rPr>
      </w:pPr>
      <w:r>
        <w:rPr>
          <w:rFonts w:hint="eastAsia" w:ascii="宋体" w:hAnsi="宋体"/>
          <w:color w:val="auto"/>
          <w:sz w:val="24"/>
          <w:szCs w:val="24"/>
          <w:highlight w:val="none"/>
        </w:rPr>
        <w:t>16.5</w:t>
      </w:r>
      <w:r>
        <w:rPr>
          <w:rFonts w:hint="eastAsia" w:ascii="宋体" w:hAnsi="宋体" w:cs="宋体"/>
          <w:bCs/>
          <w:color w:val="auto"/>
          <w:sz w:val="24"/>
          <w:szCs w:val="24"/>
          <w:highlight w:val="none"/>
        </w:rPr>
        <w:t>投标人如存在下列情况之一的，将被拒绝在</w:t>
      </w:r>
      <w:r>
        <w:rPr>
          <w:rFonts w:hint="eastAsia" w:ascii="宋体" w:hAnsi="宋体" w:cs="宋体"/>
          <w:bCs/>
          <w:color w:val="auto"/>
          <w:sz w:val="24"/>
          <w:szCs w:val="24"/>
          <w:highlight w:val="none"/>
          <w:u w:val="single"/>
        </w:rPr>
        <w:t>1年内</w:t>
      </w:r>
      <w:r>
        <w:rPr>
          <w:rFonts w:hint="eastAsia" w:ascii="宋体" w:hAnsi="宋体" w:cs="宋体"/>
          <w:bCs/>
          <w:color w:val="auto"/>
          <w:sz w:val="24"/>
          <w:szCs w:val="24"/>
          <w:highlight w:val="none"/>
        </w:rPr>
        <w:t>参与招标人后续工程投标：</w:t>
      </w:r>
    </w:p>
    <w:p>
      <w:pPr>
        <w:spacing w:line="360" w:lineRule="auto"/>
        <w:ind w:firstLine="537" w:firstLineChars="224"/>
        <w:rPr>
          <w:rFonts w:ascii="宋体" w:hAnsi="宋体" w:cs="宋体"/>
          <w:bCs/>
          <w:color w:val="auto"/>
          <w:sz w:val="24"/>
          <w:szCs w:val="24"/>
          <w:highlight w:val="none"/>
        </w:rPr>
      </w:pPr>
      <w:r>
        <w:rPr>
          <w:rFonts w:hint="eastAsia" w:ascii="宋体" w:hAnsi="宋体" w:cs="宋体"/>
          <w:bCs/>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s="宋体"/>
          <w:bCs/>
          <w:color w:val="auto"/>
          <w:sz w:val="24"/>
          <w:szCs w:val="24"/>
          <w:highlight w:val="none"/>
        </w:rPr>
        <w:t>16.5.2采用非电子形式提交投标保证金的投标人存在16.4条款所列情形，且未按招标人要求补交银行保函、专业工程担保公司担保或保证保险原件的</w:t>
      </w:r>
      <w:r>
        <w:rPr>
          <w:rFonts w:hint="eastAsia" w:ascii="宋体" w:hAnsi="宋体"/>
          <w:color w:val="auto"/>
          <w:sz w:val="24"/>
          <w:szCs w:val="24"/>
          <w:highlight w:val="none"/>
        </w:rPr>
        <w:t>。</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17</w:t>
      </w:r>
      <w:r>
        <w:rPr>
          <w:rFonts w:hint="eastAsia" w:ascii="宋体" w:hAnsi="宋体" w:eastAsia="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s="宋体"/>
          <w:bCs/>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9"/>
        <w:snapToGrid w:val="0"/>
        <w:spacing w:before="156" w:after="156"/>
        <w:rPr>
          <w:color w:val="auto"/>
          <w:highlight w:val="none"/>
        </w:rPr>
      </w:pPr>
      <w:bookmarkStart w:id="13" w:name="_Toc2272552"/>
      <w:r>
        <w:rPr>
          <w:rFonts w:hint="eastAsia"/>
          <w:color w:val="auto"/>
          <w:highlight w:val="none"/>
        </w:rPr>
        <w:t>（四）投标文件的提交</w:t>
      </w:r>
      <w:bookmarkEnd w:id="13"/>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18</w:t>
      </w:r>
      <w:r>
        <w:rPr>
          <w:rFonts w:hint="eastAsia" w:ascii="宋体" w:hAnsi="宋体" w:eastAsia="宋体"/>
          <w:b/>
          <w:bCs/>
          <w:color w:val="auto"/>
          <w:sz w:val="24"/>
          <w:highlight w:val="none"/>
        </w:rPr>
        <w:t>．</w:t>
      </w:r>
      <w:r>
        <w:rPr>
          <w:rFonts w:hint="eastAsia" w:ascii="宋体" w:hAnsi="宋体" w:eastAsia="宋体"/>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递交的电子投标文件（不含备用光盘）必须进行加密。按照交易平台关于全流程电子化项目的相关指南进行操作。详见：广州公共资源交易中心网站</w:t>
      </w:r>
      <w:r>
        <w:rPr>
          <w:rFonts w:hint="eastAsia"/>
          <w:color w:val="auto"/>
          <w:sz w:val="24"/>
          <w:szCs w:val="24"/>
          <w:highlight w:val="none"/>
        </w:rPr>
        <w:t>。</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hint="eastAsia" w:ascii="宋体" w:hAnsi="宋体"/>
          <w:bCs/>
          <w:color w:val="auto"/>
          <w:sz w:val="24"/>
          <w:highlight w:val="none"/>
        </w:rPr>
        <w:t>未按要求加密的投标文件，</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交易平台将予以拒收</w:t>
      </w:r>
      <w:r>
        <w:rPr>
          <w:rFonts w:hint="eastAsia" w:ascii="宋体"/>
          <w:bCs/>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w:t>
      </w:r>
      <w:r>
        <w:rPr>
          <w:rFonts w:hint="eastAsia" w:ascii="宋体" w:hAnsi="宋体"/>
          <w:bCs/>
          <w:color w:val="auto"/>
          <w:sz w:val="24"/>
          <w:highlight w:val="none"/>
        </w:rPr>
        <w:t>投标文件的递交和接收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19.1投标人通过</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交易平台递交电子投标文件。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19.2投标人完成电子投标文件上传后，</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19.3逾期送达的电子投标文件，</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交易平台将予以拒收。</w:t>
      </w:r>
    </w:p>
    <w:p>
      <w:pPr>
        <w:spacing w:line="360" w:lineRule="auto"/>
        <w:ind w:firstLine="480" w:firstLineChars="200"/>
        <w:rPr>
          <w:rFonts w:ascii="宋体"/>
          <w:color w:val="auto"/>
          <w:sz w:val="24"/>
          <w:highlight w:val="none"/>
        </w:rPr>
      </w:pPr>
      <w:r>
        <w:rPr>
          <w:rFonts w:hint="eastAsia" w:ascii="宋体" w:hAnsi="宋体"/>
          <w:bCs/>
          <w:color w:val="auto"/>
          <w:sz w:val="24"/>
          <w:highlight w:val="none"/>
        </w:rPr>
        <w:t>19.4 投标截止前，招标人拒绝接收符合条件的投标文件，投标人可向招标投标监督机构投诉</w:t>
      </w:r>
      <w:r>
        <w:rPr>
          <w:rFonts w:hint="eastAsia" w:ascii="宋体" w:hAnsi="宋体"/>
          <w:color w:val="auto"/>
          <w:sz w:val="24"/>
          <w:szCs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本须知前附表第17项规定的投标截止时间后送达的电子投标文件，广州公共资源交易中心交易平台将予以拒收。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pPr>
        <w:pStyle w:val="9"/>
        <w:snapToGrid w:val="0"/>
        <w:spacing w:before="156" w:after="156"/>
        <w:rPr>
          <w:color w:val="auto"/>
          <w:highlight w:val="none"/>
        </w:rPr>
      </w:pPr>
      <w:bookmarkStart w:id="14" w:name="_Toc2272553"/>
      <w:r>
        <w:rPr>
          <w:rFonts w:hint="eastAsia"/>
          <w:color w:val="auto"/>
          <w:highlight w:val="none"/>
        </w:rPr>
        <w:t>（五）开标、评标、定标及合同签定</w:t>
      </w:r>
      <w:bookmarkEnd w:id="14"/>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27.1招标人将在广州公共资源交易中心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27.3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27.4在产生中标候选人后，招标人将中标候选人的投标文件商务部分文件的人员、业绩、奖项等资料在广州公共资源交易中心交易平台和广东省招标投标监管网公开。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28.4</w:t>
      </w:r>
      <w:r>
        <w:rPr>
          <w:rFonts w:hint="eastAsia" w:ascii="宋体" w:hAnsi="宋体" w:cs="宋体"/>
          <w:bCs/>
          <w:color w:val="auto"/>
          <w:sz w:val="24"/>
          <w:szCs w:val="24"/>
          <w:highlight w:val="none"/>
        </w:rPr>
        <w:t>招标人支付工程款时，中标人应</w:t>
      </w:r>
      <w:r>
        <w:rPr>
          <w:rFonts w:hint="eastAsia" w:ascii="宋体" w:hAnsi="宋体" w:cs="宋体"/>
          <w:color w:val="auto"/>
          <w:sz w:val="24"/>
          <w:szCs w:val="24"/>
          <w:highlight w:val="none"/>
        </w:rPr>
        <w:t>按规定开具</w:t>
      </w:r>
      <w:r>
        <w:rPr>
          <w:rFonts w:hint="eastAsia" w:ascii="宋体" w:hAnsi="宋体" w:cs="宋体"/>
          <w:bCs/>
          <w:color w:val="auto"/>
          <w:sz w:val="24"/>
          <w:szCs w:val="24"/>
          <w:highlight w:val="none"/>
          <w:u w:val="single"/>
        </w:rPr>
        <w:t>符合国家税务相关部门要求的</w:t>
      </w:r>
      <w:r>
        <w:rPr>
          <w:rFonts w:hint="eastAsia" w:ascii="宋体" w:hAnsi="宋体" w:cs="宋体"/>
          <w:bCs/>
          <w:color w:val="auto"/>
          <w:sz w:val="24"/>
          <w:szCs w:val="24"/>
          <w:highlight w:val="none"/>
        </w:rPr>
        <w:t>发票</w:t>
      </w:r>
      <w:r>
        <w:rPr>
          <w:rFonts w:hint="eastAsia" w:ascii="宋体" w:hAnsi="宋体"/>
          <w:color w:val="auto"/>
          <w:sz w:val="24"/>
          <w:szCs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32</w:t>
      </w:r>
      <w:r>
        <w:rPr>
          <w:rFonts w:hint="eastAsia" w:ascii="宋体" w:hAnsi="宋体" w:eastAsia="宋体"/>
          <w:b/>
          <w:bCs/>
          <w:color w:val="auto"/>
          <w:sz w:val="24"/>
          <w:highlight w:val="none"/>
        </w:rPr>
        <w:t>．腐败与欺诈行为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对本条款的规定，特定义如下词汇：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jc w:val="center"/>
        <w:rPr>
          <w:color w:val="auto"/>
          <w:highlight w:val="none"/>
        </w:rPr>
      </w:pPr>
      <w:r>
        <w:rPr>
          <w:rFonts w:ascii="宋体" w:hAnsi="宋体"/>
          <w:color w:val="auto"/>
          <w:sz w:val="24"/>
          <w:highlight w:val="none"/>
        </w:rPr>
        <w:br w:type="page"/>
      </w:r>
      <w:bookmarkStart w:id="15" w:name="_Toc2272554"/>
      <w:r>
        <w:rPr>
          <w:rFonts w:hint="eastAsia"/>
          <w:color w:val="auto"/>
          <w:highlight w:val="none"/>
        </w:rPr>
        <w:t>第二章开标、评标及定标办法</w:t>
      </w:r>
      <w:bookmarkEnd w:id="15"/>
    </w:p>
    <w:p>
      <w:pPr>
        <w:pStyle w:val="7"/>
        <w:rPr>
          <w:color w:val="auto"/>
          <w:highlight w:val="none"/>
        </w:rPr>
      </w:pPr>
      <w:bookmarkStart w:id="16" w:name="_Toc2272555"/>
      <w:r>
        <w:rPr>
          <w:rFonts w:hint="eastAsia"/>
          <w:color w:val="auto"/>
          <w:sz w:val="28"/>
          <w:szCs w:val="28"/>
          <w:highlight w:val="none"/>
        </w:rPr>
        <w:t>一、</w:t>
      </w:r>
      <w:r>
        <w:rPr>
          <w:rFonts w:hint="eastAsia"/>
          <w:color w:val="auto"/>
          <w:highlight w:val="none"/>
        </w:rPr>
        <w:t>开标、评标及定标办法修改表</w:t>
      </w:r>
      <w:bookmarkEnd w:id="16"/>
    </w:p>
    <w:p>
      <w:pPr>
        <w:pStyle w:val="5"/>
        <w:spacing w:after="0"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b/>
          <w:color w:val="auto"/>
          <w:szCs w:val="21"/>
          <w:highlight w:val="none"/>
        </w:rPr>
        <w:t>文不再有效。本招标文件中不再转录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ascii="宋体" w:hAnsi="宋体" w:eastAsia="宋体"/>
          <w:b/>
          <w:color w:val="auto"/>
          <w:szCs w:val="21"/>
          <w:highlight w:val="none"/>
        </w:rPr>
        <w:t>http://www.gzcc.gov.cn/</w:t>
      </w:r>
      <w:r>
        <w:rPr>
          <w:rStyle w:val="43"/>
          <w:rFonts w:hint="eastAsia" w:ascii="宋体" w:hAnsi="宋体" w:eastAsia="宋体"/>
          <w:b/>
          <w:color w:val="auto"/>
          <w:szCs w:val="21"/>
          <w:highlight w:val="none"/>
        </w:rPr>
        <w:t>）下载GZZB2018-3</w:t>
      </w:r>
      <w:r>
        <w:rPr>
          <w:rStyle w:val="43"/>
          <w:rFonts w:hint="eastAsia" w:ascii="宋体" w:hAnsi="宋体" w:eastAsia="宋体"/>
          <w:b/>
          <w:color w:val="auto"/>
          <w:szCs w:val="21"/>
          <w:highlight w:val="none"/>
        </w:rPr>
        <w:fldChar w:fldCharType="end"/>
      </w:r>
      <w:r>
        <w:rPr>
          <w:rFonts w:hint="eastAsia" w:ascii="宋体" w:hAnsi="宋体" w:eastAsia="宋体"/>
          <w:b/>
          <w:color w:val="auto"/>
          <w:szCs w:val="21"/>
          <w:highlight w:val="none"/>
        </w:rPr>
        <w:t>范本查阅。</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条款号：36.1             修改类型：修改</w:t>
      </w:r>
    </w:p>
    <w:p>
      <w:pPr>
        <w:spacing w:line="360" w:lineRule="auto"/>
        <w:ind w:firstLine="420" w:firstLineChars="200"/>
        <w:rPr>
          <w:rFonts w:ascii="宋体" w:hAnsi="宋体" w:cs="楷体"/>
          <w:b/>
          <w:color w:val="auto"/>
          <w:szCs w:val="21"/>
          <w:highlight w:val="none"/>
        </w:rPr>
      </w:pPr>
      <w:r>
        <w:rPr>
          <w:rFonts w:hint="eastAsia" w:ascii="宋体" w:hAnsi="宋体" w:cs="楷体"/>
          <w:b/>
          <w:color w:val="auto"/>
          <w:szCs w:val="21"/>
          <w:highlight w:val="none"/>
        </w:rPr>
        <w:t>原文：</w:t>
      </w:r>
      <w:r>
        <w:rPr>
          <w:rFonts w:hint="eastAsia" w:ascii="宋体" w:hAnsi="宋体" w:cs="楷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color w:val="auto"/>
          <w:szCs w:val="21"/>
          <w:highlight w:val="none"/>
        </w:rPr>
      </w:pPr>
      <w:r>
        <w:rPr>
          <w:rFonts w:hint="eastAsia" w:ascii="宋体" w:hAnsi="宋体" w:cs="楷体"/>
          <w:b/>
          <w:color w:val="auto"/>
          <w:szCs w:val="21"/>
          <w:highlight w:val="none"/>
        </w:rPr>
        <w:t>现文：</w:t>
      </w:r>
      <w:r>
        <w:rPr>
          <w:rFonts w:hint="eastAsia" w:ascii="宋体" w:hAnsi="宋体" w:cs="楷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36.3            修改类型：删除</w:t>
      </w:r>
    </w:p>
    <w:p>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color w:val="auto"/>
          <w:szCs w:val="21"/>
          <w:highlight w:val="none"/>
        </w:rPr>
      </w:pPr>
      <w:r>
        <w:rPr>
          <w:rFonts w:hint="eastAsia"/>
          <w:b/>
          <w:color w:val="auto"/>
          <w:szCs w:val="21"/>
          <w:highlight w:val="none"/>
        </w:rPr>
        <w:t>条款号：36.5.1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条款号：39.3             修改类型：修改</w:t>
      </w:r>
    </w:p>
    <w:p>
      <w:pPr>
        <w:pStyle w:val="5"/>
        <w:pBdr>
          <w:bottom w:val="single" w:color="auto" w:sz="4" w:space="1"/>
        </w:pBdr>
        <w:spacing w:after="0" w:line="360" w:lineRule="auto"/>
        <w:ind w:firstLine="420" w:firstLineChars="200"/>
        <w:rPr>
          <w:rFonts w:ascii="宋体" w:hAnsi="宋体" w:eastAsia="宋体"/>
          <w:color w:val="auto"/>
          <w:szCs w:val="21"/>
          <w:highlight w:val="none"/>
        </w:rPr>
      </w:pPr>
      <w:r>
        <w:rPr>
          <w:rFonts w:hint="eastAsia" w:ascii="宋体" w:hAnsi="宋体" w:eastAsia="宋体"/>
          <w:b/>
          <w:color w:val="auto"/>
          <w:szCs w:val="21"/>
          <w:highlight w:val="none"/>
        </w:rPr>
        <w:t>原文：</w:t>
      </w:r>
      <w:r>
        <w:rPr>
          <w:rFonts w:hint="eastAsia" w:ascii="宋体" w:hAnsi="宋体" w:eastAsia="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color w:val="auto"/>
          <w:kern w:val="0"/>
          <w:szCs w:val="21"/>
          <w:highlight w:val="none"/>
        </w:rPr>
      </w:pPr>
      <w:r>
        <w:rPr>
          <w:rFonts w:hint="eastAsia" w:ascii="宋体" w:hAnsi="宋体" w:eastAsia="宋体"/>
          <w:b/>
          <w:color w:val="auto"/>
          <w:szCs w:val="21"/>
          <w:highlight w:val="none"/>
        </w:rPr>
        <w:t>现文：</w:t>
      </w:r>
      <w:r>
        <w:rPr>
          <w:rFonts w:hint="eastAsia" w:ascii="宋体" w:hAnsi="宋体" w:eastAsia="宋体"/>
          <w:color w:val="auto"/>
          <w:szCs w:val="21"/>
          <w:highlight w:val="none"/>
        </w:rPr>
        <w:t>39.3排名第一的中标候选人放弃中标、或因不可抗力提出不能履行合同，或者招标文件规定应当提交履约担保而在规定的期限内未能提交的，或委派的项目负责人已在其他在建项目中任职、不符合任职数量规定时，招标人可以确定排名第二的中标候选人为中标人。</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条款号：（二）开标评标办法程序和细则             修改类型：删除</w:t>
      </w:r>
    </w:p>
    <w:p>
      <w:pPr>
        <w:pBdr>
          <w:bottom w:val="single" w:color="auto" w:sz="6" w:space="1"/>
        </w:pBdr>
        <w:spacing w:line="360" w:lineRule="auto"/>
        <w:ind w:firstLine="470" w:firstLineChars="224"/>
        <w:rPr>
          <w:rFonts w:ascii="宋体" w:hAnsi="宋体" w:cs="楷体"/>
          <w:bCs/>
          <w:color w:val="auto"/>
          <w:szCs w:val="21"/>
          <w:highlight w:val="none"/>
        </w:rPr>
      </w:pPr>
      <w:r>
        <w:rPr>
          <w:rFonts w:hint="eastAsia" w:ascii="宋体" w:hAnsi="宋体" w:cs="楷体"/>
          <w:b/>
          <w:color w:val="auto"/>
          <w:szCs w:val="21"/>
          <w:highlight w:val="none"/>
        </w:rPr>
        <w:t>原文：</w:t>
      </w:r>
      <w:r>
        <w:rPr>
          <w:rFonts w:hint="eastAsia" w:ascii="宋体" w:hAnsi="宋体" w:cs="楷体"/>
          <w:bCs/>
          <w:color w:val="auto"/>
          <w:szCs w:val="21"/>
          <w:highlight w:val="none"/>
        </w:rPr>
        <w:t>注：以下七种评标办法所述企业综合诚信评价分数即投标截止当日广州市工程招标代理行业协会网站上公布的企业综合诚信评价60日诚信分。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0" w:firstLineChars="200"/>
        <w:rPr>
          <w:b/>
          <w:color w:val="auto"/>
          <w:szCs w:val="21"/>
          <w:highlight w:val="none"/>
        </w:rPr>
      </w:pPr>
      <w:r>
        <w:rPr>
          <w:rFonts w:hint="eastAsia"/>
          <w:b/>
          <w:color w:val="auto"/>
          <w:szCs w:val="21"/>
          <w:highlight w:val="none"/>
        </w:rPr>
        <w:t>条款号：41.2.1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41.2.1投标截止期前，各投标人递交投标文件（包括技术标投标文件、经济标投标文件）至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46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条款号：41.2.3           修改类型：修改</w:t>
      </w:r>
    </w:p>
    <w:p>
      <w:pPr>
        <w:spacing w:line="460" w:lineRule="exact"/>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41.2.3开标时，投标人代表有权参加现场开标或</w:t>
      </w:r>
      <w:r>
        <w:rPr>
          <w:rFonts w:hint="eastAsia" w:ascii="宋体" w:hAnsi="宋体" w:cs="宋体"/>
          <w:bCs/>
          <w:color w:val="auto"/>
          <w:szCs w:val="21"/>
          <w:highlight w:val="none"/>
          <w:u w:val="single"/>
        </w:rPr>
        <w:t>在线开标</w:t>
      </w:r>
      <w:r>
        <w:rPr>
          <w:rFonts w:hint="eastAsia" w:ascii="宋体" w:hAnsi="宋体" w:cs="宋体"/>
          <w:bCs/>
          <w:color w:val="auto"/>
          <w:szCs w:val="21"/>
          <w:highlight w:val="none"/>
        </w:rPr>
        <w:t>，也可以自主决定不参加开标，若投标人代表对开标过程有异议的，</w:t>
      </w:r>
      <w:r>
        <w:rPr>
          <w:rFonts w:hint="eastAsia" w:ascii="宋体" w:hAnsi="宋体" w:cs="宋体"/>
          <w:bCs/>
          <w:color w:val="auto"/>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原文：42.2</w:t>
      </w:r>
      <w:r>
        <w:rPr>
          <w:rFonts w:hint="eastAsia" w:ascii="宋体" w:hAnsi="宋体" w:cs="宋体"/>
          <w:bCs/>
          <w:color w:val="auto"/>
          <w:szCs w:val="21"/>
          <w:highlight w:val="none"/>
        </w:rPr>
        <w:t>评标委员会的组成：方式。</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b/>
          <w:color w:val="auto"/>
          <w:szCs w:val="21"/>
          <w:highlight w:val="none"/>
        </w:rPr>
      </w:pPr>
      <w:r>
        <w:rPr>
          <w:rFonts w:hint="eastAsia" w:ascii="宋体" w:hAnsi="宋体" w:cs="宋体"/>
          <w:bCs/>
          <w:color w:val="auto"/>
          <w:szCs w:val="21"/>
          <w:highlight w:val="none"/>
        </w:rPr>
        <w:t>方式一：评标委员会为综合评标委员会，负责</w:t>
      </w:r>
      <w:r>
        <w:rPr>
          <w:color w:val="auto"/>
          <w:highlight w:val="none"/>
        </w:rPr>
        <w:t>资格审查及</w:t>
      </w:r>
      <w:r>
        <w:rPr>
          <w:rFonts w:hint="eastAsia" w:ascii="宋体" w:hAnsi="宋体" w:cs="宋体"/>
          <w:bCs/>
          <w:color w:val="auto"/>
          <w:szCs w:val="21"/>
          <w:highlight w:val="none"/>
        </w:rPr>
        <w:t>评标工作。</w:t>
      </w:r>
    </w:p>
    <w:p>
      <w:pPr>
        <w:spacing w:line="46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w:t>
      </w:r>
      <w:r>
        <w:rPr>
          <w:rFonts w:hint="eastAsia" w:ascii="宋体" w:hAnsi="宋体" w:cs="宋体"/>
          <w:b/>
          <w:color w:val="auto"/>
          <w:szCs w:val="21"/>
          <w:highlight w:val="none"/>
        </w:rPr>
        <w:t>3</w:t>
      </w:r>
      <w:r>
        <w:rPr>
          <w:rFonts w:ascii="宋体" w:hAnsi="宋体" w:cs="宋体"/>
          <w:b/>
          <w:color w:val="auto"/>
          <w:szCs w:val="21"/>
          <w:highlight w:val="none"/>
        </w:rPr>
        <w:t>.</w:t>
      </w:r>
      <w:r>
        <w:rPr>
          <w:rFonts w:hint="eastAsia" w:ascii="宋体" w:hAnsi="宋体" w:cs="宋体"/>
          <w:b/>
          <w:color w:val="auto"/>
          <w:szCs w:val="21"/>
          <w:highlight w:val="none"/>
        </w:rPr>
        <w:t>1              修改类型：修改</w:t>
      </w:r>
    </w:p>
    <w:p>
      <w:pPr>
        <w:pBdr>
          <w:bottom w:val="single" w:color="000000" w:sz="6" w:space="1"/>
        </w:pBdr>
        <w:spacing w:line="460" w:lineRule="exact"/>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43.1</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000000" w:sz="6" w:space="1"/>
        </w:pBdr>
        <w:spacing w:line="460" w:lineRule="exact"/>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43.1</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Cs/>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6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pBdr>
          <w:bottom w:val="single" w:color="000000" w:sz="6" w:space="1"/>
        </w:pBdr>
        <w:spacing w:line="460" w:lineRule="exact"/>
        <w:ind w:firstLine="420" w:firstLineChars="200"/>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44.1</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s="宋体"/>
          <w:bCs/>
          <w:color w:val="auto"/>
          <w:kern w:val="0"/>
          <w:szCs w:val="21"/>
          <w:highlight w:val="none"/>
        </w:rPr>
        <w:t>3名（当N个标段同时招标且不允许兼中时，若通过技术标有效性审查投标人不足N+2名），则本项目招标失败。</w:t>
      </w:r>
    </w:p>
    <w:p>
      <w:pPr>
        <w:pBdr>
          <w:bottom w:val="single" w:color="000000" w:sz="6" w:space="1"/>
        </w:pBdr>
        <w:spacing w:line="460" w:lineRule="exact"/>
        <w:ind w:firstLine="420" w:firstLineChars="200"/>
        <w:rPr>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color w:val="auto"/>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napToGrid w:val="0"/>
        <w:spacing w:after="0" w:line="360" w:lineRule="auto"/>
        <w:ind w:firstLine="420" w:firstLineChars="200"/>
        <w:rPr>
          <w:rFonts w:ascii="宋体" w:hAnsi="宋体" w:eastAsia="宋体"/>
          <w:color w:val="auto"/>
          <w:szCs w:val="21"/>
          <w:highlight w:val="none"/>
        </w:rPr>
      </w:pPr>
      <w:r>
        <w:rPr>
          <w:rFonts w:hint="eastAsia" w:ascii="宋体" w:hAnsi="宋体" w:eastAsia="宋体"/>
          <w:b/>
          <w:color w:val="auto"/>
          <w:szCs w:val="21"/>
          <w:highlight w:val="none"/>
        </w:rPr>
        <w:t>原文：</w:t>
      </w:r>
      <w:r>
        <w:rPr>
          <w:rFonts w:hint="eastAsia" w:ascii="宋体" w:hAnsi="宋体" w:eastAsia="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45.1若通过技术标有效性审查的投标人中有投标报价均大于等于最高投标限价*D%（D的取值范围为[94,100],由招标人自主确定）的（具体金额为：元），则本项目招标失败，由招标人依法重新招标。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45.2按方法计算评标参考价：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1026" name="图片 42"/>
            <wp:cNvGraphicFramePr/>
            <a:graphic xmlns:a="http://schemas.openxmlformats.org/drawingml/2006/main">
              <a:graphicData uri="http://schemas.openxmlformats.org/drawingml/2006/picture">
                <pic:pic xmlns:pic="http://schemas.openxmlformats.org/drawingml/2006/picture">
                  <pic:nvPicPr>
                    <pic:cNvPr id="1026" name="图片 42"/>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1027" name="图片 41"/>
            <wp:cNvGraphicFramePr/>
            <a:graphic xmlns:a="http://schemas.openxmlformats.org/drawingml/2006/main">
              <a:graphicData uri="http://schemas.openxmlformats.org/drawingml/2006/picture">
                <pic:pic xmlns:pic="http://schemas.openxmlformats.org/drawingml/2006/picture">
                  <pic:nvPicPr>
                    <pic:cNvPr id="1027" name="图片 41"/>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28" name="图片 40"/>
            <wp:cNvGraphicFramePr/>
            <a:graphic xmlns:a="http://schemas.openxmlformats.org/drawingml/2006/main">
              <a:graphicData uri="http://schemas.openxmlformats.org/drawingml/2006/picture">
                <pic:pic xmlns:pic="http://schemas.openxmlformats.org/drawingml/2006/picture">
                  <pic:nvPicPr>
                    <pic:cNvPr id="1028" name="图片 40"/>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29" name="图片 39"/>
            <wp:cNvGraphicFramePr/>
            <a:graphic xmlns:a="http://schemas.openxmlformats.org/drawingml/2006/main">
              <a:graphicData uri="http://schemas.openxmlformats.org/drawingml/2006/picture">
                <pic:pic xmlns:pic="http://schemas.openxmlformats.org/drawingml/2006/picture">
                  <pic:nvPicPr>
                    <pic:cNvPr id="1029" name="图片 39"/>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30" name="图片 38"/>
            <wp:cNvGraphicFramePr/>
            <a:graphic xmlns:a="http://schemas.openxmlformats.org/drawingml/2006/main">
              <a:graphicData uri="http://schemas.openxmlformats.org/drawingml/2006/picture">
                <pic:pic xmlns:pic="http://schemas.openxmlformats.org/drawingml/2006/picture">
                  <pic:nvPicPr>
                    <pic:cNvPr id="1030" name="图片 38"/>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31" name="图片 37"/>
            <wp:cNvGraphicFramePr/>
            <a:graphic xmlns:a="http://schemas.openxmlformats.org/drawingml/2006/main">
              <a:graphicData uri="http://schemas.openxmlformats.org/drawingml/2006/picture">
                <pic:pic xmlns:pic="http://schemas.openxmlformats.org/drawingml/2006/picture">
                  <pic:nvPicPr>
                    <pic:cNvPr id="1031" name="图片 37"/>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olor w:val="auto"/>
          <w:szCs w:val="21"/>
          <w:highlight w:val="none"/>
        </w:rPr>
      </w:pPr>
      <w:r>
        <w:rPr>
          <w:rFonts w:hint="eastAsia" w:ascii="宋体" w:hAnsi="宋体"/>
          <w:color w:val="auto"/>
          <w:szCs w:val="21"/>
          <w:highlight w:val="none"/>
        </w:rPr>
        <w:t>45.4</w:t>
      </w:r>
      <w:r>
        <w:rPr>
          <w:rFonts w:hint="eastAsia" w:ascii="宋体" w:hAnsi="宋体" w:eastAsia="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color w:val="auto"/>
          <w:szCs w:val="21"/>
          <w:highlight w:val="none"/>
        </w:rPr>
      </w:pPr>
      <w:r>
        <w:rPr>
          <w:rFonts w:hint="eastAsia" w:ascii="宋体" w:hAnsi="宋体" w:eastAsia="宋体"/>
          <w:b/>
          <w:color w:val="auto"/>
          <w:szCs w:val="21"/>
          <w:highlight w:val="none"/>
        </w:rPr>
        <w:t>现文：</w:t>
      </w:r>
      <w:r>
        <w:rPr>
          <w:rFonts w:hint="eastAsia" w:ascii="宋体" w:hAnsi="宋体" w:eastAsia="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45.1若通过技术标有效性审查的投标人中投标报价均大于等于最高投标限价*</w:t>
      </w:r>
      <w:r>
        <w:rPr>
          <w:rFonts w:hint="eastAsia" w:ascii="宋体" w:hAnsi="宋体" w:eastAsia="宋体"/>
          <w:color w:val="auto"/>
          <w:szCs w:val="21"/>
          <w:highlight w:val="none"/>
          <w:u w:val="single"/>
        </w:rPr>
        <w:t>D</w:t>
      </w:r>
      <w:r>
        <w:rPr>
          <w:rFonts w:hint="eastAsia" w:ascii="宋体" w:hAnsi="宋体" w:eastAsia="宋体"/>
          <w:color w:val="auto"/>
          <w:szCs w:val="21"/>
          <w:highlight w:val="none"/>
        </w:rPr>
        <w:t>%（D为100）的（具体金额为：593.678705万元），则本项目招标失败，由招标人依法重新招标。</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45.2按方法</w:t>
      </w:r>
      <w:r>
        <w:rPr>
          <w:rFonts w:hint="eastAsia" w:ascii="宋体" w:hAnsi="宋体" w:eastAsia="宋体"/>
          <w:color w:val="auto"/>
          <w:szCs w:val="21"/>
          <w:highlight w:val="none"/>
          <w:u w:val="single"/>
        </w:rPr>
        <w:t>一</w:t>
      </w:r>
      <w:r>
        <w:rPr>
          <w:rFonts w:hint="eastAsia" w:ascii="宋体" w:hAnsi="宋体" w:eastAsia="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技术标得分前N名（N=5；不足5名时，取所有通过技术标有效性审查的投标人个数）的经济报价加权平均，计算评标参考价。公式如下：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评标参考价=Σ（投标人的投标报价*报价权重）。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其中：报价权重的计算方法为：将前N名标人按技术分由高至低进行排序；第一名投标人的权重为（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1032" name="图片 36"/>
            <wp:cNvGraphicFramePr/>
            <a:graphic xmlns:a="http://schemas.openxmlformats.org/drawingml/2006/main">
              <a:graphicData uri="http://schemas.openxmlformats.org/drawingml/2006/picture">
                <pic:pic xmlns:pic="http://schemas.openxmlformats.org/drawingml/2006/picture">
                  <pic:nvPicPr>
                    <pic:cNvPr id="1032" name="图片 36"/>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1033" name="图片 35"/>
            <wp:cNvGraphicFramePr/>
            <a:graphic xmlns:a="http://schemas.openxmlformats.org/drawingml/2006/main">
              <a:graphicData uri="http://schemas.openxmlformats.org/drawingml/2006/picture">
                <pic:pic xmlns:pic="http://schemas.openxmlformats.org/drawingml/2006/picture">
                  <pic:nvPicPr>
                    <pic:cNvPr id="1033" name="图片 35"/>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34" name="图片 34"/>
            <wp:cNvGraphicFramePr/>
            <a:graphic xmlns:a="http://schemas.openxmlformats.org/drawingml/2006/main">
              <a:graphicData uri="http://schemas.openxmlformats.org/drawingml/2006/picture">
                <pic:pic xmlns:pic="http://schemas.openxmlformats.org/drawingml/2006/picture">
                  <pic:nvPicPr>
                    <pic:cNvPr id="1034" name="图片 34"/>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35" name="图片 33"/>
            <wp:cNvGraphicFramePr/>
            <a:graphic xmlns:a="http://schemas.openxmlformats.org/drawingml/2006/main">
              <a:graphicData uri="http://schemas.openxmlformats.org/drawingml/2006/picture">
                <pic:pic xmlns:pic="http://schemas.openxmlformats.org/drawingml/2006/picture">
                  <pic:nvPicPr>
                    <pic:cNvPr id="1035" name="图片 33"/>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36" name="图片 32"/>
            <wp:cNvGraphicFramePr/>
            <a:graphic xmlns:a="http://schemas.openxmlformats.org/drawingml/2006/main">
              <a:graphicData uri="http://schemas.openxmlformats.org/drawingml/2006/picture">
                <pic:pic xmlns:pic="http://schemas.openxmlformats.org/drawingml/2006/picture">
                  <pic:nvPicPr>
                    <pic:cNvPr id="1036" name="图片 32"/>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37" name="图片 31"/>
            <wp:cNvGraphicFramePr/>
            <a:graphic xmlns:a="http://schemas.openxmlformats.org/drawingml/2006/main">
              <a:graphicData uri="http://schemas.openxmlformats.org/drawingml/2006/picture">
                <pic:pic xmlns:pic="http://schemas.openxmlformats.org/drawingml/2006/picture">
                  <pic:nvPicPr>
                    <pic:cNvPr id="1037" name="图片 31"/>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技术标得分相同的，以报价较低的排前；如仍存在相同情况，则由评标委员会对出现该情况的投标人通过记名投票方式，以得票多的排前确定排序。</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45.3当标价等于评标参考价时得100分，评标价每高于评标参考价1%，扣</w:t>
      </w:r>
      <w:r>
        <w:rPr>
          <w:rFonts w:hint="eastAsia" w:ascii="宋体" w:hAnsi="宋体" w:cs="宋体"/>
          <w:color w:val="auto"/>
          <w:szCs w:val="21"/>
          <w:highlight w:val="none"/>
          <w:u w:val="single"/>
        </w:rPr>
        <w:t>0.5</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0.3</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投标人总得分=技术得分（20分）＋经济得分(100分)×经济得分权重（80%）。</w:t>
      </w:r>
      <w:r>
        <w:rPr>
          <w:rFonts w:hint="eastAsia" w:ascii="宋体" w:hAnsi="宋体" w:cs="宋体"/>
          <w:color w:val="auto"/>
          <w:szCs w:val="21"/>
          <w:highlight w:val="none"/>
        </w:rPr>
        <w:t>技术、经济得分权重按投标须知前附表的规定执行。总得分四舍五入保留两位小数。</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45.5总得分相同的投标文件，以技术分较高的排前；技术分得分相同的投标文件，以报价较低的排前；如仍存在相同情况，则对具有相同情况的投标人，由评标委员会采用投票方式，确定投标人的排序。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注：投票方式确定排序的具体操作步骤为：由评标会对出现该情况的投标人进行编号，然后通过投票方式依次确定投标人的排序。</w:t>
      </w:r>
    </w:p>
    <w:p>
      <w:pPr>
        <w:spacing w:line="46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w:t>
      </w:r>
      <w:r>
        <w:rPr>
          <w:rFonts w:hint="eastAsia" w:ascii="宋体" w:hAnsi="宋体" w:cs="宋体"/>
          <w:b/>
          <w:color w:val="auto"/>
          <w:szCs w:val="21"/>
          <w:highlight w:val="none"/>
        </w:rPr>
        <w:t>6</w:t>
      </w:r>
      <w:r>
        <w:rPr>
          <w:rFonts w:ascii="宋体" w:hAnsi="宋体" w:cs="宋体"/>
          <w:b/>
          <w:color w:val="auto"/>
          <w:szCs w:val="21"/>
          <w:highlight w:val="none"/>
        </w:rPr>
        <w:t>.</w:t>
      </w:r>
      <w:r>
        <w:rPr>
          <w:rFonts w:hint="eastAsia" w:ascii="宋体" w:hAnsi="宋体" w:cs="宋体"/>
          <w:b/>
          <w:color w:val="auto"/>
          <w:szCs w:val="21"/>
          <w:highlight w:val="none"/>
        </w:rPr>
        <w:t>1             修改类型：修改</w:t>
      </w:r>
    </w:p>
    <w:p>
      <w:pPr>
        <w:spacing w:line="460" w:lineRule="exact"/>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w:t>
      </w:r>
      <w:r>
        <w:rPr>
          <w:rFonts w:ascii="宋体" w:hAnsi="宋体" w:cs="宋体"/>
          <w:color w:val="auto"/>
          <w:szCs w:val="21"/>
          <w:highlight w:val="none"/>
          <w:u w:val="single"/>
        </w:rPr>
        <w:t>发现投标</w:t>
      </w:r>
      <w:r>
        <w:rPr>
          <w:rFonts w:hint="eastAsia" w:ascii="宋体" w:hAnsi="宋体" w:cs="宋体"/>
          <w:color w:val="auto"/>
          <w:szCs w:val="21"/>
          <w:highlight w:val="none"/>
          <w:u w:val="single"/>
        </w:rPr>
        <w:t>文件</w:t>
      </w:r>
      <w:r>
        <w:rPr>
          <w:rFonts w:ascii="宋体" w:hAnsi="宋体" w:cs="宋体"/>
          <w:color w:val="auto"/>
          <w:szCs w:val="21"/>
          <w:highlight w:val="none"/>
          <w:u w:val="single"/>
        </w:rPr>
        <w:t>中</w:t>
      </w:r>
      <w:r>
        <w:rPr>
          <w:rFonts w:hint="eastAsia" w:ascii="宋体" w:hAnsi="宋体" w:cs="宋体"/>
          <w:color w:val="auto"/>
          <w:szCs w:val="21"/>
          <w:highlight w:val="none"/>
          <w:u w:val="single"/>
        </w:rPr>
        <w:t>含义不明确</w:t>
      </w:r>
      <w:r>
        <w:rPr>
          <w:rFonts w:ascii="宋体" w:hAnsi="宋体" w:cs="宋体"/>
          <w:color w:val="auto"/>
          <w:szCs w:val="21"/>
          <w:highlight w:val="none"/>
          <w:u w:val="single"/>
        </w:rPr>
        <w:t>、对同类问题表述不一致、有明显</w:t>
      </w:r>
      <w:r>
        <w:rPr>
          <w:rFonts w:hint="eastAsia" w:ascii="宋体" w:hAnsi="宋体" w:cs="宋体"/>
          <w:color w:val="auto"/>
          <w:szCs w:val="21"/>
          <w:highlight w:val="none"/>
          <w:u w:val="single"/>
        </w:rPr>
        <w:t>文字</w:t>
      </w:r>
      <w:r>
        <w:rPr>
          <w:rFonts w:ascii="宋体" w:hAnsi="宋体" w:cs="宋体"/>
          <w:color w:val="auto"/>
          <w:szCs w:val="21"/>
          <w:highlight w:val="none"/>
          <w:u w:val="single"/>
        </w:rPr>
        <w:t>和计算错误</w:t>
      </w:r>
      <w:r>
        <w:rPr>
          <w:rFonts w:hint="eastAsia" w:ascii="宋体" w:hAnsi="宋体" w:cs="宋体"/>
          <w:color w:val="auto"/>
          <w:szCs w:val="21"/>
          <w:highlight w:val="none"/>
          <w:u w:val="single"/>
        </w:rPr>
        <w:t>、</w:t>
      </w:r>
      <w:r>
        <w:rPr>
          <w:rFonts w:ascii="宋体" w:hAnsi="宋体" w:cs="宋体"/>
          <w:color w:val="auto"/>
          <w:szCs w:val="21"/>
          <w:highlight w:val="none"/>
          <w:u w:val="single"/>
        </w:rPr>
        <w:t>投标报价可能低于成本影响履约的，应当</w:t>
      </w:r>
      <w:r>
        <w:rPr>
          <w:rFonts w:hint="eastAsia" w:ascii="宋体" w:hAnsi="宋体" w:cs="宋体"/>
          <w:color w:val="auto"/>
          <w:szCs w:val="21"/>
          <w:highlight w:val="none"/>
          <w:u w:val="single"/>
        </w:rPr>
        <w:t>要求</w:t>
      </w:r>
      <w:r>
        <w:rPr>
          <w:rFonts w:ascii="宋体" w:hAnsi="宋体" w:cs="宋体"/>
          <w:color w:val="auto"/>
          <w:szCs w:val="21"/>
          <w:highlight w:val="none"/>
          <w:u w:val="single"/>
        </w:rPr>
        <w:t>投标人作必要的澄清、说明</w:t>
      </w:r>
      <w:r>
        <w:rPr>
          <w:rFonts w:hint="eastAsia" w:ascii="宋体" w:hAnsi="宋体" w:cs="宋体"/>
          <w:color w:val="auto"/>
          <w:szCs w:val="21"/>
          <w:highlight w:val="none"/>
          <w:u w:val="single"/>
        </w:rPr>
        <w:t>后再判定投标人是否通过有效性审查</w:t>
      </w:r>
      <w:r>
        <w:rPr>
          <w:rFonts w:ascii="宋体" w:hAnsi="宋体" w:cs="宋体"/>
          <w:color w:val="auto"/>
          <w:szCs w:val="21"/>
          <w:highlight w:val="none"/>
          <w:u w:val="single"/>
        </w:rPr>
        <w:t>，不得直接否决投标</w:t>
      </w:r>
      <w:r>
        <w:rPr>
          <w:rFonts w:hint="eastAsia" w:ascii="宋体" w:hAnsi="宋体" w:cs="宋体"/>
          <w:color w:val="auto"/>
          <w:szCs w:val="21"/>
          <w:highlight w:val="none"/>
          <w:u w:val="single"/>
        </w:rPr>
        <w:t>。</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spacing w:line="360" w:lineRule="auto"/>
        <w:ind w:firstLine="415" w:firstLineChars="198"/>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rPr>
          <w:rFonts w:ascii="宋体" w:hAnsi="宋体" w:cs="宋体"/>
          <w:b/>
          <w:color w:val="auto"/>
          <w:szCs w:val="21"/>
          <w:highlight w:val="none"/>
        </w:rPr>
      </w:pPr>
    </w:p>
    <w:p>
      <w:pPr>
        <w:spacing w:line="360" w:lineRule="auto"/>
        <w:ind w:firstLine="210"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8"/>
        <w:spacing w:line="360" w:lineRule="auto"/>
        <w:rPr>
          <w:color w:val="auto"/>
          <w:highlight w:val="none"/>
        </w:rPr>
      </w:pPr>
      <w:r>
        <w:rPr>
          <w:color w:val="auto"/>
          <w:highlight w:val="none"/>
        </w:rPr>
        <w:br w:type="page"/>
      </w:r>
    </w:p>
    <w:p>
      <w:pPr>
        <w:pStyle w:val="7"/>
        <w:ind w:firstLine="525"/>
        <w:rPr>
          <w:color w:val="auto"/>
          <w:highlight w:val="none"/>
        </w:rPr>
      </w:pPr>
      <w:bookmarkStart w:id="17" w:name="_Toc2272556"/>
      <w:r>
        <w:rPr>
          <w:rFonts w:hint="eastAsia"/>
          <w:color w:val="auto"/>
          <w:highlight w:val="none"/>
        </w:rPr>
        <w:t>二、开标、评标及定标办法</w:t>
      </w:r>
      <w:r>
        <w:rPr>
          <w:rFonts w:hint="eastAsia"/>
          <w:color w:val="auto"/>
          <w:szCs w:val="30"/>
          <w:highlight w:val="none"/>
        </w:rPr>
        <w:t>通用条款</w:t>
      </w:r>
      <w:bookmarkEnd w:id="17"/>
    </w:p>
    <w:p>
      <w:pPr>
        <w:pStyle w:val="9"/>
        <w:snapToGrid w:val="0"/>
        <w:spacing w:before="156" w:after="156"/>
        <w:ind w:firstLine="540" w:firstLineChars="200"/>
        <w:rPr>
          <w:color w:val="auto"/>
          <w:highlight w:val="none"/>
        </w:rPr>
      </w:pPr>
      <w:bookmarkStart w:id="18" w:name="_Toc2272557"/>
      <w:r>
        <w:rPr>
          <w:rFonts w:hint="eastAsia"/>
          <w:color w:val="auto"/>
          <w:highlight w:val="none"/>
        </w:rPr>
        <w:t>（一）总则</w:t>
      </w:r>
      <w:bookmarkEnd w:id="18"/>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《评标委员会和评标方法暂行规定》（2013年修正）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《房屋建筑和市政基础设施工程施工招标投标管理办法》（2019年修正）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《广东省加强建设工程招标投标监督管理的若干规定》（粤发〔1995〕第15号）；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35.8本项目招标文件。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36.1</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广州公共资源交易中心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或委派的项目负责人已在其他在建项目中任职、不符合任职数量规定时，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9"/>
        <w:snapToGrid w:val="0"/>
        <w:spacing w:before="156" w:after="156"/>
        <w:ind w:firstLine="540" w:firstLineChars="200"/>
        <w:rPr>
          <w:color w:val="auto"/>
          <w:highlight w:val="none"/>
        </w:rPr>
      </w:pPr>
      <w:bookmarkStart w:id="19" w:name="_Toc2272558"/>
      <w:r>
        <w:rPr>
          <w:rFonts w:hint="eastAsia"/>
          <w:color w:val="auto"/>
          <w:highlight w:val="none"/>
        </w:rPr>
        <w:t>（二）开标评标办法程序和细则</w:t>
      </w:r>
      <w:bookmarkEnd w:id="1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注：以下七种评标办法所述企业综合诚信评价分数即投标截止当日广州市工程招标代理行业协会网站上公布的企业综合诚信评价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snapToGrid w:val="0"/>
        <w:spacing w:line="360" w:lineRule="auto"/>
        <w:rPr>
          <w:rFonts w:ascii="宋体" w:hAnsi="宋体"/>
          <w:color w:val="auto"/>
          <w:sz w:val="22"/>
          <w:highlight w:val="none"/>
        </w:rPr>
      </w:pPr>
    </w:p>
    <w:p>
      <w:pPr>
        <w:pStyle w:val="9"/>
        <w:snapToGrid w:val="0"/>
        <w:spacing w:before="156" w:after="156"/>
        <w:ind w:firstLine="540" w:firstLineChars="200"/>
        <w:rPr>
          <w:color w:val="auto"/>
          <w:highlight w:val="none"/>
        </w:rPr>
      </w:pPr>
      <w:bookmarkStart w:id="20" w:name="_Toc2272564"/>
      <w:r>
        <w:rPr>
          <w:rFonts w:hint="eastAsia"/>
          <w:color w:val="auto"/>
          <w:highlight w:val="none"/>
        </w:rPr>
        <w:t>可选办法七（适合综合评分法四，技术标与经济标同时开启）</w:t>
      </w:r>
      <w:bookmarkEnd w:id="20"/>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41.141.1 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41.2.141.2.1投标截止期前，各投标人递交投标文件（包括技术标投标文件、经济标投标文件）至广州公共资源交易中心交易平台。有关投标文件提交的事项详见第一章投标须知。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42.1资格审查及评标均由招标人依法组建的评标委员会负责。</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42.2评标委员会的组成：方式 一 。</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45.1若通过技术标有效性审查的投标人中投标报价均大于等于最高投标限价*</w:t>
      </w:r>
      <w:r>
        <w:rPr>
          <w:rFonts w:hint="eastAsia" w:ascii="宋体" w:hAnsi="宋体" w:eastAsia="宋体"/>
          <w:color w:val="auto"/>
          <w:sz w:val="24"/>
          <w:szCs w:val="24"/>
          <w:highlight w:val="none"/>
          <w:u w:val="single"/>
        </w:rPr>
        <w:t>D</w:t>
      </w:r>
      <w:r>
        <w:rPr>
          <w:rFonts w:hint="eastAsia" w:ascii="宋体" w:hAnsi="宋体" w:eastAsia="宋体"/>
          <w:color w:val="auto"/>
          <w:sz w:val="24"/>
          <w:szCs w:val="24"/>
          <w:highlight w:val="none"/>
        </w:rPr>
        <w:t>%（D为100）的（具体金额为：593.678705万元），则本项目招标失败，由招标人依法重新招标。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45.2按方法</w:t>
      </w:r>
      <w:r>
        <w:rPr>
          <w:rFonts w:hint="eastAsia" w:ascii="宋体" w:hAnsi="宋体" w:eastAsia="宋体"/>
          <w:color w:val="auto"/>
          <w:sz w:val="24"/>
          <w:szCs w:val="24"/>
          <w:highlight w:val="none"/>
          <w:u w:val="single"/>
        </w:rPr>
        <w:t>一</w:t>
      </w:r>
      <w:r>
        <w:rPr>
          <w:rFonts w:hint="eastAsia" w:ascii="宋体" w:hAnsi="宋体" w:eastAsia="宋体"/>
          <w:color w:val="auto"/>
          <w:sz w:val="24"/>
          <w:szCs w:val="24"/>
          <w:highlight w:val="none"/>
        </w:rPr>
        <w:t>计算评标参考价：</w:t>
      </w:r>
    </w:p>
    <w:p>
      <w:pPr>
        <w:widowControl/>
        <w:spacing w:line="360" w:lineRule="auto"/>
        <w:ind w:firstLine="480"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方法一：加权平均法</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技术标得分前N名（N=5；不足5名时，取所有通过技术标有效性审查的投标人个数）的经济报价加权平均，计算评标参考价。公式如下：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评标参考价=Σ（投标人的投标报价*报价权重）。</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其中：报价权重的计算方法为：将前N名标人按技术分由高至低进行排序；第一名投标人的权重为（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ascii="宋体" w:hAnsi="宋体" w:cs="宋体"/>
          <w:color w:val="auto"/>
          <w:sz w:val="24"/>
          <w:szCs w:val="24"/>
          <w:highlight w:val="none"/>
        </w:rPr>
        <w:drawing>
          <wp:inline distT="0" distB="0" distL="0" distR="0">
            <wp:extent cx="381000" cy="447675"/>
            <wp:effectExtent l="0" t="0" r="0" b="8890"/>
            <wp:docPr id="1" name="图片 36"/>
            <wp:cNvGraphicFramePr/>
            <a:graphic xmlns:a="http://schemas.openxmlformats.org/drawingml/2006/main">
              <a:graphicData uri="http://schemas.openxmlformats.org/drawingml/2006/picture">
                <pic:pic xmlns:pic="http://schemas.openxmlformats.org/drawingml/2006/picture">
                  <pic:nvPicPr>
                    <pic:cNvPr id="1" name="图片 36"/>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 w:val="24"/>
          <w:szCs w:val="24"/>
          <w:highlight w:val="none"/>
        </w:rPr>
        <w:fldChar w:fldCharType="separate"/>
      </w:r>
      <w:r>
        <w:rPr>
          <w:rFonts w:ascii="宋体" w:hAnsi="宋体" w:cs="宋体"/>
          <w:color w:val="auto"/>
          <w:sz w:val="24"/>
          <w:szCs w:val="24"/>
          <w:highlight w:val="none"/>
        </w:rPr>
        <w:drawing>
          <wp:inline distT="0" distB="0" distL="0" distR="0">
            <wp:extent cx="381000" cy="447675"/>
            <wp:effectExtent l="0" t="0" r="0" b="9525"/>
            <wp:docPr id="2" name="图片 35"/>
            <wp:cNvGraphicFramePr/>
            <a:graphic xmlns:a="http://schemas.openxmlformats.org/drawingml/2006/main">
              <a:graphicData uri="http://schemas.openxmlformats.org/drawingml/2006/picture">
                <pic:pic xmlns:pic="http://schemas.openxmlformats.org/drawingml/2006/picture">
                  <pic:nvPicPr>
                    <pic:cNvPr id="2" name="图片 35"/>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），第二名投标人的权重为（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ascii="宋体" w:hAnsi="宋体" w:cs="宋体"/>
          <w:color w:val="auto"/>
          <w:position w:val="-23"/>
          <w:sz w:val="24"/>
          <w:szCs w:val="24"/>
          <w:highlight w:val="none"/>
        </w:rPr>
        <w:drawing>
          <wp:inline distT="0" distB="0" distL="0" distR="0">
            <wp:extent cx="314325" cy="400050"/>
            <wp:effectExtent l="0" t="0" r="9525" b="0"/>
            <wp:docPr id="3" name="图片 34"/>
            <wp:cNvGraphicFramePr/>
            <a:graphic xmlns:a="http://schemas.openxmlformats.org/drawingml/2006/main">
              <a:graphicData uri="http://schemas.openxmlformats.org/drawingml/2006/picture">
                <pic:pic xmlns:pic="http://schemas.openxmlformats.org/drawingml/2006/picture">
                  <pic:nvPicPr>
                    <pic:cNvPr id="3" name="图片 34"/>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 w:val="24"/>
          <w:szCs w:val="24"/>
          <w:highlight w:val="none"/>
        </w:rPr>
        <w:fldChar w:fldCharType="separate"/>
      </w:r>
      <w:r>
        <w:rPr>
          <w:rFonts w:ascii="宋体" w:hAnsi="宋体" w:cs="宋体"/>
          <w:color w:val="auto"/>
          <w:position w:val="-23"/>
          <w:sz w:val="24"/>
          <w:szCs w:val="24"/>
          <w:highlight w:val="none"/>
        </w:rPr>
        <w:drawing>
          <wp:inline distT="0" distB="0" distL="0" distR="0">
            <wp:extent cx="314325" cy="400050"/>
            <wp:effectExtent l="0" t="0" r="9525" b="0"/>
            <wp:docPr id="4" name="图片 33"/>
            <wp:cNvGraphicFramePr/>
            <a:graphic xmlns:a="http://schemas.openxmlformats.org/drawingml/2006/main">
              <a:graphicData uri="http://schemas.openxmlformats.org/drawingml/2006/picture">
                <pic:pic xmlns:pic="http://schemas.openxmlformats.org/drawingml/2006/picture">
                  <pic:nvPicPr>
                    <pic:cNvPr id="4" name="图片 33"/>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），以此类推，最后一名投标人的权重为（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ascii="宋体" w:hAnsi="宋体" w:cs="宋体"/>
          <w:color w:val="auto"/>
          <w:position w:val="-23"/>
          <w:sz w:val="24"/>
          <w:szCs w:val="24"/>
          <w:highlight w:val="none"/>
        </w:rPr>
        <w:drawing>
          <wp:inline distT="0" distB="0" distL="0" distR="0">
            <wp:extent cx="314325" cy="400050"/>
            <wp:effectExtent l="0" t="0" r="9525" b="0"/>
            <wp:docPr id="5" name="图片 32"/>
            <wp:cNvGraphicFramePr/>
            <a:graphic xmlns:a="http://schemas.openxmlformats.org/drawingml/2006/main">
              <a:graphicData uri="http://schemas.openxmlformats.org/drawingml/2006/picture">
                <pic:pic xmlns:pic="http://schemas.openxmlformats.org/drawingml/2006/picture">
                  <pic:nvPicPr>
                    <pic:cNvPr id="5" name="图片 32"/>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 w:val="24"/>
          <w:szCs w:val="24"/>
          <w:highlight w:val="none"/>
        </w:rPr>
        <w:fldChar w:fldCharType="separate"/>
      </w:r>
      <w:r>
        <w:rPr>
          <w:rFonts w:ascii="宋体" w:hAnsi="宋体" w:cs="宋体"/>
          <w:color w:val="auto"/>
          <w:position w:val="-23"/>
          <w:sz w:val="24"/>
          <w:szCs w:val="24"/>
          <w:highlight w:val="none"/>
        </w:rPr>
        <w:drawing>
          <wp:inline distT="0" distB="0" distL="0" distR="0">
            <wp:extent cx="314325" cy="400050"/>
            <wp:effectExtent l="0" t="0" r="9525" b="0"/>
            <wp:docPr id="6" name="图片 31"/>
            <wp:cNvGraphicFramePr/>
            <a:graphic xmlns:a="http://schemas.openxmlformats.org/drawingml/2006/main">
              <a:graphicData uri="http://schemas.openxmlformats.org/drawingml/2006/picture">
                <pic:pic xmlns:pic="http://schemas.openxmlformats.org/drawingml/2006/picture">
                  <pic:nvPicPr>
                    <pic:cNvPr id="6" name="图片 31"/>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pBdr>
          <w:bottom w:val="single" w:color="auto" w:sz="6" w:space="1"/>
        </w:pBdr>
        <w:spacing w:line="360" w:lineRule="auto"/>
        <w:ind w:firstLine="600" w:firstLineChars="25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技术标得分相同的，以报价较低的排前；如仍存在相同情况，则由评标委员会对出现该情况的投标人通过记名投票方式，以得票多的排前确定排序。</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45.3当标价等于评标参考价时得100分，评标价每高于评标参考价1%，扣</w:t>
      </w:r>
      <w:r>
        <w:rPr>
          <w:rFonts w:hint="eastAsia" w:ascii="宋体" w:hAnsi="宋体" w:cs="宋体"/>
          <w:color w:val="auto"/>
          <w:sz w:val="24"/>
          <w:szCs w:val="24"/>
          <w:highlight w:val="none"/>
          <w:u w:val="single"/>
        </w:rPr>
        <w:t>0.5</w:t>
      </w:r>
      <w:r>
        <w:rPr>
          <w:rFonts w:hint="eastAsia" w:ascii="宋体" w:hAnsi="宋体" w:cs="宋体"/>
          <w:color w:val="auto"/>
          <w:sz w:val="24"/>
          <w:szCs w:val="24"/>
          <w:highlight w:val="none"/>
        </w:rPr>
        <w:t>分，每低于评标参考价1%，扣</w:t>
      </w:r>
      <w:r>
        <w:rPr>
          <w:rFonts w:hint="eastAsia" w:ascii="宋体" w:hAnsi="宋体" w:cs="宋体"/>
          <w:color w:val="auto"/>
          <w:sz w:val="24"/>
          <w:szCs w:val="24"/>
          <w:highlight w:val="none"/>
          <w:u w:val="single"/>
        </w:rPr>
        <w:t>0.3</w:t>
      </w:r>
      <w:r>
        <w:rPr>
          <w:rFonts w:hint="eastAsia" w:ascii="宋体" w:hAnsi="宋体" w:cs="宋体"/>
          <w:color w:val="auto"/>
          <w:sz w:val="24"/>
          <w:szCs w:val="24"/>
          <w:highlight w:val="none"/>
        </w:rPr>
        <w:t>分，扣至0分为止，得出经济分，精确到小数点后两位。</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w:t>
      </w:r>
      <w:r>
        <w:rPr>
          <w:rFonts w:hint="eastAsia" w:ascii="宋体" w:hAnsi="宋体" w:cs="宋体"/>
          <w:color w:val="auto"/>
          <w:sz w:val="24"/>
          <w:szCs w:val="24"/>
          <w:highlight w:val="none"/>
          <w:u w:val="single"/>
        </w:rPr>
        <w:t>投标人总得分=技术得分（20分）＋经济得分(100分)×经济得分权重（80%）。</w:t>
      </w:r>
      <w:r>
        <w:rPr>
          <w:rFonts w:hint="eastAsia" w:ascii="宋体" w:hAnsi="宋体" w:cs="宋体"/>
          <w:color w:val="auto"/>
          <w:sz w:val="24"/>
          <w:szCs w:val="24"/>
          <w:highlight w:val="none"/>
        </w:rPr>
        <w:t>技术、经济得分权重按投标须知前附表的规定执行。总得分四舍五入保留两位小数。</w:t>
      </w:r>
    </w:p>
    <w:p>
      <w:pPr>
        <w:pBdr>
          <w:bottom w:val="single" w:color="auto" w:sz="6" w:space="1"/>
        </w:pBdr>
        <w:spacing w:line="360" w:lineRule="auto"/>
        <w:ind w:firstLine="600" w:firstLineChars="25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45.5总得分相同的投标文件，以技术分较高的排前；技术分得分相同的投标文件，以报价较低的排前；如仍存在相同情况，则对具有相同情况的投标人，由评标委员会采用投票方式，确定投标人的排序。</w:t>
      </w:r>
    </w:p>
    <w:p>
      <w:pPr>
        <w:pBdr>
          <w:bottom w:val="single" w:color="auto" w:sz="6" w:space="1"/>
        </w:pBdr>
        <w:spacing w:line="360" w:lineRule="auto"/>
        <w:ind w:firstLine="600" w:firstLineChars="250"/>
        <w:rPr>
          <w:rFonts w:ascii="宋体" w:hAnsi="宋体"/>
          <w:color w:val="auto"/>
          <w:sz w:val="24"/>
          <w:szCs w:val="24"/>
          <w:highlight w:val="none"/>
        </w:rPr>
      </w:pPr>
      <w:r>
        <w:rPr>
          <w:rFonts w:hint="eastAsia" w:ascii="宋体" w:hAnsi="宋体" w:cs="宋体"/>
          <w:color w:val="auto"/>
          <w:sz w:val="24"/>
          <w:szCs w:val="24"/>
          <w:highlight w:val="none"/>
          <w:u w:val="single"/>
        </w:rPr>
        <w:t>注：投票方式确定排序的具体操作步骤为：由评标会对出现该情况的投标人进行编号，然后通过投票方式依次确定投标人的排序。</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8.评标委员会应在通过投标文件经济标有效性审查的投标人中，按步骤45.4、45.5确定的投标人第二阶段排序，推荐前3名依次为第一中标候选人至第三中标候选人,并编制评标报告。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rPr>
          <w:rFonts w:ascii="宋体" w:hAnsi="宋体"/>
          <w:color w:val="auto"/>
          <w:sz w:val="24"/>
          <w:szCs w:val="24"/>
          <w:highlight w:val="none"/>
        </w:rPr>
      </w:pPr>
    </w:p>
    <w:p>
      <w:pPr>
        <w:widowControl/>
        <w:jc w:val="left"/>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b/>
          <w:color w:val="auto"/>
          <w:szCs w:val="21"/>
          <w:highlight w:val="none"/>
        </w:rPr>
      </w:pPr>
      <w:r>
        <w:rPr>
          <w:rFonts w:hint="eastAsia"/>
          <w:b/>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napToGrid w:val="0"/>
        <w:spacing w:line="360" w:lineRule="auto"/>
        <w:rPr>
          <w:color w:val="auto"/>
          <w:sz w:val="24"/>
          <w:szCs w:val="24"/>
          <w:highlight w:val="none"/>
        </w:rPr>
      </w:pPr>
      <w:r>
        <w:rPr>
          <w:rFonts w:hint="eastAsia"/>
          <w:color w:val="auto"/>
          <w:sz w:val="24"/>
          <w:szCs w:val="24"/>
          <w:highlight w:val="none"/>
        </w:rPr>
        <w:t>工程名称：</w:t>
      </w:r>
    </w:p>
    <w:p>
      <w:pPr>
        <w:snapToGrid w:val="0"/>
        <w:spacing w:line="360" w:lineRule="auto"/>
        <w:rPr>
          <w:color w:val="auto"/>
          <w:sz w:val="24"/>
          <w:szCs w:val="24"/>
          <w:highlight w:val="none"/>
        </w:rPr>
      </w:pPr>
      <w:r>
        <w:rPr>
          <w:rFonts w:hint="eastAsia"/>
          <w:color w:val="auto"/>
          <w:sz w:val="24"/>
          <w:szCs w:val="24"/>
          <w:highlight w:val="none"/>
        </w:rPr>
        <w:t>投标人名称：</w:t>
      </w:r>
    </w:p>
    <w:tbl>
      <w:tblPr>
        <w:tblStyle w:val="36"/>
        <w:tblW w:w="90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545"/>
        <w:gridCol w:w="371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投标人具有独立法人资格，按国家法律经营</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投标人持有建设行政主管部门颁发的企业资质证书及安全生产许可证；投标人资质符合公告要求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建筑工程专业贰级或以上级别的注册建造师（不包括建造师临时执业证书）。（取自平台内上传件）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w:t>
            </w:r>
            <w:r>
              <w:rPr>
                <w:rFonts w:hint="eastAsia"/>
                <w:color w:val="auto"/>
                <w:highlight w:val="none"/>
              </w:rPr>
              <w:t>生产</w:t>
            </w:r>
            <w:r>
              <w:rPr>
                <w:rFonts w:hint="eastAsia" w:ascii="宋体" w:hAnsi="宋体"/>
                <w:color w:val="auto"/>
                <w:szCs w:val="21"/>
                <w:highlight w:val="none"/>
              </w:rPr>
              <w:t>考核合格证（B类）或建筑施工企业项目负责人安全生产考核合格证</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w:t>
            </w:r>
            <w:r>
              <w:rPr>
                <w:rFonts w:hint="eastAsia"/>
                <w:color w:val="auto"/>
                <w:highlight w:val="none"/>
              </w:rPr>
              <w:t>生产</w:t>
            </w:r>
            <w:r>
              <w:rPr>
                <w:rFonts w:hint="eastAsia" w:ascii="宋体" w:hAnsi="宋体"/>
                <w:color w:val="auto"/>
                <w:szCs w:val="21"/>
                <w:highlight w:val="none"/>
              </w:rPr>
              <w:t>考核合格证（B证）或建筑施工企业项目负责人安全生产考核合格证在广州市住建行业信用管理平台内上传件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投标人拟担任专职安全员须具有安全生产考核合格证（C类）或建筑施工企业专职安全生产管理人员安全生产考核合格证（C3）</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专职安全员的安全生产考核合格证（C类）或建筑施工企业专职安全生产管理人员安全生产考核合格证（C3）在广州市住建行业信用管理平台内上传件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8</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olor w:val="auto"/>
                <w:szCs w:val="21"/>
                <w:highlight w:val="none"/>
              </w:rPr>
              <w:t>11</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trike/>
                <w:color w:val="auto"/>
                <w:szCs w:val="21"/>
                <w:highlight w:val="none"/>
                <w:u w:val="single"/>
              </w:rPr>
            </w:pPr>
            <w:r>
              <w:rPr>
                <w:rFonts w:hint="eastAsia" w:ascii="宋体" w:hAnsi="宋体"/>
                <w:strike/>
                <w:color w:val="auto"/>
                <w:szCs w:val="21"/>
                <w:highlight w:val="none"/>
              </w:rPr>
              <w:t>提供联合体工作协议。投标人拟任本工程项目负责人应为主办方正式员工。联合体工作协议应明确约定各方拟承担的工作和责任（如有）</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trike/>
                <w:color w:val="auto"/>
                <w:szCs w:val="21"/>
                <w:highlight w:val="none"/>
                <w:u w:val="single"/>
              </w:rPr>
            </w:pPr>
            <w:r>
              <w:rPr>
                <w:rFonts w:hint="eastAsia" w:ascii="宋体" w:hAnsi="宋体"/>
                <w:strike/>
                <w:color w:val="auto"/>
                <w:szCs w:val="21"/>
                <w:highlight w:val="none"/>
              </w:rPr>
              <w:t>联合体工作协议；项目负责人为主办方正式员工在信用管理平台内信息</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资格审查前，投标人（若为联合体，指联合体各方）须在广州市住房和城乡建设局建立企业信用档案及拟担任本工程项目负责人、专职安全员须是本企业中的在册人员</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投标人在广州市住建行业信用管理平台内企业信用档案的企业和人员信息</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ascii="宋体" w:hAnsi="宋体"/>
                <w:strike/>
                <w:color w:val="auto"/>
                <w:szCs w:val="21"/>
                <w:highlight w:val="none"/>
              </w:rPr>
              <w:t>1</w:t>
            </w:r>
            <w:r>
              <w:rPr>
                <w:rFonts w:hint="eastAsia" w:ascii="宋体" w:hAnsi="宋体"/>
                <w:strike/>
                <w:color w:val="auto"/>
                <w:szCs w:val="21"/>
                <w:highlight w:val="none"/>
              </w:rPr>
              <w:t>3</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hint="eastAsia" w:ascii="宋体" w:hAnsi="宋体"/>
                <w:strike/>
                <w:color w:val="auto"/>
                <w:szCs w:val="21"/>
                <w:highlight w:val="none"/>
                <w:u w:val="single"/>
              </w:rPr>
              <w:t>（规格）</w:t>
            </w:r>
            <w:r>
              <w:rPr>
                <w:rFonts w:hint="eastAsia" w:ascii="宋体" w:hAnsi="宋体"/>
                <w:strike/>
                <w:color w:val="auto"/>
                <w:szCs w:val="21"/>
                <w:highlight w:val="none"/>
              </w:rPr>
              <w:t>沥青摊铺机台（如有）</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olor w:val="auto"/>
                <w:szCs w:val="21"/>
                <w:highlight w:val="none"/>
              </w:rPr>
              <w:t>14</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olor w:val="auto"/>
                <w:szCs w:val="21"/>
                <w:highlight w:val="none"/>
              </w:rPr>
              <w:t>未被列入拖欠农民工工资失信联合惩戒对象名单</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16</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s="宋体"/>
                <w:strike/>
                <w:color w:val="auto"/>
                <w:szCs w:val="21"/>
                <w:highlight w:val="none"/>
              </w:rPr>
              <w:t>未被纳入失信联合惩戒名单且被限制参加财政投资工程或政府投资工程或建设工程投标的（具体名单以递交投标文件截止时间“信用广州”https://credit1.gz.gov.cn/sgs/sgsXkNew公布的“失信黑名单”为准）</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s="宋体"/>
                <w:strike/>
                <w:color w:val="auto"/>
                <w:szCs w:val="21"/>
                <w:highlight w:val="none"/>
              </w:rPr>
              <w:t>投标人无需提供资料，按交易系统比对的结果进行评审</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p>
    <w:p>
      <w:pPr>
        <w:spacing w:line="360" w:lineRule="auto"/>
        <w:ind w:firstLine="470" w:firstLineChars="224"/>
        <w:rPr>
          <w:color w:val="auto"/>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360" w:lineRule="auto"/>
        <w:ind w:firstLine="470" w:firstLineChars="224"/>
        <w:rPr>
          <w:rFonts w:ascii="宋体" w:hAnsi="宋体"/>
          <w:color w:val="auto"/>
          <w:szCs w:val="21"/>
          <w:highlight w:val="none"/>
        </w:rPr>
        <w:sectPr>
          <w:footerReference r:id="rId3" w:type="default"/>
          <w:footerReference r:id="rId4" w:type="even"/>
          <w:endnotePr>
            <w:numFmt w:val="decimal"/>
          </w:endnotePr>
          <w:pgSz w:w="11906" w:h="16838"/>
          <w:pgMar w:top="1276" w:right="1418" w:bottom="1247" w:left="1418" w:header="851" w:footer="907" w:gutter="0"/>
          <w:pgNumType w:start="0"/>
          <w:cols w:space="720" w:num="1"/>
          <w:titlePg/>
          <w:docGrid w:type="linesAndChars" w:linePitch="312" w:charSpace="0"/>
        </w:sectPr>
      </w:pPr>
      <w:r>
        <w:rPr>
          <w:rFonts w:hint="eastAsia"/>
          <w:color w:val="auto"/>
          <w:highlight w:val="none"/>
        </w:rPr>
        <w:t>3</w:t>
      </w:r>
      <w:r>
        <w:rPr>
          <w:rFonts w:hint="eastAsia" w:ascii="宋体" w:hAnsi="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b/>
          <w:color w:val="auto"/>
          <w:szCs w:val="21"/>
          <w:highlight w:val="none"/>
        </w:rPr>
      </w:pPr>
      <w:r>
        <w:rPr>
          <w:rFonts w:hint="eastAsia"/>
          <w:b/>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599"/>
        <w:gridCol w:w="1418"/>
        <w:gridCol w:w="1559"/>
        <w:gridCol w:w="1418"/>
        <w:gridCol w:w="1275"/>
        <w:gridCol w:w="127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5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不符合招标文件要求的质量标准；</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在技术投标文件中涉及本工程项目投标报价的；（本条适用于技术标和经济标分别开启的招标项目）</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投标文件未按规定的格式(格式二、八、十)填写，或主要内容不全，或关键字迹模糊、无法辨认的；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strike/>
                <w:color w:val="auto"/>
                <w:szCs w:val="21"/>
                <w:highlight w:val="none"/>
              </w:rPr>
              <w:t>投标人未按要求提交投标保证金的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ascii="仿宋" w:hAnsi="仿宋" w:eastAsia="仿宋" w:cs="宋体"/>
          <w:b/>
          <w:bCs/>
          <w:color w:val="auto"/>
          <w:kern w:val="0"/>
          <w:sz w:val="22"/>
          <w:highlight w:val="none"/>
        </w:rPr>
        <w:t>不</w:t>
      </w:r>
      <w:r>
        <w:rPr>
          <w:rFonts w:hint="eastAsia" w:ascii="宋体" w:hAnsi="宋体"/>
          <w:color w:val="auto"/>
          <w:szCs w:val="21"/>
          <w:highlight w:val="none"/>
        </w:rPr>
        <w:t>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snapToGrid w:val="0"/>
        <w:rPr>
          <w:color w:val="auto"/>
          <w:szCs w:val="21"/>
          <w:highlight w:val="none"/>
        </w:rPr>
      </w:pPr>
      <w:r>
        <w:rPr>
          <w:color w:val="auto"/>
          <w:highlight w:val="none"/>
        </w:rPr>
        <w:br w:type="page"/>
      </w:r>
      <w:r>
        <w:rPr>
          <w:rFonts w:hint="eastAsia"/>
          <w:b/>
          <w:color w:val="auto"/>
          <w:szCs w:val="21"/>
          <w:highlight w:val="none"/>
        </w:rPr>
        <w:t>附表三</w:t>
      </w:r>
    </w:p>
    <w:p>
      <w:pPr>
        <w:snapToGrid w:val="0"/>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181"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433"/>
        <w:gridCol w:w="1066"/>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3"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投标文件未按规定的格式（格式二、三、四）填写，或主要内容不全，或关键字迹模糊、无法辨认的；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w:t>
            </w:r>
          </w:p>
          <w:p>
            <w:pPr>
              <w:rPr>
                <w:rFonts w:ascii="宋体" w:hAnsi="宋体"/>
                <w:color w:val="auto"/>
                <w:szCs w:val="21"/>
                <w:highlight w:val="none"/>
              </w:rPr>
            </w:pPr>
            <w:r>
              <w:rPr>
                <w:rFonts w:hint="eastAsia" w:ascii="宋体" w:hAnsi="宋体"/>
                <w:color w:val="auto"/>
                <w:szCs w:val="21"/>
                <w:highlight w:val="none"/>
              </w:rPr>
              <w:t>信息一致的（以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eastAsia="宋体"/>
          <w:color w:val="auto"/>
          <w:szCs w:val="21"/>
          <w:highlight w:val="none"/>
        </w:rPr>
        <w:sectPr>
          <w:endnotePr>
            <w:numFmt w:val="decimal"/>
          </w:endnotePr>
          <w:pgSz w:w="16838" w:h="11906" w:orient="landscape"/>
          <w:pgMar w:top="1247" w:right="1247" w:bottom="1247" w:left="1134" w:header="851" w:footer="907" w:gutter="0"/>
          <w:cols w:space="720" w:num="1"/>
          <w:titlePg/>
          <w:docGrid w:type="linesAndChars" w:linePitch="312" w:charSpace="0"/>
        </w:sectPr>
      </w:pPr>
      <w:r>
        <w:rPr>
          <w:rFonts w:hint="eastAsia" w:ascii="宋体" w:hAnsi="宋体" w:eastAsia="宋体"/>
          <w:color w:val="auto"/>
          <w:szCs w:val="21"/>
          <w:highlight w:val="none"/>
        </w:rPr>
        <w:t>评委签名：</w:t>
      </w:r>
    </w:p>
    <w:p>
      <w:pPr>
        <w:rPr>
          <w:b/>
          <w:color w:val="auto"/>
          <w:szCs w:val="21"/>
          <w:highlight w:val="none"/>
        </w:rPr>
      </w:pPr>
      <w:r>
        <w:rPr>
          <w:rFonts w:hint="eastAsia"/>
          <w:b/>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36"/>
        <w:tblW w:w="1512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215"/>
        <w:gridCol w:w="930"/>
        <w:gridCol w:w="11475"/>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1505" w:type="dxa"/>
            <w:tcBorders>
              <w:top w:val="single" w:color="auto" w:sz="8" w:space="0"/>
              <w:left w:val="single" w:color="auto" w:sz="8"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评分项目</w:t>
            </w:r>
          </w:p>
        </w:tc>
        <w:tc>
          <w:tcPr>
            <w:tcW w:w="1215" w:type="dxa"/>
            <w:tcBorders>
              <w:top w:val="single" w:color="auto" w:sz="8" w:space="0"/>
              <w:left w:val="single" w:color="auto" w:sz="4"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评分内容</w:t>
            </w:r>
          </w:p>
        </w:tc>
        <w:tc>
          <w:tcPr>
            <w:tcW w:w="930" w:type="dxa"/>
            <w:tcBorders>
              <w:top w:val="single" w:color="auto" w:sz="8" w:space="0"/>
              <w:left w:val="single" w:color="auto" w:sz="4"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分值</w:t>
            </w:r>
          </w:p>
        </w:tc>
        <w:tc>
          <w:tcPr>
            <w:tcW w:w="11475" w:type="dxa"/>
            <w:tcBorders>
              <w:top w:val="single" w:color="auto" w:sz="8" w:space="0"/>
              <w:left w:val="single" w:color="auto" w:sz="4"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05" w:type="dxa"/>
            <w:vMerge w:val="restart"/>
            <w:tcBorders>
              <w:top w:val="single" w:color="auto" w:sz="4" w:space="0"/>
              <w:left w:val="single" w:color="auto" w:sz="8" w:space="0"/>
              <w:right w:val="single" w:color="auto" w:sz="4" w:space="0"/>
            </w:tcBorders>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企业资信（20分）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auto"/>
                <w:szCs w:val="21"/>
                <w:highlight w:val="none"/>
              </w:rPr>
            </w:pPr>
            <w:r>
              <w:rPr>
                <w:rFonts w:hint="eastAsia" w:ascii="宋体" w:hAnsi="宋体" w:cs="宋体"/>
                <w:color w:val="auto"/>
                <w:kern w:val="0"/>
                <w:szCs w:val="21"/>
                <w:highlight w:val="none"/>
              </w:rPr>
              <w:t>类似业绩</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14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lang w:val="zh-CN"/>
              </w:rPr>
            </w:pPr>
            <w:r>
              <w:rPr>
                <w:rFonts w:hint="eastAsia" w:ascii="宋体" w:hAnsi="宋体" w:cs="宋体"/>
                <w:color w:val="auto"/>
                <w:szCs w:val="21"/>
                <w:highlight w:val="none"/>
                <w:lang w:val="zh-CN"/>
              </w:rPr>
              <w:t>投标人2019年1月1日至投标截止完成过质量合格且金额大于或等于</w:t>
            </w:r>
            <w:r>
              <w:rPr>
                <w:rFonts w:hint="eastAsia" w:ascii="宋体" w:hAnsi="宋体" w:cs="宋体"/>
                <w:color w:val="auto"/>
                <w:szCs w:val="21"/>
                <w:highlight w:val="none"/>
                <w:lang w:val="en-US" w:eastAsia="zh-CN"/>
              </w:rPr>
              <w:t>350</w:t>
            </w:r>
            <w:r>
              <w:rPr>
                <w:rFonts w:hint="eastAsia" w:ascii="宋体" w:hAnsi="宋体" w:cs="宋体"/>
                <w:color w:val="auto"/>
                <w:szCs w:val="21"/>
                <w:highlight w:val="none"/>
                <w:lang w:val="zh-CN"/>
              </w:rPr>
              <w:t>万元的建筑工程施工总承包业绩的：</w:t>
            </w:r>
          </w:p>
          <w:p>
            <w:pPr>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完成业绩的数量为15项（含）或以上的，得</w:t>
            </w:r>
            <w:r>
              <w:rPr>
                <w:rFonts w:hint="eastAsia" w:ascii="宋体" w:hAnsi="宋体" w:cs="宋体"/>
                <w:color w:val="auto"/>
                <w:szCs w:val="21"/>
                <w:highlight w:val="none"/>
              </w:rPr>
              <w:t>5</w:t>
            </w:r>
            <w:r>
              <w:rPr>
                <w:rFonts w:hint="eastAsia" w:ascii="宋体" w:hAnsi="宋体" w:cs="宋体"/>
                <w:color w:val="auto"/>
                <w:szCs w:val="21"/>
                <w:highlight w:val="none"/>
                <w:lang w:val="zh-CN"/>
              </w:rPr>
              <w:t>分；</w:t>
            </w:r>
          </w:p>
          <w:p>
            <w:pPr>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完成业绩的数量为9（不含）至14项（含）的，得</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p>
            <w:pPr>
              <w:rPr>
                <w:rFonts w:ascii="宋体" w:hAnsi="宋体" w:cs="宋体"/>
                <w:color w:val="auto"/>
                <w:szCs w:val="21"/>
                <w:highlight w:val="none"/>
                <w:lang w:val="zh-CN"/>
              </w:rPr>
            </w:pPr>
            <w:r>
              <w:rPr>
                <w:rFonts w:hint="eastAsia" w:ascii="宋体" w:hAnsi="宋体" w:cs="宋体"/>
                <w:color w:val="auto"/>
                <w:szCs w:val="21"/>
                <w:highlight w:val="none"/>
                <w:lang w:val="zh-CN"/>
              </w:rPr>
              <w:t>3、完成业绩的数量为5（不含）至9项（含）的，得</w:t>
            </w:r>
            <w:r>
              <w:rPr>
                <w:rFonts w:hint="eastAsia" w:ascii="宋体" w:hAnsi="宋体" w:cs="宋体"/>
                <w:color w:val="auto"/>
                <w:szCs w:val="21"/>
                <w:highlight w:val="none"/>
              </w:rPr>
              <w:t>1</w:t>
            </w:r>
            <w:r>
              <w:rPr>
                <w:rFonts w:hint="eastAsia" w:ascii="宋体" w:hAnsi="宋体" w:cs="宋体"/>
                <w:color w:val="auto"/>
                <w:szCs w:val="21"/>
                <w:highlight w:val="none"/>
                <w:lang w:val="zh-CN"/>
              </w:rPr>
              <w:t>分；</w:t>
            </w:r>
          </w:p>
          <w:p>
            <w:pPr>
              <w:rPr>
                <w:rFonts w:ascii="宋体" w:hAnsi="宋体" w:cs="宋体"/>
                <w:color w:val="auto"/>
                <w:szCs w:val="21"/>
                <w:highlight w:val="none"/>
                <w:lang w:val="zh-CN"/>
              </w:rPr>
            </w:pPr>
            <w:r>
              <w:rPr>
                <w:rFonts w:hint="eastAsia" w:ascii="宋体" w:hAnsi="宋体" w:cs="宋体"/>
                <w:color w:val="auto"/>
                <w:szCs w:val="21"/>
                <w:highlight w:val="none"/>
                <w:lang w:val="zh-CN"/>
              </w:rPr>
              <w:t>4、完成业绩的数量为1至5项（含）的，得</w:t>
            </w:r>
            <w:r>
              <w:rPr>
                <w:rFonts w:hint="eastAsia" w:ascii="宋体" w:hAnsi="宋体" w:cs="宋体"/>
                <w:color w:val="auto"/>
                <w:szCs w:val="21"/>
                <w:highlight w:val="none"/>
              </w:rPr>
              <w:t>0.5</w:t>
            </w:r>
            <w:r>
              <w:rPr>
                <w:rFonts w:hint="eastAsia" w:ascii="宋体" w:hAnsi="宋体" w:cs="宋体"/>
                <w:color w:val="auto"/>
                <w:szCs w:val="21"/>
                <w:highlight w:val="none"/>
                <w:lang w:val="zh-CN"/>
              </w:rPr>
              <w:t>分；</w:t>
            </w:r>
          </w:p>
          <w:p>
            <w:pPr>
              <w:rPr>
                <w:rFonts w:asciiTheme="minorEastAsia" w:hAnsiTheme="minorEastAsia" w:eastAsiaTheme="minorEastAsia"/>
                <w:color w:val="auto"/>
                <w:highlight w:val="none"/>
              </w:rPr>
            </w:pPr>
            <w:r>
              <w:rPr>
                <w:rFonts w:hint="eastAsia" w:ascii="宋体" w:hAnsi="宋体" w:cs="宋体"/>
                <w:color w:val="auto"/>
                <w:szCs w:val="21"/>
                <w:highlight w:val="none"/>
                <w:lang w:val="zh-CN"/>
              </w:rPr>
              <w:t>5、其他情况不得分，</w:t>
            </w:r>
            <w:r>
              <w:rPr>
                <w:rFonts w:hint="eastAsia" w:ascii="宋体" w:hAnsi="宋体" w:cs="宋体"/>
                <w:color w:val="auto"/>
                <w:szCs w:val="21"/>
                <w:highlight w:val="none"/>
              </w:rPr>
              <w:t>本项最多得5分。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505" w:type="dxa"/>
            <w:vMerge w:val="continue"/>
            <w:tcBorders>
              <w:left w:val="single" w:color="auto" w:sz="8" w:space="0"/>
              <w:right w:val="single" w:color="auto" w:sz="4" w:space="0"/>
            </w:tcBorders>
            <w:vAlign w:val="center"/>
          </w:tcPr>
          <w:p>
            <w:pPr>
              <w:jc w:val="cente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宋体" w:hAnsi="宋体" w:cs="宋体"/>
                <w:color w:val="auto"/>
                <w:szCs w:val="21"/>
                <w:highlight w:val="none"/>
              </w:rPr>
              <w:t>工程获奖</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147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宋体" w:hAnsi="宋体" w:cs="宋体"/>
                <w:color w:val="auto"/>
                <w:szCs w:val="21"/>
                <w:highlight w:val="none"/>
                <w:lang w:val="zh-CN"/>
              </w:rPr>
              <w:t>投标人201</w:t>
            </w:r>
            <w:r>
              <w:rPr>
                <w:rFonts w:hint="eastAsia" w:ascii="宋体" w:hAnsi="宋体" w:cs="宋体"/>
                <w:color w:val="auto"/>
                <w:szCs w:val="21"/>
                <w:highlight w:val="none"/>
              </w:rPr>
              <w:t>9</w:t>
            </w:r>
            <w:r>
              <w:rPr>
                <w:rFonts w:hint="eastAsia" w:ascii="宋体" w:hAnsi="宋体" w:cs="宋体"/>
                <w:color w:val="auto"/>
                <w:szCs w:val="21"/>
                <w:highlight w:val="none"/>
                <w:lang w:val="zh-CN"/>
              </w:rPr>
              <w:t>年1月1日至投标截止时间止，完成过的房屋建筑工程项目：获得过国家级</w:t>
            </w:r>
            <w:r>
              <w:rPr>
                <w:rFonts w:hint="eastAsia" w:ascii="宋体" w:hAnsi="宋体" w:cs="宋体"/>
                <w:color w:val="auto"/>
                <w:szCs w:val="21"/>
                <w:highlight w:val="none"/>
              </w:rPr>
              <w:t>质量</w:t>
            </w:r>
            <w:r>
              <w:rPr>
                <w:rFonts w:hint="eastAsia" w:ascii="宋体" w:hAnsi="宋体" w:cs="宋体"/>
                <w:color w:val="auto"/>
                <w:szCs w:val="21"/>
                <w:highlight w:val="none"/>
                <w:lang w:val="zh-CN"/>
              </w:rPr>
              <w:t>奖</w:t>
            </w:r>
            <w:r>
              <w:rPr>
                <w:rFonts w:hint="eastAsia" w:ascii="宋体" w:hAnsi="宋体" w:cs="宋体"/>
                <w:color w:val="auto"/>
                <w:szCs w:val="21"/>
                <w:highlight w:val="none"/>
              </w:rPr>
              <w:t>项</w:t>
            </w:r>
            <w:r>
              <w:rPr>
                <w:rFonts w:hint="eastAsia" w:ascii="宋体" w:hAnsi="宋体" w:cs="宋体"/>
                <w:color w:val="auto"/>
                <w:szCs w:val="21"/>
                <w:highlight w:val="none"/>
                <w:lang w:val="zh-CN"/>
              </w:rPr>
              <w:t>的，每项得2分；获得过省级</w:t>
            </w:r>
            <w:r>
              <w:rPr>
                <w:rFonts w:hint="eastAsia" w:ascii="宋体" w:hAnsi="宋体" w:cs="宋体"/>
                <w:color w:val="auto"/>
                <w:szCs w:val="21"/>
                <w:highlight w:val="none"/>
              </w:rPr>
              <w:t>质量</w:t>
            </w:r>
            <w:r>
              <w:rPr>
                <w:rFonts w:hint="eastAsia" w:ascii="宋体" w:hAnsi="宋体" w:cs="宋体"/>
                <w:color w:val="auto"/>
                <w:szCs w:val="21"/>
                <w:highlight w:val="none"/>
                <w:lang w:val="zh-CN"/>
              </w:rPr>
              <w:t>奖</w:t>
            </w:r>
            <w:r>
              <w:rPr>
                <w:rFonts w:hint="eastAsia" w:ascii="宋体" w:hAnsi="宋体" w:cs="宋体"/>
                <w:color w:val="auto"/>
                <w:szCs w:val="21"/>
                <w:highlight w:val="none"/>
              </w:rPr>
              <w:t>项</w:t>
            </w:r>
            <w:r>
              <w:rPr>
                <w:rFonts w:hint="eastAsia" w:ascii="宋体" w:hAnsi="宋体" w:cs="宋体"/>
                <w:color w:val="auto"/>
                <w:szCs w:val="21"/>
                <w:highlight w:val="none"/>
                <w:lang w:val="zh-CN"/>
              </w:rPr>
              <w:t>的，每项得1分；获得过市级</w:t>
            </w:r>
            <w:r>
              <w:rPr>
                <w:rFonts w:hint="eastAsia" w:ascii="宋体" w:hAnsi="宋体" w:cs="宋体"/>
                <w:color w:val="auto"/>
                <w:szCs w:val="21"/>
                <w:highlight w:val="none"/>
              </w:rPr>
              <w:t>质量</w:t>
            </w:r>
            <w:r>
              <w:rPr>
                <w:rFonts w:hint="eastAsia" w:ascii="宋体" w:hAnsi="宋体" w:cs="宋体"/>
                <w:color w:val="auto"/>
                <w:szCs w:val="21"/>
                <w:highlight w:val="none"/>
                <w:lang w:val="zh-CN"/>
              </w:rPr>
              <w:t>奖</w:t>
            </w:r>
            <w:r>
              <w:rPr>
                <w:rFonts w:hint="eastAsia" w:ascii="宋体" w:hAnsi="宋体" w:cs="宋体"/>
                <w:color w:val="auto"/>
                <w:szCs w:val="21"/>
                <w:highlight w:val="none"/>
              </w:rPr>
              <w:t>项</w:t>
            </w:r>
            <w:r>
              <w:rPr>
                <w:rFonts w:hint="eastAsia" w:ascii="宋体" w:hAnsi="宋体" w:cs="宋体"/>
                <w:color w:val="auto"/>
                <w:szCs w:val="21"/>
                <w:highlight w:val="none"/>
                <w:lang w:val="zh-CN"/>
              </w:rPr>
              <w:t>的，每项得0.5分。本项最多得</w:t>
            </w:r>
            <w:r>
              <w:rPr>
                <w:rFonts w:hint="eastAsia" w:ascii="宋体" w:hAnsi="宋体" w:cs="宋体"/>
                <w:color w:val="auto"/>
                <w:szCs w:val="21"/>
                <w:highlight w:val="none"/>
              </w:rPr>
              <w:t>4</w:t>
            </w:r>
            <w:r>
              <w:rPr>
                <w:rFonts w:hint="eastAsia" w:ascii="宋体" w:hAnsi="宋体" w:cs="宋体"/>
                <w:color w:val="auto"/>
                <w:szCs w:val="21"/>
                <w:highlight w:val="none"/>
                <w:lang w:val="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505" w:type="dxa"/>
            <w:vMerge w:val="continue"/>
            <w:tcBorders>
              <w:left w:val="single" w:color="auto" w:sz="8" w:space="0"/>
              <w:right w:val="single" w:color="auto" w:sz="4" w:space="0"/>
            </w:tcBorders>
            <w:vAlign w:val="center"/>
          </w:tcPr>
          <w:p>
            <w:pPr>
              <w:jc w:val="cente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Theme="minorEastAsia" w:hAnsiTheme="minorEastAsia" w:eastAsiaTheme="minorEastAsia"/>
                <w:color w:val="auto"/>
                <w:szCs w:val="21"/>
                <w:highlight w:val="none"/>
              </w:rPr>
            </w:pPr>
            <w:r>
              <w:rPr>
                <w:rFonts w:hint="eastAsia" w:ascii="宋体" w:hAnsi="宋体" w:cs="宋体"/>
                <w:color w:val="auto"/>
                <w:kern w:val="0"/>
                <w:szCs w:val="21"/>
                <w:highlight w:val="none"/>
              </w:rPr>
              <w:t>企业研发能力</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14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投标人自201</w:t>
            </w:r>
            <w:r>
              <w:rPr>
                <w:rFonts w:hint="eastAsia" w:ascii="宋体" w:hAnsi="宋体" w:cs="宋体"/>
                <w:color w:val="auto"/>
                <w:szCs w:val="21"/>
                <w:highlight w:val="none"/>
              </w:rPr>
              <w:t>9</w:t>
            </w:r>
            <w:r>
              <w:rPr>
                <w:rFonts w:hint="eastAsia" w:ascii="宋体" w:hAnsi="宋体" w:cs="宋体"/>
                <w:color w:val="auto"/>
                <w:szCs w:val="21"/>
                <w:highlight w:val="none"/>
                <w:lang w:val="zh-CN"/>
              </w:rPr>
              <w:t>年1月1日至投标截止时间止，参与编制过建筑工程类国家（或行业）标准（或规范或规程）的，每项得</w:t>
            </w:r>
            <w:r>
              <w:rPr>
                <w:rFonts w:hint="eastAsia" w:ascii="宋体" w:hAnsi="宋体" w:cs="宋体"/>
                <w:color w:val="auto"/>
                <w:szCs w:val="21"/>
                <w:highlight w:val="none"/>
              </w:rPr>
              <w:t>1</w:t>
            </w:r>
            <w:r>
              <w:rPr>
                <w:rFonts w:hint="eastAsia" w:ascii="宋体" w:hAnsi="宋体" w:cs="宋体"/>
                <w:color w:val="auto"/>
                <w:szCs w:val="21"/>
                <w:highlight w:val="none"/>
                <w:lang w:val="zh-CN"/>
              </w:rPr>
              <w:t>分，本小项最多得</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p>
            <w:pPr>
              <w:pStyle w:val="2"/>
              <w:rPr>
                <w:rFonts w:hAnsi="宋体" w:cs="宋体"/>
                <w:color w:val="auto"/>
                <w:szCs w:val="21"/>
                <w:highlight w:val="none"/>
                <w:lang w:bidi="ar"/>
              </w:rPr>
            </w:pPr>
            <w:r>
              <w:rPr>
                <w:rFonts w:hint="eastAsia" w:hAnsi="宋体" w:cs="宋体"/>
                <w:color w:val="auto"/>
                <w:szCs w:val="21"/>
                <w:highlight w:val="none"/>
                <w:lang w:bidi="ar"/>
              </w:rPr>
              <w:t>2、投标人自2019年1月1日至投标截止时间止，获得过国家级科学技术进步奖的得1分；没有的不得分。本小项最多得1分；</w:t>
            </w:r>
          </w:p>
          <w:p>
            <w:pPr>
              <w:rPr>
                <w:color w:val="auto"/>
                <w:highlight w:val="none"/>
              </w:rPr>
            </w:pPr>
            <w:r>
              <w:rPr>
                <w:rFonts w:hint="eastAsia" w:ascii="宋体" w:hAnsi="宋体" w:cs="宋体"/>
                <w:color w:val="auto"/>
                <w:szCs w:val="21"/>
                <w:highlight w:val="none"/>
                <w:lang w:bidi="ar"/>
              </w:rPr>
              <w:t>注：本项最高得4分。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505" w:type="dxa"/>
            <w:vMerge w:val="continue"/>
            <w:tcBorders>
              <w:left w:val="single" w:color="auto" w:sz="8" w:space="0"/>
              <w:right w:val="single" w:color="auto" w:sz="4" w:space="0"/>
            </w:tcBorders>
            <w:vAlign w:val="center"/>
          </w:tcPr>
          <w:p>
            <w:pP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宋体" w:hAnsi="宋体" w:cs="宋体"/>
                <w:color w:val="auto"/>
                <w:szCs w:val="21"/>
                <w:highlight w:val="none"/>
              </w:rPr>
              <w:t>第三方评价</w:t>
            </w:r>
          </w:p>
        </w:tc>
        <w:tc>
          <w:tcPr>
            <w:tcW w:w="93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3</w:t>
            </w:r>
          </w:p>
        </w:tc>
        <w:tc>
          <w:tcPr>
            <w:tcW w:w="11475"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宋体" w:hAnsi="宋体" w:cs="宋体"/>
                <w:color w:val="auto"/>
                <w:szCs w:val="21"/>
                <w:highlight w:val="none"/>
                <w:lang w:val="zh-CN"/>
              </w:rPr>
              <w:t>投标人获得省级或以上建设行政主管部门或工程行业相关协会颁发的“工程建设企业信用星级”证书，信用星级认定在10星或以上的，得</w:t>
            </w:r>
            <w:r>
              <w:rPr>
                <w:rFonts w:hint="eastAsia" w:ascii="宋体" w:hAnsi="宋体" w:cs="宋体"/>
                <w:color w:val="auto"/>
                <w:szCs w:val="21"/>
                <w:highlight w:val="none"/>
              </w:rPr>
              <w:t>3</w:t>
            </w:r>
            <w:r>
              <w:rPr>
                <w:rFonts w:hint="eastAsia" w:ascii="宋体" w:hAnsi="宋体" w:cs="宋体"/>
                <w:color w:val="auto"/>
                <w:szCs w:val="21"/>
                <w:highlight w:val="none"/>
                <w:lang w:val="zh-CN"/>
              </w:rPr>
              <w:t>分；6-9星的，得</w:t>
            </w:r>
            <w:r>
              <w:rPr>
                <w:rFonts w:hint="eastAsia" w:ascii="宋体" w:hAnsi="宋体" w:cs="宋体"/>
                <w:color w:val="auto"/>
                <w:szCs w:val="21"/>
                <w:highlight w:val="none"/>
              </w:rPr>
              <w:t>2</w:t>
            </w:r>
            <w:r>
              <w:rPr>
                <w:rFonts w:hint="eastAsia" w:ascii="宋体" w:hAnsi="宋体" w:cs="宋体"/>
                <w:color w:val="auto"/>
                <w:szCs w:val="21"/>
                <w:highlight w:val="none"/>
                <w:lang w:val="zh-CN"/>
              </w:rPr>
              <w:t>分；1-5星的，得1分； 没有的不得分。本项最多得</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505" w:type="dxa"/>
            <w:vMerge w:val="continue"/>
            <w:tcBorders>
              <w:left w:val="single" w:color="auto" w:sz="8" w:space="0"/>
              <w:bottom w:val="single" w:color="auto" w:sz="4" w:space="0"/>
              <w:right w:val="single" w:color="auto" w:sz="4" w:space="0"/>
            </w:tcBorders>
            <w:vAlign w:val="center"/>
          </w:tcPr>
          <w:p>
            <w:pP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财务指标</w:t>
            </w:r>
          </w:p>
        </w:tc>
        <w:tc>
          <w:tcPr>
            <w:tcW w:w="93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1475" w:type="dxa"/>
            <w:tcBorders>
              <w:top w:val="single" w:color="auto" w:sz="4" w:space="0"/>
              <w:left w:val="single" w:color="auto" w:sz="4" w:space="0"/>
              <w:right w:val="single" w:color="auto" w:sz="4" w:space="0"/>
            </w:tcBorders>
            <w:vAlign w:val="center"/>
          </w:tcPr>
          <w:p>
            <w:pPr>
              <w:rPr>
                <w:rFonts w:ascii="宋体" w:hAnsi="宋体" w:cs="宋体"/>
                <w:color w:val="auto"/>
                <w:szCs w:val="21"/>
                <w:highlight w:val="none"/>
                <w:lang w:val="zh-CN"/>
              </w:rPr>
            </w:pPr>
            <w:r>
              <w:rPr>
                <w:rFonts w:hint="eastAsia" w:ascii="宋体" w:hAnsi="宋体" w:cs="宋体"/>
                <w:color w:val="auto"/>
                <w:szCs w:val="21"/>
                <w:highlight w:val="none"/>
                <w:lang w:val="zh-CN"/>
              </w:rPr>
              <w:t>投标人近3年（20</w:t>
            </w:r>
            <w:r>
              <w:rPr>
                <w:rFonts w:hint="eastAsia" w:ascii="宋体" w:hAnsi="宋体" w:cs="宋体"/>
                <w:color w:val="auto"/>
                <w:szCs w:val="21"/>
                <w:highlight w:val="none"/>
              </w:rPr>
              <w:t>20</w:t>
            </w:r>
            <w:r>
              <w:rPr>
                <w:rFonts w:hint="eastAsia" w:ascii="宋体" w:hAnsi="宋体" w:cs="宋体"/>
                <w:color w:val="auto"/>
                <w:szCs w:val="21"/>
                <w:highlight w:val="none"/>
                <w:lang w:val="zh-CN"/>
              </w:rPr>
              <w:t>年、20</w:t>
            </w:r>
            <w:r>
              <w:rPr>
                <w:rFonts w:hint="eastAsia" w:ascii="宋体" w:hAnsi="宋体" w:cs="宋体"/>
                <w:color w:val="auto"/>
                <w:szCs w:val="21"/>
                <w:highlight w:val="none"/>
              </w:rPr>
              <w:t>21</w:t>
            </w:r>
            <w:r>
              <w:rPr>
                <w:rFonts w:hint="eastAsia" w:ascii="宋体" w:hAnsi="宋体" w:cs="宋体"/>
                <w:color w:val="auto"/>
                <w:szCs w:val="21"/>
                <w:highlight w:val="none"/>
                <w:lang w:val="zh-CN"/>
              </w:rPr>
              <w:t>年、20</w:t>
            </w:r>
            <w:r>
              <w:rPr>
                <w:rFonts w:hint="eastAsia" w:ascii="宋体" w:hAnsi="宋体" w:cs="宋体"/>
                <w:color w:val="auto"/>
                <w:szCs w:val="21"/>
                <w:highlight w:val="none"/>
              </w:rPr>
              <w:t>22</w:t>
            </w:r>
            <w:r>
              <w:rPr>
                <w:rFonts w:hint="eastAsia" w:ascii="宋体" w:hAnsi="宋体" w:cs="宋体"/>
                <w:color w:val="auto"/>
                <w:szCs w:val="21"/>
                <w:highlight w:val="none"/>
                <w:lang w:val="zh-CN"/>
              </w:rPr>
              <w:t>年）的财务状况：</w:t>
            </w:r>
          </w:p>
          <w:p>
            <w:pPr>
              <w:rPr>
                <w:rFonts w:ascii="宋体" w:hAnsi="宋体" w:cs="宋体"/>
                <w:color w:val="auto"/>
                <w:szCs w:val="21"/>
                <w:highlight w:val="none"/>
                <w:lang w:val="zh-CN"/>
              </w:rPr>
            </w:pPr>
            <w:r>
              <w:rPr>
                <w:rFonts w:hint="eastAsia" w:ascii="宋体" w:hAnsi="宋体" w:cs="宋体"/>
                <w:color w:val="auto"/>
                <w:szCs w:val="21"/>
                <w:highlight w:val="none"/>
                <w:lang w:val="zh-CN"/>
              </w:rPr>
              <w:t>1、平均资产负债率＜</w:t>
            </w:r>
            <w:r>
              <w:rPr>
                <w:rFonts w:hint="eastAsia" w:ascii="宋体" w:hAnsi="宋体" w:cs="宋体"/>
                <w:color w:val="auto"/>
                <w:szCs w:val="21"/>
                <w:highlight w:val="none"/>
              </w:rPr>
              <w:t>55</w:t>
            </w:r>
            <w:r>
              <w:rPr>
                <w:rFonts w:hint="eastAsia" w:ascii="宋体" w:hAnsi="宋体" w:cs="宋体"/>
                <w:color w:val="auto"/>
                <w:szCs w:val="21"/>
                <w:highlight w:val="none"/>
                <w:lang w:val="zh-CN"/>
              </w:rPr>
              <w:t>%的，得</w:t>
            </w:r>
            <w:r>
              <w:rPr>
                <w:rFonts w:hint="eastAsia" w:ascii="宋体" w:hAnsi="宋体" w:cs="宋体"/>
                <w:color w:val="auto"/>
                <w:szCs w:val="21"/>
                <w:highlight w:val="none"/>
              </w:rPr>
              <w:t>4</w:t>
            </w:r>
            <w:r>
              <w:rPr>
                <w:rFonts w:hint="eastAsia" w:ascii="宋体" w:hAnsi="宋体" w:cs="宋体"/>
                <w:color w:val="auto"/>
                <w:szCs w:val="21"/>
                <w:highlight w:val="none"/>
                <w:lang w:val="zh-CN"/>
              </w:rPr>
              <w:t>分；</w:t>
            </w:r>
          </w:p>
          <w:p>
            <w:pPr>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55</w:t>
            </w:r>
            <w:r>
              <w:rPr>
                <w:rFonts w:hint="eastAsia" w:ascii="宋体" w:hAnsi="宋体" w:cs="宋体"/>
                <w:color w:val="auto"/>
                <w:szCs w:val="21"/>
                <w:highlight w:val="none"/>
                <w:lang w:val="zh-CN"/>
              </w:rPr>
              <w:t>%≤平均资产负债率＜</w:t>
            </w:r>
            <w:r>
              <w:rPr>
                <w:rFonts w:hint="eastAsia" w:ascii="宋体" w:hAnsi="宋体" w:cs="宋体"/>
                <w:color w:val="auto"/>
                <w:szCs w:val="21"/>
                <w:highlight w:val="none"/>
              </w:rPr>
              <w:t>60</w:t>
            </w:r>
            <w:r>
              <w:rPr>
                <w:rFonts w:hint="eastAsia" w:ascii="宋体" w:hAnsi="宋体" w:cs="宋体"/>
                <w:color w:val="auto"/>
                <w:szCs w:val="21"/>
                <w:highlight w:val="none"/>
                <w:lang w:val="zh-CN"/>
              </w:rPr>
              <w:t>%的，得</w:t>
            </w:r>
            <w:r>
              <w:rPr>
                <w:rFonts w:hint="eastAsia" w:ascii="宋体" w:hAnsi="宋体" w:cs="宋体"/>
                <w:color w:val="auto"/>
                <w:szCs w:val="21"/>
                <w:highlight w:val="none"/>
              </w:rPr>
              <w:t>2</w:t>
            </w:r>
            <w:r>
              <w:rPr>
                <w:rFonts w:hint="eastAsia" w:ascii="宋体" w:hAnsi="宋体" w:cs="宋体"/>
                <w:color w:val="auto"/>
                <w:szCs w:val="21"/>
                <w:highlight w:val="none"/>
                <w:lang w:val="zh-CN"/>
              </w:rPr>
              <w:t>分；</w:t>
            </w:r>
          </w:p>
          <w:p>
            <w:pPr>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rPr>
              <w:t>60</w:t>
            </w:r>
            <w:r>
              <w:rPr>
                <w:rFonts w:hint="eastAsia" w:ascii="宋体" w:hAnsi="宋体" w:cs="宋体"/>
                <w:color w:val="auto"/>
                <w:szCs w:val="21"/>
                <w:highlight w:val="none"/>
                <w:lang w:val="zh-CN"/>
              </w:rPr>
              <w:t>%≤平均资产负债率＜</w:t>
            </w:r>
            <w:r>
              <w:rPr>
                <w:rFonts w:hint="eastAsia" w:ascii="宋体" w:hAnsi="宋体" w:cs="宋体"/>
                <w:color w:val="auto"/>
                <w:szCs w:val="21"/>
                <w:highlight w:val="none"/>
              </w:rPr>
              <w:t>65</w:t>
            </w:r>
            <w:r>
              <w:rPr>
                <w:rFonts w:hint="eastAsia" w:ascii="宋体" w:hAnsi="宋体" w:cs="宋体"/>
                <w:color w:val="auto"/>
                <w:szCs w:val="21"/>
                <w:highlight w:val="none"/>
                <w:lang w:val="zh-CN"/>
              </w:rPr>
              <w:t>%的，得1分；</w:t>
            </w:r>
          </w:p>
          <w:p>
            <w:pPr>
              <w:rPr>
                <w:rFonts w:ascii="宋体" w:hAnsi="宋体" w:cs="宋体"/>
                <w:color w:val="auto"/>
                <w:szCs w:val="21"/>
                <w:highlight w:val="none"/>
                <w:lang w:val="zh-CN"/>
              </w:rPr>
            </w:pPr>
            <w:r>
              <w:rPr>
                <w:rFonts w:hint="eastAsia" w:ascii="宋体" w:hAnsi="宋体" w:cs="宋体"/>
                <w:color w:val="auto"/>
                <w:szCs w:val="21"/>
                <w:highlight w:val="none"/>
                <w:lang w:val="zh-CN"/>
              </w:rPr>
              <w:t>本项最多得</w:t>
            </w:r>
            <w:r>
              <w:rPr>
                <w:rFonts w:hint="eastAsia" w:ascii="宋体" w:hAnsi="宋体" w:cs="宋体"/>
                <w:color w:val="auto"/>
                <w:szCs w:val="21"/>
                <w:highlight w:val="none"/>
              </w:rPr>
              <w:t>4</w:t>
            </w:r>
            <w:r>
              <w:rPr>
                <w:rFonts w:hint="eastAsia" w:ascii="宋体" w:hAnsi="宋体" w:cs="宋体"/>
                <w:color w:val="auto"/>
                <w:szCs w:val="21"/>
                <w:highlight w:val="none"/>
                <w:lang w:val="zh-CN"/>
              </w:rPr>
              <w:t>分，不满足条件不得分。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720" w:type="dxa"/>
            <w:gridSpan w:val="2"/>
            <w:tcBorders>
              <w:top w:val="single" w:color="auto" w:sz="4" w:space="0"/>
              <w:left w:val="single" w:color="auto" w:sz="8" w:space="0"/>
              <w:bottom w:val="single" w:color="auto" w:sz="4" w:space="0"/>
              <w:right w:val="single" w:color="auto" w:sz="4" w:space="0"/>
            </w:tcBorders>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合计</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20</w:t>
            </w:r>
          </w:p>
        </w:tc>
        <w:tc>
          <w:tcPr>
            <w:tcW w:w="11475" w:type="dxa"/>
            <w:tcBorders>
              <w:top w:val="single" w:color="auto" w:sz="4" w:space="0"/>
              <w:left w:val="single" w:color="auto" w:sz="4" w:space="0"/>
              <w:bottom w:val="single" w:color="auto" w:sz="4" w:space="0"/>
              <w:right w:val="single" w:color="auto" w:sz="4" w:space="0"/>
            </w:tcBorders>
            <w:vAlign w:val="center"/>
          </w:tcPr>
          <w:p>
            <w:pPr>
              <w:pStyle w:val="6"/>
              <w:rPr>
                <w:rFonts w:cs="宋体" w:asciiTheme="minorEastAsia" w:hAnsiTheme="minorEastAsia" w:eastAsiaTheme="minorEastAsia"/>
                <w:color w:val="auto"/>
                <w:szCs w:val="21"/>
                <w:highlight w:val="none"/>
              </w:rPr>
            </w:pPr>
          </w:p>
        </w:tc>
      </w:tr>
    </w:tbl>
    <w:p>
      <w:pPr>
        <w:pStyle w:val="35"/>
        <w:spacing w:after="0"/>
        <w:rPr>
          <w:rFonts w:ascii="宋体" w:hAnsi="宋体"/>
          <w:color w:val="auto"/>
          <w:szCs w:val="21"/>
          <w:highlight w:val="none"/>
        </w:rPr>
      </w:pPr>
      <w:r>
        <w:rPr>
          <w:rFonts w:hint="eastAsia" w:ascii="宋体" w:hAnsi="宋体"/>
          <w:color w:val="auto"/>
          <w:szCs w:val="21"/>
          <w:highlight w:val="none"/>
        </w:rPr>
        <w:t>注：1、所有评委评分的算术平均值，即为该投标人的评审得分（若分数出现小数点时，保留到小数点后两位，第三位小数四舍五入）。</w:t>
      </w:r>
    </w:p>
    <w:p>
      <w:pPr>
        <w:pStyle w:val="35"/>
        <w:spacing w:after="0"/>
        <w:rPr>
          <w:rFonts w:ascii="宋体" w:hAnsi="宋体"/>
          <w:color w:val="auto"/>
          <w:szCs w:val="21"/>
          <w:highlight w:val="none"/>
        </w:rPr>
      </w:pPr>
      <w:r>
        <w:rPr>
          <w:rFonts w:hint="eastAsia" w:ascii="宋体" w:hAnsi="宋体"/>
          <w:color w:val="auto"/>
          <w:szCs w:val="21"/>
          <w:highlight w:val="none"/>
        </w:rPr>
        <w:t>2、业绩说明：</w:t>
      </w:r>
    </w:p>
    <w:p>
      <w:pPr>
        <w:pStyle w:val="35"/>
        <w:spacing w:after="0"/>
        <w:rPr>
          <w:rFonts w:ascii="宋体" w:hAnsi="宋体"/>
          <w:color w:val="auto"/>
          <w:szCs w:val="21"/>
          <w:highlight w:val="none"/>
        </w:rPr>
      </w:pPr>
      <w:r>
        <w:rPr>
          <w:rFonts w:hint="eastAsia" w:ascii="宋体" w:hAnsi="宋体"/>
          <w:color w:val="auto"/>
          <w:szCs w:val="21"/>
          <w:highlight w:val="none"/>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库内不存在对应业绩，项目编号存在对应业绩的，以项目编号对应的业绩为准。评标委员会对业绩的评审以投标截止时间在库内业绩上传件为依据。（库内业绩上传件无需在投标文件中提交）</w:t>
      </w:r>
    </w:p>
    <w:p>
      <w:pPr>
        <w:pStyle w:val="35"/>
        <w:spacing w:after="0"/>
        <w:rPr>
          <w:rFonts w:ascii="宋体" w:hAnsi="宋体"/>
          <w:color w:val="auto"/>
          <w:szCs w:val="21"/>
          <w:highlight w:val="none"/>
        </w:rPr>
      </w:pPr>
      <w:r>
        <w:rPr>
          <w:rFonts w:hint="eastAsia" w:ascii="宋体" w:hAnsi="宋体"/>
          <w:color w:val="auto"/>
          <w:szCs w:val="21"/>
          <w:highlight w:val="none"/>
        </w:rPr>
        <w:t>（1）金额以中标通知书为准，中标通知书上没有金额或免招标的，以施工合同（不含补充合同）为准。</w:t>
      </w:r>
    </w:p>
    <w:p>
      <w:pPr>
        <w:pStyle w:val="35"/>
        <w:spacing w:after="0"/>
        <w:rPr>
          <w:rFonts w:ascii="宋体" w:hAnsi="宋体"/>
          <w:color w:val="auto"/>
          <w:szCs w:val="21"/>
          <w:highlight w:val="none"/>
        </w:rPr>
      </w:pPr>
      <w:r>
        <w:rPr>
          <w:rFonts w:hint="eastAsia" w:ascii="宋体" w:hAnsi="宋体"/>
          <w:color w:val="auto"/>
          <w:szCs w:val="21"/>
          <w:highlight w:val="none"/>
        </w:rPr>
        <w:t>（2）完成时间以竣工验收报告为准。验收文件至少具有建设单位、设计、施工和监理单位盖章。</w:t>
      </w:r>
    </w:p>
    <w:p>
      <w:pPr>
        <w:pStyle w:val="35"/>
        <w:spacing w:after="0"/>
        <w:rPr>
          <w:rFonts w:ascii="宋体" w:hAnsi="宋体"/>
          <w:color w:val="auto"/>
          <w:szCs w:val="21"/>
          <w:highlight w:val="none"/>
        </w:rPr>
      </w:pPr>
      <w:r>
        <w:rPr>
          <w:rFonts w:hint="eastAsia" w:ascii="宋体" w:hAnsi="宋体"/>
          <w:color w:val="auto"/>
          <w:szCs w:val="21"/>
          <w:highlight w:val="none"/>
        </w:rPr>
        <w:t>（3）库内业绩上传件不符合上述要求的或登记的工程资质内容与施工合同等业绩证明资料不相符的，该项业绩不予认定。</w:t>
      </w:r>
    </w:p>
    <w:p>
      <w:pPr>
        <w:pStyle w:val="35"/>
        <w:spacing w:after="0"/>
        <w:rPr>
          <w:rFonts w:ascii="宋体" w:hAnsi="宋体"/>
          <w:color w:val="auto"/>
          <w:szCs w:val="21"/>
          <w:highlight w:val="none"/>
        </w:rPr>
      </w:pPr>
      <w:r>
        <w:rPr>
          <w:rFonts w:hint="eastAsia" w:ascii="宋体" w:hAnsi="宋体"/>
          <w:color w:val="auto"/>
          <w:szCs w:val="21"/>
          <w:highlight w:val="none"/>
        </w:rPr>
        <w:t>3、工程获奖：</w:t>
      </w:r>
    </w:p>
    <w:p>
      <w:pPr>
        <w:pStyle w:val="35"/>
        <w:spacing w:after="0"/>
        <w:rPr>
          <w:rFonts w:ascii="宋体" w:hAnsi="宋体"/>
          <w:color w:val="auto"/>
          <w:szCs w:val="21"/>
          <w:highlight w:val="none"/>
        </w:rPr>
      </w:pPr>
      <w:r>
        <w:rPr>
          <w:rFonts w:hint="eastAsia" w:ascii="宋体" w:hAnsi="宋体"/>
          <w:color w:val="auto"/>
          <w:szCs w:val="21"/>
          <w:highlight w:val="none"/>
        </w:rPr>
        <w:t>施工获奖：（1）同一项目获得多个奖项的，只按最高级别计算一次分数，不得重复计算；（2）获奖时间以证书颁发日期为准，投标人须提交获奖证书或获奖文件扫描件并加盖投标人电子印章，不符合上述条件或未提供上述资料的不得分。国家级奖项包括中国建设工程鲁班奖、国家优质工程金质奖、国家优质工程奖、中国土木工程詹天佑奖；省或市级奖项是指由省、市级建设行政主管部门或行业协会颁发的工程质量类、结构优质类；不包含装饰装修、钢结构、技术创新、QC成果、科技进步及技术应用类等奖项；如颁奖单位为协会的，还须提供该协会在“中国社会组织政务服务平台” （网址：https://chinanpo.mca.gov.cn/）有登记的网页查询截图，证明其有登记备案，否则不得分。只计算房建类工程奖项，其他非房建项目，如：路桥、铁路、水利、电力、化工、冶金、市政等获奖不参与计分。</w:t>
      </w:r>
    </w:p>
    <w:p>
      <w:pPr>
        <w:pStyle w:val="35"/>
        <w:spacing w:after="0"/>
        <w:rPr>
          <w:rFonts w:ascii="宋体" w:hAnsi="宋体"/>
          <w:color w:val="auto"/>
          <w:szCs w:val="21"/>
          <w:highlight w:val="none"/>
        </w:rPr>
      </w:pPr>
      <w:r>
        <w:rPr>
          <w:rFonts w:hint="eastAsia" w:ascii="宋体" w:hAnsi="宋体"/>
          <w:color w:val="auto"/>
          <w:szCs w:val="21"/>
          <w:highlight w:val="none"/>
        </w:rPr>
        <w:t>4、企业研发能力：标准（或规范或规程）时间以实施时间为准。国家（或行业）标准（或规范或规程）须提供在中华人民共和国住房和城乡建设部官网（https://www.mohurd.gov.cn/）查询到该标准发布公告的截图以及从该网下载的该标准的前面关键页（需能体现投标人为主编或参编或起草单位）的复印件。</w:t>
      </w:r>
    </w:p>
    <w:p>
      <w:pPr>
        <w:pStyle w:val="35"/>
        <w:spacing w:after="0"/>
        <w:rPr>
          <w:rFonts w:ascii="宋体" w:hAnsi="宋体"/>
          <w:color w:val="auto"/>
          <w:szCs w:val="21"/>
          <w:highlight w:val="none"/>
        </w:rPr>
      </w:pPr>
      <w:r>
        <w:rPr>
          <w:rFonts w:hint="eastAsia" w:ascii="宋体" w:hAnsi="宋体"/>
          <w:color w:val="auto"/>
          <w:szCs w:val="21"/>
          <w:highlight w:val="none"/>
        </w:rPr>
        <w:t>5、第三方评价：投标人须提供证书扫描件以及查询网页截图并加盖电子印章。如颁奖单位为协会的，还须提供该协会在“中国社会组织政务服务平台”有登记的网页查询截图（网址：</w:t>
      </w:r>
      <w:r>
        <w:rPr>
          <w:color w:val="auto"/>
          <w:highlight w:val="none"/>
        </w:rPr>
        <w:fldChar w:fldCharType="begin"/>
      </w:r>
      <w:r>
        <w:rPr>
          <w:color w:val="auto"/>
          <w:highlight w:val="none"/>
        </w:rPr>
        <w:instrText xml:space="preserve"> HYPERLINK "https://chinanpo.mca.gov.cn/），证明其有登记备案，否则不得分。本项只计算投标人自身（不含投标人的子公司或分公司）" </w:instrText>
      </w:r>
      <w:r>
        <w:rPr>
          <w:color w:val="auto"/>
          <w:highlight w:val="none"/>
        </w:rPr>
        <w:fldChar w:fldCharType="separate"/>
      </w:r>
      <w:r>
        <w:rPr>
          <w:rFonts w:hint="eastAsia" w:ascii="宋体" w:hAnsi="宋体"/>
          <w:color w:val="auto"/>
          <w:szCs w:val="21"/>
          <w:highlight w:val="none"/>
        </w:rPr>
        <w:t>https://chinanpo.mca.gov.cn/），证明其有登记备案，否则不得分。本项只计算投标人自身（不含投标人的子公司或分公司）</w:t>
      </w:r>
      <w:r>
        <w:rPr>
          <w:rFonts w:hint="eastAsia" w:ascii="宋体" w:hAnsi="宋体"/>
          <w:color w:val="auto"/>
          <w:szCs w:val="21"/>
          <w:highlight w:val="none"/>
        </w:rPr>
        <w:fldChar w:fldCharType="end"/>
      </w:r>
      <w:r>
        <w:rPr>
          <w:rFonts w:hint="eastAsia" w:ascii="宋体" w:hAnsi="宋体"/>
          <w:color w:val="auto"/>
          <w:szCs w:val="21"/>
          <w:highlight w:val="none"/>
        </w:rPr>
        <w:t>。不符合上述条件或提供的证明材料不全的不得分。</w:t>
      </w:r>
    </w:p>
    <w:p>
      <w:pPr>
        <w:pStyle w:val="35"/>
        <w:spacing w:after="0"/>
        <w:rPr>
          <w:rFonts w:ascii="宋体" w:hAnsi="宋体"/>
          <w:color w:val="auto"/>
          <w:szCs w:val="21"/>
          <w:highlight w:val="none"/>
        </w:rPr>
      </w:pPr>
      <w:r>
        <w:rPr>
          <w:rFonts w:hint="eastAsia" w:ascii="宋体" w:hAnsi="宋体"/>
          <w:color w:val="auto"/>
          <w:szCs w:val="21"/>
          <w:highlight w:val="none"/>
        </w:rPr>
        <w:t>6、财务指标：需提供2020年、2021年、2022年财务审计报告（含资产负债表、利润表等关键页即可）；企业资产负债率以企业对应年度的财务审计报告的数据为准，资产负债率X=期（年）末负债总额/期（年）末资产总额×100%，不符合上述条件或未提供上述资料的不得分。</w:t>
      </w:r>
    </w:p>
    <w:p>
      <w:pPr>
        <w:spacing w:line="360" w:lineRule="auto"/>
        <w:rPr>
          <w:rFonts w:asciiTheme="minorEastAsia" w:hAnsiTheme="minorEastAsia" w:eastAsiaTheme="minorEastAsia"/>
          <w:color w:val="auto"/>
          <w:highlight w:val="none"/>
        </w:rPr>
      </w:pPr>
    </w:p>
    <w:p>
      <w:pPr>
        <w:ind w:firstLine="459"/>
        <w:rPr>
          <w:rFonts w:cs="宋体"/>
          <w:bCs/>
          <w:color w:val="auto"/>
          <w:kern w:val="0"/>
          <w:szCs w:val="21"/>
          <w:highlight w:val="none"/>
        </w:rPr>
      </w:pPr>
    </w:p>
    <w:p>
      <w:pPr>
        <w:ind w:firstLine="459"/>
        <w:rPr>
          <w:rFonts w:cs="宋体"/>
          <w:bCs/>
          <w:color w:val="auto"/>
          <w:kern w:val="0"/>
          <w:szCs w:val="21"/>
          <w:highlight w:val="none"/>
        </w:rPr>
      </w:pPr>
      <w:r>
        <w:rPr>
          <w:rFonts w:hint="eastAsia" w:cs="宋体"/>
          <w:bCs/>
          <w:color w:val="auto"/>
          <w:kern w:val="0"/>
          <w:szCs w:val="21"/>
          <w:highlight w:val="none"/>
        </w:rPr>
        <w:t>评委签名：日期：</w:t>
      </w:r>
    </w:p>
    <w:p>
      <w:pPr>
        <w:pStyle w:val="6"/>
        <w:rPr>
          <w:rFonts w:cs="宋体"/>
          <w:bCs/>
          <w:color w:val="auto"/>
          <w:kern w:val="0"/>
          <w:szCs w:val="21"/>
          <w:highlight w:val="none"/>
        </w:rPr>
      </w:pPr>
    </w:p>
    <w:p>
      <w:pPr>
        <w:rPr>
          <w:b/>
          <w:color w:val="auto"/>
          <w:szCs w:val="21"/>
          <w:highlight w:val="none"/>
        </w:rPr>
      </w:pPr>
      <w:r>
        <w:rPr>
          <w:rFonts w:hint="eastAsia"/>
          <w:b/>
          <w:color w:val="auto"/>
          <w:szCs w:val="21"/>
          <w:highlight w:val="none"/>
        </w:rPr>
        <w:br w:type="page"/>
      </w:r>
    </w:p>
    <w:p>
      <w:pPr>
        <w:pStyle w:val="2"/>
        <w:rPr>
          <w:color w:val="auto"/>
          <w:highlight w:val="none"/>
        </w:rPr>
      </w:pPr>
    </w:p>
    <w:p>
      <w:pPr>
        <w:rPr>
          <w:b/>
          <w:color w:val="auto"/>
          <w:szCs w:val="21"/>
          <w:highlight w:val="none"/>
        </w:rPr>
      </w:pPr>
      <w:r>
        <w:rPr>
          <w:rFonts w:hint="eastAsia"/>
          <w:b/>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rPr>
          <w:color w:val="auto"/>
          <w:highlight w:val="none"/>
        </w:rPr>
      </w:pPr>
      <w:bookmarkStart w:id="21" w:name="_Toc2272566"/>
      <w:r>
        <w:rPr>
          <w:rFonts w:hint="eastAsia"/>
          <w:color w:val="auto"/>
          <w:highlight w:val="none"/>
        </w:rPr>
        <w:t>第三章合同条款</w:t>
      </w:r>
      <w:bookmarkEnd w:id="21"/>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2"/>
        <w:spacing w:line="360" w:lineRule="auto"/>
        <w:rPr>
          <w:color w:val="auto"/>
          <w:sz w:val="24"/>
          <w:szCs w:val="24"/>
          <w:highlight w:val="none"/>
        </w:rPr>
      </w:pPr>
    </w:p>
    <w:p>
      <w:pPr>
        <w:widowControl/>
        <w:jc w:val="left"/>
        <w:rPr>
          <w:rFonts w:ascii="宋体" w:hAnsi="Courier New"/>
          <w:color w:val="auto"/>
          <w:sz w:val="24"/>
          <w:szCs w:val="24"/>
          <w:highlight w:val="none"/>
        </w:rPr>
      </w:pPr>
      <w:r>
        <w:rPr>
          <w:color w:val="auto"/>
          <w:sz w:val="24"/>
          <w:szCs w:val="24"/>
          <w:highlight w:val="none"/>
        </w:rPr>
        <w:br w:type="page"/>
      </w:r>
    </w:p>
    <w:p>
      <w:pPr>
        <w:pStyle w:val="3"/>
        <w:jc w:val="center"/>
        <w:rPr>
          <w:color w:val="auto"/>
          <w:highlight w:val="none"/>
        </w:rPr>
      </w:pPr>
      <w:bookmarkStart w:id="22" w:name="_Toc2272567"/>
      <w:r>
        <w:rPr>
          <w:rFonts w:hint="eastAsia"/>
          <w:color w:val="auto"/>
          <w:highlight w:val="none"/>
        </w:rPr>
        <w:t>第四章投标文件格式</w:t>
      </w:r>
      <w:bookmarkEnd w:id="22"/>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技术标投标文件（含资格审查文件）</w:t>
      </w:r>
    </w:p>
    <w:p>
      <w:pPr>
        <w:spacing w:line="360" w:lineRule="auto"/>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 xml:space="preserve"> 技术标投标文件格式一：技术标投标文件封面</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9"/>
        <w:rPr>
          <w:rFonts w:ascii="宋体" w:hAnsi="宋体" w:eastAsia="宋体"/>
          <w:color w:val="auto"/>
          <w:highlight w:val="none"/>
          <w:u w:val="single"/>
        </w:rPr>
      </w:pPr>
      <w:r>
        <w:rPr>
          <w:rFonts w:hint="eastAsia" w:ascii="宋体" w:hAnsi="宋体" w:eastAsia="宋体"/>
          <w:color w:val="auto"/>
          <w:highlight w:val="none"/>
          <w:u w:val="single"/>
        </w:rPr>
        <w:t xml:space="preserve">[工程名称] </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7"/>
        <w:rPr>
          <w:rFonts w:ascii="宋体" w:hAnsi="宋体" w:eastAsia="宋体"/>
          <w:color w:val="auto"/>
          <w:highlight w:val="none"/>
        </w:rPr>
      </w:pPr>
      <w:r>
        <w:rPr>
          <w:rFonts w:hint="eastAsia" w:ascii="宋体" w:hAnsi="宋体" w:eastAsia="宋体"/>
          <w:color w:val="auto"/>
          <w:highlight w:val="none"/>
        </w:rPr>
        <w:t>投标文件</w:t>
      </w:r>
    </w:p>
    <w:p>
      <w:pPr>
        <w:pStyle w:val="139"/>
        <w:rPr>
          <w:rFonts w:ascii="宋体" w:hAnsi="宋体" w:eastAsia="宋体"/>
          <w:color w:val="auto"/>
          <w:highlight w:val="none"/>
        </w:rPr>
      </w:pPr>
      <w:r>
        <w:rPr>
          <w:rFonts w:hint="eastAsia" w:ascii="宋体" w:hAnsi="宋体" w:eastAsia="宋体"/>
          <w:color w:val="auto"/>
          <w:highlight w:val="none"/>
        </w:rPr>
        <w:t>第一部分（技术标）</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8"/>
        <w:ind w:firstLine="2038" w:firstLineChars="662"/>
        <w:rPr>
          <w:rFonts w:ascii="宋体" w:hAnsi="宋体"/>
          <w:color w:val="auto"/>
          <w:highlight w:val="none"/>
          <w:u w:val="single"/>
        </w:rPr>
      </w:pPr>
      <w:r>
        <w:rPr>
          <w:rFonts w:hint="eastAsia" w:ascii="宋体" w:hAnsi="宋体"/>
          <w:color w:val="auto"/>
          <w:highlight w:val="none"/>
        </w:rPr>
        <w:t>投标人：</w:t>
      </w:r>
    </w:p>
    <w:p>
      <w:pPr>
        <w:pStyle w:val="138"/>
        <w:ind w:firstLine="2038" w:firstLineChars="662"/>
        <w:rPr>
          <w:rFonts w:ascii="宋体" w:hAnsi="宋体"/>
          <w:color w:val="auto"/>
          <w:highlight w:val="none"/>
          <w:u w:val="single"/>
        </w:rPr>
      </w:pPr>
      <w:r>
        <w:rPr>
          <w:rFonts w:hint="eastAsia" w:ascii="宋体" w:hAnsi="宋体"/>
          <w:color w:val="auto"/>
          <w:highlight w:val="none"/>
        </w:rPr>
        <w:t>日  期：</w:t>
      </w:r>
    </w:p>
    <w:p>
      <w:pPr>
        <w:pStyle w:val="138"/>
        <w:ind w:firstLine="496"/>
        <w:rPr>
          <w:rFonts w:ascii="宋体" w:hAnsi="宋体"/>
          <w:color w:val="auto"/>
          <w:sz w:val="24"/>
          <w:szCs w:val="24"/>
          <w:highlight w:val="none"/>
        </w:rPr>
      </w:pPr>
    </w:p>
    <w:p>
      <w:pPr>
        <w:autoSpaceDE w:val="0"/>
        <w:autoSpaceDN w:val="0"/>
        <w:adjustRightInd w:val="0"/>
        <w:rPr>
          <w:bCs/>
          <w:color w:val="auto"/>
          <w:sz w:val="24"/>
          <w:szCs w:val="24"/>
          <w:highlight w:val="none"/>
        </w:rPr>
      </w:pPr>
      <w:r>
        <w:rPr>
          <w:rFonts w:hint="eastAsia" w:ascii="宋体" w:hAnsi="宋体" w:cs="宋体"/>
          <w:color w:val="auto"/>
          <w:highlight w:val="none"/>
        </w:rPr>
        <w:br w:type="page"/>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bCs/>
          <w:color w:val="auto"/>
          <w:sz w:val="24"/>
          <w:szCs w:val="24"/>
          <w:highlight w:val="none"/>
        </w:rPr>
        <w:t>格式二：</w:t>
      </w:r>
    </w:p>
    <w:p>
      <w:pPr>
        <w:autoSpaceDE w:val="0"/>
        <w:autoSpaceDN w:val="0"/>
        <w:adjustRightInd w:val="0"/>
        <w:rPr>
          <w:rFonts w:ascii="宋体" w:cs="宋体"/>
          <w:b/>
          <w:bCs/>
          <w:color w:val="auto"/>
          <w:sz w:val="24"/>
          <w:szCs w:val="24"/>
          <w:highlight w:val="none"/>
          <w:lang w:val="zh-CN"/>
        </w:rPr>
      </w:pPr>
      <w:r>
        <w:rPr>
          <w:rFonts w:hint="eastAsia"/>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番禺区大石街怡居新村一期小区微改造项目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9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9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9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bl>
    <w:p>
      <w:pPr>
        <w:tabs>
          <w:tab w:val="left" w:pos="720"/>
        </w:tabs>
        <w:snapToGrid w:val="0"/>
        <w:spacing w:line="360" w:lineRule="auto"/>
        <w:rPr>
          <w:color w:val="auto"/>
          <w:sz w:val="24"/>
          <w:szCs w:val="24"/>
          <w:highlight w:val="none"/>
        </w:rPr>
      </w:pPr>
    </w:p>
    <w:tbl>
      <w:tblPr>
        <w:tblStyle w:val="36"/>
        <w:tblW w:w="9008" w:type="dxa"/>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color w:val="auto"/>
                <w:kern w:val="0"/>
                <w:sz w:val="28"/>
                <w:szCs w:val="28"/>
                <w:highlight w:val="none"/>
              </w:rPr>
            </w:pPr>
          </w:p>
        </w:tc>
      </w:tr>
    </w:tbl>
    <w:p>
      <w:pPr>
        <w:autoSpaceDE w:val="0"/>
        <w:autoSpaceDN w:val="0"/>
        <w:adjustRightInd w:val="0"/>
        <w:rPr>
          <w:bCs/>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格式三：</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autoSpaceDE w:val="0"/>
        <w:autoSpaceDN w:val="0"/>
        <w:adjustRightInd w:val="0"/>
        <w:jc w:val="center"/>
        <w:rPr>
          <w:color w:val="auto"/>
          <w:sz w:val="24"/>
          <w:szCs w:val="24"/>
          <w:highlight w:val="none"/>
        </w:rPr>
      </w:pPr>
      <w:r>
        <w:rPr>
          <w:rFonts w:hint="eastAsia" w:ascii="宋体" w:hAnsi="宋体" w:cs="宋体"/>
          <w:snapToGrid w:val="0"/>
          <w:color w:val="auto"/>
          <w:spacing w:val="4"/>
          <w:kern w:val="0"/>
          <w:sz w:val="24"/>
          <w:szCs w:val="20"/>
          <w:highlight w:val="none"/>
        </w:rPr>
        <w:t>注：按投标须知修改表11.2.2条款及《资格审查表》要求提交</w:t>
      </w:r>
      <w:r>
        <w:rPr>
          <w:rFonts w:hint="eastAsia" w:ascii="宋体" w:hAnsi="宋体" w:cs="宋体"/>
          <w:snapToGrid w:val="0"/>
          <w:color w:val="auto"/>
          <w:spacing w:val="4"/>
          <w:sz w:val="24"/>
          <w:highlight w:val="none"/>
        </w:rPr>
        <w:t>，格式自拟。</w:t>
      </w:r>
    </w:p>
    <w:p>
      <w:pPr>
        <w:autoSpaceDE w:val="0"/>
        <w:autoSpaceDN w:val="0"/>
        <w:adjustRightInd w:val="0"/>
        <w:rPr>
          <w:bCs/>
          <w:color w:val="auto"/>
          <w:sz w:val="24"/>
          <w:szCs w:val="24"/>
          <w:highlight w:val="none"/>
        </w:rPr>
      </w:pPr>
    </w:p>
    <w:p>
      <w:pPr>
        <w:widowControl/>
        <w:jc w:val="left"/>
        <w:rPr>
          <w:bCs/>
          <w:color w:val="auto"/>
          <w:sz w:val="24"/>
          <w:szCs w:val="24"/>
          <w:highlight w:val="none"/>
        </w:rPr>
      </w:pPr>
      <w:r>
        <w:rPr>
          <w:bCs/>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格式四：</w:t>
      </w:r>
    </w:p>
    <w:p>
      <w:pPr>
        <w:autoSpaceDE w:val="0"/>
        <w:autoSpaceDN w:val="0"/>
        <w:adjustRightInd w:val="0"/>
        <w:rPr>
          <w:color w:val="auto"/>
          <w:sz w:val="24"/>
          <w:szCs w:val="24"/>
          <w:highlight w:val="none"/>
        </w:rPr>
      </w:pP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color w:val="auto"/>
          <w:sz w:val="24"/>
          <w:szCs w:val="24"/>
          <w:highlight w:val="none"/>
        </w:rPr>
      </w:pPr>
      <w:r>
        <w:rPr>
          <w:rFonts w:hint="eastAsia" w:ascii="宋体" w:hAnsi="宋体" w:cs="宋体"/>
          <w:snapToGrid w:val="0"/>
          <w:color w:val="auto"/>
          <w:spacing w:val="4"/>
          <w:kern w:val="0"/>
          <w:sz w:val="24"/>
          <w:szCs w:val="20"/>
          <w:highlight w:val="none"/>
        </w:rPr>
        <w:t>注：按《技术标有效性审查表》及《技术标详细审查评分表》要求提交</w:t>
      </w:r>
      <w:r>
        <w:rPr>
          <w:rFonts w:hint="eastAsia" w:ascii="宋体" w:hAnsi="宋体" w:cs="宋体"/>
          <w:snapToGrid w:val="0"/>
          <w:color w:val="auto"/>
          <w:spacing w:val="4"/>
          <w:sz w:val="24"/>
          <w:highlight w:val="none"/>
        </w:rPr>
        <w:t>，格式自拟。</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如采用非电子形式的银行保函、保证保险、专业工程担保公司担保提交投标保证金的，投标人应在此处提供银行保函、保证保险、专业工程担保公司担保原件扫描件并加盖投标人电子印章。</w:t>
      </w:r>
    </w:p>
    <w:p>
      <w:pPr>
        <w:widowControl/>
        <w:jc w:val="left"/>
        <w:rPr>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格式五：</w:t>
      </w:r>
    </w:p>
    <w:p>
      <w:pPr>
        <w:tabs>
          <w:tab w:val="left" w:pos="720"/>
        </w:tabs>
        <w:snapToGrid w:val="0"/>
        <w:spacing w:line="360" w:lineRule="auto"/>
        <w:rPr>
          <w:color w:val="auto"/>
          <w:sz w:val="24"/>
          <w:szCs w:val="24"/>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人员投入承诺书</w:t>
      </w:r>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400" w:lineRule="exac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bCs/>
          <w:color w:val="auto"/>
          <w:sz w:val="24"/>
          <w:highlight w:val="none"/>
          <w:u w:val="single"/>
        </w:rPr>
        <w:t>广州市番禺区人民政府大石街道办事处</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之日起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如因我方逾期提供原件核对导致未按期签订合同的，贵单位有权取消我方中标资格，并不予返投标保证金。</w:t>
      </w:r>
    </w:p>
    <w:p>
      <w:pPr>
        <w:topLinePunct/>
        <w:adjustRightInd w:val="0"/>
        <w:snapToGrid w:val="0"/>
        <w:spacing w:line="400" w:lineRule="exact"/>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jc w:val="left"/>
        <w:rPr>
          <w:rFonts w:ascii="宋体" w:hAnsi="宋体" w:cs="宋体"/>
          <w:snapToGrid w:val="0"/>
          <w:color w:val="auto"/>
          <w:spacing w:val="4"/>
          <w:kern w:val="0"/>
          <w:sz w:val="24"/>
          <w:szCs w:val="24"/>
          <w:highlight w:val="none"/>
        </w:rPr>
      </w:pPr>
    </w:p>
    <w:p>
      <w:pPr>
        <w:widowControl/>
        <w:jc w:val="left"/>
        <w:rPr>
          <w:rFonts w:ascii="宋体" w:hAnsi="宋体" w:cs="宋体"/>
          <w:snapToGrid w:val="0"/>
          <w:color w:val="auto"/>
          <w:spacing w:val="4"/>
          <w:kern w:val="0"/>
          <w:sz w:val="24"/>
          <w:szCs w:val="24"/>
          <w:highlight w:val="none"/>
        </w:rPr>
      </w:pPr>
      <w:r>
        <w:rPr>
          <w:rFonts w:ascii="宋体" w:hAnsi="宋体" w:cs="宋体"/>
          <w:snapToGrid w:val="0"/>
          <w:color w:val="auto"/>
          <w:spacing w:val="4"/>
          <w:kern w:val="0"/>
          <w:sz w:val="24"/>
          <w:szCs w:val="24"/>
          <w:highlight w:val="none"/>
        </w:rPr>
        <w:br w:type="page"/>
      </w:r>
    </w:p>
    <w:p>
      <w:pPr>
        <w:pStyle w:val="6"/>
        <w:rPr>
          <w:color w:val="auto"/>
          <w:highlight w:val="none"/>
        </w:rPr>
      </w:pPr>
      <w:r>
        <w:rPr>
          <w:rFonts w:hint="eastAsia" w:ascii="宋体" w:hAnsi="宋体" w:cs="宋体"/>
          <w:color w:val="auto"/>
          <w:sz w:val="24"/>
          <w:highlight w:val="none"/>
        </w:rPr>
        <w:t>技术标投标文件格式六：</w:t>
      </w:r>
    </w:p>
    <w:p>
      <w:pPr>
        <w:pStyle w:val="6"/>
        <w:jc w:val="center"/>
        <w:rPr>
          <w:rFonts w:ascii="宋体" w:hAnsi="宋体" w:cs="宋体"/>
          <w:b/>
          <w:bCs/>
          <w:color w:val="auto"/>
          <w:sz w:val="30"/>
          <w:szCs w:val="30"/>
          <w:highlight w:val="none"/>
        </w:rPr>
      </w:pPr>
    </w:p>
    <w:p>
      <w:pPr>
        <w:pStyle w:val="6"/>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投标人廉洁承诺书</w:t>
      </w:r>
    </w:p>
    <w:p>
      <w:pPr>
        <w:widowControl/>
        <w:shd w:val="clear" w:color="auto" w:fill="FFFFFF"/>
        <w:spacing w:after="135" w:line="400" w:lineRule="exact"/>
        <w:ind w:right="-197" w:rightChars="-94"/>
        <w:jc w:val="left"/>
        <w:rPr>
          <w:rFonts w:ascii="宋体" w:hAnsi="宋体" w:cs="宋体"/>
          <w:color w:val="auto"/>
          <w:sz w:val="24"/>
          <w:szCs w:val="24"/>
          <w:highlight w:val="none"/>
        </w:rPr>
      </w:pPr>
      <w:r>
        <w:rPr>
          <w:rFonts w:hint="eastAsia" w:ascii="宋体" w:hAnsi="宋体" w:cs="宋体"/>
          <w:color w:val="auto"/>
          <w:szCs w:val="21"/>
          <w:highlight w:val="none"/>
        </w:rPr>
        <w:t>广州市住房和城乡建设局、广州市番禺区人民政府大石街道办事处及广州市海珠区建设工程招标管理办公室：</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fill="FFFFFF"/>
        <w:spacing w:after="135"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w:t>
      </w:r>
    </w:p>
    <w:p>
      <w:pPr>
        <w:widowControl/>
        <w:shd w:val="clear" w:color="auto" w:fill="FFFFFF"/>
        <w:spacing w:after="135" w:line="4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fill="FFFFFF"/>
        <w:spacing w:line="400" w:lineRule="exact"/>
        <w:ind w:right="-58" w:firstLine="288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承诺企业：</w:t>
      </w:r>
      <w:r>
        <w:rPr>
          <w:rFonts w:hint="eastAsia" w:ascii="宋体" w:hAnsi="宋体" w:cs="宋体"/>
          <w:color w:val="auto"/>
          <w:sz w:val="24"/>
          <w:szCs w:val="24"/>
          <w:highlight w:val="none"/>
          <w:u w:val="single"/>
        </w:rPr>
        <w:t xml:space="preserve">              (企业公章)</w:t>
      </w:r>
    </w:p>
    <w:p>
      <w:pPr>
        <w:widowControl/>
        <w:shd w:val="clear" w:color="auto" w:fill="FFFFFF"/>
        <w:wordWrap w:val="0"/>
        <w:spacing w:line="400" w:lineRule="exact"/>
        <w:ind w:right="16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法定代表人或授权代理人（签字或盖章）：</w:t>
      </w:r>
    </w:p>
    <w:p>
      <w:pPr>
        <w:widowControl/>
        <w:ind w:firstLine="6480" w:firstLineChars="27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rPr>
        <w:t>年   月    日</w:t>
      </w:r>
    </w:p>
    <w:p>
      <w:pPr>
        <w:widowControl/>
        <w:tabs>
          <w:tab w:val="center" w:pos="4153"/>
        </w:tabs>
        <w:jc w:val="center"/>
        <w:rPr>
          <w:rFonts w:ascii="宋体" w:hAnsi="宋体" w:cs="宋体"/>
          <w:color w:val="auto"/>
          <w:sz w:val="24"/>
          <w:szCs w:val="24"/>
          <w:highlight w:val="none"/>
        </w:rPr>
      </w:pP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技术标投标文件格式七：</w:t>
      </w:r>
    </w:p>
    <w:p>
      <w:pPr>
        <w:pStyle w:val="6"/>
        <w:rPr>
          <w:rFonts w:ascii="宋体" w:hAnsi="宋体" w:cs="宋体"/>
          <w:color w:val="auto"/>
          <w:highlight w:val="none"/>
        </w:rPr>
      </w:pPr>
    </w:p>
    <w:p>
      <w:pPr>
        <w:pStyle w:val="140"/>
        <w:rPr>
          <w:rFonts w:ascii="宋体" w:hAnsi="宋体" w:eastAsia="宋体"/>
          <w:color w:val="auto"/>
          <w:sz w:val="32"/>
          <w:szCs w:val="32"/>
          <w:highlight w:val="none"/>
        </w:rPr>
      </w:pPr>
      <w:r>
        <w:rPr>
          <w:rFonts w:hint="eastAsia" w:ascii="宋体" w:hAnsi="宋体" w:eastAsia="宋体"/>
          <w:color w:val="auto"/>
          <w:sz w:val="32"/>
          <w:szCs w:val="32"/>
          <w:highlight w:val="none"/>
        </w:rPr>
        <w:t>承  诺  书</w:t>
      </w:r>
    </w:p>
    <w:p>
      <w:pPr>
        <w:pStyle w:val="136"/>
        <w:spacing w:line="400" w:lineRule="exact"/>
        <w:ind w:firstLine="0" w:firstLineChars="0"/>
        <w:rPr>
          <w:rFonts w:ascii="宋体" w:hAnsi="宋体"/>
          <w:color w:val="auto"/>
          <w:highlight w:val="none"/>
        </w:rPr>
      </w:pPr>
      <w:r>
        <w:rPr>
          <w:rFonts w:hint="eastAsia" w:ascii="宋体" w:hAnsi="宋体"/>
          <w:color w:val="auto"/>
          <w:highlight w:val="none"/>
        </w:rPr>
        <w:t>致：</w:t>
      </w:r>
      <w:r>
        <w:rPr>
          <w:rFonts w:hint="eastAsia" w:ascii="宋体" w:hAnsi="宋体"/>
          <w:bCs/>
          <w:color w:val="auto"/>
          <w:highlight w:val="none"/>
          <w:u w:val="single"/>
        </w:rPr>
        <w:t>广州市番禺区人民政府大石街道办事处</w:t>
      </w:r>
    </w:p>
    <w:p>
      <w:pPr>
        <w:pStyle w:val="136"/>
        <w:spacing w:line="400" w:lineRule="exact"/>
        <w:ind w:firstLine="496"/>
        <w:rPr>
          <w:rFonts w:ascii="宋体" w:hAnsi="宋体"/>
          <w:color w:val="auto"/>
          <w:highlight w:val="none"/>
        </w:rPr>
      </w:pPr>
      <w:r>
        <w:rPr>
          <w:rFonts w:hint="eastAsia" w:ascii="宋体" w:hAnsi="宋体"/>
          <w:color w:val="auto"/>
          <w:highlight w:val="none"/>
        </w:rPr>
        <w:t>经详细阅读本工程招标文件、招标答疑纪要和踏勘现场，我司已理解招标人对本招标项目工程管理的高标准及严格要求，在此，我司郑重作出以下承诺：</w:t>
      </w:r>
    </w:p>
    <w:p>
      <w:pPr>
        <w:pStyle w:val="136"/>
        <w:spacing w:line="400" w:lineRule="exact"/>
        <w:ind w:firstLine="496"/>
        <w:rPr>
          <w:rFonts w:ascii="宋体" w:hAnsi="宋体"/>
          <w:color w:val="auto"/>
          <w:highlight w:val="none"/>
        </w:rPr>
      </w:pPr>
      <w:r>
        <w:rPr>
          <w:rFonts w:hint="eastAsia" w:ascii="宋体" w:hAnsi="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否则将按合同约定承担迟延竣工的违约责任。</w:t>
      </w:r>
    </w:p>
    <w:p>
      <w:pPr>
        <w:pStyle w:val="136"/>
        <w:spacing w:line="400" w:lineRule="exact"/>
        <w:ind w:firstLine="496"/>
        <w:rPr>
          <w:rFonts w:ascii="宋体" w:hAnsi="宋体"/>
          <w:color w:val="auto"/>
          <w:highlight w:val="none"/>
        </w:rPr>
      </w:pPr>
      <w:r>
        <w:rPr>
          <w:rFonts w:hint="eastAsia" w:ascii="宋体" w:hAnsi="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且不会因此耽误合同的履行。</w:t>
      </w:r>
    </w:p>
    <w:p>
      <w:pPr>
        <w:pStyle w:val="136"/>
        <w:spacing w:line="400" w:lineRule="exact"/>
        <w:ind w:firstLine="496"/>
        <w:rPr>
          <w:rFonts w:ascii="宋体" w:hAnsi="宋体"/>
          <w:color w:val="auto"/>
          <w:highlight w:val="none"/>
        </w:rPr>
      </w:pPr>
      <w:r>
        <w:rPr>
          <w:rFonts w:hint="eastAsia" w:ascii="宋体" w:hAnsi="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且不会因此耽误合同的履行。</w:t>
      </w:r>
    </w:p>
    <w:p>
      <w:pPr>
        <w:pStyle w:val="136"/>
        <w:spacing w:line="400" w:lineRule="exact"/>
        <w:ind w:firstLine="496"/>
        <w:rPr>
          <w:rFonts w:ascii="宋体" w:hAnsi="宋体"/>
          <w:color w:val="auto"/>
          <w:highlight w:val="none"/>
        </w:rPr>
      </w:pPr>
      <w:r>
        <w:rPr>
          <w:rFonts w:hint="eastAsia" w:ascii="宋体" w:hAnsi="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6"/>
        <w:spacing w:line="400" w:lineRule="exact"/>
        <w:ind w:firstLine="496"/>
        <w:rPr>
          <w:rFonts w:ascii="宋体" w:hAnsi="宋体"/>
          <w:color w:val="auto"/>
          <w:spacing w:val="2"/>
          <w:position w:val="2"/>
          <w:highlight w:val="none"/>
        </w:rPr>
      </w:pPr>
      <w:r>
        <w:rPr>
          <w:rFonts w:hint="eastAsia" w:ascii="宋体" w:hAnsi="宋体"/>
          <w:color w:val="auto"/>
          <w:highlight w:val="none"/>
        </w:rPr>
        <w:t>五、</w:t>
      </w:r>
      <w:r>
        <w:rPr>
          <w:rFonts w:hint="eastAsia" w:ascii="宋体" w:hAnsi="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6"/>
        <w:spacing w:line="400" w:lineRule="exact"/>
        <w:ind w:firstLine="488"/>
        <w:rPr>
          <w:rFonts w:ascii="宋体" w:hAnsi="宋体"/>
          <w:color w:val="auto"/>
          <w:highlight w:val="none"/>
        </w:rPr>
      </w:pPr>
      <w:r>
        <w:rPr>
          <w:rFonts w:hint="eastAsia" w:ascii="宋体" w:hAnsi="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pPr>
        <w:pStyle w:val="136"/>
        <w:spacing w:line="400" w:lineRule="exact"/>
        <w:ind w:firstLine="488"/>
        <w:rPr>
          <w:rFonts w:ascii="宋体" w:hAnsi="宋体"/>
          <w:color w:val="auto"/>
          <w:highlight w:val="none"/>
        </w:rPr>
      </w:pPr>
      <w:r>
        <w:rPr>
          <w:rFonts w:hint="eastAsia" w:ascii="宋体" w:hAnsi="宋体"/>
          <w:color w:val="auto"/>
          <w:spacing w:val="2"/>
          <w:position w:val="2"/>
          <w:highlight w:val="none"/>
        </w:rPr>
        <w:t>七、</w:t>
      </w:r>
      <w:r>
        <w:rPr>
          <w:rFonts w:hint="eastAsia" w:ascii="宋体" w:hAnsi="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6"/>
        <w:spacing w:line="400" w:lineRule="exact"/>
        <w:ind w:firstLine="496"/>
        <w:rPr>
          <w:rFonts w:ascii="宋体" w:hAnsi="宋体"/>
          <w:color w:val="auto"/>
          <w:highlight w:val="none"/>
        </w:rPr>
      </w:pPr>
      <w:r>
        <w:rPr>
          <w:rFonts w:hint="eastAsia" w:ascii="宋体" w:hAnsi="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36"/>
        <w:spacing w:line="400" w:lineRule="exact"/>
        <w:ind w:firstLine="496"/>
        <w:rPr>
          <w:rFonts w:ascii="宋体" w:hAnsi="宋体"/>
          <w:bCs/>
          <w:color w:val="auto"/>
          <w:highlight w:val="none"/>
        </w:rPr>
      </w:pPr>
      <w:r>
        <w:rPr>
          <w:rFonts w:hint="eastAsia" w:ascii="宋体" w:hAnsi="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color w:val="auto"/>
          <w:highlight w:val="none"/>
          <w:u w:val="single"/>
        </w:rPr>
        <w:t>《广州市住房和城乡建设局等9部门关于印发广州市建设工程绿色施工围蔽指导图集（V2.0版）的通知》（穗建质〔2020〕1号）</w:t>
      </w:r>
      <w:r>
        <w:rPr>
          <w:rFonts w:hint="eastAsia" w:ascii="宋体" w:hAnsi="宋体"/>
          <w:color w:val="auto"/>
          <w:highlight w:val="none"/>
        </w:rPr>
        <w:t>和《广州市建筑工程安全生产措施费管理办法》（穗建筑[2003]106号）各项规定和招标文件要求，如合同履行期间有新规定，将按新规行执行。否则，愿意无条件接受招标人的任何处罚，直至被清退出场，并为此承担相应的法律责任。</w:t>
      </w:r>
    </w:p>
    <w:p>
      <w:pPr>
        <w:pStyle w:val="136"/>
        <w:spacing w:line="400" w:lineRule="exact"/>
        <w:ind w:firstLine="472"/>
        <w:rPr>
          <w:rFonts w:ascii="宋体" w:hAnsi="宋体"/>
          <w:bCs/>
          <w:color w:val="auto"/>
          <w:spacing w:val="-2"/>
          <w:highlight w:val="none"/>
        </w:rPr>
      </w:pPr>
      <w:r>
        <w:rPr>
          <w:rFonts w:hint="eastAsia" w:ascii="宋体" w:hAnsi="宋体"/>
          <w:bCs/>
          <w:color w:val="auto"/>
          <w:spacing w:val="-2"/>
          <w:highlight w:val="none"/>
        </w:rPr>
        <w:t>十、</w:t>
      </w:r>
      <w:r>
        <w:rPr>
          <w:rFonts w:hint="eastAsia" w:ascii="宋体" w:hAnsi="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6"/>
        <w:spacing w:line="400" w:lineRule="exact"/>
        <w:ind w:firstLine="496"/>
        <w:rPr>
          <w:rFonts w:ascii="宋体" w:hAnsi="宋体"/>
          <w:color w:val="auto"/>
          <w:highlight w:val="none"/>
        </w:rPr>
      </w:pPr>
      <w:r>
        <w:rPr>
          <w:rFonts w:hint="eastAsia" w:ascii="宋体" w:hAnsi="宋体"/>
          <w:color w:val="auto"/>
          <w:highlight w:val="none"/>
        </w:rPr>
        <w:t>十一、我司保证在本项目投标中不存在围标、串标等违法、违规行为，如经招标监管部门查实存在上述行为，我司同意由招标人没收我司提交的投标保证金，并对由此造成的后果承担相应的法律责任。</w:t>
      </w:r>
    </w:p>
    <w:p>
      <w:pPr>
        <w:pStyle w:val="136"/>
        <w:spacing w:line="400" w:lineRule="exact"/>
        <w:ind w:firstLine="496"/>
        <w:rPr>
          <w:rFonts w:ascii="宋体" w:hAnsi="宋体"/>
          <w:color w:val="auto"/>
          <w:highlight w:val="none"/>
        </w:rPr>
      </w:pPr>
      <w:r>
        <w:rPr>
          <w:rFonts w:hint="eastAsia" w:ascii="宋体" w:hAnsi="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6"/>
        <w:spacing w:line="400" w:lineRule="exact"/>
        <w:ind w:firstLine="496"/>
        <w:rPr>
          <w:rFonts w:ascii="宋体" w:hAnsi="宋体"/>
          <w:color w:val="auto"/>
          <w:highlight w:val="none"/>
        </w:rPr>
      </w:pPr>
      <w:r>
        <w:rPr>
          <w:rFonts w:hint="eastAsia" w:ascii="宋体" w:hAnsi="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6"/>
        <w:spacing w:line="400" w:lineRule="exact"/>
        <w:ind w:firstLine="496"/>
        <w:rPr>
          <w:rFonts w:ascii="宋体" w:hAnsi="宋体"/>
          <w:color w:val="auto"/>
          <w:highlight w:val="none"/>
        </w:rPr>
      </w:pPr>
      <w:r>
        <w:rPr>
          <w:rFonts w:hint="eastAsia" w:ascii="宋体" w:hAnsi="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6"/>
        <w:spacing w:line="400" w:lineRule="exact"/>
        <w:ind w:firstLine="496"/>
        <w:rPr>
          <w:rFonts w:ascii="宋体" w:hAnsi="宋体"/>
          <w:color w:val="auto"/>
          <w:highlight w:val="none"/>
        </w:rPr>
      </w:pPr>
      <w:r>
        <w:rPr>
          <w:rFonts w:hint="eastAsia" w:ascii="宋体" w:hAnsi="宋体"/>
          <w:color w:val="auto"/>
          <w:highlight w:val="none"/>
        </w:rPr>
        <w:t>1、投标阶段已明确所有工程均自行施工，不再分包的；</w:t>
      </w:r>
    </w:p>
    <w:p>
      <w:pPr>
        <w:pStyle w:val="136"/>
        <w:spacing w:line="400" w:lineRule="exact"/>
        <w:ind w:firstLine="496"/>
        <w:rPr>
          <w:rFonts w:ascii="宋体" w:hAnsi="宋体"/>
          <w:color w:val="auto"/>
          <w:highlight w:val="none"/>
        </w:rPr>
      </w:pPr>
      <w:r>
        <w:rPr>
          <w:rFonts w:hint="eastAsia" w:ascii="宋体" w:hAnsi="宋体"/>
          <w:color w:val="auto"/>
          <w:highlight w:val="none"/>
        </w:rPr>
        <w:t>2、合同签订前未按招标文件选择资质合格的分包单位的；</w:t>
      </w:r>
    </w:p>
    <w:p>
      <w:pPr>
        <w:pStyle w:val="136"/>
        <w:spacing w:line="400" w:lineRule="exact"/>
        <w:ind w:firstLine="496"/>
        <w:rPr>
          <w:rFonts w:ascii="宋体" w:hAnsi="宋体"/>
          <w:color w:val="auto"/>
          <w:highlight w:val="none"/>
        </w:rPr>
      </w:pPr>
      <w:r>
        <w:rPr>
          <w:rFonts w:hint="eastAsia" w:ascii="宋体" w:hAnsi="宋体"/>
          <w:color w:val="auto"/>
          <w:highlight w:val="none"/>
        </w:rPr>
        <w:t>3、投标阶段或合同签订时有选择工程分包及分包单位，但分包工程实施之前，我单位放弃工程分包的；</w:t>
      </w:r>
    </w:p>
    <w:p>
      <w:pPr>
        <w:pStyle w:val="136"/>
        <w:spacing w:line="400" w:lineRule="exact"/>
        <w:ind w:firstLine="496"/>
        <w:rPr>
          <w:rFonts w:ascii="宋体" w:hAnsi="宋体"/>
          <w:color w:val="auto"/>
          <w:highlight w:val="none"/>
        </w:rPr>
      </w:pPr>
      <w:r>
        <w:rPr>
          <w:rFonts w:hint="eastAsia" w:ascii="宋体" w:hAnsi="宋体"/>
          <w:color w:val="auto"/>
          <w:highlight w:val="none"/>
        </w:rPr>
        <w:t>4、我司与分包单位解除合同的。</w:t>
      </w:r>
    </w:p>
    <w:p>
      <w:pPr>
        <w:pStyle w:val="136"/>
        <w:spacing w:line="400" w:lineRule="exact"/>
        <w:ind w:firstLine="496"/>
        <w:rPr>
          <w:rFonts w:ascii="宋体" w:hAnsi="宋体"/>
          <w:color w:val="auto"/>
          <w:highlight w:val="none"/>
        </w:rPr>
      </w:pPr>
      <w:r>
        <w:rPr>
          <w:rFonts w:hint="eastAsia" w:ascii="宋体" w:hAnsi="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如果我司的投标被接受，我司保证将按国家、地方的有关规定制订保证民工工资支付的方案及保证措施，并在资金使用计划表中按月单列需支付的民工工资计划，并保证发包人不因任何由于我司在发放民工工资事宜上而受到任何处罚、诉讼和罚款或其他不良影响，且不会因劳资问题耽误合同的履行。</w:t>
      </w:r>
    </w:p>
    <w:p>
      <w:pPr>
        <w:pStyle w:val="136"/>
        <w:spacing w:line="400" w:lineRule="exact"/>
        <w:ind w:firstLine="3472" w:firstLineChars="1400"/>
        <w:rPr>
          <w:rFonts w:ascii="宋体" w:hAnsi="宋体"/>
          <w:color w:val="auto"/>
          <w:highlight w:val="none"/>
        </w:rPr>
      </w:pPr>
    </w:p>
    <w:p>
      <w:pPr>
        <w:pStyle w:val="136"/>
        <w:spacing w:line="400" w:lineRule="exact"/>
        <w:ind w:firstLine="3472" w:firstLineChars="1400"/>
        <w:rPr>
          <w:rFonts w:ascii="宋体" w:hAnsi="宋体"/>
          <w:color w:val="auto"/>
          <w:highlight w:val="none"/>
        </w:rPr>
      </w:pPr>
    </w:p>
    <w:p>
      <w:pPr>
        <w:pStyle w:val="136"/>
        <w:spacing w:line="400" w:lineRule="exact"/>
        <w:ind w:firstLine="3472" w:firstLineChars="1400"/>
        <w:rPr>
          <w:rFonts w:ascii="宋体" w:hAnsi="宋体"/>
          <w:color w:val="auto"/>
          <w:highlight w:val="none"/>
        </w:rPr>
      </w:pPr>
      <w:r>
        <w:rPr>
          <w:rFonts w:hint="eastAsia" w:ascii="宋体" w:hAnsi="宋体"/>
          <w:color w:val="auto"/>
          <w:highlight w:val="none"/>
        </w:rPr>
        <w:t>投标人：　　（盖章）</w:t>
      </w:r>
    </w:p>
    <w:p>
      <w:pPr>
        <w:pStyle w:val="136"/>
        <w:spacing w:line="400" w:lineRule="exact"/>
        <w:ind w:firstLine="3472" w:firstLineChars="1400"/>
        <w:rPr>
          <w:rFonts w:ascii="宋体" w:hAnsi="宋体"/>
          <w:color w:val="auto"/>
          <w:highlight w:val="none"/>
        </w:rPr>
      </w:pPr>
      <w:r>
        <w:rPr>
          <w:rFonts w:hint="eastAsia" w:ascii="宋体" w:hAnsi="宋体"/>
          <w:color w:val="auto"/>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pStyle w:val="136"/>
        <w:spacing w:line="400" w:lineRule="exact"/>
        <w:ind w:firstLine="3472" w:firstLineChars="1400"/>
        <w:rPr>
          <w:rFonts w:ascii="宋体" w:hAnsi="宋体"/>
          <w:color w:val="auto"/>
          <w:kern w:val="0"/>
          <w:highlight w:val="none"/>
        </w:rPr>
      </w:pP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tabs>
          <w:tab w:val="center" w:pos="4153"/>
        </w:tabs>
        <w:jc w:val="left"/>
        <w:rPr>
          <w:rFonts w:ascii="宋体" w:hAnsi="宋体" w:cs="宋体"/>
          <w:snapToGrid w:val="0"/>
          <w:color w:val="auto"/>
          <w:spacing w:val="4"/>
          <w:kern w:val="0"/>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ascii="宋体" w:hAnsi="宋体" w:cs="宋体"/>
          <w:snapToGrid w:val="0"/>
          <w:color w:val="auto"/>
          <w:spacing w:val="4"/>
          <w:kern w:val="0"/>
          <w:sz w:val="24"/>
          <w:szCs w:val="24"/>
          <w:highlight w:val="none"/>
        </w:rPr>
        <w:tab/>
      </w:r>
      <w:r>
        <w:rPr>
          <w:rFonts w:hint="eastAsia" w:ascii="宋体" w:hAnsi="宋体" w:cs="宋体"/>
          <w:color w:val="auto"/>
          <w:sz w:val="24"/>
          <w:highlight w:val="none"/>
        </w:rPr>
        <w:t>技术标投标文件格式八：</w:t>
      </w:r>
    </w:p>
    <w:p>
      <w:pPr>
        <w:spacing w:line="360" w:lineRule="auto"/>
        <w:ind w:firstLine="3235" w:firstLineChars="895"/>
        <w:rPr>
          <w:rFonts w:ascii="宋体" w:hAnsi="宋体" w:cs="宋体"/>
          <w:b/>
          <w:color w:val="auto"/>
          <w:sz w:val="36"/>
          <w:szCs w:val="36"/>
          <w:highlight w:val="none"/>
        </w:rPr>
      </w:pPr>
      <w:r>
        <w:rPr>
          <w:rFonts w:hint="eastAsia" w:ascii="宋体" w:hAnsi="宋体" w:cs="宋体"/>
          <w:b/>
          <w:color w:val="auto"/>
          <w:sz w:val="36"/>
          <w:szCs w:val="36"/>
          <w:highlight w:val="none"/>
        </w:rPr>
        <w:t>投  标  函</w:t>
      </w:r>
    </w:p>
    <w:p>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rPr>
        <w:t>广州市番禺区人民政府大石街道办事处</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1.根据已收到贵方的项目编号为的工程的招标文件，并已详细审核了全部招标文件及有关附件。</w:t>
      </w:r>
    </w:p>
    <w:p>
      <w:pPr>
        <w:snapToGrid w:val="0"/>
        <w:spacing w:line="40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5.如果我方中标，我方保证按招标文件中规定的工期，在___日历天内完成并移交本工程，质量标准达到招标文件中的要求。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法定代表人或授权代理人：             签名或盖章</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投标人企业公章：                         </w:t>
      </w:r>
    </w:p>
    <w:p>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  年月</w:t>
      </w:r>
      <w:r>
        <w:rPr>
          <w:rFonts w:hint="eastAsia" w:ascii="宋体" w:hAnsi="宋体" w:cs="宋体"/>
          <w:color w:val="auto"/>
          <w:sz w:val="24"/>
          <w:szCs w:val="24"/>
          <w:highlight w:val="none"/>
          <w:u w:val="single"/>
        </w:rPr>
        <w:t xml:space="preserve">  日</w:t>
      </w:r>
    </w:p>
    <w:p>
      <w:pPr>
        <w:pStyle w:val="136"/>
        <w:spacing w:line="400" w:lineRule="exact"/>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6"/>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技术标投标文件格式九：</w:t>
      </w:r>
    </w:p>
    <w:tbl>
      <w:tblPr>
        <w:tblStyle w:val="36"/>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pPr>
              <w:widowControl/>
              <w:jc w:val="center"/>
              <w:rPr>
                <w:rFonts w:ascii="方正大标宋简体" w:hAnsi="等线" w:cs="宋体"/>
                <w:b/>
                <w:bCs/>
                <w:color w:val="auto"/>
                <w:kern w:val="0"/>
                <w:sz w:val="32"/>
                <w:szCs w:val="32"/>
                <w:highlight w:val="none"/>
              </w:rPr>
            </w:pPr>
            <w:bookmarkStart w:id="23" w:name="_Hlk61439518"/>
            <w:r>
              <w:rPr>
                <w:rFonts w:ascii="方正大标宋简体" w:hAnsi="等线" w:cs="宋体"/>
                <w:b/>
                <w:bCs/>
                <w:color w:val="auto"/>
                <w:kern w:val="0"/>
                <w:sz w:val="32"/>
                <w:szCs w:val="32"/>
                <w:highlight w:val="none"/>
              </w:rPr>
              <w:t>施工项目管理团队人员信息表</w:t>
            </w:r>
            <w:bookmarkEnd w:id="23"/>
          </w:p>
        </w:tc>
      </w:tr>
      <w:tr>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姓名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岗位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技术负责人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质量负责人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安全负责人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造价负责人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5</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施工员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6</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质量员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7</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资料员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802"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1、“岗位”要求</w:t>
            </w:r>
            <w:r>
              <w:rPr>
                <w:rFonts w:hint="eastAsia" w:ascii="仿宋" w:hAnsi="仿宋" w:eastAsia="仿宋" w:cs="宋体"/>
                <w:b/>
                <w:bCs/>
                <w:color w:val="auto"/>
                <w:kern w:val="0"/>
                <w:sz w:val="28"/>
                <w:szCs w:val="28"/>
                <w:highlight w:val="none"/>
              </w:rPr>
              <w:t>（除项目负责人和专职安全员外）：</w:t>
            </w:r>
            <w:r>
              <w:rPr>
                <w:rFonts w:hint="eastAsia" w:ascii="仿宋" w:hAnsi="仿宋" w:eastAsia="仿宋" w:cs="宋体"/>
                <w:color w:val="auto"/>
                <w:kern w:val="0"/>
                <w:sz w:val="28"/>
                <w:szCs w:val="28"/>
                <w:highlight w:val="none"/>
              </w:rPr>
              <w:t>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p>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3、如评标办法对投标人拟投入的项目管理团队进行评审的，</w:t>
            </w:r>
            <w:bookmarkStart w:id="24" w:name="_Hlk61439507"/>
            <w:r>
              <w:rPr>
                <w:rFonts w:hint="eastAsia" w:ascii="仿宋" w:hAnsi="仿宋" w:eastAsia="仿宋" w:cs="宋体"/>
                <w:color w:val="auto"/>
                <w:kern w:val="0"/>
                <w:sz w:val="28"/>
                <w:szCs w:val="28"/>
                <w:highlight w:val="none"/>
              </w:rPr>
              <w:t>如相同岗位投入人员姓名与本表不一致的，以本表中姓名为准；投标人提供的团队人员职称或资格（含证书编号）情况与本表不一致的，以投标人提供的相关证明材料为准。</w:t>
            </w:r>
            <w:bookmarkEnd w:id="24"/>
          </w:p>
        </w:tc>
      </w:tr>
    </w:tbl>
    <w:p>
      <w:pPr>
        <w:widowControl/>
        <w:tabs>
          <w:tab w:val="center" w:pos="4153"/>
        </w:tabs>
        <w:jc w:val="left"/>
        <w:rPr>
          <w:rFonts w:ascii="宋体" w:hAnsi="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pPr>
        <w:tabs>
          <w:tab w:val="left" w:pos="720"/>
        </w:tabs>
        <w:snapToGrid w:val="0"/>
        <w:spacing w:line="360" w:lineRule="auto"/>
        <w:rPr>
          <w:b/>
          <w:color w:val="auto"/>
          <w:sz w:val="32"/>
          <w:szCs w:val="32"/>
          <w:highlight w:val="none"/>
        </w:rPr>
      </w:pPr>
      <w:r>
        <w:rPr>
          <w:rFonts w:hint="eastAsia" w:ascii="宋体" w:hAnsi="宋体" w:cs="宋体"/>
          <w:color w:val="auto"/>
          <w:sz w:val="24"/>
          <w:highlight w:val="none"/>
        </w:rPr>
        <w:t>技术标投标文件格式十：</w:t>
      </w:r>
    </w:p>
    <w:p>
      <w:pPr>
        <w:tabs>
          <w:tab w:val="left" w:pos="720"/>
        </w:tabs>
        <w:snapToGrid w:val="0"/>
        <w:spacing w:line="360" w:lineRule="auto"/>
        <w:jc w:val="center"/>
        <w:rPr>
          <w:color w:val="auto"/>
          <w:szCs w:val="21"/>
          <w:highlight w:val="none"/>
        </w:rPr>
      </w:pPr>
      <w:r>
        <w:rPr>
          <w:rFonts w:hint="eastAsia"/>
          <w:b/>
          <w:color w:val="auto"/>
          <w:sz w:val="32"/>
          <w:szCs w:val="32"/>
          <w:highlight w:val="none"/>
        </w:rPr>
        <w:t>参与编制技术标投标文件人员名单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r>
        <w:rPr>
          <w:rFonts w:ascii="仿宋_GB2312" w:hAnsi="楷体" w:eastAsia="仿宋_GB2312"/>
          <w:color w:val="auto"/>
          <w:szCs w:val="21"/>
          <w:highlight w:val="none"/>
        </w:rPr>
        <w:br w:type="page"/>
      </w: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spacing w:line="320" w:lineRule="exact"/>
        <w:rPr>
          <w:rFonts w:ascii="仿宋_GB2312" w:hAnsi="楷体" w:eastAsia="仿宋_GB2312"/>
          <w:color w:val="auto"/>
          <w:szCs w:val="21"/>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第二部分 经济标投标文件</w:t>
      </w:r>
      <w:r>
        <w:rPr>
          <w:color w:val="auto"/>
          <w:sz w:val="24"/>
          <w:szCs w:val="24"/>
          <w:highlight w:val="none"/>
        </w:rPr>
        <w:br w:type="page"/>
      </w:r>
      <w:bookmarkStart w:id="25" w:name="_Toc2272568"/>
    </w:p>
    <w:p>
      <w:pPr>
        <w:pStyle w:val="136"/>
        <w:ind w:firstLine="496"/>
        <w:rPr>
          <w:rFonts w:ascii="宋体" w:hAnsi="宋体"/>
          <w:color w:val="auto"/>
          <w:highlight w:val="none"/>
        </w:rPr>
      </w:pPr>
      <w:r>
        <w:rPr>
          <w:rFonts w:hint="eastAsia" w:ascii="宋体" w:hAnsi="宋体"/>
          <w:color w:val="auto"/>
          <w:highlight w:val="none"/>
        </w:rPr>
        <w:t>经济标投标文件格式一：经济标投标文件封面</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9"/>
        <w:rPr>
          <w:rFonts w:ascii="宋体" w:hAnsi="宋体" w:eastAsia="宋体"/>
          <w:color w:val="auto"/>
          <w:highlight w:val="none"/>
          <w:u w:val="single"/>
        </w:rPr>
      </w:pPr>
      <w:r>
        <w:rPr>
          <w:rFonts w:hint="eastAsia" w:ascii="宋体" w:hAnsi="宋体" w:eastAsia="宋体"/>
          <w:color w:val="auto"/>
          <w:highlight w:val="none"/>
          <w:u w:val="single"/>
        </w:rPr>
        <w:t xml:space="preserve">[工程名称] </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7"/>
        <w:rPr>
          <w:rFonts w:ascii="宋体" w:hAnsi="宋体" w:eastAsia="宋体"/>
          <w:color w:val="auto"/>
          <w:highlight w:val="none"/>
        </w:rPr>
      </w:pPr>
      <w:r>
        <w:rPr>
          <w:rFonts w:hint="eastAsia" w:ascii="宋体" w:hAnsi="宋体" w:eastAsia="宋体"/>
          <w:color w:val="auto"/>
          <w:highlight w:val="none"/>
        </w:rPr>
        <w:t>投标文件</w:t>
      </w:r>
    </w:p>
    <w:p>
      <w:pPr>
        <w:pStyle w:val="139"/>
        <w:rPr>
          <w:rFonts w:ascii="宋体" w:hAnsi="宋体" w:eastAsia="宋体"/>
          <w:color w:val="auto"/>
          <w:highlight w:val="none"/>
        </w:rPr>
      </w:pPr>
      <w:r>
        <w:rPr>
          <w:rFonts w:hint="eastAsia" w:ascii="宋体" w:hAnsi="宋体" w:eastAsia="宋体"/>
          <w:color w:val="auto"/>
          <w:highlight w:val="none"/>
        </w:rPr>
        <w:t>第二部分（经济标）</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8"/>
        <w:ind w:firstLine="2038" w:firstLineChars="662"/>
        <w:rPr>
          <w:rFonts w:ascii="宋体" w:hAnsi="宋体"/>
          <w:color w:val="auto"/>
          <w:highlight w:val="none"/>
          <w:u w:val="single"/>
        </w:rPr>
      </w:pPr>
      <w:r>
        <w:rPr>
          <w:rFonts w:hint="eastAsia" w:ascii="宋体" w:hAnsi="宋体"/>
          <w:color w:val="auto"/>
          <w:highlight w:val="none"/>
        </w:rPr>
        <w:t>投标人：</w:t>
      </w:r>
    </w:p>
    <w:p>
      <w:pPr>
        <w:pStyle w:val="138"/>
        <w:ind w:firstLine="2038" w:firstLineChars="662"/>
        <w:rPr>
          <w:rFonts w:ascii="宋体" w:hAnsi="宋体"/>
          <w:color w:val="auto"/>
          <w:highlight w:val="none"/>
          <w:u w:val="single"/>
        </w:rPr>
      </w:pPr>
      <w:r>
        <w:rPr>
          <w:rFonts w:hint="eastAsia" w:ascii="宋体" w:hAnsi="宋体"/>
          <w:color w:val="auto"/>
          <w:highlight w:val="none"/>
        </w:rPr>
        <w:t>日  期：</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经济标投标文件格式二：</w:t>
      </w:r>
    </w:p>
    <w:p>
      <w:pPr>
        <w:spacing w:line="360" w:lineRule="auto"/>
        <w:rPr>
          <w:rFonts w:ascii="宋体" w:hAnsi="宋体" w:cs="宋体"/>
          <w:color w:val="auto"/>
          <w:sz w:val="24"/>
          <w:highlight w:val="none"/>
        </w:rPr>
      </w:pPr>
    </w:p>
    <w:p>
      <w:pPr>
        <w:pStyle w:val="140"/>
        <w:rPr>
          <w:rFonts w:ascii="宋体" w:hAnsi="宋体" w:eastAsia="宋体"/>
          <w:color w:val="auto"/>
          <w:highlight w:val="none"/>
        </w:rPr>
      </w:pPr>
      <w:r>
        <w:rPr>
          <w:rFonts w:hint="eastAsia" w:ascii="宋体" w:hAnsi="宋体" w:eastAsia="宋体"/>
          <w:color w:val="auto"/>
          <w:highlight w:val="none"/>
        </w:rPr>
        <w:t>工程量清单计价表</w:t>
      </w:r>
    </w:p>
    <w:p>
      <w:pPr>
        <w:pStyle w:val="136"/>
        <w:ind w:firstLine="496"/>
        <w:rPr>
          <w:rFonts w:ascii="宋体" w:hAnsi="宋体"/>
          <w:color w:val="auto"/>
          <w:highlight w:val="none"/>
        </w:rPr>
      </w:pPr>
    </w:p>
    <w:p>
      <w:pPr>
        <w:pStyle w:val="136"/>
        <w:ind w:firstLine="496"/>
        <w:rPr>
          <w:rFonts w:ascii="宋体" w:hAnsi="宋体"/>
          <w:color w:val="auto"/>
          <w:highlight w:val="none"/>
        </w:rPr>
      </w:pPr>
      <w:r>
        <w:rPr>
          <w:rFonts w:hint="eastAsia" w:ascii="宋体" w:hAnsi="宋体"/>
          <w:color w:val="auto"/>
          <w:highlight w:val="none"/>
        </w:rPr>
        <w:t>注：</w:t>
      </w:r>
      <w:r>
        <w:rPr>
          <w:rFonts w:hint="eastAsia" w:ascii="宋体" w:hAnsi="宋体"/>
          <w:snapToGrid w:val="0"/>
          <w:color w:val="auto"/>
          <w:szCs w:val="20"/>
          <w:highlight w:val="none"/>
        </w:rPr>
        <w:t>按投标须知修改表11.3.2条款要求，</w:t>
      </w:r>
      <w:r>
        <w:rPr>
          <w:rFonts w:hint="eastAsia" w:ascii="宋体" w:hAnsi="宋体"/>
          <w:color w:val="auto"/>
          <w:highlight w:val="none"/>
        </w:rPr>
        <w:t>详见工程量清单。</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经济标投标文件格式三：</w:t>
      </w:r>
    </w:p>
    <w:p>
      <w:pPr>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color w:val="auto"/>
          <w:szCs w:val="21"/>
          <w:highlight w:val="none"/>
        </w:rPr>
      </w:pPr>
      <w:r>
        <w:rPr>
          <w:color w:val="auto"/>
          <w:szCs w:val="21"/>
          <w:highlight w:val="none"/>
        </w:rPr>
        <w:br w:type="page"/>
      </w:r>
      <w:r>
        <w:rPr>
          <w:rFonts w:hint="eastAsia" w:ascii="宋体" w:hAnsi="宋体" w:cs="宋体"/>
          <w:color w:val="auto"/>
          <w:sz w:val="24"/>
          <w:highlight w:val="none"/>
        </w:rPr>
        <w:t>经济标投标文件格式四：</w:t>
      </w:r>
    </w:p>
    <w:p>
      <w:pPr>
        <w:pStyle w:val="5"/>
        <w:spacing w:after="0" w:line="360" w:lineRule="auto"/>
        <w:ind w:firstLine="0"/>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对投标文件编制的承诺</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 xml:space="preserve">         （身份证号：               ）</w:t>
      </w:r>
      <w:r>
        <w:rPr>
          <w:rFonts w:hint="eastAsia" w:ascii="宋体" w:hAnsi="宋体" w:eastAsia="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olor w:val="auto"/>
          <w:sz w:val="24"/>
          <w:szCs w:val="24"/>
          <w:highlight w:val="none"/>
        </w:rPr>
      </w:pP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5"/>
        <w:spacing w:after="0" w:line="360" w:lineRule="auto"/>
        <w:ind w:firstLine="0"/>
        <w:rPr>
          <w:rFonts w:ascii="宋体" w:hAnsi="宋体" w:eastAsia="宋体"/>
          <w:b/>
          <w:color w:val="auto"/>
          <w:sz w:val="32"/>
          <w:szCs w:val="32"/>
          <w:highlight w:val="none"/>
        </w:rPr>
      </w:pPr>
    </w:p>
    <w:p>
      <w:pPr>
        <w:pStyle w:val="5"/>
        <w:spacing w:after="0" w:line="360" w:lineRule="auto"/>
        <w:ind w:firstLine="640" w:firstLineChars="200"/>
        <w:jc w:val="center"/>
        <w:rPr>
          <w:rFonts w:ascii="宋体" w:hAnsi="宋体" w:eastAsia="宋体"/>
          <w:color w:val="auto"/>
          <w:sz w:val="18"/>
          <w:szCs w:val="18"/>
          <w:highlight w:val="none"/>
        </w:rPr>
      </w:pPr>
      <w:r>
        <w:rPr>
          <w:rFonts w:hint="eastAsia" w:ascii="宋体" w:hAnsi="宋体" w:eastAsia="宋体"/>
          <w:b/>
          <w:color w:val="auto"/>
          <w:sz w:val="32"/>
          <w:szCs w:val="32"/>
          <w:highlight w:val="none"/>
        </w:rPr>
        <w:t>投标文件编制情况</w:t>
      </w:r>
    </w:p>
    <w:p>
      <w:pPr>
        <w:pStyle w:val="5"/>
        <w:spacing w:after="0"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olor w:val="auto"/>
          <w:sz w:val="24"/>
          <w:szCs w:val="24"/>
          <w:highlight w:val="none"/>
        </w:rPr>
        <w:t>。□委托编制的，受委托单位，编制的负责人：</w:t>
      </w:r>
      <w:r>
        <w:rPr>
          <w:rFonts w:hint="eastAsia" w:ascii="宋体" w:hAnsi="宋体" w:eastAsia="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olor w:val="auto"/>
          <w:sz w:val="24"/>
          <w:szCs w:val="24"/>
          <w:highlight w:val="none"/>
        </w:rPr>
        <w:t>。</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2.投标文件加密打包的电脑情况</w:t>
      </w:r>
    </w:p>
    <w:tbl>
      <w:tblPr>
        <w:tblStyle w:val="36"/>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     自有    □      外包    □     其他    □</w:t>
            </w:r>
          </w:p>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电脑类型</w:t>
            </w:r>
          </w:p>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pStyle w:val="3"/>
        <w:jc w:val="center"/>
        <w:rPr>
          <w:color w:val="auto"/>
          <w:highlight w:val="none"/>
        </w:rPr>
      </w:pPr>
      <w:r>
        <w:rPr>
          <w:rFonts w:hint="eastAsia"/>
          <w:color w:val="auto"/>
          <w:highlight w:val="none"/>
        </w:rPr>
        <w:t>第五章技术条件（工程建设标准）</w:t>
      </w:r>
      <w:bookmarkEnd w:id="25"/>
    </w:p>
    <w:p>
      <w:pPr>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pPr>
        <w:rPr>
          <w:rFonts w:ascii="宋体"/>
          <w:b/>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pPr>
        <w:pStyle w:val="3"/>
        <w:jc w:val="center"/>
        <w:rPr>
          <w:color w:val="auto"/>
          <w:highlight w:val="none"/>
        </w:rPr>
      </w:pPr>
      <w:r>
        <w:rPr>
          <w:color w:val="auto"/>
          <w:sz w:val="24"/>
          <w:szCs w:val="24"/>
          <w:highlight w:val="none"/>
        </w:rPr>
        <w:br w:type="page"/>
      </w:r>
      <w:bookmarkStart w:id="26" w:name="_Toc2272569"/>
      <w:r>
        <w:rPr>
          <w:rFonts w:hint="eastAsia"/>
          <w:color w:val="auto"/>
          <w:highlight w:val="none"/>
        </w:rPr>
        <w:t>第六章图纸及勘察资料</w:t>
      </w:r>
      <w:bookmarkEnd w:id="26"/>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bookmarkStart w:id="27" w:name="_Toc2272570"/>
      <w:r>
        <w:rPr>
          <w:rFonts w:hint="eastAsia"/>
          <w:color w:val="auto"/>
          <w:highlight w:val="none"/>
        </w:rPr>
        <w:t>第七章工程量清单</w:t>
      </w:r>
      <w:bookmarkEnd w:id="27"/>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rFonts w:ascii="宋体"/>
          <w:color w:val="auto"/>
          <w:highlight w:val="none"/>
        </w:rPr>
      </w:pPr>
      <w:bookmarkStart w:id="28" w:name="_Toc2272571"/>
      <w:r>
        <w:rPr>
          <w:rFonts w:hint="eastAsia"/>
          <w:color w:val="auto"/>
          <w:highlight w:val="none"/>
        </w:rPr>
        <w:t>第八章最高投标限价</w:t>
      </w:r>
      <w:bookmarkEnd w:id="28"/>
    </w:p>
    <w:p>
      <w:pPr>
        <w:spacing w:line="360" w:lineRule="auto"/>
        <w:ind w:firstLine="480"/>
        <w:jc w:val="center"/>
        <w:rPr>
          <w:rFonts w:ascii="宋体" w:hAnsi="宋体"/>
          <w:color w:val="auto"/>
          <w:sz w:val="24"/>
          <w:szCs w:val="24"/>
          <w:highlight w:val="none"/>
          <w:u w:val="single"/>
        </w:rPr>
      </w:pPr>
      <w:r>
        <w:rPr>
          <w:rFonts w:hint="eastAsia" w:ascii="宋体" w:hAnsi="宋体"/>
          <w:color w:val="auto"/>
          <w:sz w:val="24"/>
          <w:szCs w:val="24"/>
          <w:highlight w:val="none"/>
        </w:rPr>
        <w:t>（另册）</w:t>
      </w: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1</w:t>
    </w:r>
    <w:r>
      <w:rPr>
        <w:lang w:val="zh-CN"/>
      </w:rPr>
      <w:fldChar w:fldCharType="end"/>
    </w:r>
  </w:p>
  <w:p>
    <w:pPr>
      <w:pStyle w:val="24"/>
      <w:ind w:firstLine="392"/>
      <w:jc w:val="right"/>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77</w:t>
    </w:r>
    <w: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1"/>
      </w:rPr>
      <w:instrText xml:space="preserve"> PAGE </w:instrText>
    </w:r>
    <w:r>
      <w:fldChar w:fldCharType="separate"/>
    </w:r>
    <w:r>
      <w:rPr>
        <w:rStyle w:val="41"/>
      </w:rP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jRlZjJjMzYxZTMyMzZiMDgxNDM0MGVmMTk1YmQifQ=="/>
  </w:docVars>
  <w:rsids>
    <w:rsidRoot w:val="00172A27"/>
    <w:rsid w:val="00011636"/>
    <w:rsid w:val="00013381"/>
    <w:rsid w:val="00062774"/>
    <w:rsid w:val="00172A27"/>
    <w:rsid w:val="001C2523"/>
    <w:rsid w:val="00376BDE"/>
    <w:rsid w:val="00487365"/>
    <w:rsid w:val="004F43B2"/>
    <w:rsid w:val="005507D0"/>
    <w:rsid w:val="005B623F"/>
    <w:rsid w:val="007E0558"/>
    <w:rsid w:val="009C74B3"/>
    <w:rsid w:val="00A01175"/>
    <w:rsid w:val="00A63977"/>
    <w:rsid w:val="00B1524E"/>
    <w:rsid w:val="00BA3B7F"/>
    <w:rsid w:val="00BB0268"/>
    <w:rsid w:val="00BC646B"/>
    <w:rsid w:val="00CC153B"/>
    <w:rsid w:val="00D62605"/>
    <w:rsid w:val="00E41CFE"/>
    <w:rsid w:val="00E9505D"/>
    <w:rsid w:val="00F37742"/>
    <w:rsid w:val="01A0573C"/>
    <w:rsid w:val="04090D29"/>
    <w:rsid w:val="04C52122"/>
    <w:rsid w:val="04D6539F"/>
    <w:rsid w:val="06490636"/>
    <w:rsid w:val="06DC04A8"/>
    <w:rsid w:val="070070DC"/>
    <w:rsid w:val="0702568C"/>
    <w:rsid w:val="07251276"/>
    <w:rsid w:val="07770DBA"/>
    <w:rsid w:val="07E64306"/>
    <w:rsid w:val="095A609D"/>
    <w:rsid w:val="09CA0382"/>
    <w:rsid w:val="09DF2069"/>
    <w:rsid w:val="0B161F7E"/>
    <w:rsid w:val="0B8129C4"/>
    <w:rsid w:val="0BB65B27"/>
    <w:rsid w:val="0BC46F48"/>
    <w:rsid w:val="0BC61542"/>
    <w:rsid w:val="0CB41A4E"/>
    <w:rsid w:val="0D111EC6"/>
    <w:rsid w:val="0DB97430"/>
    <w:rsid w:val="0DF92BD4"/>
    <w:rsid w:val="0F2326AA"/>
    <w:rsid w:val="0F4B1A3E"/>
    <w:rsid w:val="0F704608"/>
    <w:rsid w:val="101A1844"/>
    <w:rsid w:val="1061748D"/>
    <w:rsid w:val="11C444E6"/>
    <w:rsid w:val="14757F76"/>
    <w:rsid w:val="15190AEA"/>
    <w:rsid w:val="15477903"/>
    <w:rsid w:val="16431A7D"/>
    <w:rsid w:val="176040BC"/>
    <w:rsid w:val="18381785"/>
    <w:rsid w:val="193B5C32"/>
    <w:rsid w:val="1B2C7BB4"/>
    <w:rsid w:val="1B5C7C1E"/>
    <w:rsid w:val="1C6D33D2"/>
    <w:rsid w:val="1CF93B79"/>
    <w:rsid w:val="1DB76BEC"/>
    <w:rsid w:val="1E1A063A"/>
    <w:rsid w:val="1E27661D"/>
    <w:rsid w:val="1F283CD7"/>
    <w:rsid w:val="1FC0320A"/>
    <w:rsid w:val="203D2464"/>
    <w:rsid w:val="215C32F1"/>
    <w:rsid w:val="234813CA"/>
    <w:rsid w:val="23483D8A"/>
    <w:rsid w:val="251B1F4B"/>
    <w:rsid w:val="25404707"/>
    <w:rsid w:val="26EA2865"/>
    <w:rsid w:val="276460F3"/>
    <w:rsid w:val="27D6128E"/>
    <w:rsid w:val="28162CB2"/>
    <w:rsid w:val="28FB1FB7"/>
    <w:rsid w:val="29A91865"/>
    <w:rsid w:val="2A34440D"/>
    <w:rsid w:val="2C1A1476"/>
    <w:rsid w:val="2C2B523D"/>
    <w:rsid w:val="2E0C3BA5"/>
    <w:rsid w:val="2E726B12"/>
    <w:rsid w:val="3079169C"/>
    <w:rsid w:val="30B4647F"/>
    <w:rsid w:val="32D10138"/>
    <w:rsid w:val="338177F3"/>
    <w:rsid w:val="34413D46"/>
    <w:rsid w:val="34A80AEC"/>
    <w:rsid w:val="35751536"/>
    <w:rsid w:val="35AD4114"/>
    <w:rsid w:val="38026CF0"/>
    <w:rsid w:val="3998008B"/>
    <w:rsid w:val="3A686B83"/>
    <w:rsid w:val="3FC31337"/>
    <w:rsid w:val="402F4FF3"/>
    <w:rsid w:val="40EA1CBF"/>
    <w:rsid w:val="42E87584"/>
    <w:rsid w:val="431F542F"/>
    <w:rsid w:val="43375336"/>
    <w:rsid w:val="43AD4CF7"/>
    <w:rsid w:val="43DA2D6A"/>
    <w:rsid w:val="44787929"/>
    <w:rsid w:val="44F96FE6"/>
    <w:rsid w:val="45263094"/>
    <w:rsid w:val="45EF6617"/>
    <w:rsid w:val="477D6AD1"/>
    <w:rsid w:val="497C6E74"/>
    <w:rsid w:val="49901202"/>
    <w:rsid w:val="4A2E6D6B"/>
    <w:rsid w:val="4A6C6EE9"/>
    <w:rsid w:val="4B1D15FB"/>
    <w:rsid w:val="4D1E56A2"/>
    <w:rsid w:val="4D2F73D7"/>
    <w:rsid w:val="4F1B6770"/>
    <w:rsid w:val="4F320DD6"/>
    <w:rsid w:val="4F533143"/>
    <w:rsid w:val="4F6726AA"/>
    <w:rsid w:val="51D81FB9"/>
    <w:rsid w:val="521345E0"/>
    <w:rsid w:val="529B5A85"/>
    <w:rsid w:val="53B85EAA"/>
    <w:rsid w:val="53F842A6"/>
    <w:rsid w:val="55124119"/>
    <w:rsid w:val="56BB295E"/>
    <w:rsid w:val="57291C6D"/>
    <w:rsid w:val="57A94FDA"/>
    <w:rsid w:val="583509B8"/>
    <w:rsid w:val="587358E6"/>
    <w:rsid w:val="588E7349"/>
    <w:rsid w:val="58CD042B"/>
    <w:rsid w:val="58E52250"/>
    <w:rsid w:val="5932074A"/>
    <w:rsid w:val="5A4F15A7"/>
    <w:rsid w:val="5AC918F7"/>
    <w:rsid w:val="5C95526C"/>
    <w:rsid w:val="5D877FB2"/>
    <w:rsid w:val="5DB53328"/>
    <w:rsid w:val="5DF11787"/>
    <w:rsid w:val="5E7B7C71"/>
    <w:rsid w:val="5FC248F5"/>
    <w:rsid w:val="600F73FE"/>
    <w:rsid w:val="602F6597"/>
    <w:rsid w:val="605B5421"/>
    <w:rsid w:val="614A1EA1"/>
    <w:rsid w:val="61683522"/>
    <w:rsid w:val="625C114C"/>
    <w:rsid w:val="6278379B"/>
    <w:rsid w:val="62D665B5"/>
    <w:rsid w:val="686C71D9"/>
    <w:rsid w:val="68890BE2"/>
    <w:rsid w:val="6DD670D3"/>
    <w:rsid w:val="6E187DCF"/>
    <w:rsid w:val="6E4904E1"/>
    <w:rsid w:val="6EB81E4D"/>
    <w:rsid w:val="6F103A37"/>
    <w:rsid w:val="6F5A4C4A"/>
    <w:rsid w:val="70724285"/>
    <w:rsid w:val="70C82FCA"/>
    <w:rsid w:val="72595FE2"/>
    <w:rsid w:val="73071BC6"/>
    <w:rsid w:val="738E45DC"/>
    <w:rsid w:val="74260B94"/>
    <w:rsid w:val="760D667D"/>
    <w:rsid w:val="763C6D22"/>
    <w:rsid w:val="775B39EA"/>
    <w:rsid w:val="78CD37EE"/>
    <w:rsid w:val="7A7A0EDB"/>
    <w:rsid w:val="7B80237C"/>
    <w:rsid w:val="7B9A5E70"/>
    <w:rsid w:val="7BC10593"/>
    <w:rsid w:val="7DFD7EEC"/>
    <w:rsid w:val="7E677CA0"/>
    <w:rsid w:val="7F087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6"/>
    <w:qFormat/>
    <w:uiPriority w:val="0"/>
    <w:pPr>
      <w:keepNext/>
      <w:keepLines/>
      <w:spacing w:after="120" w:line="360" w:lineRule="auto"/>
      <w:jc w:val="left"/>
      <w:outlineLvl w:val="0"/>
    </w:pPr>
    <w:rPr>
      <w:kern w:val="44"/>
      <w:sz w:val="28"/>
      <w:szCs w:val="28"/>
    </w:rPr>
  </w:style>
  <w:style w:type="paragraph" w:styleId="7">
    <w:name w:val="heading 2"/>
    <w:basedOn w:val="1"/>
    <w:next w:val="8"/>
    <w:link w:val="8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9"/>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88"/>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8"/>
    <w:qFormat/>
    <w:uiPriority w:val="0"/>
    <w:pPr>
      <w:numPr>
        <w:ilvl w:val="4"/>
        <w:numId w:val="0"/>
      </w:numPr>
      <w:spacing w:line="240" w:lineRule="exact"/>
      <w:outlineLvl w:val="4"/>
    </w:pPr>
  </w:style>
  <w:style w:type="paragraph" w:styleId="12">
    <w:name w:val="heading 6"/>
    <w:basedOn w:val="1"/>
    <w:next w:val="1"/>
    <w:link w:val="66"/>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90"/>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5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0"/>
    <w:qFormat/>
    <w:uiPriority w:val="0"/>
    <w:rPr>
      <w:rFonts w:ascii="宋体" w:hAnsi="Courier New"/>
      <w:szCs w:val="20"/>
    </w:rPr>
  </w:style>
  <w:style w:type="paragraph" w:styleId="4">
    <w:name w:val="Title"/>
    <w:basedOn w:val="1"/>
    <w:next w:val="1"/>
    <w:link w:val="58"/>
    <w:qFormat/>
    <w:uiPriority w:val="0"/>
    <w:pPr>
      <w:spacing w:before="120" w:after="60"/>
      <w:jc w:val="center"/>
    </w:pPr>
    <w:rPr>
      <w:rFonts w:ascii="Arial" w:hAnsi="Arial"/>
      <w:b/>
      <w:sz w:val="44"/>
      <w:szCs w:val="20"/>
    </w:rPr>
  </w:style>
  <w:style w:type="paragraph" w:styleId="5">
    <w:name w:val="Body Text First Indent"/>
    <w:basedOn w:val="6"/>
    <w:link w:val="80"/>
    <w:qFormat/>
    <w:uiPriority w:val="0"/>
    <w:pPr>
      <w:ind w:firstLine="420"/>
    </w:pPr>
    <w:rPr>
      <w:rFonts w:ascii="等线" w:hAnsi="等线" w:eastAsia="等线" w:cs="宋体"/>
      <w:szCs w:val="22"/>
    </w:rPr>
  </w:style>
  <w:style w:type="paragraph" w:styleId="6">
    <w:name w:val="Body Text"/>
    <w:basedOn w:val="1"/>
    <w:next w:val="4"/>
    <w:link w:val="74"/>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6">
    <w:name w:val="Document Map"/>
    <w:basedOn w:val="1"/>
    <w:link w:val="62"/>
    <w:qFormat/>
    <w:uiPriority w:val="0"/>
    <w:pPr>
      <w:shd w:val="clear" w:color="auto" w:fill="000080"/>
    </w:pPr>
    <w:rPr>
      <w:rFonts w:ascii="Times New Roman" w:hAnsi="Times New Roman"/>
      <w:szCs w:val="20"/>
    </w:rPr>
  </w:style>
  <w:style w:type="paragraph" w:styleId="17">
    <w:name w:val="annotation text"/>
    <w:basedOn w:val="1"/>
    <w:next w:val="1"/>
    <w:link w:val="104"/>
    <w:qFormat/>
    <w:uiPriority w:val="0"/>
    <w:pPr>
      <w:jc w:val="left"/>
    </w:pPr>
  </w:style>
  <w:style w:type="paragraph" w:styleId="18">
    <w:name w:val="Body Text Indent"/>
    <w:basedOn w:val="1"/>
    <w:link w:val="67"/>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7"/>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6"/>
    <w:qFormat/>
    <w:uiPriority w:val="0"/>
    <w:pPr>
      <w:snapToGrid w:val="0"/>
      <w:jc w:val="left"/>
    </w:pPr>
    <w:rPr>
      <w:rFonts w:ascii="Times New Roman" w:hAnsi="Times New Roman"/>
      <w:szCs w:val="20"/>
    </w:rPr>
  </w:style>
  <w:style w:type="paragraph" w:styleId="23">
    <w:name w:val="Balloon Text"/>
    <w:basedOn w:val="1"/>
    <w:link w:val="56"/>
    <w:qFormat/>
    <w:uiPriority w:val="0"/>
    <w:rPr>
      <w:rFonts w:ascii="Times New Roman" w:hAnsi="Times New Roman"/>
      <w:sz w:val="18"/>
      <w:szCs w:val="18"/>
    </w:rPr>
  </w:style>
  <w:style w:type="paragraph" w:styleId="24">
    <w:name w:val="footer"/>
    <w:basedOn w:val="1"/>
    <w:link w:val="71"/>
    <w:qFormat/>
    <w:uiPriority w:val="99"/>
    <w:pPr>
      <w:tabs>
        <w:tab w:val="center" w:pos="4153"/>
        <w:tab w:val="right" w:pos="8306"/>
      </w:tabs>
      <w:snapToGrid w:val="0"/>
      <w:jc w:val="left"/>
    </w:pPr>
    <w:rPr>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6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3"/>
    <w:qFormat/>
    <w:uiPriority w:val="0"/>
    <w:rPr>
      <w:rFonts w:ascii="宋体" w:hAnsi="宋体"/>
      <w:szCs w:val="24"/>
      <w:u w:val="single"/>
    </w:rPr>
  </w:style>
  <w:style w:type="paragraph" w:styleId="32">
    <w:name w:val="Normal (Web)"/>
    <w:basedOn w:val="1"/>
    <w:qFormat/>
    <w:uiPriority w:val="99"/>
    <w:pPr>
      <w:widowControl/>
      <w:jc w:val="left"/>
    </w:pPr>
    <w:rPr>
      <w:rFonts w:ascii="微软雅黑" w:hAnsi="微软雅黑" w:eastAsia="微软雅黑" w:cs="宋体"/>
      <w:kern w:val="0"/>
      <w:sz w:val="24"/>
      <w:szCs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98"/>
    <w:qFormat/>
    <w:uiPriority w:val="0"/>
    <w:pPr>
      <w:spacing w:line="360" w:lineRule="auto"/>
      <w:ind w:firstLine="523" w:firstLineChars="218"/>
    </w:pPr>
    <w:rPr>
      <w:rFonts w:ascii="宋体" w:hAnsi="宋体"/>
      <w:b/>
      <w:bCs/>
      <w:sz w:val="24"/>
      <w:szCs w:val="24"/>
    </w:rPr>
  </w:style>
  <w:style w:type="paragraph" w:styleId="35">
    <w:name w:val="Body Text First Indent 2"/>
    <w:basedOn w:val="18"/>
    <w:qFormat/>
    <w:uiPriority w:val="0"/>
    <w:pPr>
      <w:spacing w:after="120"/>
      <w:ind w:left="420" w:leftChars="200" w:firstLine="420" w:firstLineChars="200"/>
    </w:pPr>
    <w:rPr>
      <w:sz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styleId="45">
    <w:name w:val="footnote reference"/>
    <w:qFormat/>
    <w:uiPriority w:val="0"/>
    <w:rPr>
      <w:vertAlign w:val="superscript"/>
    </w:rPr>
  </w:style>
  <w:style w:type="paragraph" w:customStyle="1" w:styleId="46">
    <w:name w:val="PlainText"/>
    <w:basedOn w:val="1"/>
    <w:qFormat/>
    <w:uiPriority w:val="0"/>
    <w:rPr>
      <w:rFonts w:ascii="宋体" w:hAnsi="Courier New"/>
      <w:kern w:val="0"/>
      <w:sz w:val="20"/>
      <w:szCs w:val="20"/>
    </w:rPr>
  </w:style>
  <w:style w:type="character" w:customStyle="1" w:styleId="47">
    <w:name w:val="标题 1 字符"/>
    <w:basedOn w:val="38"/>
    <w:qFormat/>
    <w:uiPriority w:val="9"/>
    <w:rPr>
      <w:rFonts w:ascii="Calibri" w:hAnsi="Calibri" w:eastAsia="宋体" w:cs="Times New Roman"/>
      <w:b/>
      <w:bCs/>
      <w:kern w:val="44"/>
      <w:sz w:val="44"/>
      <w:szCs w:val="44"/>
    </w:rPr>
  </w:style>
  <w:style w:type="character" w:customStyle="1" w:styleId="48">
    <w:name w:val="标题 2 字符"/>
    <w:basedOn w:val="38"/>
    <w:qFormat/>
    <w:uiPriority w:val="9"/>
    <w:rPr>
      <w:rFonts w:ascii="等线 Light" w:hAnsi="等线 Light" w:eastAsia="等线 Light" w:cs="宋体"/>
      <w:b/>
      <w:bCs/>
      <w:sz w:val="32"/>
      <w:szCs w:val="32"/>
    </w:rPr>
  </w:style>
  <w:style w:type="character" w:customStyle="1" w:styleId="49">
    <w:name w:val="标题 3 字符"/>
    <w:basedOn w:val="38"/>
    <w:qFormat/>
    <w:uiPriority w:val="9"/>
    <w:rPr>
      <w:rFonts w:ascii="Calibri" w:hAnsi="Calibri" w:eastAsia="宋体" w:cs="Times New Roman"/>
      <w:b/>
      <w:bCs/>
      <w:sz w:val="32"/>
      <w:szCs w:val="32"/>
    </w:rPr>
  </w:style>
  <w:style w:type="character" w:customStyle="1" w:styleId="50">
    <w:name w:val="标题 4 字符"/>
    <w:basedOn w:val="38"/>
    <w:qFormat/>
    <w:uiPriority w:val="9"/>
    <w:rPr>
      <w:rFonts w:ascii="等线 Light" w:hAnsi="等线 Light" w:eastAsia="等线 Light" w:cs="宋体"/>
      <w:b/>
      <w:bCs/>
      <w:sz w:val="28"/>
      <w:szCs w:val="28"/>
    </w:rPr>
  </w:style>
  <w:style w:type="character" w:customStyle="1" w:styleId="51">
    <w:name w:val="标题 5 字符"/>
    <w:basedOn w:val="38"/>
    <w:qFormat/>
    <w:uiPriority w:val="9"/>
    <w:rPr>
      <w:rFonts w:ascii="Calibri" w:hAnsi="Calibri" w:eastAsia="宋体" w:cs="Times New Roman"/>
      <w:b/>
      <w:bCs/>
      <w:sz w:val="28"/>
      <w:szCs w:val="28"/>
    </w:rPr>
  </w:style>
  <w:style w:type="character" w:customStyle="1" w:styleId="52">
    <w:name w:val="标题 6 字符"/>
    <w:basedOn w:val="38"/>
    <w:qFormat/>
    <w:uiPriority w:val="9"/>
    <w:rPr>
      <w:rFonts w:ascii="等线 Light" w:hAnsi="等线 Light" w:eastAsia="等线 Light" w:cs="宋体"/>
      <w:b/>
      <w:bCs/>
      <w:sz w:val="24"/>
      <w:szCs w:val="24"/>
    </w:rPr>
  </w:style>
  <w:style w:type="character" w:customStyle="1" w:styleId="53">
    <w:name w:val="标题 7 字符"/>
    <w:basedOn w:val="38"/>
    <w:qFormat/>
    <w:uiPriority w:val="9"/>
    <w:rPr>
      <w:rFonts w:ascii="Calibri" w:hAnsi="Calibri" w:eastAsia="宋体" w:cs="Times New Roman"/>
      <w:b/>
      <w:bCs/>
      <w:sz w:val="24"/>
      <w:szCs w:val="24"/>
    </w:rPr>
  </w:style>
  <w:style w:type="character" w:customStyle="1" w:styleId="54">
    <w:name w:val="标题 8 字符"/>
    <w:basedOn w:val="38"/>
    <w:qFormat/>
    <w:uiPriority w:val="9"/>
    <w:rPr>
      <w:rFonts w:ascii="等线 Light" w:hAnsi="等线 Light" w:eastAsia="等线 Light" w:cs="宋体"/>
      <w:sz w:val="24"/>
      <w:szCs w:val="24"/>
    </w:rPr>
  </w:style>
  <w:style w:type="character" w:customStyle="1" w:styleId="55">
    <w:name w:val="标题 9 字符"/>
    <w:basedOn w:val="38"/>
    <w:qFormat/>
    <w:uiPriority w:val="9"/>
    <w:rPr>
      <w:rFonts w:ascii="等线 Light" w:hAnsi="等线 Light" w:eastAsia="等线 Light" w:cs="宋体"/>
      <w:szCs w:val="21"/>
    </w:rPr>
  </w:style>
  <w:style w:type="character" w:customStyle="1" w:styleId="56">
    <w:name w:val="批注框文本 Char"/>
    <w:link w:val="23"/>
    <w:qFormat/>
    <w:uiPriority w:val="0"/>
    <w:rPr>
      <w:rFonts w:ascii="Times New Roman" w:hAnsi="Times New Roman" w:eastAsia="宋体" w:cs="Times New Roman"/>
      <w:sz w:val="18"/>
      <w:szCs w:val="18"/>
    </w:rPr>
  </w:style>
  <w:style w:type="character" w:customStyle="1" w:styleId="57">
    <w:name w:val="正文文本缩进 3 Char"/>
    <w:link w:val="29"/>
    <w:qFormat/>
    <w:uiPriority w:val="0"/>
    <w:rPr>
      <w:rFonts w:ascii="Times New Roman" w:hAnsi="Times New Roman" w:eastAsia="宋体" w:cs="Times New Roman"/>
      <w:color w:val="000000"/>
      <w:sz w:val="24"/>
      <w:szCs w:val="20"/>
    </w:rPr>
  </w:style>
  <w:style w:type="character" w:customStyle="1" w:styleId="58">
    <w:name w:val="标题 Char"/>
    <w:link w:val="4"/>
    <w:qFormat/>
    <w:uiPriority w:val="0"/>
    <w:rPr>
      <w:rFonts w:ascii="Arial" w:hAnsi="Arial" w:eastAsia="宋体" w:cs="Times New Roman"/>
      <w:b/>
      <w:sz w:val="44"/>
      <w:szCs w:val="20"/>
    </w:rPr>
  </w:style>
  <w:style w:type="character" w:customStyle="1" w:styleId="59">
    <w:name w:val="标题 8 Char"/>
    <w:link w:val="14"/>
    <w:qFormat/>
    <w:uiPriority w:val="0"/>
    <w:rPr>
      <w:rFonts w:ascii="Arial" w:hAnsi="Arial" w:eastAsia="黑体" w:cs="Times New Roman"/>
      <w:sz w:val="24"/>
      <w:szCs w:val="20"/>
    </w:rPr>
  </w:style>
  <w:style w:type="character" w:customStyle="1" w:styleId="60">
    <w:name w:val="脚注文本 Char"/>
    <w:link w:val="28"/>
    <w:qFormat/>
    <w:uiPriority w:val="0"/>
    <w:rPr>
      <w:rFonts w:ascii="宋体" w:hAnsi="宋体" w:eastAsia="宋体" w:cs="Times New Roman"/>
      <w:sz w:val="18"/>
      <w:szCs w:val="18"/>
    </w:rPr>
  </w:style>
  <w:style w:type="character" w:customStyle="1" w:styleId="61">
    <w:name w:val="批注框文本 字符"/>
    <w:qFormat/>
    <w:uiPriority w:val="99"/>
    <w:rPr>
      <w:rFonts w:ascii="Calibri" w:hAnsi="Calibri" w:eastAsia="宋体" w:cs="Times New Roman"/>
      <w:sz w:val="18"/>
      <w:szCs w:val="18"/>
    </w:rPr>
  </w:style>
  <w:style w:type="character" w:customStyle="1" w:styleId="62">
    <w:name w:val="文档结构图 Char"/>
    <w:link w:val="16"/>
    <w:qFormat/>
    <w:uiPriority w:val="0"/>
    <w:rPr>
      <w:rFonts w:ascii="Times New Roman" w:hAnsi="Times New Roman" w:eastAsia="宋体" w:cs="Times New Roman"/>
      <w:szCs w:val="20"/>
      <w:shd w:val="clear" w:color="auto" w:fill="000080"/>
    </w:rPr>
  </w:style>
  <w:style w:type="character" w:customStyle="1" w:styleId="63">
    <w:name w:val="正文文本缩进 2 字符"/>
    <w:qFormat/>
    <w:uiPriority w:val="99"/>
    <w:rPr>
      <w:rFonts w:ascii="Calibri" w:hAnsi="Calibri" w:eastAsia="宋体" w:cs="Times New Roman"/>
    </w:rPr>
  </w:style>
  <w:style w:type="character" w:customStyle="1" w:styleId="64">
    <w:name w:val="正文文本缩进 3 字符"/>
    <w:qFormat/>
    <w:uiPriority w:val="99"/>
    <w:rPr>
      <w:rFonts w:ascii="Calibri" w:hAnsi="Calibri" w:eastAsia="宋体" w:cs="Times New Roman"/>
      <w:sz w:val="16"/>
      <w:szCs w:val="16"/>
    </w:rPr>
  </w:style>
  <w:style w:type="character" w:customStyle="1" w:styleId="65">
    <w:name w:val="文档结构图 字符"/>
    <w:qFormat/>
    <w:uiPriority w:val="99"/>
    <w:rPr>
      <w:rFonts w:ascii="Microsoft YaHei UI" w:hAnsi="Calibri" w:eastAsia="Microsoft YaHei UI" w:cs="Times New Roman"/>
      <w:sz w:val="18"/>
      <w:szCs w:val="18"/>
    </w:rPr>
  </w:style>
  <w:style w:type="character" w:customStyle="1" w:styleId="66">
    <w:name w:val="标题 6 Char"/>
    <w:link w:val="12"/>
    <w:qFormat/>
    <w:uiPriority w:val="0"/>
    <w:rPr>
      <w:rFonts w:ascii="Arial" w:hAnsi="Arial" w:eastAsia="黑体" w:cs="Times New Roman"/>
      <w:b/>
      <w:bCs/>
      <w:sz w:val="24"/>
      <w:szCs w:val="24"/>
    </w:rPr>
  </w:style>
  <w:style w:type="character" w:customStyle="1" w:styleId="67">
    <w:name w:val="正文文本缩进 Char"/>
    <w:link w:val="18"/>
    <w:qFormat/>
    <w:uiPriority w:val="0"/>
    <w:rPr>
      <w:rFonts w:ascii="Times New Roman" w:hAnsi="Times New Roman" w:eastAsia="宋体" w:cs="Times New Roman"/>
      <w:sz w:val="28"/>
      <w:szCs w:val="20"/>
    </w:rPr>
  </w:style>
  <w:style w:type="character" w:customStyle="1" w:styleId="68">
    <w:name w:val="标题 9 Char"/>
    <w:link w:val="15"/>
    <w:qFormat/>
    <w:uiPriority w:val="0"/>
    <w:rPr>
      <w:rFonts w:ascii="Arial" w:hAnsi="Arial" w:eastAsia="黑体" w:cs="Times New Roman"/>
      <w:szCs w:val="20"/>
    </w:rPr>
  </w:style>
  <w:style w:type="character" w:customStyle="1" w:styleId="69">
    <w:name w:val="批注文字 字符"/>
    <w:qFormat/>
    <w:uiPriority w:val="99"/>
    <w:rPr>
      <w:rFonts w:ascii="Calibri" w:hAnsi="Calibri" w:eastAsia="宋体" w:cs="Times New Roman"/>
    </w:rPr>
  </w:style>
  <w:style w:type="character" w:customStyle="1" w:styleId="70">
    <w:name w:val="纯文本 Char"/>
    <w:link w:val="2"/>
    <w:qFormat/>
    <w:uiPriority w:val="0"/>
    <w:rPr>
      <w:rFonts w:ascii="宋体" w:hAnsi="Courier New" w:eastAsia="宋体" w:cs="Times New Roman"/>
      <w:szCs w:val="20"/>
    </w:rPr>
  </w:style>
  <w:style w:type="character" w:customStyle="1" w:styleId="71">
    <w:name w:val="页脚 Char"/>
    <w:link w:val="24"/>
    <w:qFormat/>
    <w:uiPriority w:val="0"/>
    <w:rPr>
      <w:rFonts w:ascii="Calibri" w:hAnsi="Calibri" w:eastAsia="宋体" w:cs="Times New Roman"/>
      <w:sz w:val="18"/>
      <w:szCs w:val="18"/>
    </w:rPr>
  </w:style>
  <w:style w:type="character" w:customStyle="1" w:styleId="72">
    <w:name w:val="页眉 字符"/>
    <w:qFormat/>
    <w:uiPriority w:val="99"/>
    <w:rPr>
      <w:rFonts w:ascii="Calibri" w:hAnsi="Calibri" w:eastAsia="宋体" w:cs="Times New Roman"/>
      <w:sz w:val="18"/>
      <w:szCs w:val="18"/>
    </w:rPr>
  </w:style>
  <w:style w:type="character" w:customStyle="1" w:styleId="73">
    <w:name w:val="正文文本 2 Char"/>
    <w:link w:val="31"/>
    <w:qFormat/>
    <w:uiPriority w:val="0"/>
    <w:rPr>
      <w:rFonts w:ascii="宋体" w:hAnsi="宋体" w:eastAsia="宋体" w:cs="Times New Roman"/>
      <w:szCs w:val="24"/>
      <w:u w:val="single"/>
    </w:rPr>
  </w:style>
  <w:style w:type="character" w:customStyle="1" w:styleId="74">
    <w:name w:val="正文文本 Char"/>
    <w:link w:val="6"/>
    <w:qFormat/>
    <w:uiPriority w:val="0"/>
    <w:rPr>
      <w:rFonts w:ascii="Times New Roman" w:hAnsi="Times New Roman" w:eastAsia="宋体" w:cs="Times New Roman"/>
      <w:szCs w:val="20"/>
    </w:rPr>
  </w:style>
  <w:style w:type="character" w:customStyle="1" w:styleId="75">
    <w:name w:val="批注文字 字符1"/>
    <w:qFormat/>
    <w:uiPriority w:val="0"/>
    <w:rPr>
      <w:rFonts w:ascii="宋体" w:hAnsi="宋体" w:eastAsia="宋体" w:cs="Times New Roman"/>
      <w:sz w:val="24"/>
      <w:szCs w:val="24"/>
    </w:rPr>
  </w:style>
  <w:style w:type="character" w:customStyle="1" w:styleId="76">
    <w:name w:val="标题 1 Char"/>
    <w:link w:val="3"/>
    <w:qFormat/>
    <w:uiPriority w:val="0"/>
    <w:rPr>
      <w:rFonts w:ascii="Arial" w:hAnsi="Arial" w:eastAsia="宋体" w:cs="Times New Roman"/>
      <w:b/>
      <w:kern w:val="44"/>
      <w:sz w:val="28"/>
      <w:szCs w:val="28"/>
    </w:rPr>
  </w:style>
  <w:style w:type="character" w:customStyle="1" w:styleId="77">
    <w:name w:val="日期 Char"/>
    <w:link w:val="20"/>
    <w:qFormat/>
    <w:uiPriority w:val="0"/>
    <w:rPr>
      <w:rFonts w:ascii="Times New Roman" w:hAnsi="Times New Roman" w:eastAsia="宋体" w:cs="Times New Roman"/>
      <w:szCs w:val="20"/>
    </w:rPr>
  </w:style>
  <w:style w:type="character" w:customStyle="1" w:styleId="78">
    <w:name w:val="标题 5 Char"/>
    <w:link w:val="11"/>
    <w:qFormat/>
    <w:uiPriority w:val="0"/>
    <w:rPr>
      <w:rFonts w:ascii="Arial" w:hAnsi="Arial" w:eastAsia="宋体" w:cs="Times New Roman"/>
      <w:color w:val="000000"/>
      <w:szCs w:val="21"/>
    </w:rPr>
  </w:style>
  <w:style w:type="character" w:customStyle="1" w:styleId="79">
    <w:name w:val="标题 3 Char"/>
    <w:link w:val="9"/>
    <w:qFormat/>
    <w:uiPriority w:val="0"/>
    <w:rPr>
      <w:rFonts w:ascii="宋体" w:hAnsi="宋体" w:eastAsia="宋体" w:cs="宋体"/>
      <w:kern w:val="0"/>
      <w:sz w:val="27"/>
      <w:szCs w:val="27"/>
    </w:rPr>
  </w:style>
  <w:style w:type="character" w:customStyle="1" w:styleId="80">
    <w:name w:val="正文首行缩进 Char"/>
    <w:link w:val="5"/>
    <w:qFormat/>
    <w:uiPriority w:val="0"/>
  </w:style>
  <w:style w:type="character" w:customStyle="1" w:styleId="81">
    <w:name w:val="页眉 Char"/>
    <w:link w:val="26"/>
    <w:qFormat/>
    <w:uiPriority w:val="0"/>
    <w:rPr>
      <w:rFonts w:ascii="Calibri" w:hAnsi="Calibri" w:eastAsia="宋体" w:cs="Times New Roman"/>
      <w:sz w:val="18"/>
      <w:szCs w:val="18"/>
    </w:rPr>
  </w:style>
  <w:style w:type="character" w:customStyle="1" w:styleId="82">
    <w:name w:val="正文文本缩进 2 Char"/>
    <w:link w:val="21"/>
    <w:qFormat/>
    <w:uiPriority w:val="0"/>
    <w:rPr>
      <w:rFonts w:ascii="Times New Roman" w:hAnsi="Times New Roman" w:eastAsia="宋体" w:cs="Times New Roman"/>
      <w:color w:val="000000"/>
      <w:sz w:val="24"/>
      <w:szCs w:val="20"/>
    </w:rPr>
  </w:style>
  <w:style w:type="character" w:customStyle="1" w:styleId="83">
    <w:name w:val="页脚 字符"/>
    <w:qFormat/>
    <w:uiPriority w:val="99"/>
    <w:rPr>
      <w:rFonts w:ascii="Calibri" w:hAnsi="Calibri" w:eastAsia="宋体" w:cs="Times New Roman"/>
      <w:sz w:val="18"/>
      <w:szCs w:val="18"/>
    </w:rPr>
  </w:style>
  <w:style w:type="character" w:customStyle="1" w:styleId="84">
    <w:name w:val="尾注文本 字符"/>
    <w:qFormat/>
    <w:uiPriority w:val="99"/>
    <w:rPr>
      <w:rFonts w:ascii="Calibri" w:hAnsi="Calibri" w:eastAsia="宋体" w:cs="Times New Roman"/>
    </w:rPr>
  </w:style>
  <w:style w:type="character" w:customStyle="1" w:styleId="85">
    <w:name w:val="标题 2 Char"/>
    <w:link w:val="7"/>
    <w:qFormat/>
    <w:uiPriority w:val="0"/>
    <w:rPr>
      <w:rFonts w:ascii="Arial" w:hAnsi="Arial" w:eastAsia="宋体" w:cs="Times New Roman"/>
      <w:b/>
      <w:color w:val="000000"/>
      <w:sz w:val="24"/>
      <w:szCs w:val="24"/>
    </w:rPr>
  </w:style>
  <w:style w:type="character" w:customStyle="1" w:styleId="86">
    <w:name w:val="正文首行缩进 字符"/>
    <w:basedOn w:val="87"/>
    <w:qFormat/>
    <w:uiPriority w:val="99"/>
    <w:rPr>
      <w:rFonts w:ascii="Calibri" w:hAnsi="Calibri" w:eastAsia="宋体" w:cs="Times New Roman"/>
    </w:rPr>
  </w:style>
  <w:style w:type="character" w:customStyle="1" w:styleId="87">
    <w:name w:val="正文文本 字符"/>
    <w:qFormat/>
    <w:uiPriority w:val="99"/>
    <w:rPr>
      <w:rFonts w:ascii="Calibri" w:hAnsi="Calibri" w:eastAsia="宋体" w:cs="Times New Roman"/>
    </w:rPr>
  </w:style>
  <w:style w:type="character" w:customStyle="1" w:styleId="88">
    <w:name w:val="标题 4 Char"/>
    <w:link w:val="10"/>
    <w:qFormat/>
    <w:uiPriority w:val="0"/>
    <w:rPr>
      <w:rFonts w:ascii="Arial" w:hAnsi="Arial" w:eastAsia="宋体" w:cs="Times New Roman"/>
      <w:color w:val="000000"/>
      <w:szCs w:val="21"/>
    </w:rPr>
  </w:style>
  <w:style w:type="character" w:customStyle="1" w:styleId="89">
    <w:name w:val="脚注文本 字符"/>
    <w:qFormat/>
    <w:uiPriority w:val="99"/>
    <w:rPr>
      <w:rFonts w:ascii="Calibri" w:hAnsi="Calibri" w:eastAsia="宋体" w:cs="Times New Roman"/>
      <w:sz w:val="18"/>
      <w:szCs w:val="18"/>
    </w:rPr>
  </w:style>
  <w:style w:type="character" w:customStyle="1" w:styleId="90">
    <w:name w:val="标题 7 Char"/>
    <w:link w:val="13"/>
    <w:qFormat/>
    <w:uiPriority w:val="0"/>
    <w:rPr>
      <w:rFonts w:ascii="Times New Roman" w:hAnsi="Times New Roman" w:eastAsia="宋体" w:cs="Times New Roman"/>
      <w:b/>
      <w:sz w:val="24"/>
      <w:szCs w:val="20"/>
    </w:rPr>
  </w:style>
  <w:style w:type="character" w:customStyle="1" w:styleId="91">
    <w:name w:val="标题 字符"/>
    <w:qFormat/>
    <w:uiPriority w:val="10"/>
    <w:rPr>
      <w:rFonts w:ascii="等线 Light" w:hAnsi="等线 Light" w:eastAsia="等线 Light" w:cs="Times New Roman"/>
      <w:b/>
      <w:bCs/>
      <w:sz w:val="32"/>
      <w:szCs w:val="32"/>
    </w:rPr>
  </w:style>
  <w:style w:type="character" w:customStyle="1" w:styleId="92">
    <w:name w:val="日期 字符"/>
    <w:qFormat/>
    <w:uiPriority w:val="99"/>
    <w:rPr>
      <w:rFonts w:ascii="Calibri" w:hAnsi="Calibri" w:eastAsia="宋体" w:cs="Times New Roman"/>
    </w:rPr>
  </w:style>
  <w:style w:type="character" w:customStyle="1" w:styleId="93">
    <w:name w:val="正文文本缩进 字符"/>
    <w:qFormat/>
    <w:uiPriority w:val="99"/>
    <w:rPr>
      <w:rFonts w:ascii="Calibri" w:hAnsi="Calibri" w:eastAsia="宋体" w:cs="Times New Roman"/>
    </w:rPr>
  </w:style>
  <w:style w:type="character" w:customStyle="1" w:styleId="94">
    <w:name w:val="纯文本 字符"/>
    <w:qFormat/>
    <w:uiPriority w:val="99"/>
    <w:rPr>
      <w:rFonts w:ascii="等线" w:hAnsi="Courier New" w:cs="Courier New"/>
    </w:rPr>
  </w:style>
  <w:style w:type="character" w:customStyle="1" w:styleId="95">
    <w:name w:val="正文文本 2 字符"/>
    <w:qFormat/>
    <w:uiPriority w:val="99"/>
    <w:rPr>
      <w:rFonts w:ascii="Calibri" w:hAnsi="Calibri" w:eastAsia="宋体" w:cs="Times New Roman"/>
    </w:rPr>
  </w:style>
  <w:style w:type="character" w:customStyle="1" w:styleId="96">
    <w:name w:val="尾注文本 Char"/>
    <w:link w:val="22"/>
    <w:qFormat/>
    <w:uiPriority w:val="0"/>
    <w:rPr>
      <w:rFonts w:ascii="Times New Roman" w:hAnsi="Times New Roman" w:eastAsia="宋体" w:cs="Times New Roman"/>
      <w:szCs w:val="20"/>
    </w:rPr>
  </w:style>
  <w:style w:type="character" w:customStyle="1" w:styleId="97">
    <w:name w:val="批注主题 字符"/>
    <w:qFormat/>
    <w:uiPriority w:val="99"/>
    <w:rPr>
      <w:rFonts w:ascii="Calibri" w:hAnsi="Calibri" w:eastAsia="宋体" w:cs="Times New Roman"/>
      <w:b/>
      <w:bCs/>
    </w:rPr>
  </w:style>
  <w:style w:type="character" w:customStyle="1" w:styleId="98">
    <w:name w:val="批注主题 Char"/>
    <w:link w:val="34"/>
    <w:qFormat/>
    <w:uiPriority w:val="0"/>
    <w:rPr>
      <w:rFonts w:ascii="宋体" w:hAnsi="宋体" w:eastAsia="宋体" w:cs="Times New Roman"/>
      <w:b/>
      <w:bCs/>
      <w:sz w:val="24"/>
      <w:szCs w:val="24"/>
    </w:rPr>
  </w:style>
  <w:style w:type="character" w:customStyle="1" w:styleId="99">
    <w:name w:val="页脚 字符2"/>
    <w:basedOn w:val="38"/>
    <w:qFormat/>
    <w:uiPriority w:val="99"/>
    <w:rPr>
      <w:rFonts w:ascii="Calibri" w:hAnsi="Calibri" w:eastAsia="宋体" w:cs="Times New Roman"/>
      <w:sz w:val="18"/>
      <w:szCs w:val="18"/>
    </w:rPr>
  </w:style>
  <w:style w:type="character" w:customStyle="1" w:styleId="100">
    <w:name w:val="正文文本缩进 2 字符2"/>
    <w:basedOn w:val="38"/>
    <w:qFormat/>
    <w:uiPriority w:val="99"/>
    <w:rPr>
      <w:rFonts w:ascii="Calibri" w:hAnsi="Calibri" w:eastAsia="宋体" w:cs="Times New Roman"/>
    </w:rPr>
  </w:style>
  <w:style w:type="character" w:customStyle="1" w:styleId="101">
    <w:name w:val="正文文本缩进 字符2"/>
    <w:basedOn w:val="38"/>
    <w:qFormat/>
    <w:uiPriority w:val="99"/>
    <w:rPr>
      <w:rFonts w:ascii="Calibri" w:hAnsi="Calibri" w:eastAsia="宋体" w:cs="Times New Roman"/>
    </w:rPr>
  </w:style>
  <w:style w:type="character" w:customStyle="1" w:styleId="102">
    <w:name w:val="脚注文本 字符2"/>
    <w:basedOn w:val="38"/>
    <w:qFormat/>
    <w:uiPriority w:val="99"/>
    <w:rPr>
      <w:rFonts w:ascii="Calibri" w:hAnsi="Calibri" w:eastAsia="宋体" w:cs="Times New Roman"/>
      <w:sz w:val="18"/>
      <w:szCs w:val="18"/>
    </w:rPr>
  </w:style>
  <w:style w:type="character" w:customStyle="1" w:styleId="103">
    <w:name w:val="批注框文本 字符2"/>
    <w:basedOn w:val="38"/>
    <w:qFormat/>
    <w:uiPriority w:val="99"/>
    <w:rPr>
      <w:rFonts w:ascii="Calibri" w:hAnsi="Calibri" w:eastAsia="宋体" w:cs="Times New Roman"/>
      <w:sz w:val="18"/>
      <w:szCs w:val="18"/>
    </w:rPr>
  </w:style>
  <w:style w:type="character" w:customStyle="1" w:styleId="104">
    <w:name w:val="批注文字 Char"/>
    <w:basedOn w:val="38"/>
    <w:link w:val="17"/>
    <w:qFormat/>
    <w:uiPriority w:val="99"/>
    <w:rPr>
      <w:rFonts w:ascii="Calibri" w:hAnsi="Calibri" w:eastAsia="宋体" w:cs="Times New Roman"/>
    </w:rPr>
  </w:style>
  <w:style w:type="character" w:customStyle="1" w:styleId="105">
    <w:name w:val="批注主题 字符2"/>
    <w:basedOn w:val="104"/>
    <w:qFormat/>
    <w:uiPriority w:val="99"/>
    <w:rPr>
      <w:rFonts w:ascii="Calibri" w:hAnsi="Calibri" w:eastAsia="宋体" w:cs="Times New Roman"/>
      <w:b/>
      <w:bCs/>
    </w:rPr>
  </w:style>
  <w:style w:type="character" w:customStyle="1" w:styleId="106">
    <w:name w:val="正文文本缩进 3 字符2"/>
    <w:basedOn w:val="38"/>
    <w:qFormat/>
    <w:uiPriority w:val="99"/>
    <w:rPr>
      <w:rFonts w:ascii="Calibri" w:hAnsi="Calibri" w:eastAsia="宋体" w:cs="Times New Roman"/>
      <w:sz w:val="16"/>
      <w:szCs w:val="16"/>
    </w:rPr>
  </w:style>
  <w:style w:type="character" w:customStyle="1" w:styleId="107">
    <w:name w:val="文档结构图 字符2"/>
    <w:basedOn w:val="38"/>
    <w:qFormat/>
    <w:uiPriority w:val="99"/>
    <w:rPr>
      <w:rFonts w:ascii="Microsoft YaHei UI" w:hAnsi="Calibri" w:eastAsia="Microsoft YaHei UI" w:cs="Times New Roman"/>
      <w:sz w:val="18"/>
      <w:szCs w:val="18"/>
    </w:rPr>
  </w:style>
  <w:style w:type="character" w:customStyle="1" w:styleId="108">
    <w:name w:val="页眉 字符2"/>
    <w:basedOn w:val="38"/>
    <w:qFormat/>
    <w:uiPriority w:val="99"/>
    <w:rPr>
      <w:rFonts w:ascii="Calibri" w:hAnsi="Calibri" w:eastAsia="宋体" w:cs="Times New Roman"/>
      <w:sz w:val="18"/>
      <w:szCs w:val="18"/>
    </w:rPr>
  </w:style>
  <w:style w:type="character" w:customStyle="1" w:styleId="109">
    <w:name w:val="日期 字符2"/>
    <w:basedOn w:val="38"/>
    <w:qFormat/>
    <w:uiPriority w:val="99"/>
    <w:rPr>
      <w:rFonts w:ascii="Calibri" w:hAnsi="Calibri" w:eastAsia="宋体" w:cs="Times New Roman"/>
    </w:rPr>
  </w:style>
  <w:style w:type="character" w:customStyle="1" w:styleId="110">
    <w:name w:val="正文文本 字符2"/>
    <w:basedOn w:val="38"/>
    <w:qFormat/>
    <w:uiPriority w:val="99"/>
    <w:rPr>
      <w:rFonts w:ascii="Calibri" w:hAnsi="Calibri" w:eastAsia="宋体" w:cs="Times New Roman"/>
    </w:rPr>
  </w:style>
  <w:style w:type="character" w:customStyle="1" w:styleId="111">
    <w:name w:val="纯文本 字符2"/>
    <w:basedOn w:val="38"/>
    <w:qFormat/>
    <w:uiPriority w:val="99"/>
    <w:rPr>
      <w:rFonts w:ascii="等线" w:hAnsi="Courier New" w:cs="Courier New"/>
    </w:rPr>
  </w:style>
  <w:style w:type="character" w:customStyle="1" w:styleId="112">
    <w:name w:val="标题 字符2"/>
    <w:basedOn w:val="38"/>
    <w:qFormat/>
    <w:uiPriority w:val="10"/>
    <w:rPr>
      <w:rFonts w:ascii="等线 Light" w:hAnsi="等线 Light" w:eastAsia="等线 Light" w:cs="宋体"/>
      <w:b/>
      <w:bCs/>
      <w:sz w:val="32"/>
      <w:szCs w:val="32"/>
    </w:rPr>
  </w:style>
  <w:style w:type="character" w:customStyle="1" w:styleId="113">
    <w:name w:val="正文文本首行缩进 字符1"/>
    <w:basedOn w:val="110"/>
    <w:qFormat/>
    <w:uiPriority w:val="99"/>
    <w:rPr>
      <w:rFonts w:ascii="Calibri" w:hAnsi="Calibri" w:eastAsia="宋体" w:cs="Times New Roman"/>
    </w:rPr>
  </w:style>
  <w:style w:type="character" w:customStyle="1" w:styleId="114">
    <w:name w:val="正文文本 2 字符2"/>
    <w:basedOn w:val="38"/>
    <w:qFormat/>
    <w:uiPriority w:val="99"/>
    <w:rPr>
      <w:rFonts w:ascii="Calibri" w:hAnsi="Calibri" w:eastAsia="宋体" w:cs="Times New Roman"/>
    </w:rPr>
  </w:style>
  <w:style w:type="character" w:customStyle="1" w:styleId="115">
    <w:name w:val="尾注文本 字符2"/>
    <w:basedOn w:val="38"/>
    <w:qFormat/>
    <w:uiPriority w:val="99"/>
    <w:rPr>
      <w:rFonts w:ascii="Calibri" w:hAnsi="Calibri" w:eastAsia="宋体" w:cs="Times New Roman"/>
    </w:rPr>
  </w:style>
  <w:style w:type="paragraph" w:customStyle="1" w:styleId="1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7">
    <w:name w:val="表头"/>
    <w:basedOn w:val="1"/>
    <w:qFormat/>
    <w:uiPriority w:val="0"/>
    <w:pPr>
      <w:spacing w:line="360" w:lineRule="auto"/>
      <w:jc w:val="center"/>
    </w:pPr>
    <w:rPr>
      <w:rFonts w:ascii="黑体" w:hAnsi="Times New Roman" w:eastAsia="黑体"/>
      <w:kern w:val="0"/>
      <w:sz w:val="24"/>
      <w:szCs w:val="20"/>
    </w:rPr>
  </w:style>
  <w:style w:type="paragraph" w:customStyle="1" w:styleId="118">
    <w:name w:val="_Style 25"/>
    <w:basedOn w:val="1"/>
    <w:next w:val="1"/>
    <w:qFormat/>
    <w:uiPriority w:val="0"/>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0">
    <w:name w:val="Char Char Char Char"/>
    <w:basedOn w:val="1"/>
    <w:qFormat/>
    <w:uiPriority w:val="0"/>
    <w:rPr>
      <w:rFonts w:ascii="Times New Roman" w:hAnsi="Times New Roman"/>
      <w:sz w:val="30"/>
      <w:szCs w:val="24"/>
    </w:rPr>
  </w:style>
  <w:style w:type="paragraph" w:customStyle="1" w:styleId="121">
    <w:name w:val="公文抬头"/>
    <w:basedOn w:val="8"/>
    <w:qFormat/>
    <w:uiPriority w:val="0"/>
    <w:pPr>
      <w:ind w:firstLine="0"/>
    </w:pPr>
    <w:rPr>
      <w:rFonts w:ascii="仿宋_GB2312" w:eastAsia="仿宋_GB2312"/>
      <w:sz w:val="30"/>
      <w:szCs w:val="24"/>
    </w:rPr>
  </w:style>
  <w:style w:type="paragraph" w:customStyle="1" w:styleId="122">
    <w:name w:val="列出段落1"/>
    <w:basedOn w:val="1"/>
    <w:qFormat/>
    <w:uiPriority w:val="34"/>
    <w:pPr>
      <w:ind w:firstLine="420" w:firstLineChars="200"/>
    </w:pPr>
    <w:rPr>
      <w:rFonts w:ascii="Times New Roman" w:hAnsi="Times New Roman"/>
      <w:szCs w:val="20"/>
    </w:rPr>
  </w:style>
  <w:style w:type="paragraph" w:customStyle="1" w:styleId="123">
    <w:name w:val="修订1"/>
    <w:qFormat/>
    <w:uiPriority w:val="99"/>
    <w:rPr>
      <w:rFonts w:ascii="Times New Roman" w:hAnsi="Times New Roman" w:eastAsia="宋体" w:cs="Times New Roman"/>
      <w:kern w:val="2"/>
      <w:sz w:val="21"/>
      <w:lang w:val="en-US" w:eastAsia="zh-CN" w:bidi="ar-SA"/>
    </w:rPr>
  </w:style>
  <w:style w:type="paragraph" w:customStyle="1" w:styleId="124">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5">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6">
    <w:name w:val="Char Char Char1 Char"/>
    <w:basedOn w:val="16"/>
    <w:qFormat/>
    <w:uiPriority w:val="0"/>
    <w:rPr>
      <w:rFonts w:ascii="Tahoma" w:hAnsi="Tahoma"/>
      <w:sz w:val="24"/>
      <w:szCs w:val="24"/>
    </w:rPr>
  </w:style>
  <w:style w:type="paragraph" w:customStyle="1" w:styleId="127">
    <w:name w:val="Char1"/>
    <w:basedOn w:val="1"/>
    <w:qFormat/>
    <w:uiPriority w:val="0"/>
    <w:pPr>
      <w:numPr>
        <w:ilvl w:val="0"/>
        <w:numId w:val="1"/>
      </w:numPr>
    </w:pPr>
    <w:rPr>
      <w:rFonts w:ascii="Times New Roman" w:hAnsi="Times New Roman"/>
      <w:sz w:val="24"/>
      <w:szCs w:val="24"/>
    </w:rPr>
  </w:style>
  <w:style w:type="paragraph" w:customStyle="1" w:styleId="128">
    <w:name w:val="Char"/>
    <w:basedOn w:val="1"/>
    <w:qFormat/>
    <w:uiPriority w:val="0"/>
    <w:rPr>
      <w:rFonts w:ascii="Tahoma" w:hAnsi="Tahoma"/>
      <w:sz w:val="24"/>
      <w:szCs w:val="20"/>
    </w:rPr>
  </w:style>
  <w:style w:type="paragraph" w:customStyle="1" w:styleId="129">
    <w:name w:val="发文落款"/>
    <w:basedOn w:val="116"/>
    <w:qFormat/>
    <w:uiPriority w:val="0"/>
    <w:pPr>
      <w:ind w:left="4094" w:right="607" w:firstLine="0"/>
      <w:jc w:val="center"/>
    </w:pPr>
  </w:style>
  <w:style w:type="character" w:customStyle="1" w:styleId="130">
    <w:name w:val="s2"/>
    <w:qFormat/>
    <w:uiPriority w:val="0"/>
  </w:style>
  <w:style w:type="character" w:customStyle="1" w:styleId="131">
    <w:name w:val="NormalCharacter"/>
    <w:qFormat/>
    <w:uiPriority w:val="0"/>
  </w:style>
  <w:style w:type="character" w:customStyle="1" w:styleId="132">
    <w:name w:val="s3"/>
    <w:qFormat/>
    <w:uiPriority w:val="0"/>
  </w:style>
  <w:style w:type="character" w:customStyle="1" w:styleId="133">
    <w:name w:val="s15"/>
    <w:qFormat/>
    <w:uiPriority w:val="0"/>
    <w:rPr>
      <w:color w:val="2131A1"/>
    </w:rPr>
  </w:style>
  <w:style w:type="paragraph" w:customStyle="1" w:styleId="134">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5">
    <w:name w:val="文一 Char"/>
    <w:link w:val="136"/>
    <w:qFormat/>
    <w:uiPriority w:val="0"/>
    <w:rPr>
      <w:rFonts w:eastAsia="宋体"/>
      <w:spacing w:val="4"/>
      <w:sz w:val="24"/>
      <w:szCs w:val="24"/>
    </w:rPr>
  </w:style>
  <w:style w:type="paragraph" w:customStyle="1" w:styleId="136">
    <w:name w:val="文一"/>
    <w:basedOn w:val="1"/>
    <w:link w:val="135"/>
    <w:qFormat/>
    <w:uiPriority w:val="0"/>
    <w:pPr>
      <w:topLinePunct/>
      <w:adjustRightInd w:val="0"/>
      <w:snapToGrid w:val="0"/>
      <w:spacing w:line="360" w:lineRule="auto"/>
      <w:ind w:firstLine="200" w:firstLineChars="200"/>
    </w:pPr>
    <w:rPr>
      <w:rFonts w:ascii="等线" w:hAnsi="等线" w:cs="宋体"/>
      <w:spacing w:val="4"/>
      <w:sz w:val="24"/>
      <w:szCs w:val="24"/>
    </w:rPr>
  </w:style>
  <w:style w:type="paragraph" w:customStyle="1" w:styleId="137">
    <w:name w:val="封一"/>
    <w:basedOn w:val="136"/>
    <w:next w:val="136"/>
    <w:qFormat/>
    <w:uiPriority w:val="0"/>
    <w:pPr>
      <w:ind w:firstLine="0" w:firstLineChars="0"/>
      <w:jc w:val="center"/>
    </w:pPr>
    <w:rPr>
      <w:rFonts w:eastAsia="黑体"/>
      <w:b/>
      <w:sz w:val="84"/>
      <w:szCs w:val="84"/>
    </w:rPr>
  </w:style>
  <w:style w:type="paragraph" w:customStyle="1" w:styleId="138">
    <w:name w:val="封四"/>
    <w:basedOn w:val="136"/>
    <w:next w:val="136"/>
    <w:qFormat/>
    <w:uiPriority w:val="0"/>
    <w:pPr>
      <w:jc w:val="left"/>
    </w:pPr>
    <w:rPr>
      <w:sz w:val="30"/>
      <w:szCs w:val="30"/>
    </w:rPr>
  </w:style>
  <w:style w:type="paragraph" w:customStyle="1" w:styleId="139">
    <w:name w:val="封二"/>
    <w:basedOn w:val="136"/>
    <w:next w:val="136"/>
    <w:qFormat/>
    <w:uiPriority w:val="0"/>
    <w:pPr>
      <w:ind w:firstLine="0" w:firstLineChars="0"/>
      <w:jc w:val="center"/>
    </w:pPr>
    <w:rPr>
      <w:rFonts w:eastAsia="黑体"/>
      <w:b/>
      <w:sz w:val="36"/>
      <w:szCs w:val="36"/>
    </w:rPr>
  </w:style>
  <w:style w:type="paragraph" w:customStyle="1" w:styleId="140">
    <w:name w:val="正题"/>
    <w:basedOn w:val="136"/>
    <w:next w:val="136"/>
    <w:qFormat/>
    <w:uiPriority w:val="0"/>
    <w:pPr>
      <w:ind w:firstLine="0" w:firstLineChars="0"/>
      <w:jc w:val="center"/>
    </w:pPr>
    <w:rPr>
      <w:rFonts w:eastAsia="黑体"/>
      <w:b/>
      <w:sz w:val="36"/>
      <w:szCs w:val="36"/>
    </w:rPr>
  </w:style>
  <w:style w:type="paragraph" w:customStyle="1" w:styleId="141">
    <w:name w:val="_Style 3"/>
    <w:basedOn w:val="1"/>
    <w:qFormat/>
    <w:uiPriority w:val="0"/>
    <w:pPr>
      <w:ind w:firstLine="420" w:firstLineChars="200"/>
    </w:pPr>
    <w:rPr>
      <w:rFonts w:ascii="Times New Roman" w:hAnsi="Times New Roman"/>
      <w:sz w:val="20"/>
    </w:rPr>
  </w:style>
  <w:style w:type="paragraph" w:customStyle="1" w:styleId="14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3">
    <w:name w:val="List Paragraph"/>
    <w:basedOn w:val="1"/>
    <w:qFormat/>
    <w:uiPriority w:val="34"/>
    <w:pPr>
      <w:ind w:firstLine="420" w:firstLineChars="200"/>
    </w:pPr>
  </w:style>
  <w:style w:type="paragraph" w:customStyle="1" w:styleId="144">
    <w:name w:val="修订2"/>
    <w:qFormat/>
    <w:uiPriority w:val="99"/>
    <w:rPr>
      <w:rFonts w:ascii="Calibri" w:hAnsi="Calibri" w:eastAsia="宋体" w:cs="Times New Roman"/>
      <w:kern w:val="2"/>
      <w:sz w:val="21"/>
      <w:szCs w:val="22"/>
      <w:lang w:val="en-US" w:eastAsia="zh-CN" w:bidi="ar-SA"/>
    </w:rPr>
  </w:style>
  <w:style w:type="paragraph" w:customStyle="1" w:styleId="145">
    <w:name w:val="msolistparagraph"/>
    <w:basedOn w:val="1"/>
    <w:qFormat/>
    <w:uiPriority w:val="0"/>
    <w:pPr>
      <w:ind w:firstLine="420" w:firstLineChars="200"/>
    </w:pPr>
  </w:style>
  <w:style w:type="character" w:customStyle="1" w:styleId="146">
    <w:name w:val="纯文本 Char1"/>
    <w:qFormat/>
    <w:uiPriority w:val="0"/>
    <w:rPr>
      <w:rFonts w:ascii="宋体" w:hAnsi="Courier New"/>
      <w:szCs w:val="24"/>
    </w:rPr>
  </w:style>
  <w:style w:type="paragraph" w:customStyle="1" w:styleId="147">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ABE4E-F7B7-4AD1-943D-F2C6B8C35ED2}">
  <ds:schemaRefs/>
</ds:datastoreItem>
</file>

<file path=docProps/app.xml><?xml version="1.0" encoding="utf-8"?>
<Properties xmlns="http://schemas.openxmlformats.org/officeDocument/2006/extended-properties" xmlns:vt="http://schemas.openxmlformats.org/officeDocument/2006/docPropsVTypes">
  <Template>Normal.dotm</Template>
  <Pages>78</Pages>
  <Words>7587</Words>
  <Characters>43251</Characters>
  <Lines>360</Lines>
  <Paragraphs>101</Paragraphs>
  <TotalTime>1</TotalTime>
  <ScaleCrop>false</ScaleCrop>
  <LinksUpToDate>false</LinksUpToDate>
  <CharactersWithSpaces>50737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2023-10-16T02:03:00Z</dcterms:created>
  <dcterms:modified xsi:type="dcterms:W3CDTF">2023-10-16T03:57:40Z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F542FA7622C341C89567F517308FB6C3_13</vt:lpwstr>
  </property>
</Properties>
</file>