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hint="eastAsia" w:ascii="宋体" w:hAnsi="宋体"/>
          <w:b/>
          <w:bCs/>
          <w:color w:val="auto"/>
          <w:spacing w:val="26"/>
          <w:sz w:val="72"/>
          <w:szCs w:val="72"/>
          <w:highlight w:val="none"/>
        </w:rPr>
      </w:pPr>
      <w:bookmarkStart w:id="0" w:name="_Hlk3970703"/>
      <w:r>
        <w:rPr>
          <w:rFonts w:hint="eastAsia" w:ascii="宋体" w:hAnsi="宋体"/>
          <w:b/>
          <w:bCs/>
          <w:color w:val="auto"/>
          <w:sz w:val="44"/>
          <w:szCs w:val="44"/>
          <w:highlight w:val="none"/>
          <w:lang w:eastAsia="zh-CN"/>
        </w:rPr>
        <w:t>陈嘉庚纪念中学校舍抗震加固项目</w:t>
      </w:r>
    </w:p>
    <w:p>
      <w:pPr>
        <w:spacing w:beforeLines="600" w:line="360" w:lineRule="auto"/>
        <w:jc w:val="center"/>
        <w:rPr>
          <w:rFonts w:ascii="宋体" w:hAnsi="宋体"/>
          <w:b/>
          <w:bCs/>
          <w:color w:val="auto"/>
          <w:spacing w:val="26"/>
          <w:sz w:val="72"/>
          <w:szCs w:val="72"/>
          <w:highlight w:val="none"/>
        </w:rPr>
      </w:pPr>
      <w:r>
        <w:rPr>
          <w:rFonts w:hint="eastAsia" w:ascii="宋体" w:hAnsi="宋体"/>
          <w:b/>
          <w:bCs/>
          <w:color w:val="auto"/>
          <w:spacing w:val="26"/>
          <w:sz w:val="72"/>
          <w:szCs w:val="72"/>
          <w:highlight w:val="none"/>
        </w:rPr>
        <w:t>招标文件</w:t>
      </w:r>
    </w:p>
    <w:p>
      <w:pPr>
        <w:spacing w:beforeLines="1200" w:line="360" w:lineRule="auto"/>
        <w:jc w:val="center"/>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招标单位：</w:t>
      </w:r>
      <w:r>
        <w:rPr>
          <w:rFonts w:hint="eastAsia" w:ascii="宋体" w:hAnsi="宋体"/>
          <w:color w:val="auto"/>
          <w:sz w:val="28"/>
          <w:szCs w:val="28"/>
          <w:highlight w:val="none"/>
          <w:u w:val="single"/>
          <w:lang w:eastAsia="zh-CN"/>
        </w:rPr>
        <w:t>广州市陈嘉庚纪念中学</w:t>
      </w:r>
    </w:p>
    <w:p>
      <w:pPr>
        <w:spacing w:line="360" w:lineRule="auto"/>
        <w:jc w:val="center"/>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招标代理单位：</w:t>
      </w:r>
      <w:r>
        <w:rPr>
          <w:rFonts w:hint="eastAsia" w:ascii="宋体" w:hAnsi="宋体"/>
          <w:color w:val="auto"/>
          <w:sz w:val="28"/>
          <w:szCs w:val="28"/>
          <w:highlight w:val="none"/>
          <w:u w:val="single"/>
          <w:lang w:eastAsia="zh-CN"/>
        </w:rPr>
        <w:t>广州市见智咨询有限公司</w:t>
      </w:r>
    </w:p>
    <w:p>
      <w:pPr>
        <w:spacing w:line="360" w:lineRule="auto"/>
        <w:jc w:val="center"/>
        <w:rPr>
          <w:rStyle w:val="46"/>
          <w:rFonts w:ascii="宋体" w:hAnsi="宋体" w:eastAsia="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2023</w:t>
      </w:r>
      <w:r>
        <w:rPr>
          <w:rFonts w:hint="eastAsia" w:ascii="宋体" w:hAnsi="宋体"/>
          <w:color w:val="auto"/>
          <w:sz w:val="28"/>
          <w:szCs w:val="28"/>
          <w:highlight w:val="none"/>
        </w:rPr>
        <w:t>年</w:t>
      </w:r>
      <w:r>
        <w:rPr>
          <w:rFonts w:hint="eastAsia" w:ascii="宋体" w:hAnsi="宋体"/>
          <w:color w:val="auto"/>
          <w:sz w:val="28"/>
          <w:szCs w:val="28"/>
          <w:highlight w:val="none"/>
          <w:u w:val="single"/>
          <w:lang w:val="en-US" w:eastAsia="zh-CN"/>
        </w:rPr>
        <w:t>10</w:t>
      </w:r>
      <w:r>
        <w:rPr>
          <w:rFonts w:hint="eastAsia" w:ascii="宋体" w:hAnsi="宋体"/>
          <w:color w:val="auto"/>
          <w:sz w:val="28"/>
          <w:szCs w:val="28"/>
          <w:highlight w:val="none"/>
        </w:rPr>
        <w:t>月</w:t>
      </w:r>
    </w:p>
    <w:p>
      <w:pPr>
        <w:jc w:val="center"/>
        <w:rPr>
          <w:rFonts w:ascii="宋体" w:hAnsi="宋体"/>
          <w:b/>
          <w:caps/>
          <w:color w:val="auto"/>
          <w:kern w:val="0"/>
          <w:sz w:val="30"/>
          <w:szCs w:val="30"/>
          <w:highlight w:val="none"/>
        </w:rPr>
      </w:pPr>
      <w:r>
        <w:rPr>
          <w:rStyle w:val="46"/>
          <w:rFonts w:hint="eastAsia" w:ascii="宋体" w:hAnsi="宋体" w:eastAsia="宋体"/>
          <w:b/>
          <w:bCs/>
          <w:color w:val="auto"/>
          <w:sz w:val="30"/>
          <w:szCs w:val="30"/>
          <w:highlight w:val="none"/>
        </w:rPr>
        <w:t>目录</w:t>
      </w:r>
    </w:p>
    <w:p>
      <w:pPr>
        <w:pStyle w:val="26"/>
        <w:tabs>
          <w:tab w:val="right" w:leader="dot" w:pos="9073"/>
          <w:tab w:val="clear" w:pos="9060"/>
        </w:tabs>
        <w:rPr>
          <w:rFonts w:eastAsia="宋体" w:cs="宋体"/>
          <w:color w:val="auto"/>
          <w:szCs w:val="24"/>
          <w:highlight w:val="none"/>
        </w:rPr>
      </w:pP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TOC \o "1-3" \h \z \u </w:instrText>
      </w:r>
      <w:r>
        <w:rPr>
          <w:rFonts w:hint="eastAsia" w:eastAsia="宋体" w:cs="宋体"/>
          <w:color w:val="auto"/>
          <w:szCs w:val="24"/>
          <w:highlight w:val="none"/>
        </w:rPr>
        <w:fldChar w:fldCharType="separate"/>
      </w:r>
      <w:r>
        <w:rPr>
          <w:color w:val="auto"/>
          <w:highlight w:val="none"/>
        </w:rPr>
        <w:fldChar w:fldCharType="begin"/>
      </w:r>
      <w:r>
        <w:rPr>
          <w:color w:val="auto"/>
          <w:highlight w:val="none"/>
        </w:rPr>
        <w:instrText xml:space="preserve"> HYPERLINK \l "_Toc7511" </w:instrText>
      </w:r>
      <w:r>
        <w:rPr>
          <w:color w:val="auto"/>
          <w:highlight w:val="none"/>
        </w:rPr>
        <w:fldChar w:fldCharType="separate"/>
      </w:r>
      <w:r>
        <w:rPr>
          <w:rFonts w:hint="eastAsia" w:eastAsia="宋体" w:cs="宋体"/>
          <w:bCs/>
          <w:color w:val="auto"/>
          <w:szCs w:val="24"/>
          <w:highlight w:val="none"/>
        </w:rPr>
        <w:t>第一章  投标须知</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_Toc7511 \h </w:instrText>
      </w:r>
      <w:r>
        <w:rPr>
          <w:rFonts w:hint="eastAsia" w:eastAsia="宋体" w:cs="宋体"/>
          <w:color w:val="auto"/>
          <w:szCs w:val="24"/>
          <w:highlight w:val="none"/>
        </w:rPr>
        <w:fldChar w:fldCharType="separate"/>
      </w:r>
      <w:r>
        <w:rPr>
          <w:rFonts w:hint="eastAsia" w:eastAsia="宋体" w:cs="宋体"/>
          <w:color w:val="auto"/>
          <w:szCs w:val="24"/>
          <w:highlight w:val="none"/>
        </w:rPr>
        <w:t>2</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30"/>
        <w:tabs>
          <w:tab w:val="right" w:leader="dot" w:pos="9073"/>
          <w:tab w:val="clear" w:pos="9060"/>
        </w:tabs>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"_Toc3404" </w:instrText>
      </w:r>
      <w:r>
        <w:rPr>
          <w:color w:val="auto"/>
          <w:highlight w:val="none"/>
        </w:rPr>
        <w:fldChar w:fldCharType="separate"/>
      </w:r>
      <w:r>
        <w:rPr>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"_Toc18472" </w:instrText>
      </w:r>
      <w:r>
        <w:rPr>
          <w:color w:val="auto"/>
          <w:highlight w:val="none"/>
        </w:rPr>
        <w:fldChar w:fldCharType="separate"/>
      </w:r>
      <w:r>
        <w:rPr>
          <w:rFonts w:hint="eastAsia" w:eastAsia="宋体" w:cs="宋体"/>
          <w:bCs/>
          <w:color w:val="auto"/>
          <w:szCs w:val="24"/>
          <w:highlight w:val="none"/>
        </w:rPr>
        <w:t>第三章  合同条款</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_Toc18472 \h </w:instrText>
      </w:r>
      <w:r>
        <w:rPr>
          <w:rFonts w:hint="eastAsia" w:eastAsia="宋体" w:cs="宋体"/>
          <w:color w:val="auto"/>
          <w:szCs w:val="24"/>
          <w:highlight w:val="none"/>
        </w:rPr>
        <w:fldChar w:fldCharType="separate"/>
      </w:r>
      <w:r>
        <w:rPr>
          <w:rFonts w:hint="eastAsia" w:eastAsia="宋体" w:cs="宋体"/>
          <w:color w:val="auto"/>
          <w:szCs w:val="24"/>
          <w:highlight w:val="none"/>
        </w:rPr>
        <w:t>58</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"_Toc27420" </w:instrText>
      </w:r>
      <w:r>
        <w:rPr>
          <w:color w:val="auto"/>
          <w:highlight w:val="none"/>
        </w:rPr>
        <w:fldChar w:fldCharType="separate"/>
      </w:r>
      <w:r>
        <w:rPr>
          <w:rFonts w:hint="eastAsia" w:eastAsia="宋体" w:cs="宋体"/>
          <w:bCs/>
          <w:color w:val="auto"/>
          <w:szCs w:val="24"/>
          <w:highlight w:val="none"/>
        </w:rPr>
        <w:t>第四章  投标文件格式</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_Toc27420 \h </w:instrText>
      </w:r>
      <w:r>
        <w:rPr>
          <w:rFonts w:hint="eastAsia" w:eastAsia="宋体" w:cs="宋体"/>
          <w:color w:val="auto"/>
          <w:szCs w:val="24"/>
          <w:highlight w:val="none"/>
        </w:rPr>
        <w:fldChar w:fldCharType="separate"/>
      </w:r>
      <w:r>
        <w:rPr>
          <w:rFonts w:hint="eastAsia" w:eastAsia="宋体" w:cs="宋体"/>
          <w:color w:val="auto"/>
          <w:szCs w:val="24"/>
          <w:highlight w:val="none"/>
        </w:rPr>
        <w:t>59</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"_Toc17698" </w:instrText>
      </w:r>
      <w:r>
        <w:rPr>
          <w:color w:val="auto"/>
          <w:highlight w:val="none"/>
        </w:rPr>
        <w:fldChar w:fldCharType="separate"/>
      </w:r>
      <w:r>
        <w:rPr>
          <w:rFonts w:hint="eastAsia" w:eastAsia="宋体" w:cs="宋体"/>
          <w:color w:val="auto"/>
          <w:szCs w:val="24"/>
          <w:highlight w:val="none"/>
        </w:rPr>
        <w:t>第五章  技术条件（工程建设标准）</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_Toc17698 \h </w:instrText>
      </w:r>
      <w:r>
        <w:rPr>
          <w:rFonts w:hint="eastAsia" w:eastAsia="宋体" w:cs="宋体"/>
          <w:color w:val="auto"/>
          <w:szCs w:val="24"/>
          <w:highlight w:val="none"/>
        </w:rPr>
        <w:fldChar w:fldCharType="separate"/>
      </w:r>
      <w:r>
        <w:rPr>
          <w:rFonts w:hint="eastAsia" w:eastAsia="宋体" w:cs="宋体"/>
          <w:color w:val="auto"/>
          <w:szCs w:val="24"/>
          <w:highlight w:val="none"/>
        </w:rPr>
        <w:t>68</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"_Toc4616" </w:instrText>
      </w:r>
      <w:r>
        <w:rPr>
          <w:color w:val="auto"/>
          <w:highlight w:val="none"/>
        </w:rPr>
        <w:fldChar w:fldCharType="separate"/>
      </w:r>
      <w:r>
        <w:rPr>
          <w:rFonts w:hint="eastAsia" w:eastAsia="宋体" w:cs="宋体"/>
          <w:bCs/>
          <w:color w:val="auto"/>
          <w:szCs w:val="24"/>
          <w:highlight w:val="none"/>
        </w:rPr>
        <w:t>第六章  图纸及勘察资料</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_Toc4616 \h </w:instrText>
      </w:r>
      <w:r>
        <w:rPr>
          <w:rFonts w:hint="eastAsia" w:eastAsia="宋体" w:cs="宋体"/>
          <w:color w:val="auto"/>
          <w:szCs w:val="24"/>
          <w:highlight w:val="none"/>
        </w:rPr>
        <w:fldChar w:fldCharType="separate"/>
      </w:r>
      <w:r>
        <w:rPr>
          <w:rFonts w:hint="eastAsia" w:eastAsia="宋体" w:cs="宋体"/>
          <w:color w:val="auto"/>
          <w:szCs w:val="24"/>
          <w:highlight w:val="none"/>
        </w:rPr>
        <w:t>69</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"_Toc16409" </w:instrText>
      </w:r>
      <w:r>
        <w:rPr>
          <w:color w:val="auto"/>
          <w:highlight w:val="none"/>
        </w:rPr>
        <w:fldChar w:fldCharType="separate"/>
      </w:r>
      <w:r>
        <w:rPr>
          <w:rFonts w:hint="eastAsia" w:eastAsia="宋体" w:cs="宋体"/>
          <w:bCs/>
          <w:color w:val="auto"/>
          <w:szCs w:val="24"/>
          <w:highlight w:val="none"/>
        </w:rPr>
        <w:t>第七章  工程量清单</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_Toc16409 \h </w:instrText>
      </w:r>
      <w:r>
        <w:rPr>
          <w:rFonts w:hint="eastAsia" w:eastAsia="宋体" w:cs="宋体"/>
          <w:color w:val="auto"/>
          <w:szCs w:val="24"/>
          <w:highlight w:val="none"/>
        </w:rPr>
        <w:fldChar w:fldCharType="separate"/>
      </w:r>
      <w:r>
        <w:rPr>
          <w:rFonts w:hint="eastAsia" w:eastAsia="宋体" w:cs="宋体"/>
          <w:color w:val="auto"/>
          <w:szCs w:val="24"/>
          <w:highlight w:val="none"/>
        </w:rPr>
        <w:t>70</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"_Toc13320" </w:instrText>
      </w:r>
      <w:r>
        <w:rPr>
          <w:color w:val="auto"/>
          <w:highlight w:val="none"/>
        </w:rPr>
        <w:fldChar w:fldCharType="separate"/>
      </w:r>
      <w:r>
        <w:rPr>
          <w:rFonts w:hint="eastAsia" w:eastAsia="宋体" w:cs="宋体"/>
          <w:bCs/>
          <w:color w:val="auto"/>
          <w:szCs w:val="24"/>
          <w:highlight w:val="none"/>
        </w:rPr>
        <w:t>第八章  最高投标限价</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_Toc13320 \h </w:instrText>
      </w:r>
      <w:r>
        <w:rPr>
          <w:rFonts w:hint="eastAsia" w:eastAsia="宋体" w:cs="宋体"/>
          <w:color w:val="auto"/>
          <w:szCs w:val="24"/>
          <w:highlight w:val="none"/>
        </w:rPr>
        <w:fldChar w:fldCharType="separate"/>
      </w:r>
      <w:r>
        <w:rPr>
          <w:rFonts w:hint="eastAsia" w:eastAsia="宋体" w:cs="宋体"/>
          <w:color w:val="auto"/>
          <w:szCs w:val="24"/>
          <w:highlight w:val="none"/>
        </w:rPr>
        <w:t>71</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3"/>
        <w:jc w:val="center"/>
        <w:rPr>
          <w:rFonts w:ascii="宋体" w:hAnsi="宋体"/>
          <w:color w:val="auto"/>
          <w:sz w:val="21"/>
          <w:szCs w:val="21"/>
          <w:highlight w:val="none"/>
        </w:rPr>
      </w:pPr>
      <w:r>
        <w:rPr>
          <w:rFonts w:hint="eastAsia" w:ascii="宋体" w:hAnsi="宋体" w:cs="宋体"/>
          <w:color w:val="auto"/>
          <w:sz w:val="24"/>
          <w:szCs w:val="24"/>
          <w:highlight w:val="none"/>
        </w:rPr>
        <w:fldChar w:fldCharType="end"/>
      </w:r>
      <w:bookmarkStart w:id="1" w:name="_Toc7511"/>
      <w:r>
        <w:rPr>
          <w:rFonts w:ascii="宋体" w:hAnsi="宋体"/>
          <w:color w:val="auto"/>
          <w:sz w:val="21"/>
          <w:szCs w:val="21"/>
          <w:highlight w:val="none"/>
        </w:rPr>
        <w:br w:type="page"/>
      </w:r>
      <w:r>
        <w:rPr>
          <w:rFonts w:hint="eastAsia" w:ascii="宋体" w:hAnsi="宋体"/>
          <w:b/>
          <w:bCs/>
          <w:color w:val="auto"/>
          <w:sz w:val="21"/>
          <w:szCs w:val="21"/>
          <w:highlight w:val="none"/>
        </w:rPr>
        <w:t>第一章投标须知</w:t>
      </w:r>
      <w:bookmarkEnd w:id="1"/>
    </w:p>
    <w:p>
      <w:pPr>
        <w:pStyle w:val="4"/>
        <w:ind w:left="0" w:firstLine="0" w:firstLineChars="0"/>
        <w:jc w:val="center"/>
        <w:rPr>
          <w:rFonts w:ascii="宋体" w:hAnsi="宋体"/>
          <w:color w:val="auto"/>
          <w:sz w:val="21"/>
          <w:szCs w:val="21"/>
          <w:highlight w:val="none"/>
        </w:rPr>
      </w:pPr>
      <w:bookmarkStart w:id="2" w:name="_Toc6493828"/>
      <w:bookmarkStart w:id="3" w:name="_Toc26132"/>
      <w:r>
        <w:rPr>
          <w:rFonts w:hint="eastAsia" w:ascii="宋体" w:hAnsi="宋体"/>
          <w:color w:val="auto"/>
          <w:sz w:val="21"/>
          <w:szCs w:val="21"/>
          <w:highlight w:val="none"/>
        </w:rPr>
        <w:t>一、投标须知前附表</w:t>
      </w:r>
      <w:bookmarkEnd w:id="2"/>
      <w:bookmarkEnd w:id="3"/>
    </w:p>
    <w:p>
      <w:pPr>
        <w:pStyle w:val="5"/>
        <w:spacing w:line="380" w:lineRule="exact"/>
        <w:ind w:firstLine="0"/>
        <w:rPr>
          <w:rFonts w:ascii="宋体" w:hAnsi="宋体" w:eastAsia="宋体"/>
          <w:b/>
          <w:color w:val="auto"/>
          <w:szCs w:val="21"/>
          <w:highlight w:val="none"/>
        </w:rPr>
      </w:pPr>
      <w:r>
        <w:rPr>
          <w:rFonts w:hint="eastAsia" w:ascii="宋体" w:hAnsi="宋体" w:eastAsia="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20" w:lineRule="exact"/>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9"/>
              <w:spacing w:line="320" w:lineRule="exact"/>
              <w:ind w:firstLine="458"/>
              <w:jc w:val="center"/>
              <w:rPr>
                <w:rFonts w:ascii="宋体" w:hAnsi="宋体"/>
                <w:color w:val="auto"/>
                <w:kern w:val="2"/>
                <w:sz w:val="21"/>
                <w:szCs w:val="21"/>
                <w:highlight w:val="none"/>
              </w:rPr>
            </w:pPr>
            <w:r>
              <w:rPr>
                <w:rFonts w:hint="eastAsia" w:ascii="宋体" w:hAnsi="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广州市陈嘉庚纪念中学</w:t>
            </w:r>
          </w:p>
          <w:p>
            <w:pPr>
              <w:spacing w:line="320" w:lineRule="exact"/>
              <w:rPr>
                <w:rFonts w:hint="eastAsia" w:ascii="宋体" w:hAnsi="宋体" w:eastAsia="宋体"/>
                <w:color w:val="auto"/>
                <w:kern w:val="0"/>
                <w:szCs w:val="21"/>
                <w:highlight w:val="none"/>
                <w:lang w:eastAsia="zh-CN"/>
              </w:rPr>
            </w:pPr>
            <w:r>
              <w:rPr>
                <w:rFonts w:hint="eastAsia" w:ascii="宋体" w:hAnsi="宋体"/>
                <w:color w:val="auto"/>
                <w:szCs w:val="21"/>
                <w:highlight w:val="none"/>
              </w:rPr>
              <w:t>项目建设管理单位：</w:t>
            </w:r>
            <w:r>
              <w:rPr>
                <w:rFonts w:hint="eastAsia" w:ascii="宋体" w:hAnsi="宋体"/>
                <w:color w:val="auto"/>
                <w:szCs w:val="21"/>
                <w:highlight w:val="none"/>
                <w:u w:val="single"/>
                <w:lang w:val="en-US" w:eastAsia="zh-CN"/>
              </w:rPr>
              <w:t>（主）新誉时代工程咨询有限公司（成）广东建同工程技术咨询有限公司</w:t>
            </w:r>
          </w:p>
          <w:p>
            <w:pPr>
              <w:spacing w:line="320" w:lineRule="exact"/>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广州市见智咨询有限公司</w:t>
            </w:r>
          </w:p>
          <w:p>
            <w:pPr>
              <w:spacing w:line="32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中土大地国际建筑设计有限公司</w:t>
            </w:r>
          </w:p>
          <w:p>
            <w:pPr>
              <w:spacing w:line="32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（主）新誉时代工程咨询有限公司（成）广东建同工程技术咨询有限公司</w:t>
            </w:r>
          </w:p>
          <w:p>
            <w:pPr>
              <w:spacing w:line="320" w:lineRule="exact"/>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陈嘉庚纪念中学校舍抗震加固项目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olor w:val="auto"/>
                <w:szCs w:val="21"/>
                <w:highlight w:val="none"/>
                <w:u w:val="single"/>
              </w:rPr>
              <w:t>承包人根据招标文件、本合同约定及相关规定，包工、包料、包工期、包质量、包安全、包材料送检、包文明施工、包验收、包移交、包结算、包资料整理、包设备安装及调试、包保修、包保险、包施工总承包管理及专业协调及配合、包竣工图编制等完成承包范围内所有与施工相关的工作及手续等。综合单价包干，工程量按实结算的承包方式。项目措施费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olor w:val="auto"/>
                <w:szCs w:val="21"/>
                <w:highlight w:val="none"/>
                <w:u w:val="single"/>
              </w:rPr>
              <w:t>以国家或行业的质量检验评定标准为依据，达到合格工程标准或以上。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施工总工期：</w:t>
            </w:r>
            <w:r>
              <w:rPr>
                <w:rFonts w:hint="eastAsia" w:ascii="宋体" w:hAnsi="宋体"/>
                <w:color w:val="auto"/>
                <w:szCs w:val="21"/>
                <w:highlight w:val="none"/>
                <w:u w:val="single"/>
                <w:lang w:val="en-US" w:eastAsia="zh-CN"/>
              </w:rPr>
              <w:t>180</w:t>
            </w:r>
            <w:r>
              <w:rPr>
                <w:rFonts w:hint="eastAsia" w:ascii="宋体" w:hAnsi="宋体"/>
                <w:color w:val="auto"/>
                <w:szCs w:val="21"/>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default" w:ascii="宋体" w:hAnsi="宋体" w:eastAsia="宋体"/>
                <w:color w:val="auto"/>
                <w:szCs w:val="21"/>
                <w:highlight w:val="none"/>
                <w:u w:val="single"/>
                <w:lang w:val="en-US" w:eastAsia="zh-CN"/>
              </w:rPr>
            </w:pPr>
            <w:r>
              <w:rPr>
                <w:rFonts w:hint="eastAsia" w:ascii="宋体" w:hAnsi="宋体" w:cs="宋体"/>
                <w:color w:val="auto"/>
                <w:szCs w:val="21"/>
                <w:highlight w:val="none"/>
                <w:u w:val="single"/>
                <w:lang w:val="en-US" w:eastAsia="zh-CN"/>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工程量清单计价。</w:t>
            </w:r>
            <w:r>
              <w:rPr>
                <w:rFonts w:hint="eastAsia" w:ascii="宋体" w:hAnsi="宋体" w:cs="宋体"/>
                <w:color w:val="auto"/>
                <w:kern w:val="0"/>
                <w:szCs w:val="21"/>
                <w:highlight w:val="none"/>
                <w:u w:val="single"/>
                <w:lang w:val="zh-CN"/>
              </w:rPr>
              <w:t>按国家、省、</w:t>
            </w:r>
            <w:r>
              <w:rPr>
                <w:rFonts w:hint="eastAsia" w:ascii="宋体" w:hAnsi="宋体" w:cs="宋体"/>
                <w:color w:val="auto"/>
                <w:kern w:val="0"/>
                <w:szCs w:val="21"/>
                <w:highlight w:val="none"/>
                <w:u w:val="single"/>
              </w:rPr>
              <w:t>广州市</w:t>
            </w:r>
            <w:r>
              <w:rPr>
                <w:rFonts w:hint="eastAsia" w:ascii="宋体" w:hAnsi="宋体" w:cs="宋体"/>
                <w:color w:val="auto"/>
                <w:kern w:val="0"/>
                <w:szCs w:val="21"/>
                <w:highlight w:val="none"/>
                <w:u w:val="single"/>
                <w:lang w:val="zh-CN"/>
              </w:rPr>
              <w:t>有关计价规范执行，本项目按增值税计算税金，采用一般计税方法。投标文件中的大写金额和小写金额不一致的，以大写金额为准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pPr>
              <w:shd w:val="clear" w:color="auto" w:fill="FFFFFF"/>
              <w:topLinePunct/>
              <w:spacing w:line="300" w:lineRule="exact"/>
              <w:ind w:left="0" w:leftChars="0" w:firstLine="0" w:firstLineChars="0"/>
              <w:rPr>
                <w:rFonts w:ascii="宋体" w:hAnsi="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不要求递交投标保证金。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9"/>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u w:val="single"/>
              </w:rPr>
              <w:t>自行踏勘，</w:t>
            </w:r>
            <w:r>
              <w:rPr>
                <w:rFonts w:ascii="宋体" w:hAnsi="宋体"/>
                <w:color w:val="auto"/>
                <w:kern w:val="2"/>
                <w:sz w:val="21"/>
                <w:szCs w:val="21"/>
                <w:highlight w:val="none"/>
                <w:u w:val="single"/>
              </w:rPr>
              <w:t>投标人不进行踏勘的，视为已熟知现场条件，自行承担相关风险</w:t>
            </w:r>
            <w:r>
              <w:rPr>
                <w:rFonts w:hint="eastAsia" w:ascii="宋体" w:hAnsi="宋体"/>
                <w:color w:val="auto"/>
                <w:kern w:val="2"/>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投标人在递交投标文件截止时间18天前提出</w:t>
            </w:r>
            <w:r>
              <w:rPr>
                <w:rFonts w:hint="eastAsia" w:ascii="宋体" w:hAnsi="宋体" w:cs="宋体"/>
                <w:color w:val="auto"/>
                <w:szCs w:val="21"/>
                <w:highlight w:val="none"/>
              </w:rPr>
              <w:t>；</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r>
              <w:rPr>
                <w:rFonts w:hint="eastAsia" w:ascii="宋体" w:hAnsi="宋体" w:cs="宋体"/>
                <w:color w:val="auto"/>
                <w:szCs w:val="21"/>
                <w:highlight w:val="none"/>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00" w:lineRule="exact"/>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color w:val="auto"/>
                <w:szCs w:val="21"/>
                <w:highlight w:val="none"/>
                <w:u w:val="single"/>
              </w:rPr>
              <w:t>时间</w:t>
            </w:r>
            <w:r>
              <w:rPr>
                <w:rFonts w:ascii="宋体" w:hAnsi="宋体" w:cs="宋体"/>
                <w:color w:val="auto"/>
                <w:szCs w:val="21"/>
                <w:highlight w:val="none"/>
                <w:u w:val="single"/>
              </w:rPr>
              <w:t>留意广州公共资源交易中心公布的日程安排，投标人可登录广州公共资源交易中心网站首页，点击“交易业务-建设工程”专栏中的“项目查询（日程安排、答疑纪要）”，输入项目编号或项目名称查询最新信息</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（技术标和经济标同时开标）</w:t>
            </w:r>
          </w:p>
          <w:p>
            <w:pPr>
              <w:widowControl/>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1、开标开始时间：</w:t>
            </w:r>
            <w:r>
              <w:rPr>
                <w:rFonts w:hint="eastAsia" w:ascii="宋体" w:hAnsi="宋体" w:eastAsia="宋体" w:cs="宋体"/>
                <w:bCs/>
                <w:color w:val="auto"/>
                <w:kern w:val="0"/>
                <w:szCs w:val="21"/>
                <w:highlight w:val="none"/>
                <w:u w:val="single"/>
              </w:rPr>
              <w:t>2023</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时</w:t>
            </w:r>
            <w:r>
              <w:rPr>
                <w:rFonts w:hint="eastAsia" w:ascii="宋体" w:hAnsi="宋体" w:cs="宋体"/>
                <w:bCs/>
                <w:color w:val="auto"/>
                <w:kern w:val="0"/>
                <w:szCs w:val="21"/>
                <w:highlight w:val="none"/>
                <w:u w:val="single"/>
                <w:lang w:eastAsia="zh-CN"/>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分（与投标截止时间为同一时间），地点：</w:t>
            </w:r>
            <w:r>
              <w:rPr>
                <w:rFonts w:hint="eastAsia" w:ascii="宋体" w:hAnsi="宋体" w:eastAsia="宋体" w:cs="宋体"/>
                <w:bCs/>
                <w:color w:val="auto"/>
                <w:kern w:val="0"/>
                <w:szCs w:val="21"/>
                <w:highlight w:val="none"/>
                <w:u w:val="single"/>
              </w:rPr>
              <w:t>详见招标公告</w:t>
            </w:r>
            <w:r>
              <w:rPr>
                <w:rFonts w:hint="eastAsia" w:ascii="宋体" w:hAnsi="宋体" w:eastAsia="宋体" w:cs="宋体"/>
                <w:bCs/>
                <w:color w:val="auto"/>
                <w:kern w:val="0"/>
                <w:szCs w:val="21"/>
                <w:highlight w:val="none"/>
              </w:rPr>
              <w:t>。</w:t>
            </w:r>
            <w:r>
              <w:rPr>
                <w:rFonts w:hint="eastAsia" w:ascii="宋体" w:hAnsi="宋体" w:eastAsia="宋体" w:cs="宋体"/>
                <w:b/>
                <w:bCs/>
                <w:color w:val="auto"/>
                <w:kern w:val="0"/>
                <w:sz w:val="22"/>
                <w:highlight w:val="none"/>
              </w:rPr>
              <w:t>投标人也可选择参加在线开标，具体按照交易平台相关指南进行操作。详见：</w:t>
            </w:r>
            <w:r>
              <w:rPr>
                <w:rFonts w:hint="eastAsia" w:ascii="宋体" w:hAnsi="宋体" w:eastAsia="宋体" w:cs="宋体"/>
                <w:b/>
                <w:bCs/>
                <w:color w:val="auto"/>
                <w:kern w:val="0"/>
                <w:sz w:val="22"/>
                <w:highlight w:val="none"/>
                <w:u w:val="single"/>
              </w:rPr>
              <w:t>广州公共资源交易中心网站</w:t>
            </w:r>
            <w:r>
              <w:rPr>
                <w:rFonts w:hint="eastAsia" w:ascii="宋体" w:hAnsi="宋体" w:eastAsia="宋体" w:cs="宋体"/>
                <w:b/>
                <w:bCs/>
                <w:color w:val="auto"/>
                <w:kern w:val="0"/>
                <w:sz w:val="22"/>
                <w:highlight w:val="none"/>
              </w:rPr>
              <w:t>。</w:t>
            </w:r>
          </w:p>
          <w:p>
            <w:pPr>
              <w:widowControl/>
              <w:jc w:val="left"/>
              <w:rPr>
                <w:rFonts w:hint="eastAsia" w:ascii="宋体" w:hAnsi="宋体" w:eastAsia="宋体" w:cs="宋体"/>
                <w:bCs/>
                <w:strike/>
                <w:color w:val="auto"/>
                <w:kern w:val="0"/>
                <w:szCs w:val="21"/>
                <w:highlight w:val="none"/>
              </w:rPr>
            </w:pPr>
            <w:r>
              <w:rPr>
                <w:rFonts w:hint="eastAsia" w:ascii="宋体" w:hAnsi="宋体" w:eastAsia="宋体" w:cs="宋体"/>
                <w:bCs/>
                <w:strike/>
                <w:color w:val="auto"/>
                <w:kern w:val="0"/>
                <w:szCs w:val="21"/>
                <w:highlight w:val="none"/>
              </w:rPr>
              <w:t>（技术标和经济标分别开标）</w:t>
            </w:r>
          </w:p>
          <w:p>
            <w:pPr>
              <w:widowControl/>
              <w:jc w:val="left"/>
              <w:rPr>
                <w:rFonts w:hint="eastAsia" w:ascii="宋体" w:hAnsi="宋体" w:eastAsia="宋体" w:cs="宋体"/>
                <w:bCs/>
                <w:strike/>
                <w:color w:val="auto"/>
                <w:kern w:val="0"/>
                <w:szCs w:val="21"/>
                <w:highlight w:val="none"/>
              </w:rPr>
            </w:pPr>
            <w:r>
              <w:rPr>
                <w:rFonts w:hint="eastAsia" w:ascii="宋体" w:hAnsi="宋体" w:eastAsia="宋体" w:cs="宋体"/>
                <w:bCs/>
                <w:strike/>
                <w:color w:val="auto"/>
                <w:kern w:val="0"/>
                <w:szCs w:val="21"/>
                <w:highlight w:val="none"/>
              </w:rPr>
              <w:t>1、技术标开标时间：年月日时分（与投标截止时间为同一时间），地点：；</w:t>
            </w:r>
          </w:p>
          <w:p>
            <w:pPr>
              <w:widowControl/>
              <w:jc w:val="left"/>
              <w:rPr>
                <w:rFonts w:hint="eastAsia" w:ascii="宋体" w:hAnsi="宋体" w:eastAsia="宋体" w:cs="宋体"/>
                <w:bCs/>
                <w:strike/>
                <w:color w:val="auto"/>
                <w:kern w:val="0"/>
                <w:szCs w:val="21"/>
                <w:highlight w:val="none"/>
              </w:rPr>
            </w:pPr>
            <w:r>
              <w:rPr>
                <w:rFonts w:hint="eastAsia" w:ascii="宋体" w:hAnsi="宋体" w:eastAsia="宋体" w:cs="宋体"/>
                <w:bCs/>
                <w:strike/>
                <w:color w:val="auto"/>
                <w:kern w:val="0"/>
                <w:szCs w:val="21"/>
                <w:highlight w:val="none"/>
              </w:rPr>
              <w:t>2、经济标开标时间：年月日时   分，地点：。</w:t>
            </w:r>
            <w:r>
              <w:rPr>
                <w:rFonts w:hint="eastAsia" w:ascii="宋体" w:hAnsi="宋体" w:eastAsia="宋体" w:cs="宋体"/>
                <w:b/>
                <w:bCs/>
                <w:strike/>
                <w:color w:val="auto"/>
                <w:kern w:val="0"/>
                <w:sz w:val="22"/>
                <w:highlight w:val="none"/>
              </w:rPr>
              <w:t>投标人也可选择参加在线开标，具体按照交易平台相关指南进行操作。详见：。</w:t>
            </w:r>
          </w:p>
          <w:p>
            <w:pPr>
              <w:widowControl/>
              <w:jc w:val="left"/>
              <w:rPr>
                <w:rFonts w:hint="eastAsia" w:ascii="宋体" w:hAnsi="宋体" w:eastAsia="宋体" w:cs="宋体"/>
                <w:bCs/>
                <w:strike/>
                <w:color w:val="auto"/>
                <w:kern w:val="0"/>
                <w:szCs w:val="21"/>
                <w:highlight w:val="none"/>
              </w:rPr>
            </w:pPr>
            <w:r>
              <w:rPr>
                <w:rFonts w:hint="eastAsia" w:ascii="宋体" w:hAnsi="宋体" w:eastAsia="宋体" w:cs="宋体"/>
                <w:bCs/>
                <w:strike/>
                <w:color w:val="auto"/>
                <w:kern w:val="0"/>
                <w:szCs w:val="21"/>
                <w:highlight w:val="none"/>
              </w:rPr>
              <w:t>注：投标文件解密问题。投标人只用执行一次解密，招标人执行解密次数根据招标文件开标次数确定。</w:t>
            </w:r>
          </w:p>
          <w:p>
            <w:pPr>
              <w:widowControl/>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（选择性条款）2、递交投标文件备用</w:t>
            </w:r>
            <w:r>
              <w:rPr>
                <w:rFonts w:hint="eastAsia" w:ascii="宋体" w:hAnsi="宋体" w:eastAsia="宋体" w:cs="宋体"/>
                <w:bCs/>
                <w:strike/>
                <w:color w:val="auto"/>
                <w:kern w:val="0"/>
                <w:szCs w:val="21"/>
                <w:highlight w:val="none"/>
              </w:rPr>
              <w:t>光</w:t>
            </w:r>
            <w:r>
              <w:rPr>
                <w:rFonts w:hint="eastAsia" w:ascii="宋体" w:hAnsi="宋体" w:eastAsia="宋体" w:cs="宋体"/>
                <w:b/>
                <w:color w:val="auto"/>
                <w:kern w:val="0"/>
                <w:szCs w:val="21"/>
                <w:highlight w:val="none"/>
                <w:u w:val="single"/>
              </w:rPr>
              <w:t>U</w:t>
            </w:r>
            <w:r>
              <w:rPr>
                <w:rFonts w:hint="eastAsia" w:ascii="宋体" w:hAnsi="宋体" w:eastAsia="宋体" w:cs="宋体"/>
                <w:bCs/>
                <w:color w:val="auto"/>
                <w:kern w:val="0"/>
                <w:szCs w:val="21"/>
                <w:highlight w:val="none"/>
              </w:rPr>
              <w:t>盘时间：</w:t>
            </w:r>
            <w:r>
              <w:rPr>
                <w:rFonts w:hint="eastAsia" w:ascii="宋体" w:hAnsi="宋体" w:eastAsia="宋体" w:cs="宋体"/>
                <w:bCs/>
                <w:color w:val="auto"/>
                <w:kern w:val="0"/>
                <w:szCs w:val="21"/>
                <w:highlight w:val="none"/>
                <w:u w:val="single"/>
              </w:rPr>
              <w:t>2023</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时</w:t>
            </w:r>
            <w:r>
              <w:rPr>
                <w:rFonts w:hint="eastAsia" w:ascii="宋体" w:hAnsi="宋体" w:cs="宋体"/>
                <w:bCs/>
                <w:color w:val="auto"/>
                <w:kern w:val="0"/>
                <w:szCs w:val="21"/>
                <w:highlight w:val="none"/>
                <w:u w:val="single"/>
                <w:lang w:eastAsia="zh-CN"/>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分至</w:t>
            </w:r>
            <w:r>
              <w:rPr>
                <w:rFonts w:hint="eastAsia" w:ascii="宋体" w:hAnsi="宋体" w:eastAsia="宋体" w:cs="宋体"/>
                <w:bCs/>
                <w:color w:val="auto"/>
                <w:kern w:val="0"/>
                <w:szCs w:val="21"/>
                <w:highlight w:val="none"/>
                <w:u w:val="single"/>
              </w:rPr>
              <w:t>2023</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时</w:t>
            </w:r>
            <w:r>
              <w:rPr>
                <w:rFonts w:hint="eastAsia" w:ascii="宋体" w:hAnsi="宋体" w:cs="宋体"/>
                <w:bCs/>
                <w:color w:val="auto"/>
                <w:kern w:val="0"/>
                <w:szCs w:val="21"/>
                <w:highlight w:val="none"/>
                <w:u w:val="single"/>
                <w:lang w:eastAsia="zh-CN"/>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分；</w:t>
            </w:r>
            <w:r>
              <w:rPr>
                <w:rFonts w:hint="eastAsia" w:ascii="宋体" w:hAnsi="宋体" w:eastAsia="宋体" w:cs="宋体"/>
                <w:bCs/>
                <w:color w:val="auto"/>
                <w:kern w:val="0"/>
                <w:szCs w:val="21"/>
                <w:highlight w:val="none"/>
                <w:u w:val="single"/>
              </w:rPr>
              <w:t>递交地点：广州市天河区天润路333号</w:t>
            </w:r>
            <w:r>
              <w:rPr>
                <w:rFonts w:hint="eastAsia" w:ascii="宋体" w:hAnsi="宋体" w:cs="宋体"/>
                <w:bCs/>
                <w:color w:val="auto"/>
                <w:kern w:val="0"/>
                <w:szCs w:val="21"/>
                <w:highlight w:val="none"/>
                <w:u w:val="single"/>
                <w:lang w:val="en-US" w:eastAsia="zh-CN"/>
              </w:rPr>
              <w:t>指定开标室</w:t>
            </w:r>
            <w:r>
              <w:rPr>
                <w:rFonts w:hint="eastAsia" w:ascii="宋体" w:hAnsi="宋体" w:eastAsia="宋体" w:cs="宋体"/>
                <w:bCs/>
                <w:color w:val="auto"/>
                <w:kern w:val="0"/>
                <w:szCs w:val="21"/>
                <w:highlight w:val="none"/>
              </w:rPr>
              <w:t>。(建议安排在投标文件截止时间前15分钟至投标文件截止时间）</w:t>
            </w:r>
          </w:p>
          <w:p>
            <w:pPr>
              <w:pStyle w:val="2"/>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（选择性条款）3、本项目采取项目负责人自助签到，按照交易平台有关项目负责人自助签到流程进行操作。（选择性条款）</w:t>
            </w:r>
          </w:p>
          <w:p>
            <w:pPr>
              <w:pStyle w:val="2"/>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（1）自助签到起始时间：年月日时分，截止时间：年月日时分。（签到时间建议不少于1.5小时），地点：。</w:t>
            </w:r>
          </w:p>
          <w:p>
            <w:pPr>
              <w:pStyle w:val="2"/>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（2）人工应急签到起始时间：年月日时   分。截止时间：年月日时分。（建议与投标文件解密同时进行），人工应急签到地点：。</w:t>
            </w:r>
          </w:p>
          <w:p>
            <w:pPr>
              <w:pStyle w:val="2"/>
              <w:rPr>
                <w:rFonts w:hint="eastAsia" w:ascii="宋体" w:hAnsi="宋体" w:eastAsia="宋体" w:cs="宋体"/>
                <w:b/>
                <w:color w:val="auto"/>
                <w:sz w:val="21"/>
                <w:szCs w:val="21"/>
                <w:highlight w:val="none"/>
              </w:rPr>
            </w:pPr>
            <w:r>
              <w:rPr>
                <w:rFonts w:hint="eastAsia" w:ascii="宋体" w:hAnsi="宋体" w:eastAsia="宋体" w:cs="宋体"/>
                <w:b/>
                <w:strike/>
                <w:color w:val="auto"/>
                <w:sz w:val="21"/>
                <w:szCs w:val="21"/>
                <w:highlight w:val="none"/>
              </w:rPr>
              <w:t>注：投标人凭自助签到失败通知在人工应急签到截止时间前到达人工应急签到地点的，应按应急方案办理签到手续。逾期到达的，不再受理其人工应急签到。</w:t>
            </w:r>
          </w:p>
          <w:p>
            <w:pPr>
              <w:spacing w:line="380" w:lineRule="exact"/>
              <w:rPr>
                <w:rFonts w:hint="eastAsia" w:ascii="宋体" w:hAnsi="宋体" w:eastAsia="宋体" w:cs="宋体"/>
                <w:color w:val="auto"/>
                <w:highlight w:val="none"/>
              </w:rPr>
            </w:pPr>
            <w:r>
              <w:rPr>
                <w:rFonts w:hint="eastAsia" w:ascii="宋体" w:hAnsi="宋体" w:eastAsia="宋体" w:cs="宋体"/>
                <w:bCs/>
                <w:color w:val="auto"/>
                <w:kern w:val="0"/>
                <w:szCs w:val="21"/>
                <w:highlight w:val="none"/>
              </w:rPr>
              <w:t>上述时间及地点是否有改变，请密切留意招标答疑纪要的相关信息</w:t>
            </w:r>
            <w:r>
              <w:rPr>
                <w:rFonts w:hint="eastAsia" w:ascii="宋体" w:hAnsi="宋体" w:eastAsia="宋体" w:cs="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方式一：</w:t>
            </w:r>
            <w:r>
              <w:rPr>
                <w:rFonts w:hint="eastAsia" w:ascii="宋体" w:hAnsi="宋体" w:cs="宋体"/>
                <w:color w:val="auto"/>
                <w:szCs w:val="21"/>
                <w:highlight w:val="none"/>
                <w:u w:val="single"/>
              </w:rPr>
              <w:t xml:space="preserve">选取方法七（适合综合评分办法四，技术标与经济标同时开启）； </w:t>
            </w:r>
          </w:p>
          <w:p>
            <w:pPr>
              <w:pStyle w:val="36"/>
              <w:spacing w:line="380" w:lineRule="exact"/>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投标人总得分=（技术得分</w:t>
            </w:r>
            <w:r>
              <w:rPr>
                <w:rFonts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rPr>
              <w:t>满分</w:t>
            </w:r>
            <w:r>
              <w:rPr>
                <w:rFonts w:hint="eastAsia" w:ascii="宋体" w:hAnsi="宋体" w:eastAsia="宋体" w:cs="宋体"/>
                <w:color w:val="auto"/>
                <w:kern w:val="2"/>
                <w:sz w:val="21"/>
                <w:szCs w:val="21"/>
                <w:highlight w:val="none"/>
                <w:u w:val="single"/>
                <w:lang w:val="en-US" w:eastAsia="zh-CN"/>
              </w:rPr>
              <w:t>100</w:t>
            </w:r>
            <w:r>
              <w:rPr>
                <w:rFonts w:ascii="宋体" w:hAnsi="宋体" w:eastAsia="宋体" w:cs="宋体"/>
                <w:color w:val="auto"/>
                <w:kern w:val="2"/>
                <w:sz w:val="21"/>
                <w:szCs w:val="21"/>
                <w:highlight w:val="none"/>
                <w:u w:val="single"/>
              </w:rPr>
              <w:t>分）</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lang w:val="en-US" w:eastAsia="zh-CN"/>
              </w:rPr>
              <w:t>技术</w:t>
            </w:r>
            <w:r>
              <w:rPr>
                <w:rFonts w:hint="eastAsia" w:ascii="宋体" w:hAnsi="宋体" w:eastAsia="宋体" w:cs="宋体"/>
                <w:color w:val="auto"/>
                <w:kern w:val="2"/>
                <w:sz w:val="21"/>
                <w:szCs w:val="21"/>
                <w:highlight w:val="none"/>
                <w:u w:val="single"/>
              </w:rPr>
              <w:t>得分权重(</w:t>
            </w:r>
            <w:r>
              <w:rPr>
                <w:rFonts w:hint="eastAsia" w:ascii="宋体" w:hAnsi="宋体" w:eastAsia="宋体" w:cs="宋体"/>
                <w:color w:val="auto"/>
                <w:kern w:val="2"/>
                <w:sz w:val="21"/>
                <w:szCs w:val="21"/>
                <w:highlight w:val="none"/>
                <w:u w:val="single"/>
                <w:lang w:val="en-US" w:eastAsia="zh-CN"/>
              </w:rPr>
              <w:t>2</w:t>
            </w:r>
            <w:r>
              <w:rPr>
                <w:rFonts w:hint="eastAsia" w:ascii="宋体" w:hAnsi="宋体" w:eastAsia="宋体" w:cs="宋体"/>
                <w:color w:val="auto"/>
                <w:kern w:val="2"/>
                <w:sz w:val="21"/>
                <w:szCs w:val="21"/>
                <w:highlight w:val="none"/>
                <w:u w:val="single"/>
              </w:rPr>
              <w:t>0%)＋经济得分×经济得分权重(80%)）</w:t>
            </w:r>
          </w:p>
          <w:p>
            <w:pPr>
              <w:spacing w:line="360" w:lineRule="auto"/>
              <w:rPr>
                <w:rFonts w:ascii="宋体" w:hAnsi="宋体"/>
                <w:color w:val="auto"/>
                <w:szCs w:val="21"/>
                <w:highlight w:val="none"/>
              </w:rPr>
            </w:pPr>
            <w:r>
              <w:rPr>
                <w:rFonts w:hint="eastAsia" w:ascii="宋体" w:hAnsi="宋体" w:cs="宋体"/>
                <w:color w:val="auto"/>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color w:val="auto"/>
                <w:szCs w:val="21"/>
                <w:highlight w:val="none"/>
              </w:rPr>
            </w:pPr>
            <w:r>
              <w:rPr>
                <w:rFonts w:hint="eastAsia" w:ascii="宋体" w:hAnsi="宋体" w:cs="宋体"/>
                <w:color w:val="auto"/>
                <w:szCs w:val="21"/>
                <w:highlight w:val="none"/>
                <w:u w:val="single"/>
              </w:rPr>
              <w:t>方式一：中标人提供的履约保证金或履约保函为中标价款的10%。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firstLine="420" w:firstLineChars="200"/>
              <w:rPr>
                <w:rFonts w:ascii="宋体" w:hAnsi="宋体"/>
                <w:color w:val="auto"/>
                <w:szCs w:val="21"/>
                <w:highlight w:val="none"/>
                <w:u w:val="single"/>
              </w:rPr>
            </w:pPr>
            <w:r>
              <w:rPr>
                <w:rFonts w:ascii="宋体" w:hAnsi="宋体" w:cs="宋体"/>
                <w:color w:val="auto"/>
                <w:szCs w:val="21"/>
                <w:highlight w:val="none"/>
                <w:u w:val="single"/>
              </w:rPr>
              <w:t>本项目最高投标限价为人民币</w:t>
            </w:r>
            <w:r>
              <w:rPr>
                <w:rFonts w:hint="eastAsia" w:ascii="宋体" w:hAnsi="宋体" w:cs="宋体"/>
                <w:color w:val="auto"/>
                <w:szCs w:val="21"/>
                <w:highlight w:val="none"/>
                <w:u w:val="single"/>
              </w:rPr>
              <w:t>13464632.04</w:t>
            </w:r>
            <w:r>
              <w:rPr>
                <w:rFonts w:ascii="宋体" w:hAnsi="宋体" w:cs="宋体"/>
                <w:color w:val="auto"/>
                <w:szCs w:val="21"/>
                <w:highlight w:val="none"/>
                <w:u w:val="single"/>
              </w:rPr>
              <w:t>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color w:val="auto"/>
                <w:highlight w:val="none"/>
              </w:rPr>
            </w:pPr>
            <w:r>
              <w:rPr>
                <w:rFonts w:hint="eastAsia" w:ascii="宋体" w:hAnsi="宋体" w:cs="宋体"/>
                <w:color w:val="auto"/>
                <w:szCs w:val="21"/>
                <w:highlight w:val="none"/>
                <w:u w:val="single"/>
              </w:rPr>
              <w:t>本项目绿色施工安全防护措施费</w:t>
            </w:r>
            <w:r>
              <w:rPr>
                <w:rFonts w:hint="eastAsia" w:ascii="宋体" w:hAnsi="宋体" w:cs="宋体"/>
                <w:color w:val="auto"/>
                <w:szCs w:val="21"/>
                <w:highlight w:val="none"/>
                <w:u w:val="single"/>
                <w:lang w:val="en-US" w:eastAsia="zh-CN"/>
              </w:rPr>
              <w:t>708209.84</w:t>
            </w:r>
            <w:r>
              <w:rPr>
                <w:rFonts w:hint="eastAsia" w:ascii="宋体" w:hAnsi="宋体" w:cs="宋体"/>
                <w:color w:val="auto"/>
                <w:szCs w:val="21"/>
                <w:highlight w:val="none"/>
                <w:u w:val="single"/>
              </w:rPr>
              <w:t>元，暂列金额</w:t>
            </w:r>
            <w:r>
              <w:rPr>
                <w:rFonts w:hint="eastAsia" w:ascii="宋体" w:hAnsi="宋体" w:cs="宋体"/>
                <w:color w:val="auto"/>
                <w:szCs w:val="21"/>
                <w:highlight w:val="none"/>
                <w:u w:val="single"/>
                <w:lang w:val="en-US" w:eastAsia="zh-CN"/>
              </w:rPr>
              <w:t>530613.90</w:t>
            </w:r>
            <w:r>
              <w:rPr>
                <w:rFonts w:hint="eastAsia" w:ascii="宋体" w:hAnsi="宋体" w:cs="宋体"/>
                <w:color w:val="auto"/>
                <w:szCs w:val="21"/>
                <w:highlight w:val="none"/>
                <w:u w:val="single"/>
              </w:rPr>
              <w:t>元，暂估价为</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6"/>
              <w:spacing w:line="380" w:lineRule="exact"/>
              <w:ind w:firstLine="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d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color w:val="auto"/>
                <w:szCs w:val="21"/>
                <w:highlight w:val="none"/>
              </w:rPr>
            </w:pPr>
            <w:r>
              <w:rPr>
                <w:rFonts w:hint="eastAsia" w:ascii="宋体" w:hAnsi="宋体"/>
                <w:strike/>
                <w:color w:val="auto"/>
                <w:szCs w:val="21"/>
                <w:highlight w:val="none"/>
              </w:rPr>
              <w:t>计算评标参考价的等分点值X在开标前从[0,100]的整数中通过摇珠机随机抽取。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1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①</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通过技术有效性审查的投标人均进入第二阶段（适用于通过技术有效性审查家数在[3,]中的）。</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2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②</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将第一阶段得分由高至低排序，前名投标人进入第二阶段评审（适用于通过技术有效性审查家数大于家的，招标人可根据工程具体情况，确定不少于家进入第二阶段）。</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color w:val="auto"/>
                <w:szCs w:val="21"/>
                <w:highlight w:val="none"/>
                <w:u w:val="single"/>
              </w:rPr>
            </w:pPr>
            <w:r>
              <w:rPr>
                <w:rFonts w:ascii="宋体" w:hAnsi="宋体" w:cs="宋体"/>
                <w:color w:val="auto"/>
                <w:szCs w:val="21"/>
                <w:highlight w:val="none"/>
                <w:u w:val="single"/>
              </w:rPr>
              <w:t>工程成本警戒价为</w:t>
            </w:r>
            <w:r>
              <w:rPr>
                <w:rFonts w:hint="eastAsia" w:ascii="宋体" w:hAnsi="宋体" w:cs="宋体"/>
                <w:color w:val="auto"/>
                <w:szCs w:val="21"/>
                <w:highlight w:val="none"/>
                <w:u w:val="single"/>
              </w:rPr>
              <w:t>12522107.</w:t>
            </w:r>
            <w:r>
              <w:rPr>
                <w:rFonts w:hint="eastAsia" w:ascii="宋体" w:hAnsi="宋体" w:cs="宋体"/>
                <w:color w:val="auto"/>
                <w:szCs w:val="21"/>
                <w:highlight w:val="none"/>
                <w:u w:val="single"/>
                <w:lang w:val="en-US" w:eastAsia="zh-CN"/>
              </w:rPr>
              <w:t>80</w:t>
            </w:r>
            <w:r>
              <w:rPr>
                <w:rFonts w:ascii="宋体" w:hAnsi="宋体" w:cs="宋体"/>
                <w:color w:val="auto"/>
                <w:szCs w:val="21"/>
                <w:highlight w:val="none"/>
                <w:u w:val="single"/>
              </w:rPr>
              <w:t>元</w:t>
            </w:r>
            <w:r>
              <w:rPr>
                <w:rFonts w:hint="eastAsia" w:ascii="宋体" w:hAnsi="宋体" w:cs="宋体"/>
                <w:color w:val="auto"/>
                <w:szCs w:val="21"/>
                <w:highlight w:val="none"/>
                <w:u w:val="single"/>
              </w:rPr>
              <w:t>（按最高投标限价的9</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%设置）</w:t>
            </w:r>
            <w:r>
              <w:rPr>
                <w:rFonts w:ascii="宋体" w:hAnsi="宋体" w:cs="宋体"/>
                <w:color w:val="auto"/>
                <w:szCs w:val="21"/>
                <w:highlight w:val="none"/>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hAnsi="宋体"/>
                <w:color w:val="auto"/>
                <w:szCs w:val="21"/>
                <w:highlight w:val="none"/>
                <w:u w:val="single"/>
              </w:rPr>
            </w:pPr>
            <w:r>
              <w:rPr>
                <w:rFonts w:ascii="宋体" w:hAnsi="宋体" w:cs="宋体"/>
                <w:color w:val="auto"/>
                <w:szCs w:val="21"/>
                <w:highlight w:val="none"/>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bCs/>
                <w:strike/>
                <w:color w:val="auto"/>
                <w:szCs w:val="21"/>
                <w:highlight w:val="none"/>
              </w:rPr>
            </w:pPr>
            <w:r>
              <w:rPr>
                <w:rFonts w:hint="eastAsia" w:ascii="宋体" w:hAnsi="宋体" w:cs="宋体"/>
                <w:bCs/>
                <w:strike/>
                <w:color w:val="auto"/>
                <w:szCs w:val="21"/>
                <w:highlight w:val="none"/>
              </w:rPr>
              <w:t>技术分权重为    %，综合诚信评价分数权重为    %。</w:t>
            </w:r>
          </w:p>
          <w:p>
            <w:pPr>
              <w:spacing w:line="380" w:lineRule="exact"/>
              <w:rPr>
                <w:rFonts w:ascii="宋体" w:hAnsi="宋体" w:cs="宋体"/>
                <w:b/>
                <w:color w:val="auto"/>
                <w:szCs w:val="21"/>
                <w:highlight w:val="none"/>
                <w:u w:val="single"/>
              </w:rPr>
            </w:pPr>
            <w:r>
              <w:rPr>
                <w:rFonts w:hint="eastAsia" w:ascii="宋体" w:hAnsi="宋体" w:cs="宋体"/>
                <w:bCs/>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s="宋体"/>
                <w:color w:val="auto"/>
                <w:szCs w:val="21"/>
                <w:highlight w:val="none"/>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s="宋体"/>
                <w:strike/>
                <w:color w:val="auto"/>
                <w:szCs w:val="21"/>
                <w:highlight w:val="none"/>
              </w:rPr>
            </w:pPr>
            <w:r>
              <w:rPr>
                <w:rFonts w:hint="eastAsia" w:ascii="宋体" w:hAnsi="宋体" w:cs="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u w:val="single"/>
              </w:rPr>
            </w:pPr>
            <w:r>
              <w:rPr>
                <w:rFonts w:hint="eastAsia" w:ascii="宋体" w:hAnsi="宋体" w:cs="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方法二：经济分相同的投标文件，由评标委员会采用随机方式，确定投标人的排序。</w:t>
            </w:r>
          </w:p>
          <w:p>
            <w:pPr>
              <w:spacing w:line="380" w:lineRule="exact"/>
              <w:ind w:firstLine="210" w:firstLineChars="100"/>
              <w:rPr>
                <w:rFonts w:ascii="宋体" w:hAnsi="宋体" w:cs="宋体"/>
                <w:strike/>
                <w:color w:val="auto"/>
                <w:szCs w:val="21"/>
                <w:highlight w:val="none"/>
                <w:u w:val="singl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bCs/>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s="MS Mincho"/>
                <w:color w:val="auto"/>
                <w:szCs w:val="21"/>
                <w:highlight w:val="none"/>
              </w:rPr>
              <w:sym w:font="Wingdings" w:char="00A8"/>
            </w:r>
            <w:r>
              <w:rPr>
                <w:rFonts w:hint="eastAsia" w:ascii="宋体" w:hAnsi="宋体" w:cs="宋体"/>
                <w:color w:val="auto"/>
                <w:kern w:val="0"/>
                <w:szCs w:val="21"/>
                <w:highlight w:val="none"/>
                <w:lang w:val="zh-CN"/>
              </w:rPr>
              <w:t>不允许；</w:t>
            </w:r>
          </w:p>
          <w:p>
            <w:pPr>
              <w:spacing w:line="380" w:lineRule="exact"/>
              <w:rPr>
                <w:rFonts w:ascii="宋体" w:hAnsi="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cs="宋体"/>
                <w:color w:val="auto"/>
                <w:kern w:val="0"/>
                <w:szCs w:val="21"/>
                <w:highlight w:val="none"/>
                <w:lang w:val="zh-CN"/>
              </w:rPr>
              <w:t>允许：</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分包内容要要求：</w:t>
            </w:r>
            <w:r>
              <w:rPr>
                <w:rFonts w:hint="eastAsia" w:ascii="宋体" w:hAnsi="宋体" w:cs="宋体"/>
                <w:color w:val="auto"/>
                <w:kern w:val="0"/>
                <w:szCs w:val="21"/>
                <w:highlight w:val="none"/>
                <w:u w:val="single"/>
                <w:lang w:val="zh-CN"/>
              </w:rPr>
              <w:t>经招标人同意后，允许对部分非主体、非关键性专业工程进行分包</w:t>
            </w:r>
            <w:r>
              <w:rPr>
                <w:rFonts w:hint="eastAsia" w:ascii="宋体" w:hAnsi="宋体" w:cs="宋体"/>
                <w:color w:val="auto"/>
                <w:kern w:val="0"/>
                <w:szCs w:val="21"/>
                <w:highlight w:val="none"/>
                <w:lang w:val="zh-CN"/>
              </w:rPr>
              <w:t>。</w:t>
            </w:r>
          </w:p>
          <w:p>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rPr>
              <w:t>/</w:t>
            </w:r>
          </w:p>
          <w:p>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rPr>
              <w:t>符合有关法律法规和文件规定，并不得再次分包</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s="宋体"/>
                <w:color w:val="auto"/>
                <w:kern w:val="0"/>
                <w:szCs w:val="21"/>
                <w:highlight w:val="none"/>
                <w:u w:val="single"/>
              </w:rPr>
              <w:t>在以往工程中</w:t>
            </w:r>
            <w:r>
              <w:rPr>
                <w:rFonts w:hint="eastAsia"/>
                <w:color w:val="auto"/>
                <w:highlight w:val="none"/>
                <w:u w:val="single"/>
                <w:lang w:val="en-US" w:eastAsia="zh-CN"/>
              </w:rPr>
              <w:t>未</w:t>
            </w:r>
            <w:r>
              <w:rPr>
                <w:rFonts w:hint="eastAsia" w:ascii="宋体" w:hAnsi="宋体" w:cs="宋体"/>
                <w:color w:val="auto"/>
                <w:kern w:val="0"/>
                <w:szCs w:val="21"/>
                <w:highlight w:val="none"/>
                <w:u w:val="single"/>
              </w:rPr>
              <w:t>因不诚信行为或不充分履约行为被本项目招标人书面拒绝投标的，或未被纳入联合惩戒范围的。须经发包人和总监理工程师书面同意</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auto"/>
                <w:szCs w:val="21"/>
                <w:highlight w:val="none"/>
              </w:rPr>
            </w:pPr>
            <w:r>
              <w:rPr>
                <w:rFonts w:hint="eastAsia" w:ascii="宋体" w:hAnsi="宋体"/>
                <w:color w:val="auto"/>
                <w:szCs w:val="21"/>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 xml:space="preserve">广州公共资源交易中心网站。 </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2、提交投标文件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备用</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投标人可制作非加密的电子投标文件（PDF格式）刻入U盘（1份），在投标须知前附表第18项规定的时间、地点提交备用。刻录好的投标文件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密封在密封袋中，并在封口处加盖投标人单位公章。密封袋上应写明项目名称和招标人名称。递交的</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不得加密。</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无法读取或导入的，则视为未提交备用投标文件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。如果投标人没有按规定通过交易平台网上递交电子投标文件的，不再读取提交的</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w:t>
            </w:r>
            <w:r>
              <w:rPr>
                <w:rFonts w:hint="eastAsia" w:ascii="宋体" w:hAnsi="宋体" w:cs="Courier New"/>
                <w:b/>
                <w:bCs/>
                <w:color w:val="auto"/>
                <w:szCs w:val="21"/>
                <w:highlight w:val="none"/>
              </w:rPr>
              <w:t>投标人也可不提交备用</w:t>
            </w:r>
            <w:r>
              <w:rPr>
                <w:rFonts w:hint="eastAsia" w:ascii="宋体" w:hAnsi="宋体" w:cs="Courier New"/>
                <w:b/>
                <w:bCs/>
                <w:color w:val="auto"/>
                <w:szCs w:val="21"/>
                <w:highlight w:val="none"/>
                <w:u w:val="single"/>
              </w:rPr>
              <w:t>U盘</w:t>
            </w:r>
            <w:r>
              <w:rPr>
                <w:rFonts w:hint="eastAsia" w:ascii="宋体" w:hAnsi="宋体" w:cs="Courier New"/>
                <w:b/>
                <w:bCs/>
                <w:color w:val="auto"/>
                <w:szCs w:val="21"/>
                <w:highlight w:val="none"/>
              </w:rPr>
              <w:t>。</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内容，继续开标程序。评标委员会对其投标文件的评审以</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内容为准。因投标人之外原因解密失败且未递交电子</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的，视为撤回投标文件。</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，并按</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内容进行评审。</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pacing w:line="38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color w:val="auto"/>
                <w:szCs w:val="21"/>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hint="eastAsia" w:ascii="宋体" w:hAnsi="宋体"/>
                <w:color w:val="auto"/>
                <w:szCs w:val="21"/>
                <w:highlight w:val="none"/>
              </w:rPr>
            </w:pPr>
            <w:r>
              <w:rPr>
                <w:rFonts w:hint="eastAsia" w:ascii="宋体" w:hAnsi="宋体"/>
                <w:color w:val="auto"/>
                <w:sz w:val="24"/>
                <w:highlight w:val="none"/>
              </w:rPr>
              <w:t>交易服务费及</w:t>
            </w:r>
            <w:r>
              <w:rPr>
                <w:rFonts w:hint="eastAsia" w:ascii="宋体" w:hAnsi="宋体" w:cs="MingLiU"/>
                <w:color w:val="auto"/>
                <w:kern w:val="0"/>
                <w:sz w:val="24"/>
                <w:highlight w:val="none"/>
              </w:rPr>
              <w:t>招标代理费</w:t>
            </w:r>
          </w:p>
        </w:tc>
        <w:tc>
          <w:tcPr>
            <w:tcW w:w="5857" w:type="dxa"/>
            <w:tcBorders>
              <w:top w:val="single" w:color="auto" w:sz="4" w:space="0"/>
              <w:left w:val="single" w:color="auto" w:sz="4" w:space="0"/>
              <w:bottom w:val="double" w:color="auto" w:sz="4" w:space="0"/>
              <w:right w:val="double" w:color="auto" w:sz="4" w:space="0"/>
            </w:tcBorders>
            <w:vAlign w:val="center"/>
          </w:tcPr>
          <w:p>
            <w:pPr>
              <w:spacing w:line="380" w:lineRule="exact"/>
              <w:rPr>
                <w:rFonts w:hint="eastAsia" w:ascii="宋体" w:hAnsi="宋体" w:cs="Courier New"/>
                <w:color w:val="auto"/>
                <w:szCs w:val="21"/>
                <w:highlight w:val="none"/>
              </w:rPr>
            </w:pPr>
            <w:r>
              <w:rPr>
                <w:rFonts w:hint="eastAsia" w:ascii="宋体" w:hAnsi="宋体" w:cs="Courier New"/>
                <w:color w:val="auto"/>
                <w:szCs w:val="21"/>
                <w:highlight w:val="none"/>
              </w:rPr>
              <w:t>1.中标人须在中标候选人公示结束之日起5个工作日之内向广州公共资源交易中心缴纳交易服务费。具体操作要求详见广州公共资源交易中心有关指引，或自行咨询交易中心。</w:t>
            </w:r>
          </w:p>
          <w:p>
            <w:pPr>
              <w:spacing w:line="380" w:lineRule="exact"/>
              <w:rPr>
                <w:rFonts w:hint="eastAsia" w:ascii="宋体" w:hAnsi="宋体" w:cs="Courier New"/>
                <w:color w:val="auto"/>
                <w:szCs w:val="21"/>
                <w:highlight w:val="none"/>
              </w:rPr>
            </w:pPr>
            <w:r>
              <w:rPr>
                <w:rFonts w:hint="eastAsia" w:ascii="宋体" w:hAnsi="宋体" w:cs="Courier New"/>
                <w:color w:val="auto"/>
                <w:szCs w:val="21"/>
                <w:highlight w:val="none"/>
              </w:rPr>
              <w:t>2.招标代理费及评标专家费：招标代理费按国家计委《招标代理服务收费管理暂行办法》（计价格【2002】1980号）收费标准下浮</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rPr>
              <w:t>0%计算收取。评标专家费按实收取。以上费用由中标人在中标通知书发出前一次性付清。</w:t>
            </w:r>
          </w:p>
        </w:tc>
      </w:tr>
    </w:tbl>
    <w:p>
      <w:pPr>
        <w:spacing w:line="380" w:lineRule="exact"/>
        <w:rPr>
          <w:rFonts w:ascii="宋体" w:hAnsi="宋体" w:cs="Courier New"/>
          <w:strike/>
          <w:color w:val="auto"/>
          <w:szCs w:val="21"/>
          <w:highlight w:val="none"/>
        </w:rPr>
      </w:pPr>
      <w:r>
        <w:rPr>
          <w:rFonts w:hint="eastAsia" w:ascii="宋体" w:hAnsi="宋体" w:cs="Courier New"/>
          <w:strike/>
          <w:color w:val="auto"/>
          <w:szCs w:val="21"/>
          <w:highlight w:val="none"/>
        </w:rPr>
        <w:t>注：企业综合诚信评价得分即企业综合诚信评价60日诚信分，以下同。</w:t>
      </w:r>
    </w:p>
    <w:p>
      <w:pPr>
        <w:pStyle w:val="4"/>
        <w:spacing w:line="400" w:lineRule="exact"/>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4" w:name="_Toc6493829"/>
    </w:p>
    <w:p>
      <w:pPr>
        <w:pStyle w:val="4"/>
        <w:spacing w:line="400" w:lineRule="exact"/>
        <w:ind w:firstLine="186"/>
        <w:jc w:val="center"/>
        <w:rPr>
          <w:rFonts w:ascii="宋体" w:hAnsi="宋体"/>
          <w:color w:val="auto"/>
          <w:sz w:val="21"/>
          <w:szCs w:val="21"/>
          <w:highlight w:val="none"/>
        </w:rPr>
      </w:pPr>
      <w:bookmarkStart w:id="5" w:name="_Toc25379"/>
      <w:r>
        <w:rPr>
          <w:rFonts w:hint="eastAsia" w:ascii="宋体" w:hAnsi="宋体"/>
          <w:color w:val="auto"/>
          <w:sz w:val="21"/>
          <w:szCs w:val="21"/>
          <w:highlight w:val="none"/>
        </w:rPr>
        <w:t>二、投标须知修改表</w:t>
      </w:r>
      <w:bookmarkEnd w:id="4"/>
      <w:bookmarkEnd w:id="5"/>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color w:val="auto"/>
          <w:szCs w:val="21"/>
          <w:highlight w:val="none"/>
        </w:rPr>
        <w:t>8.1</w:t>
      </w:r>
      <w:r>
        <w:rPr>
          <w:rFonts w:hint="eastAsia" w:ascii="宋体" w:hAnsi="宋体"/>
          <w:b/>
          <w:color w:val="auto"/>
          <w:szCs w:val="21"/>
          <w:highlight w:val="none"/>
        </w:rPr>
        <w:t>修改类型：修改</w:t>
      </w:r>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8.1</w:t>
      </w:r>
      <w:r>
        <w:rPr>
          <w:rFonts w:hint="eastAsia" w:ascii="宋体" w:hAnsi="宋体" w:cs="宋体"/>
          <w:color w:val="auto"/>
          <w:szCs w:val="21"/>
          <w:highlight w:val="none"/>
        </w:rPr>
        <w:t>投标人若对招标文件（包括招标图纸）中有疑问，可以书面形式通过交易平台提交给招标人或招标代理人，提交形式见本须知前附表第</w:t>
      </w:r>
      <w:r>
        <w:rPr>
          <w:rFonts w:ascii="宋体" w:hAnsi="宋体" w:cs="宋体"/>
          <w:color w:val="auto"/>
          <w:szCs w:val="21"/>
          <w:highlight w:val="none"/>
        </w:rPr>
        <w:t>16</w:t>
      </w:r>
      <w:r>
        <w:rPr>
          <w:rFonts w:hint="eastAsia" w:ascii="宋体" w:hAnsi="宋体" w:cs="宋体"/>
          <w:color w:val="auto"/>
          <w:szCs w:val="21"/>
          <w:highlight w:val="none"/>
        </w:rPr>
        <w:t>项</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s="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8.1</w:t>
      </w:r>
      <w:r>
        <w:rPr>
          <w:rFonts w:hint="eastAsia" w:ascii="宋体" w:hAnsi="宋体" w:cs="宋体"/>
          <w:color w:val="auto"/>
          <w:szCs w:val="21"/>
          <w:highlight w:val="none"/>
          <w:u w:val="single"/>
        </w:rPr>
        <w:t>招标答疑采用网上答疑方式进行</w:t>
      </w:r>
      <w:r>
        <w:rPr>
          <w:rFonts w:hint="eastAsia" w:ascii="宋体" w:hAnsi="宋体" w:cs="宋体"/>
          <w:color w:val="auto"/>
          <w:szCs w:val="21"/>
          <w:highlight w:val="none"/>
        </w:rPr>
        <w:t>。投标人若对招标文件（包括</w:t>
      </w:r>
      <w:r>
        <w:rPr>
          <w:rFonts w:hint="eastAsia" w:ascii="宋体" w:hAnsi="宋体" w:cs="宋体"/>
          <w:color w:val="auto"/>
          <w:szCs w:val="21"/>
          <w:highlight w:val="none"/>
          <w:u w:val="single"/>
        </w:rPr>
        <w:t>施工图纸、清单、招标控制价）</w:t>
      </w:r>
      <w:r>
        <w:rPr>
          <w:rFonts w:hint="eastAsia" w:ascii="宋体" w:hAnsi="宋体" w:cs="宋体"/>
          <w:color w:val="auto"/>
          <w:szCs w:val="21"/>
          <w:highlight w:val="none"/>
        </w:rPr>
        <w:t>中有疑问，</w:t>
      </w:r>
      <w:r>
        <w:rPr>
          <w:rFonts w:hint="eastAsia" w:ascii="宋体" w:hAnsi="宋体" w:cs="宋体"/>
          <w:color w:val="auto"/>
          <w:szCs w:val="21"/>
          <w:highlight w:val="none"/>
          <w:u w:val="single"/>
        </w:rPr>
        <w:t xml:space="preserve">可在规定的时间内通过广州公共资源交易中心交易平台进入提问区域将问题提交给招标人或招标代理人，提交问题时一律不得署名。 </w:t>
      </w:r>
    </w:p>
    <w:p>
      <w:pPr>
        <w:pBdr>
          <w:bottom w:val="single" w:color="auto" w:sz="6" w:space="1"/>
        </w:pBd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条款号：8</w:t>
      </w:r>
      <w:r>
        <w:rPr>
          <w:rFonts w:ascii="宋体" w:hAnsi="宋体"/>
          <w:b/>
          <w:color w:val="auto"/>
          <w:szCs w:val="21"/>
          <w:highlight w:val="none"/>
        </w:rPr>
        <w:t xml:space="preserve">.2             </w:t>
      </w:r>
      <w:r>
        <w:rPr>
          <w:rFonts w:hint="eastAsia" w:ascii="宋体" w:hAnsi="宋体"/>
          <w:b/>
          <w:color w:val="auto"/>
          <w:szCs w:val="21"/>
          <w:highlight w:val="none"/>
        </w:rPr>
        <w:t>修改类型：修改</w:t>
      </w:r>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w:t>
      </w:r>
      <w:r>
        <w:rPr>
          <w:rFonts w:hint="eastAsia" w:ascii="宋体" w:hAnsi="宋体" w:cs="宋体"/>
          <w:color w:val="auto"/>
          <w:szCs w:val="21"/>
          <w:highlight w:val="none"/>
        </w:rPr>
        <w:t>招标答疑会会议纪要将在提交投标文件截止时间15日前在交易平台 “项目答疑纪要”专区公开发布。答疑纪要一经在交易平台发布，视作已发放给所有投标人</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8.2</w:t>
      </w:r>
      <w:r>
        <w:rPr>
          <w:rFonts w:hint="eastAsia" w:ascii="宋体" w:hAnsi="宋体"/>
          <w:color w:val="auto"/>
          <w:szCs w:val="21"/>
          <w:highlight w:val="none"/>
          <w:u w:val="single"/>
        </w:rPr>
        <w:t>招标答疑纪要</w:t>
      </w:r>
      <w:r>
        <w:rPr>
          <w:rFonts w:hint="eastAsia" w:ascii="宋体" w:hAnsi="宋体"/>
          <w:color w:val="auto"/>
          <w:szCs w:val="21"/>
          <w:highlight w:val="none"/>
        </w:rPr>
        <w:t>将在提交投标文件截止时间15日前在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 “项目答疑纪要”专区公开发布。答疑纪要一经在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交易平台发布，视作已发放给所有投标人。</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条款号：8.3            修改类型：修改</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8.3</w:t>
      </w:r>
      <w:r>
        <w:rPr>
          <w:rFonts w:hint="eastAsia" w:ascii="宋体" w:hAnsi="宋体"/>
          <w:color w:val="auto"/>
          <w:szCs w:val="21"/>
          <w:highlight w:val="none"/>
        </w:rPr>
        <w:t>答疑会会议纪要为招标文件的一部分</w:t>
      </w:r>
      <w:r>
        <w:rPr>
          <w:rFonts w:hint="eastAsia" w:ascii="宋体" w:hAnsi="宋体" w:cs="宋体"/>
          <w:color w:val="auto"/>
          <w:szCs w:val="21"/>
          <w:highlight w:val="none"/>
        </w:rPr>
        <w:t>。</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8.3</w:t>
      </w:r>
      <w:r>
        <w:rPr>
          <w:rFonts w:hint="eastAsia" w:ascii="宋体" w:hAnsi="宋体" w:cs="宋体"/>
          <w:color w:val="auto"/>
          <w:szCs w:val="21"/>
          <w:highlight w:val="none"/>
          <w:u w:val="single"/>
        </w:rPr>
        <w:t>答疑纪要为招标文件的一部分</w:t>
      </w:r>
      <w:r>
        <w:rPr>
          <w:rFonts w:hint="eastAsia" w:ascii="宋体" w:hAnsi="宋体" w:cs="宋体"/>
          <w:color w:val="auto"/>
          <w:szCs w:val="21"/>
          <w:highlight w:val="none"/>
        </w:rPr>
        <w:t>。</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条款号：8.4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8.4若招标</w:t>
      </w:r>
      <w:r>
        <w:rPr>
          <w:rFonts w:hint="eastAsia" w:ascii="宋体" w:hAnsi="宋体" w:cs="宋体"/>
          <w:color w:val="auto"/>
          <w:szCs w:val="21"/>
          <w:highlight w:val="none"/>
          <w:u w:val="single"/>
        </w:rPr>
        <w:t>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广州公共资源交易中心网站最后发布的答疑纪要为准</w:t>
      </w:r>
      <w:r>
        <w:rPr>
          <w:rFonts w:hint="eastAsia" w:ascii="宋体" w:hAnsi="宋体" w:cs="宋体"/>
          <w:color w:val="auto"/>
          <w:szCs w:val="21"/>
          <w:highlight w:val="none"/>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条款号：9</w:t>
      </w:r>
      <w:r>
        <w:rPr>
          <w:rFonts w:ascii="宋体" w:hAnsi="宋体"/>
          <w:b/>
          <w:color w:val="auto"/>
          <w:szCs w:val="21"/>
          <w:highlight w:val="none"/>
        </w:rPr>
        <w:t xml:space="preserve">.2             </w:t>
      </w:r>
      <w:r>
        <w:rPr>
          <w:rFonts w:hint="eastAsia" w:ascii="宋体" w:hAnsi="宋体"/>
          <w:b/>
          <w:color w:val="auto"/>
          <w:szCs w:val="21"/>
          <w:highlight w:val="none"/>
        </w:rPr>
        <w:t>修改类型：修改</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9.2招标文件的澄清或修改将在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交易平台上网发布时间作为送达时间。</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广州公共资源交易交易平台上答疑公布</w:t>
      </w:r>
      <w:r>
        <w:rPr>
          <w:rFonts w:hint="eastAsia" w:ascii="宋体" w:hAnsi="宋体" w:cs="宋体"/>
          <w:color w:val="auto"/>
          <w:szCs w:val="21"/>
          <w:highlight w:val="none"/>
        </w:rPr>
        <w:t>形式明确的内容为准。当招标文件的澄清、修改、补充等在同一内容的表述不一致时，</w:t>
      </w:r>
      <w:r>
        <w:rPr>
          <w:rFonts w:hint="eastAsia" w:ascii="宋体" w:hAnsi="宋体" w:cs="宋体"/>
          <w:color w:val="auto"/>
          <w:szCs w:val="21"/>
          <w:highlight w:val="none"/>
          <w:u w:val="single"/>
        </w:rPr>
        <w:t>以广州公共资源交易中心网站最后发布的内容为准。</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p>
    <w:p>
      <w:pPr>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w:t>
      </w:r>
      <w:r>
        <w:rPr>
          <w:rFonts w:hint="eastAsia" w:ascii="宋体" w:hAnsi="宋体" w:cs="宋体"/>
          <w:bCs/>
          <w:color w:val="auto"/>
          <w:szCs w:val="21"/>
          <w:highlight w:val="none"/>
        </w:rPr>
        <w:t>投标文件技术标部分主要包括下列内容</w:t>
      </w:r>
      <w:r>
        <w:rPr>
          <w:rFonts w:ascii="宋体" w:hAnsi="宋体" w:cs="宋体"/>
          <w:bCs/>
          <w:color w:val="auto"/>
          <w:szCs w:val="21"/>
          <w:highlight w:val="none"/>
        </w:rPr>
        <w:t>:</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ascii="宋体" w:hAnsi="宋体" w:cs="宋体"/>
          <w:bCs/>
          <w:color w:val="auto"/>
          <w:szCs w:val="21"/>
          <w:highlight w:val="none"/>
        </w:rPr>
        <w:t>(</w:t>
      </w:r>
      <w:r>
        <w:rPr>
          <w:rFonts w:hint="eastAsia" w:ascii="宋体" w:hAnsi="宋体" w:cs="宋体"/>
          <w:bCs/>
          <w:color w:val="auto"/>
          <w:szCs w:val="21"/>
          <w:highlight w:val="none"/>
        </w:rPr>
        <w:t>按招标文件的要求填写</w:t>
      </w:r>
      <w:r>
        <w:rPr>
          <w:rFonts w:ascii="宋体" w:hAnsi="宋体" w:cs="宋体"/>
          <w:bCs/>
          <w:color w:val="auto"/>
          <w:szCs w:val="21"/>
          <w:highlight w:val="none"/>
        </w:rPr>
        <w:t>)</w:t>
      </w:r>
      <w:r>
        <w:rPr>
          <w:rFonts w:hint="eastAsia" w:ascii="宋体" w:hAnsi="宋体" w:cs="宋体"/>
          <w:bCs/>
          <w:color w:val="auto"/>
          <w:szCs w:val="21"/>
          <w:highlight w:val="none"/>
        </w:rPr>
        <w:t>；</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11.2.3</w:t>
      </w:r>
      <w:r>
        <w:rPr>
          <w:rFonts w:hint="eastAsia" w:ascii="宋体" w:hAnsi="宋体" w:cs="宋体"/>
          <w:bCs/>
          <w:color w:val="auto"/>
          <w:szCs w:val="21"/>
          <w:highlight w:val="none"/>
        </w:rPr>
        <w:t>项目管理机构配备。</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）投标人应列出该项目工程的施工组织机构构成和画出机构框架图及其负责人；</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）投标人应详细列出该施工组织机构中主要成员的名单、简历资料、职务职称和在本项目中拟担任的职务等资料，并附上有关证明材料扫描件；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）其他辅助说明资料。</w:t>
      </w:r>
    </w:p>
    <w:p>
      <w:pPr>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11.2.4</w:t>
      </w:r>
      <w:r>
        <w:rPr>
          <w:rFonts w:hint="eastAsia" w:ascii="宋体" w:hAnsi="宋体" w:cs="宋体"/>
          <w:bCs/>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11.2.5</w:t>
      </w:r>
      <w:r>
        <w:rPr>
          <w:rFonts w:hint="eastAsia" w:ascii="宋体" w:hAnsi="宋体" w:cs="宋体"/>
          <w:bCs/>
          <w:color w:val="auto"/>
          <w:szCs w:val="21"/>
          <w:highlight w:val="none"/>
        </w:rPr>
        <w:t>施工组织设计或施工方案。</w:t>
      </w:r>
    </w:p>
    <w:p>
      <w:pPr>
        <w:tabs>
          <w:tab w:val="left" w:pos="1125"/>
        </w:tabs>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w:t>
      </w:r>
      <w:r>
        <w:rPr>
          <w:rFonts w:hint="eastAsia" w:ascii="宋体" w:hAnsi="宋体" w:cs="宋体"/>
          <w:bCs/>
          <w:color w:val="auto"/>
          <w:szCs w:val="21"/>
          <w:highlight w:val="none"/>
        </w:rPr>
        <w:t>6按照招标文件要求填写的《参与编制技术标投标文件人员名单》。</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w:t>
      </w:r>
      <w:r>
        <w:rPr>
          <w:rFonts w:hint="eastAsia" w:ascii="宋体" w:hAnsi="宋体" w:cs="宋体"/>
          <w:bCs/>
          <w:color w:val="auto"/>
          <w:szCs w:val="21"/>
          <w:highlight w:val="none"/>
          <w:u w:val="single"/>
        </w:rPr>
        <w:t>建筑工程相关专业中级或以上职称；</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（10）项目负责人持有安全生产</w:t>
      </w:r>
      <w:r>
        <w:rPr>
          <w:rStyle w:val="109"/>
          <w:rFonts w:hint="eastAsia"/>
          <w:bCs/>
          <w:color w:val="auto"/>
          <w:szCs w:val="21"/>
          <w:highlight w:val="none"/>
        </w:rPr>
        <w:t>考核合格证明或在有效期内的安全考核合格证书（B类）</w:t>
      </w:r>
      <w:r>
        <w:rPr>
          <w:rFonts w:hint="eastAsia" w:ascii="宋体" w:hAnsi="宋体" w:cs="宋体"/>
          <w:bCs/>
          <w:color w:val="auto"/>
          <w:szCs w:val="21"/>
          <w:highlight w:val="none"/>
        </w:rPr>
        <w:t>或建筑施工企业项目负责人安全生产考核合格证书。（取自平台内上传件）；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（11）专职安全员须具有在有效期内的安全生产考核合格证（C类）或建筑施工企业专职安全生产管理人员安全生产考核合格证书（C3）（取自平台内上传件）；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u w:val="single"/>
        </w:rPr>
        <w:t>（12）</w:t>
      </w:r>
      <w:r>
        <w:rPr>
          <w:rFonts w:hint="eastAsia" w:ascii="宋体" w:hAnsi="宋体" w:cs="宋体"/>
          <w:bCs/>
          <w:color w:val="auto"/>
          <w:szCs w:val="21"/>
          <w:highlight w:val="none"/>
        </w:rPr>
        <w:t>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11.2.3项目管理机构配备。</w:t>
      </w:r>
      <w:r>
        <w:rPr>
          <w:rFonts w:hint="eastAsia" w:ascii="宋体" w:hAnsi="宋体" w:cs="宋体"/>
          <w:bCs/>
          <w:color w:val="auto"/>
          <w:szCs w:val="21"/>
          <w:highlight w:val="none"/>
          <w:u w:val="single"/>
        </w:rPr>
        <w:t>（按《技术标详细审查评分表》要求的内容提供）；</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11.2.4企业资信证明材料。</w:t>
      </w:r>
      <w:r>
        <w:rPr>
          <w:rFonts w:hint="eastAsia" w:ascii="宋体" w:hAnsi="宋体" w:cs="宋体"/>
          <w:bCs/>
          <w:color w:val="auto"/>
          <w:szCs w:val="21"/>
          <w:highlight w:val="none"/>
          <w:u w:val="single"/>
        </w:rPr>
        <w:t>（按《技术标详细审查评分表》要求的内容提供）</w:t>
      </w:r>
      <w:r>
        <w:rPr>
          <w:rFonts w:hint="eastAsia" w:ascii="宋体" w:hAnsi="宋体" w:cs="宋体"/>
          <w:bCs/>
          <w:color w:val="auto"/>
          <w:szCs w:val="21"/>
          <w:highlight w:val="none"/>
        </w:rPr>
        <w:t>；</w:t>
      </w:r>
    </w:p>
    <w:p>
      <w:pPr>
        <w:pBdr>
          <w:bottom w:val="single" w:color="auto" w:sz="6" w:space="1"/>
        </w:pBd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11.2.5按照招标文件要求填写的《参与编制技术标投标文件人员名单》。</w:t>
      </w:r>
    </w:p>
    <w:p>
      <w:pPr>
        <w:pBdr>
          <w:bottom w:val="single" w:color="auto" w:sz="6" w:space="1"/>
        </w:pBdr>
        <w:spacing w:line="440" w:lineRule="exact"/>
        <w:ind w:firstLine="420" w:firstLineChars="200"/>
        <w:rPr>
          <w:rFonts w:ascii="宋体" w:hAnsi="宋体"/>
          <w:color w:val="auto"/>
          <w:szCs w:val="21"/>
          <w:highlight w:val="none"/>
        </w:rPr>
      </w:pPr>
      <w:r>
        <w:rPr>
          <w:rFonts w:hint="eastAsia" w:ascii="宋体" w:hAnsi="宋体" w:cs="宋体"/>
          <w:bCs/>
          <w:color w:val="auto"/>
          <w:szCs w:val="21"/>
          <w:highlight w:val="none"/>
          <w:u w:val="single"/>
        </w:rPr>
        <w:t>11.2.6</w:t>
      </w:r>
      <w:r>
        <w:rPr>
          <w:rFonts w:hint="eastAsia" w:ascii="宋体" w:hAnsi="宋体" w:cs="宋体"/>
          <w:color w:val="auto"/>
          <w:szCs w:val="21"/>
          <w:highlight w:val="none"/>
          <w:u w:val="single"/>
        </w:rPr>
        <w:t>其他投标人认为应该提供的资料。</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12.2            </w:t>
      </w:r>
      <w:r>
        <w:rPr>
          <w:rFonts w:hint="eastAsia" w:ascii="宋体" w:hAnsi="宋体"/>
          <w:b/>
          <w:color w:val="auto"/>
          <w:szCs w:val="21"/>
          <w:highlight w:val="none"/>
        </w:rPr>
        <w:t>修改类型：修改</w:t>
      </w:r>
    </w:p>
    <w:p>
      <w:pPr>
        <w:pStyle w:val="36"/>
        <w:spacing w:after="0" w:line="440" w:lineRule="exact"/>
        <w:ind w:firstLine="422" w:firstLineChars="200"/>
        <w:rPr>
          <w:rFonts w:ascii="宋体" w:hAnsi="宋体" w:eastAsia="宋体"/>
          <w:color w:val="auto"/>
          <w:sz w:val="21"/>
          <w:szCs w:val="21"/>
          <w:highlight w:val="none"/>
        </w:rPr>
      </w:pPr>
      <w:r>
        <w:rPr>
          <w:rFonts w:hint="eastAsia" w:ascii="宋体" w:hAnsi="宋体" w:eastAsia="宋体"/>
          <w:b/>
          <w:color w:val="auto"/>
          <w:kern w:val="2"/>
          <w:sz w:val="21"/>
          <w:szCs w:val="21"/>
          <w:highlight w:val="none"/>
        </w:rPr>
        <w:t>原文：</w:t>
      </w:r>
      <w:r>
        <w:rPr>
          <w:rFonts w:hint="eastAsia" w:ascii="宋体" w:hAnsi="宋体" w:eastAsia="宋体"/>
          <w:color w:val="auto"/>
          <w:kern w:val="2"/>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pacing w:line="44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olor w:val="auto"/>
          <w:szCs w:val="21"/>
          <w:highlight w:val="none"/>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12.3            </w:t>
      </w:r>
      <w:r>
        <w:rPr>
          <w:rFonts w:hint="eastAsia" w:ascii="宋体" w:hAnsi="宋体"/>
          <w:b/>
          <w:color w:val="auto"/>
          <w:szCs w:val="21"/>
          <w:highlight w:val="none"/>
        </w:rPr>
        <w:t>修改类型：修改</w:t>
      </w:r>
    </w:p>
    <w:p>
      <w:pPr>
        <w:pStyle w:val="36"/>
        <w:spacing w:after="0" w:line="440" w:lineRule="exact"/>
        <w:ind w:firstLine="422" w:firstLineChars="200"/>
        <w:rPr>
          <w:rFonts w:ascii="宋体" w:hAnsi="宋体" w:eastAsia="宋体"/>
          <w:color w:val="auto"/>
          <w:sz w:val="21"/>
          <w:szCs w:val="21"/>
          <w:highlight w:val="none"/>
        </w:rPr>
      </w:pPr>
      <w:r>
        <w:rPr>
          <w:rFonts w:hint="eastAsia" w:ascii="宋体" w:hAnsi="宋体" w:eastAsia="宋体"/>
          <w:b/>
          <w:color w:val="auto"/>
          <w:kern w:val="2"/>
          <w:sz w:val="21"/>
          <w:szCs w:val="21"/>
          <w:highlight w:val="none"/>
        </w:rPr>
        <w:t>原文：</w:t>
      </w:r>
      <w:r>
        <w:rPr>
          <w:rFonts w:hint="eastAsia" w:ascii="宋体" w:hAnsi="宋体" w:eastAsia="宋体"/>
          <w:color w:val="auto"/>
          <w:kern w:val="2"/>
          <w:sz w:val="21"/>
          <w:szCs w:val="21"/>
          <w:highlight w:val="none"/>
        </w:rPr>
        <w:t>12.3投标文件应按照交易平台关于全流程电子化项目的相关指南进行编制，详见：。</w:t>
      </w:r>
    </w:p>
    <w:p>
      <w:pPr>
        <w:pStyle w:val="36"/>
        <w:spacing w:after="0" w:line="440" w:lineRule="exact"/>
        <w:ind w:firstLine="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如不按上述要求编制引起系统无法检索、读取相关信息的，其后果由投标人承担。</w:t>
      </w:r>
    </w:p>
    <w:p>
      <w:pPr>
        <w:pStyle w:val="36"/>
        <w:spacing w:after="0" w:line="440" w:lineRule="exact"/>
        <w:ind w:firstLine="422" w:firstLineChars="200"/>
        <w:rPr>
          <w:rFonts w:ascii="宋体" w:hAnsi="宋体" w:eastAsia="宋体"/>
          <w:color w:val="auto"/>
          <w:sz w:val="21"/>
          <w:szCs w:val="21"/>
          <w:highlight w:val="none"/>
        </w:rPr>
      </w:pPr>
      <w:r>
        <w:rPr>
          <w:rFonts w:hint="eastAsia" w:ascii="宋体" w:hAnsi="宋体" w:eastAsia="宋体"/>
          <w:b/>
          <w:color w:val="auto"/>
          <w:kern w:val="2"/>
          <w:sz w:val="21"/>
          <w:szCs w:val="21"/>
          <w:highlight w:val="none"/>
        </w:rPr>
        <w:t>现文：</w:t>
      </w:r>
      <w:r>
        <w:rPr>
          <w:rFonts w:hint="eastAsia" w:ascii="宋体" w:hAnsi="宋体" w:eastAsia="宋体"/>
          <w:color w:val="auto"/>
          <w:kern w:val="2"/>
          <w:sz w:val="21"/>
          <w:szCs w:val="21"/>
          <w:highlight w:val="none"/>
        </w:rPr>
        <w:t>12.3 投标文件应按照交易平台关于全流程电子化项目的相关指南进行编制，详见：</w:t>
      </w:r>
      <w:r>
        <w:rPr>
          <w:rFonts w:hint="eastAsia" w:ascii="宋体" w:hAnsi="宋体" w:eastAsia="宋体"/>
          <w:color w:val="auto"/>
          <w:kern w:val="2"/>
          <w:sz w:val="21"/>
          <w:szCs w:val="21"/>
          <w:highlight w:val="none"/>
          <w:u w:val="single"/>
        </w:rPr>
        <w:t>广州公共资源交易中心网站</w:t>
      </w:r>
      <w:r>
        <w:rPr>
          <w:rFonts w:hint="eastAsia" w:ascii="宋体" w:hAnsi="宋体" w:eastAsia="宋体"/>
          <w:color w:val="auto"/>
          <w:kern w:val="2"/>
          <w:sz w:val="21"/>
          <w:szCs w:val="21"/>
          <w:highlight w:val="none"/>
        </w:rPr>
        <w:t>。</w:t>
      </w:r>
    </w:p>
    <w:p>
      <w:pPr>
        <w:pBdr>
          <w:bottom w:val="single" w:color="auto" w:sz="6" w:space="1"/>
        </w:pBdr>
        <w:spacing w:line="440" w:lineRule="exact"/>
        <w:ind w:firstLine="420" w:firstLineChars="200"/>
        <w:rPr>
          <w:rFonts w:ascii="宋体" w:hAnsi="宋体" w:cs="宋体"/>
          <w:color w:val="auto"/>
          <w:szCs w:val="21"/>
          <w:highlight w:val="none"/>
        </w:rPr>
      </w:pPr>
      <w:r>
        <w:rPr>
          <w:rFonts w:hint="eastAsia" w:ascii="宋体" w:hAnsi="宋体"/>
          <w:color w:val="auto"/>
          <w:szCs w:val="21"/>
          <w:highlight w:val="none"/>
        </w:rPr>
        <w:t>如不按上述要求编制引起系统无法检索、读取相关信息的，其后果由投标人承担。</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原文：13.1</w:t>
      </w:r>
      <w:r>
        <w:rPr>
          <w:rFonts w:hint="eastAsia" w:ascii="宋体" w:hAnsi="宋体" w:cs="宋体"/>
          <w:color w:val="auto"/>
          <w:szCs w:val="21"/>
          <w:highlight w:val="none"/>
        </w:rPr>
        <w:t>本工程的投标报价采用投标须知前附表第</w:t>
      </w:r>
      <w:r>
        <w:rPr>
          <w:rFonts w:ascii="宋体" w:hAnsi="宋体" w:cs="宋体"/>
          <w:color w:val="auto"/>
          <w:szCs w:val="21"/>
          <w:highlight w:val="none"/>
        </w:rPr>
        <w:t>12</w:t>
      </w:r>
      <w:r>
        <w:rPr>
          <w:rFonts w:hint="eastAsia" w:ascii="宋体" w:hAnsi="宋体" w:cs="宋体"/>
          <w:color w:val="auto"/>
          <w:szCs w:val="21"/>
          <w:highlight w:val="none"/>
        </w:rPr>
        <w:t>项所规定的方式。投标报价（含单价及总价）精确到“分”。</w:t>
      </w:r>
    </w:p>
    <w:p>
      <w:pPr>
        <w:pBdr>
          <w:bottom w:val="single" w:color="auto" w:sz="6" w:space="1"/>
        </w:pBdr>
        <w:spacing w:line="440" w:lineRule="exact"/>
        <w:ind w:firstLine="413" w:firstLineChars="196"/>
        <w:rPr>
          <w:rFonts w:ascii="宋体" w:hAnsi="宋体"/>
          <w:color w:val="auto"/>
          <w:szCs w:val="21"/>
          <w:highlight w:val="none"/>
        </w:rPr>
      </w:pPr>
      <w:r>
        <w:rPr>
          <w:rFonts w:hint="eastAsia" w:ascii="宋体" w:hAnsi="宋体" w:cs="宋体"/>
          <w:b/>
          <w:color w:val="auto"/>
          <w:szCs w:val="21"/>
          <w:highlight w:val="none"/>
        </w:rPr>
        <w:t>现文：13.1</w:t>
      </w:r>
      <w:r>
        <w:rPr>
          <w:rFonts w:hint="eastAsia" w:ascii="宋体" w:hAnsi="宋体" w:cs="宋体"/>
          <w:color w:val="auto"/>
          <w:szCs w:val="21"/>
          <w:highlight w:val="none"/>
        </w:rPr>
        <w:t>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Bdr>
          <w:bottom w:val="single" w:color="auto" w:sz="6" w:space="0"/>
        </w:pBdr>
        <w:spacing w:line="440" w:lineRule="exact"/>
        <w:ind w:firstLine="413" w:firstLineChars="196"/>
        <w:rPr>
          <w:rFonts w:ascii="宋体" w:hAnsi="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pBdr>
          <w:bottom w:val="single" w:color="auto" w:sz="6" w:space="0"/>
        </w:pBdr>
        <w:spacing w:after="0" w:line="440" w:lineRule="exact"/>
        <w:ind w:firstLine="422" w:firstLineChars="200"/>
        <w:rPr>
          <w:rFonts w:ascii="宋体" w:hAnsi="宋体" w:eastAsia="宋体" w:cs="宋体"/>
          <w:color w:val="auto"/>
          <w:kern w:val="2"/>
          <w:sz w:val="21"/>
          <w:szCs w:val="21"/>
          <w:highlight w:val="none"/>
          <w:u w:val="single"/>
        </w:rPr>
      </w:pPr>
      <w:r>
        <w:rPr>
          <w:rFonts w:hint="eastAsia" w:ascii="宋体" w:hAnsi="宋体" w:eastAsia="宋体" w:cs="宋体"/>
          <w:b/>
          <w:color w:val="auto"/>
          <w:kern w:val="2"/>
          <w:sz w:val="21"/>
          <w:szCs w:val="21"/>
          <w:highlight w:val="none"/>
        </w:rPr>
        <w:t>现文：13.4</w:t>
      </w:r>
      <w:r>
        <w:rPr>
          <w:rFonts w:hint="eastAsia" w:ascii="宋体" w:hAnsi="宋体" w:eastAsia="宋体" w:cs="宋体"/>
          <w:color w:val="auto"/>
          <w:kern w:val="2"/>
          <w:sz w:val="21"/>
          <w:szCs w:val="21"/>
          <w:highlight w:val="none"/>
        </w:rPr>
        <w:t>投标人一旦中标，投标人对招标人提供的招标工程量清单中列出的工程项目所报出的综合单价</w:t>
      </w:r>
      <w:r>
        <w:rPr>
          <w:rFonts w:hint="eastAsia" w:ascii="宋体" w:hAnsi="宋体" w:eastAsia="宋体" w:cs="宋体"/>
          <w:color w:val="auto"/>
          <w:kern w:val="2"/>
          <w:sz w:val="21"/>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pPr>
        <w:spacing w:line="44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rPr>
        <w:t>1</w:t>
      </w:r>
      <w:r>
        <w:rPr>
          <w:rFonts w:hint="eastAsia" w:ascii="宋体" w:hAnsi="宋体"/>
          <w:b/>
          <w:color w:val="auto"/>
          <w:szCs w:val="21"/>
          <w:highlight w:val="none"/>
          <w:lang w:val="en-US" w:eastAsia="zh-CN"/>
        </w:rPr>
        <w:t>5</w:t>
      </w:r>
      <w:r>
        <w:rPr>
          <w:rFonts w:hint="eastAsia" w:ascii="宋体" w:hAnsi="宋体"/>
          <w:b/>
          <w:color w:val="auto"/>
          <w:szCs w:val="21"/>
          <w:highlight w:val="none"/>
        </w:rPr>
        <w:t>.</w:t>
      </w:r>
      <w:r>
        <w:rPr>
          <w:rFonts w:hint="eastAsia" w:ascii="宋体" w:hAnsi="宋体"/>
          <w:b/>
          <w:color w:val="auto"/>
          <w:szCs w:val="21"/>
          <w:highlight w:val="none"/>
          <w:lang w:val="en-US" w:eastAsia="zh-CN"/>
        </w:rPr>
        <w:t>2</w:t>
      </w:r>
      <w:r>
        <w:rPr>
          <w:rFonts w:hint="eastAsia" w:ascii="宋体" w:hAnsi="宋体"/>
          <w:b/>
          <w:color w:val="auto"/>
          <w:szCs w:val="21"/>
          <w:highlight w:val="none"/>
        </w:rPr>
        <w:t xml:space="preserve">             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
          <w:color w:val="auto"/>
          <w:szCs w:val="21"/>
          <w:highlight w:val="none"/>
          <w:lang w:val="en-US" w:eastAsia="zh-CN"/>
        </w:rPr>
        <w:t>15.2</w:t>
      </w:r>
      <w:r>
        <w:rPr>
          <w:rFonts w:hint="eastAsia" w:ascii="宋体" w:hAnsi="宋体"/>
          <w:color w:val="auto"/>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Bdr>
          <w:bottom w:val="single" w:color="auto" w:sz="6" w:space="1"/>
        </w:pBdr>
        <w:spacing w:line="440" w:lineRule="exact"/>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
          <w:color w:val="auto"/>
          <w:szCs w:val="21"/>
          <w:highlight w:val="none"/>
          <w:lang w:val="en-US" w:eastAsia="zh-CN"/>
        </w:rPr>
        <w:t>15.2</w:t>
      </w:r>
      <w:r>
        <w:rPr>
          <w:rFonts w:hint="eastAsia" w:ascii="宋体" w:hAnsi="宋体"/>
          <w:color w:val="auto"/>
          <w:szCs w:val="21"/>
          <w:highlight w:val="none"/>
        </w:rPr>
        <w:t>在特殊情况下，招标人在原定投标有效期内，可以根据需要以书面形式向投标人提出延长投标有效期的要求，对此要求投标人须以书面形式予以答复。投标人可以拒绝招标人这种要求。同意延长投标有效期的投标人不能要求也不允许修改其投标文件。</w:t>
      </w:r>
    </w:p>
    <w:p>
      <w:pPr>
        <w:spacing w:line="440" w:lineRule="exact"/>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条款号：16             修改类型：</w:t>
      </w:r>
      <w:r>
        <w:rPr>
          <w:rFonts w:hint="eastAsia" w:ascii="宋体" w:hAnsi="宋体" w:cs="宋体"/>
          <w:b/>
          <w:color w:val="auto"/>
          <w:szCs w:val="21"/>
          <w:highlight w:val="none"/>
          <w:lang w:val="en-US" w:eastAsia="zh-CN"/>
        </w:rPr>
        <w:t>删除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b/>
          <w:color w:val="auto"/>
          <w:kern w:val="2"/>
          <w:sz w:val="21"/>
          <w:szCs w:val="21"/>
          <w:highlight w:val="none"/>
        </w:rPr>
        <w:t xml:space="preserve">原文： </w:t>
      </w:r>
      <w:r>
        <w:rPr>
          <w:rFonts w:hint="eastAsia" w:ascii="宋体" w:hAnsi="宋体" w:eastAsia="宋体" w:cs="宋体"/>
          <w:bCs/>
          <w:color w:val="auto"/>
          <w:sz w:val="21"/>
          <w:szCs w:val="21"/>
          <w:highlight w:val="none"/>
        </w:rPr>
        <w:t>16．投标保证金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16.1.1 采用现金或者支票形式提交的，投标保证金须从投标人的银行基本账户转出。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16.1.3 采用电子形式的保函、担保或保证保险提交投标保证金的，应在招标文件中明确电子递交途径。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16.3投标保证金应依据法律法规的相关规定退还。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16.4如有下列情况之一的，招标人可以不予退还投标保证金（是否退还投标保证金由招标人在招标文件中规定）：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16.4.1因投标人原因造成投标文件未解密的；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16.4.2投标人在投标有效期内撤销投标文件；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16.4.3中标人未能在规定期限内按要求提交履约担保；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16.4.4中标人未能在规定期限内签署合同协议。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16.5投标人如存在下列情况之一的，将被拒绝在一定时期内参与招标人后续工程投标（拒绝时限需在招标文件中明确）：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16.5.1投标人存在16.4条款所列情形且投标人提交的保函、担保或保证保险无法兑付的；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16.5.3按招标文件要求免于提供投标保证金的投标人存在16.4条款所列情形，且未按招标人要求补交投标保证金的；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16.5.3按招标文件要求免于提供投标保证金的投标人存在16.4条款所列情形的。</w:t>
      </w:r>
    </w:p>
    <w:p>
      <w:pPr>
        <w:pStyle w:val="36"/>
        <w:pBdr>
          <w:bottom w:val="single" w:color="auto" w:sz="6" w:space="0"/>
        </w:pBdr>
        <w:spacing w:after="0"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注：16.5.3款由招标人二选一，需在招标文件中明确。。</w:t>
      </w:r>
    </w:p>
    <w:p>
      <w:pPr>
        <w:spacing w:line="44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rPr>
        <w:t>17.1             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440" w:lineRule="exact"/>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广州公共资源交易中心网站。</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18.1</w:t>
      </w:r>
      <w:r>
        <w:rPr>
          <w:rFonts w:hint="eastAsia" w:ascii="宋体" w:hAnsi="宋体"/>
          <w:b/>
          <w:color w:val="auto"/>
          <w:szCs w:val="21"/>
          <w:highlight w:val="none"/>
        </w:rPr>
        <w:t>、</w:t>
      </w:r>
      <w:r>
        <w:rPr>
          <w:rFonts w:ascii="宋体" w:hAnsi="宋体"/>
          <w:b/>
          <w:color w:val="auto"/>
          <w:szCs w:val="21"/>
          <w:highlight w:val="none"/>
        </w:rPr>
        <w:t xml:space="preserve">18.2            </w:t>
      </w:r>
      <w:r>
        <w:rPr>
          <w:rFonts w:hint="eastAsia" w:ascii="宋体" w:hAnsi="宋体"/>
          <w:b/>
          <w:color w:val="auto"/>
          <w:szCs w:val="21"/>
          <w:highlight w:val="none"/>
        </w:rPr>
        <w:t>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18.1递交的电子投标文件（不含备用光盘）必须进行加密。按照交易平台关于全流程电子化项目的相关指南进行操作。详见：。</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18.2未按要求加密的投标文件，交易平台将予以拒收。</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18.1递交的电子投标文件（不含备用</w:t>
      </w:r>
      <w:r>
        <w:rPr>
          <w:rFonts w:hint="eastAsia" w:ascii="宋体" w:hAnsi="宋体"/>
          <w:color w:val="auto"/>
          <w:szCs w:val="21"/>
          <w:highlight w:val="none"/>
          <w:u w:val="single"/>
        </w:rPr>
        <w:t>U盘</w:t>
      </w:r>
      <w:r>
        <w:rPr>
          <w:rFonts w:hint="eastAsia" w:ascii="宋体" w:hAnsi="宋体"/>
          <w:color w:val="auto"/>
          <w:szCs w:val="21"/>
          <w:highlight w:val="none"/>
        </w:rPr>
        <w:t>）必须进行加密。按照交易平台关于全流程电子化项目的相关指南进行操作。详见：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olor w:val="auto"/>
          <w:szCs w:val="21"/>
          <w:highlight w:val="none"/>
        </w:rPr>
        <w:t>。</w:t>
      </w:r>
    </w:p>
    <w:p>
      <w:pPr>
        <w:pBdr>
          <w:bottom w:val="single" w:color="auto" w:sz="6" w:space="1"/>
        </w:pBdr>
        <w:spacing w:line="440" w:lineRule="exact"/>
        <w:ind w:firstLine="525" w:firstLineChars="250"/>
        <w:rPr>
          <w:rFonts w:ascii="宋体" w:hAnsi="宋体"/>
          <w:color w:val="auto"/>
          <w:szCs w:val="21"/>
          <w:highlight w:val="none"/>
        </w:rPr>
      </w:pPr>
      <w:r>
        <w:rPr>
          <w:rFonts w:hint="eastAsia" w:ascii="宋体" w:hAnsi="宋体"/>
          <w:color w:val="auto"/>
          <w:szCs w:val="21"/>
          <w:highlight w:val="none"/>
        </w:rPr>
        <w:t>18.2 未按要求加密的投标文件，</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交易平台将予以拒收。</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条款号：19.1、19.2、19.3            修改类型：修改</w:t>
      </w:r>
    </w:p>
    <w:p>
      <w:pPr>
        <w:spacing w:line="440" w:lineRule="exact"/>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19.1投标人通过交易平台递交电子投标文件。</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2投标人完成电子投标文件上传后，交易平台即时向投标人发出递交回执通知。递交时间以递交回执通知载明的传输完成时间为准。</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3逾期送达的电子投标文件，交易平台将予以拒收。</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3"/>
        </w:pBdr>
        <w:spacing w:line="44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条款号：19.5</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修改类型：删除</w:t>
      </w:r>
    </w:p>
    <w:p>
      <w:pPr>
        <w:pBdr>
          <w:bottom w:val="single" w:color="auto" w:sz="6" w:space="1"/>
        </w:pBd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19.5如技术标和经济标先后分别开启，交易平台将按招标文件规定的时间分别开启技术标和经济标。</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条款号：19.6</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修改类型：删除</w:t>
      </w:r>
    </w:p>
    <w:p>
      <w:pPr>
        <w:pBdr>
          <w:bottom w:val="single" w:color="auto" w:sz="6" w:space="1"/>
        </w:pBd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21.1            </w:t>
      </w:r>
      <w:r>
        <w:rPr>
          <w:rFonts w:hint="eastAsia" w:ascii="宋体" w:hAnsi="宋体"/>
          <w:b/>
          <w:color w:val="auto"/>
          <w:szCs w:val="21"/>
          <w:highlight w:val="none"/>
        </w:rPr>
        <w:t>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7项规定的投标截止时间后送达的电子投标文件，交易平台将予以拒收。</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交易平台将予以拒收</w:t>
      </w:r>
      <w:r>
        <w:rPr>
          <w:rFonts w:hint="eastAsia" w:ascii="宋体" w:hAnsi="宋体" w:cs="宋体"/>
          <w:color w:val="auto"/>
          <w:szCs w:val="21"/>
          <w:highlight w:val="none"/>
        </w:rPr>
        <w:t>。</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招标人将在交易平台、广东省招标投标监管网和中国招标投标公共服务平台公示中标候选人，公示期为三天。</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招标人将在</w:t>
      </w:r>
      <w:r>
        <w:rPr>
          <w:rFonts w:hint="eastAsia" w:ascii="宋体" w:hAnsi="宋体" w:cs="宋体"/>
          <w:color w:val="auto"/>
          <w:szCs w:val="21"/>
          <w:highlight w:val="none"/>
          <w:u w:val="single"/>
        </w:rPr>
        <w:t>广州公共资源交易中心</w:t>
      </w:r>
      <w:r>
        <w:rPr>
          <w:rFonts w:hint="eastAsia" w:ascii="宋体" w:hAnsi="宋体" w:cs="宋体"/>
          <w:bCs/>
          <w:color w:val="auto"/>
          <w:kern w:val="0"/>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u w:val="single"/>
        </w:rPr>
        <w:t>最后一日为工作日</w:t>
      </w:r>
      <w:r>
        <w:rPr>
          <w:rFonts w:hint="eastAsia" w:ascii="宋体" w:hAnsi="宋体" w:cs="宋体"/>
          <w:color w:val="auto"/>
          <w:szCs w:val="21"/>
          <w:highlight w:val="none"/>
        </w:rPr>
        <w:t>。</w:t>
      </w:r>
      <w:r>
        <w:rPr>
          <w:rFonts w:hint="eastAsia" w:ascii="宋体" w:hAnsi="宋体" w:cs="宋体"/>
          <w:b/>
          <w:bCs/>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在产生中标候选人后，招标人将中标候选人的投标文件商务部分文件的所有内容（包括</w:t>
      </w:r>
      <w:r>
        <w:rPr>
          <w:rFonts w:hint="eastAsia" w:ascii="宋体" w:hAnsi="宋体" w:cs="宋体"/>
          <w:b/>
          <w:bCs/>
          <w:color w:val="auto"/>
          <w:kern w:val="0"/>
          <w:szCs w:val="21"/>
          <w:highlight w:val="none"/>
        </w:rPr>
        <w:t>报价清单</w:t>
      </w:r>
      <w:r>
        <w:rPr>
          <w:rFonts w:hint="eastAsia" w:ascii="宋体" w:hAnsi="宋体" w:cs="宋体"/>
          <w:bCs/>
          <w:color w:val="auto"/>
          <w:kern w:val="0"/>
          <w:szCs w:val="21"/>
          <w:highlight w:val="none"/>
        </w:rPr>
        <w:t>、人员、业绩、奖项等资料）在交易平台和广东省招标投标监管网公开</w:t>
      </w:r>
      <w:r>
        <w:rPr>
          <w:rFonts w:hint="eastAsia" w:ascii="宋体" w:hAnsi="宋体" w:cs="宋体"/>
          <w:color w:val="auto"/>
          <w:szCs w:val="21"/>
          <w:highlight w:val="none"/>
        </w:rPr>
        <w:t>。</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交易平台和广东省招标投标监管网公开。</w:t>
      </w:r>
      <w:r>
        <w:rPr>
          <w:rFonts w:hint="eastAsia" w:ascii="宋体" w:hAnsi="宋体" w:cs="宋体"/>
          <w:color w:val="auto"/>
          <w:szCs w:val="21"/>
          <w:highlight w:val="none"/>
          <w:u w:val="single"/>
        </w:rPr>
        <w:t>中标候选人在收到招标代理通知后需提供一份PDF格式电子文档给招标人用于中标候选人公示，PDF格式电子文档需为已覆盖个人隐私的投标文件商务部分文件（包括人员、业绩、奖项等资料），所提供的投标文件商务部分文件内容需与投标时所有内容一致，报价清单、施工方案等涉及商业秘密的内容不需要提供。</w:t>
      </w:r>
    </w:p>
    <w:p>
      <w:pPr>
        <w:spacing w:beforeLines="50"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条款号：27.5          修改类型：增加</w:t>
      </w:r>
    </w:p>
    <w:p>
      <w:pPr>
        <w:pBdr>
          <w:bottom w:val="single" w:color="auto" w:sz="6" w:space="1"/>
        </w:pBdr>
        <w:spacing w:line="44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现文：27.5</w:t>
      </w:r>
      <w:r>
        <w:rPr>
          <w:rFonts w:hint="eastAsia" w:ascii="宋体" w:hAnsi="宋体" w:cs="宋体"/>
          <w:color w:val="auto"/>
          <w:szCs w:val="21"/>
          <w:highlight w:val="none"/>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Word软件或广州公共资源交易中心提供的投标书制作软件制作的经济投标文件其他部分。电子文件介质使用U盘，所有电子文件不能采用压缩处理）给建设单位。</w:t>
      </w:r>
    </w:p>
    <w:p>
      <w:pPr>
        <w:spacing w:line="44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lang w:val="en-US" w:eastAsia="zh-CN"/>
        </w:rPr>
        <w:t>28</w:t>
      </w:r>
      <w:r>
        <w:rPr>
          <w:rFonts w:hint="eastAsia" w:ascii="宋体" w:hAnsi="宋体"/>
          <w:b/>
          <w:color w:val="auto"/>
          <w:szCs w:val="21"/>
          <w:highlight w:val="none"/>
        </w:rPr>
        <w:t>.</w:t>
      </w:r>
      <w:r>
        <w:rPr>
          <w:rFonts w:hint="eastAsia" w:ascii="宋体" w:hAnsi="宋体"/>
          <w:b/>
          <w:color w:val="auto"/>
          <w:szCs w:val="21"/>
          <w:highlight w:val="none"/>
          <w:lang w:val="en-US" w:eastAsia="zh-CN"/>
        </w:rPr>
        <w:t>2</w:t>
      </w:r>
      <w:r>
        <w:rPr>
          <w:rFonts w:hint="eastAsia" w:ascii="宋体" w:hAnsi="宋体"/>
          <w:b/>
          <w:color w:val="auto"/>
          <w:szCs w:val="21"/>
          <w:highlight w:val="none"/>
        </w:rPr>
        <w:t xml:space="preserve">             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
          <w:color w:val="auto"/>
          <w:szCs w:val="21"/>
          <w:highlight w:val="none"/>
          <w:lang w:val="en-US" w:eastAsia="zh-CN"/>
        </w:rPr>
        <w:t>28.2</w:t>
      </w:r>
      <w:r>
        <w:rPr>
          <w:rFonts w:hint="eastAsia" w:ascii="宋体" w:hAnsi="宋体"/>
          <w:color w:val="auto"/>
          <w:szCs w:val="21"/>
          <w:highlight w:val="none"/>
        </w:rPr>
        <w:t>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440" w:lineRule="exact"/>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
          <w:color w:val="auto"/>
          <w:szCs w:val="21"/>
          <w:highlight w:val="none"/>
          <w:lang w:val="en-US" w:eastAsia="zh-CN"/>
        </w:rPr>
        <w:t>28.2</w:t>
      </w:r>
      <w:r>
        <w:rPr>
          <w:rFonts w:hint="eastAsia" w:ascii="宋体" w:hAnsi="宋体"/>
          <w:color w:val="auto"/>
          <w:szCs w:val="21"/>
          <w:highlight w:val="none"/>
        </w:rPr>
        <w:t>中标通知书发出之日起30日后，中标人未按上款的规定与招标人订立合同，招标人将解除中标通知书，原中标人依法承担相应法律责任。原中标人给招标人造成的损失</w:t>
      </w:r>
      <w:r>
        <w:rPr>
          <w:rFonts w:hint="eastAsia" w:ascii="宋体" w:hAnsi="宋体"/>
          <w:color w:val="auto"/>
          <w:szCs w:val="21"/>
          <w:highlight w:val="none"/>
          <w:lang w:eastAsia="zh-CN"/>
        </w:rPr>
        <w:t>，</w:t>
      </w:r>
      <w:r>
        <w:rPr>
          <w:rFonts w:hint="eastAsia" w:ascii="宋体" w:hAnsi="宋体"/>
          <w:color w:val="auto"/>
          <w:szCs w:val="21"/>
          <w:highlight w:val="none"/>
        </w:rPr>
        <w:t>应当予以赔偿。原中标人有异议的，可以向人民法院起诉。</w:t>
      </w:r>
    </w:p>
    <w:p>
      <w:pPr>
        <w:spacing w:line="44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lang w:val="en-US" w:eastAsia="zh-CN"/>
        </w:rPr>
        <w:t>29</w:t>
      </w:r>
      <w:r>
        <w:rPr>
          <w:rFonts w:hint="eastAsia" w:ascii="宋体" w:hAnsi="宋体"/>
          <w:b/>
          <w:color w:val="auto"/>
          <w:szCs w:val="21"/>
          <w:highlight w:val="none"/>
        </w:rPr>
        <w:t>.</w:t>
      </w:r>
      <w:r>
        <w:rPr>
          <w:rFonts w:hint="eastAsia" w:ascii="宋体" w:hAnsi="宋体"/>
          <w:b/>
          <w:color w:val="auto"/>
          <w:szCs w:val="21"/>
          <w:highlight w:val="none"/>
          <w:lang w:val="en-US" w:eastAsia="zh-CN"/>
        </w:rPr>
        <w:t>2</w:t>
      </w:r>
      <w:r>
        <w:rPr>
          <w:rFonts w:hint="eastAsia" w:ascii="宋体" w:hAnsi="宋体"/>
          <w:b/>
          <w:color w:val="auto"/>
          <w:szCs w:val="21"/>
          <w:highlight w:val="none"/>
        </w:rPr>
        <w:t xml:space="preserve">             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
          <w:color w:val="auto"/>
          <w:szCs w:val="21"/>
          <w:highlight w:val="none"/>
          <w:lang w:val="en-US" w:eastAsia="zh-CN"/>
        </w:rPr>
        <w:t>29.2</w:t>
      </w:r>
      <w:r>
        <w:rPr>
          <w:rFonts w:hint="eastAsia" w:ascii="宋体" w:hAnsi="宋体"/>
          <w:color w:val="auto"/>
          <w:szCs w:val="21"/>
          <w:highlight w:val="none"/>
        </w:rPr>
        <w:t>中标通知书发出之日起</w:t>
      </w:r>
      <w:r>
        <w:rPr>
          <w:rFonts w:ascii="宋体" w:hAnsi="宋体"/>
          <w:color w:val="auto"/>
          <w:szCs w:val="21"/>
          <w:highlight w:val="none"/>
        </w:rPr>
        <w:t>15</w:t>
      </w:r>
      <w:r>
        <w:rPr>
          <w:rFonts w:hint="eastAsia" w:ascii="宋体" w:hAnsi="宋体"/>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440" w:lineRule="exact"/>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
          <w:color w:val="auto"/>
          <w:szCs w:val="21"/>
          <w:highlight w:val="none"/>
          <w:lang w:val="en-US" w:eastAsia="zh-CN"/>
        </w:rPr>
        <w:t>29.2</w:t>
      </w:r>
      <w:r>
        <w:rPr>
          <w:rFonts w:hint="eastAsia" w:ascii="宋体" w:hAnsi="宋体"/>
          <w:color w:val="auto"/>
          <w:szCs w:val="21"/>
          <w:highlight w:val="none"/>
        </w:rPr>
        <w:t>中标通知书发出之日起</w:t>
      </w:r>
      <w:r>
        <w:rPr>
          <w:rFonts w:ascii="宋体" w:hAnsi="宋体"/>
          <w:color w:val="auto"/>
          <w:szCs w:val="21"/>
          <w:highlight w:val="none"/>
        </w:rPr>
        <w:t>15</w:t>
      </w:r>
      <w:r>
        <w:rPr>
          <w:rFonts w:hint="eastAsia" w:ascii="宋体" w:hAnsi="宋体"/>
          <w:color w:val="auto"/>
          <w:szCs w:val="21"/>
          <w:highlight w:val="none"/>
        </w:rPr>
        <w:t>日后，中标人未按上款的规定提交履约担保，招标人将解除中标通知书，原中标人依法承担相应法律责任。原中标人给招标人造成的损失</w:t>
      </w:r>
      <w:r>
        <w:rPr>
          <w:rFonts w:hint="eastAsia" w:ascii="宋体" w:hAnsi="宋体"/>
          <w:color w:val="auto"/>
          <w:szCs w:val="21"/>
          <w:highlight w:val="none"/>
          <w:lang w:eastAsia="zh-CN"/>
        </w:rPr>
        <w:t>，</w:t>
      </w:r>
      <w:r>
        <w:rPr>
          <w:rFonts w:hint="eastAsia" w:ascii="宋体" w:hAnsi="宋体"/>
          <w:color w:val="auto"/>
          <w:szCs w:val="21"/>
          <w:highlight w:val="none"/>
        </w:rPr>
        <w:t>应当予以赔偿。原中标人有异议的，可以向人民法院起诉。</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w:t>
      </w:r>
      <w:r>
        <w:rPr>
          <w:rFonts w:ascii="宋体" w:hAnsi="宋体" w:cs="宋体"/>
          <w:b/>
          <w:color w:val="auto"/>
          <w:szCs w:val="21"/>
          <w:highlight w:val="none"/>
        </w:rPr>
        <w:t xml:space="preserve">1.1             </w:t>
      </w:r>
      <w:r>
        <w:rPr>
          <w:rFonts w:hint="eastAsia" w:ascii="宋体" w:hAnsi="宋体" w:cs="宋体"/>
          <w:b/>
          <w:color w:val="auto"/>
          <w:szCs w:val="21"/>
          <w:highlight w:val="none"/>
        </w:rPr>
        <w:t>修改类型：增加</w:t>
      </w:r>
    </w:p>
    <w:p>
      <w:pPr>
        <w:pBdr>
          <w:bottom w:val="single" w:color="auto" w:sz="6" w:space="1"/>
        </w:pBdr>
        <w:spacing w:line="440" w:lineRule="exact"/>
        <w:ind w:firstLine="413" w:firstLineChars="196"/>
        <w:rPr>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31.1、中标人应在广州公共资源交易中心交纳公共资源交易服务费，该费用包含在投标报价中，招标人不另行支付。招标代理服务费由</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交纳，收取标准按招标人与招标代理签订的招标代理合同相关约定执行。</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条款号：32</w:t>
      </w:r>
      <w:r>
        <w:rPr>
          <w:rFonts w:ascii="宋体" w:hAnsi="宋体" w:cs="宋体"/>
          <w:b/>
          <w:color w:val="auto"/>
          <w:szCs w:val="21"/>
          <w:highlight w:val="none"/>
        </w:rPr>
        <w:t>.</w:t>
      </w:r>
      <w:r>
        <w:rPr>
          <w:rFonts w:hint="eastAsia" w:ascii="宋体" w:hAnsi="宋体" w:cs="宋体"/>
          <w:b/>
          <w:color w:val="auto"/>
          <w:szCs w:val="21"/>
          <w:highlight w:val="none"/>
        </w:rPr>
        <w:t>3修改类型：修改</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32.3、</w:t>
      </w:r>
      <w:r>
        <w:rPr>
          <w:rFonts w:hint="eastAsia"/>
          <w:color w:val="auto"/>
          <w:highlight w:val="none"/>
        </w:rPr>
        <w:t>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bCs/>
          <w:color w:val="auto"/>
          <w:kern w:val="0"/>
          <w:sz w:val="22"/>
          <w:highlight w:val="none"/>
        </w:rPr>
        <w:t>32.3</w:t>
      </w:r>
      <w:r>
        <w:rPr>
          <w:rFonts w:hint="eastAsia" w:ascii="宋体" w:hAnsi="宋体" w:cs="宋体"/>
          <w:bCs/>
          <w:color w:val="auto"/>
          <w:kern w:val="0"/>
          <w:sz w:val="21"/>
          <w:szCs w:val="21"/>
          <w:highlight w:val="none"/>
        </w:rPr>
        <w:t>投标人如在本项目中存在串通投标、弄虚作假</w:t>
      </w:r>
      <w:r>
        <w:rPr>
          <w:rFonts w:hint="eastAsia" w:ascii="宋体" w:hAnsi="宋体" w:cs="宋体"/>
          <w:b/>
          <w:color w:val="auto"/>
          <w:kern w:val="0"/>
          <w:sz w:val="21"/>
          <w:szCs w:val="21"/>
          <w:highlight w:val="none"/>
          <w:u w:val="single"/>
        </w:rPr>
        <w:t>骗取中标</w:t>
      </w:r>
      <w:r>
        <w:rPr>
          <w:rFonts w:hint="eastAsia" w:ascii="宋体" w:hAnsi="宋体" w:cs="宋体"/>
          <w:bCs/>
          <w:color w:val="auto"/>
          <w:kern w:val="0"/>
          <w:sz w:val="21"/>
          <w:szCs w:val="21"/>
          <w:highlight w:val="none"/>
        </w:rPr>
        <w:t>、行贿情形的，中标无效，行政监督部门将对其违法行为进行政处罚。</w:t>
      </w:r>
      <w:r>
        <w:rPr>
          <w:rFonts w:hint="eastAsia" w:ascii="宋体" w:hAnsi="宋体" w:cs="宋体"/>
          <w:b/>
          <w:color w:val="auto"/>
          <w:kern w:val="0"/>
          <w:sz w:val="21"/>
          <w:szCs w:val="21"/>
          <w:highlight w:val="none"/>
          <w:u w:val="single"/>
        </w:rPr>
        <w:t>该投标人将被招标人列入黑名单并限制其参与招标人后续项目的投标。</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条款号：33</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pPr>
        <w:pBdr>
          <w:bottom w:val="single" w:color="auto" w:sz="6" w:space="1"/>
        </w:pBdr>
        <w:spacing w:line="440" w:lineRule="exact"/>
        <w:ind w:firstLine="413" w:firstLineChars="196"/>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33、</w:t>
      </w:r>
      <w:r>
        <w:rPr>
          <w:rFonts w:hint="eastAsia"/>
          <w:color w:val="auto"/>
          <w:highlight w:val="none"/>
        </w:rPr>
        <w:t>投标人信誉的要求</w:t>
      </w:r>
    </w:p>
    <w:p>
      <w:pPr>
        <w:pBdr>
          <w:bottom w:val="single" w:color="auto" w:sz="6" w:space="1"/>
        </w:pBdr>
        <w:spacing w:line="440" w:lineRule="exact"/>
        <w:ind w:firstLine="411" w:firstLineChars="196"/>
        <w:rPr>
          <w:color w:val="auto"/>
          <w:highlight w:val="none"/>
        </w:rPr>
      </w:pPr>
      <w:r>
        <w:rPr>
          <w:rFonts w:hint="eastAsia"/>
          <w:color w:val="auto"/>
          <w:highlight w:val="none"/>
        </w:rPr>
        <w:t>存在下列情形之一的，招标人可以限制其投标（需在招标文件中明确评定方法）</w:t>
      </w:r>
    </w:p>
    <w:p>
      <w:pPr>
        <w:pBdr>
          <w:bottom w:val="single" w:color="auto" w:sz="6" w:space="1"/>
        </w:pBdr>
        <w:spacing w:line="440" w:lineRule="exact"/>
        <w:ind w:firstLine="411" w:firstLineChars="196"/>
        <w:rPr>
          <w:color w:val="auto"/>
          <w:highlight w:val="none"/>
        </w:rPr>
      </w:pPr>
      <w:r>
        <w:rPr>
          <w:rFonts w:hint="eastAsia"/>
          <w:color w:val="auto"/>
          <w:highlight w:val="none"/>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ascii="宋体" w:hAnsi="宋体"/>
          <w:b/>
          <w:color w:val="auto"/>
          <w:szCs w:val="21"/>
          <w:highlight w:val="none"/>
        </w:rPr>
      </w:pPr>
      <w:r>
        <w:rPr>
          <w:rFonts w:hint="eastAsia"/>
          <w:color w:val="auto"/>
          <w:highlight w:val="none"/>
        </w:rPr>
        <w:t>（2）被发改委、人力资源社会保障、质检总局等有关部门、单位在“信用中国”网站中列入联合惩戒失信黑名单。</w:t>
      </w:r>
    </w:p>
    <w:p>
      <w:pPr>
        <w:spacing w:line="440" w:lineRule="exact"/>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440" w:lineRule="exact"/>
        <w:rPr>
          <w:rFonts w:ascii="宋体" w:hAnsi="宋体"/>
          <w:color w:val="auto"/>
          <w:szCs w:val="21"/>
          <w:highlight w:val="none"/>
        </w:rPr>
      </w:pPr>
      <w:r>
        <w:rPr>
          <w:rFonts w:hint="eastAsia" w:ascii="宋体" w:hAnsi="宋体"/>
          <w:b/>
          <w:color w:val="auto"/>
          <w:szCs w:val="21"/>
          <w:highlight w:val="none"/>
        </w:rPr>
        <w:t>（以下无正文）</w:t>
      </w:r>
    </w:p>
    <w:p>
      <w:pPr>
        <w:pStyle w:val="4"/>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6" w:name="_Toc3538"/>
      <w:bookmarkStart w:id="7" w:name="_Toc2272548"/>
      <w:bookmarkStart w:id="8" w:name="_Toc21525492"/>
      <w:r>
        <w:rPr>
          <w:rFonts w:hint="eastAsia" w:ascii="宋体" w:hAnsi="宋体"/>
          <w:color w:val="auto"/>
          <w:sz w:val="21"/>
          <w:szCs w:val="21"/>
          <w:highlight w:val="none"/>
        </w:rPr>
        <w:t>三、投标须知通用条款</w:t>
      </w:r>
      <w:bookmarkEnd w:id="6"/>
      <w:bookmarkEnd w:id="7"/>
      <w:bookmarkEnd w:id="8"/>
    </w:p>
    <w:p>
      <w:pPr>
        <w:pStyle w:val="6"/>
        <w:spacing w:before="156" w:after="156"/>
        <w:rPr>
          <w:color w:val="auto"/>
          <w:sz w:val="21"/>
          <w:szCs w:val="21"/>
          <w:highlight w:val="none"/>
        </w:rPr>
      </w:pPr>
      <w:bookmarkStart w:id="9" w:name="_Toc28957"/>
      <w:bookmarkStart w:id="10" w:name="_Toc2272549"/>
      <w:bookmarkStart w:id="11" w:name="_Toc21525493"/>
      <w:r>
        <w:rPr>
          <w:rFonts w:hint="eastAsia"/>
          <w:color w:val="auto"/>
          <w:sz w:val="21"/>
          <w:szCs w:val="21"/>
          <w:highlight w:val="none"/>
        </w:rPr>
        <w:t>（一）总则</w:t>
      </w:r>
      <w:bookmarkEnd w:id="9"/>
      <w:bookmarkEnd w:id="10"/>
      <w:bookmarkEnd w:id="11"/>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1、定义</w:t>
      </w:r>
    </w:p>
    <w:p>
      <w:pPr>
        <w:pStyle w:val="36"/>
        <w:spacing w:after="0" w:line="360" w:lineRule="auto"/>
        <w:ind w:firstLineChars="200"/>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本招标文件使用的下列词语具有如下规定的意义：</w:t>
      </w:r>
    </w:p>
    <w:p>
      <w:pPr>
        <w:pStyle w:val="36"/>
        <w:spacing w:after="0" w:line="360" w:lineRule="auto"/>
        <w:ind w:firstLineChars="200"/>
        <w:rPr>
          <w:rFonts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（1）“招标人”（即发包人）、“项目建设管理单位”（或称“项目代建单位”）、“招标代理”、“设计单位”、“监理单位”均已在投标须知前附表中列明。</w:t>
      </w:r>
    </w:p>
    <w:p>
      <w:pPr>
        <w:pStyle w:val="36"/>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（2）“投标人”指向招标人提交投标文件的当事人。</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（3）“承包人”指其投标被招标人接受并与其签订承包合同的当事人。</w:t>
      </w:r>
    </w:p>
    <w:p>
      <w:pPr>
        <w:pStyle w:val="36"/>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（4）“招标文件”指由招标代理发出的本文件（包括全部章节、附件）及招标答疑会会议纪要和</w:t>
      </w:r>
      <w:r>
        <w:rPr>
          <w:rFonts w:hint="eastAsia" w:ascii="宋体" w:hAnsi="宋体" w:eastAsia="宋体" w:cs="宋体"/>
          <w:bCs/>
          <w:color w:val="auto"/>
          <w:sz w:val="21"/>
          <w:szCs w:val="21"/>
          <w:highlight w:val="none"/>
        </w:rPr>
        <w:t>招标文件的澄清与修改</w:t>
      </w:r>
      <w:r>
        <w:rPr>
          <w:rFonts w:hint="eastAsia" w:ascii="宋体" w:hAnsi="宋体" w:eastAsia="宋体" w:cs="宋体"/>
          <w:color w:val="auto"/>
          <w:sz w:val="21"/>
          <w:szCs w:val="21"/>
          <w:highlight w:val="none"/>
        </w:rPr>
        <w:t>文件。</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（5）“投标文件”指投标人根据本项目招标文件向招标人提交的全部文件。</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（6）“书面形式”指打字或印刷的文件和数据电文（包括电报、电传、传真、电子数据交换和电子邮件）。</w:t>
      </w:r>
    </w:p>
    <w:p>
      <w:pPr>
        <w:spacing w:line="360" w:lineRule="auto"/>
        <w:ind w:firstLine="422"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、招标说明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2.2</w:t>
      </w:r>
      <w:r>
        <w:rPr>
          <w:rFonts w:hint="eastAsia" w:ascii="宋体" w:hAnsi="宋体"/>
          <w:bCs/>
          <w:color w:val="auto"/>
          <w:szCs w:val="21"/>
          <w:highlight w:val="none"/>
        </w:rPr>
        <w:t>工程名称、建设地点、建设规模、承包方式、质量标准、招标范围、工期要求等均在投标须知前附表中列明。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2.3</w:t>
      </w:r>
      <w:r>
        <w:rPr>
          <w:rFonts w:hint="eastAsia" w:ascii="宋体" w:hAnsi="宋体"/>
          <w:bCs/>
          <w:color w:val="auto"/>
          <w:szCs w:val="21"/>
          <w:highlight w:val="none"/>
        </w:rPr>
        <w:t>设计说明：详见招标图纸。</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2.4</w:t>
      </w:r>
      <w:r>
        <w:rPr>
          <w:rFonts w:hint="eastAsia" w:ascii="宋体" w:hAnsi="宋体"/>
          <w:bCs/>
          <w:color w:val="auto"/>
          <w:szCs w:val="21"/>
          <w:highlight w:val="none"/>
        </w:rPr>
        <w:t>工程施工特点：详见招标图纸。</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．资金来源</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本招标工程项目资金来源见投标须知前附表第</w:t>
      </w:r>
      <w:r>
        <w:rPr>
          <w:rFonts w:ascii="宋体" w:hAnsi="宋体"/>
          <w:bCs/>
          <w:color w:val="auto"/>
          <w:szCs w:val="21"/>
          <w:highlight w:val="none"/>
        </w:rPr>
        <w:t>9</w:t>
      </w:r>
      <w:r>
        <w:rPr>
          <w:rFonts w:hint="eastAsia" w:ascii="宋体" w:hAnsi="宋体"/>
          <w:bCs/>
          <w:color w:val="auto"/>
          <w:szCs w:val="21"/>
          <w:highlight w:val="none"/>
        </w:rPr>
        <w:t>项</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．合格投标人的条件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详见本项目招标公告</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．踏勘现场</w:t>
      </w:r>
    </w:p>
    <w:p>
      <w:pPr>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rPr>
        <w:t xml:space="preserve">5.1 </w:t>
      </w:r>
      <w:r>
        <w:rPr>
          <w:rFonts w:hint="eastAsia" w:ascii="宋体" w:hAnsi="宋体"/>
          <w:bCs/>
          <w:color w:val="auto"/>
          <w:szCs w:val="21"/>
          <w:highlight w:val="none"/>
        </w:rPr>
        <w:t>投标人应按本投标须知前附表第</w:t>
      </w:r>
      <w:r>
        <w:rPr>
          <w:rFonts w:ascii="宋体" w:hAnsi="宋体"/>
          <w:bCs/>
          <w:color w:val="auto"/>
          <w:szCs w:val="21"/>
          <w:highlight w:val="none"/>
        </w:rPr>
        <w:t>15</w:t>
      </w:r>
      <w:r>
        <w:rPr>
          <w:rFonts w:hint="eastAsia" w:ascii="宋体" w:hAnsi="宋体"/>
          <w:bCs/>
          <w:color w:val="auto"/>
          <w:szCs w:val="21"/>
          <w:highlight w:val="none"/>
        </w:rPr>
        <w:t>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5.2 </w:t>
      </w:r>
      <w:r>
        <w:rPr>
          <w:rFonts w:hint="eastAsia" w:ascii="宋体" w:hAnsi="宋体"/>
          <w:bCs/>
          <w:color w:val="auto"/>
          <w:szCs w:val="21"/>
          <w:highlight w:val="none"/>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5.3 </w:t>
      </w:r>
      <w:r>
        <w:rPr>
          <w:rFonts w:hint="eastAsia" w:ascii="宋体" w:hAnsi="宋体"/>
          <w:bCs/>
          <w:color w:val="auto"/>
          <w:szCs w:val="21"/>
          <w:highlight w:val="none"/>
        </w:rPr>
        <w:t>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．投标费用</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pPr>
        <w:pStyle w:val="6"/>
        <w:spacing w:before="156" w:after="156"/>
        <w:rPr>
          <w:color w:val="auto"/>
          <w:sz w:val="21"/>
          <w:szCs w:val="21"/>
          <w:highlight w:val="none"/>
        </w:rPr>
      </w:pPr>
      <w:bookmarkStart w:id="12" w:name="_Toc21525494"/>
      <w:bookmarkStart w:id="13" w:name="_Toc614"/>
      <w:bookmarkStart w:id="14" w:name="_Toc2272550"/>
      <w:r>
        <w:rPr>
          <w:rFonts w:hint="eastAsia"/>
          <w:color w:val="auto"/>
          <w:sz w:val="21"/>
          <w:szCs w:val="21"/>
          <w:highlight w:val="none"/>
        </w:rPr>
        <w:t>（二）招标文件</w:t>
      </w:r>
      <w:bookmarkEnd w:id="12"/>
      <w:bookmarkEnd w:id="13"/>
      <w:bookmarkEnd w:id="14"/>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招标文件的组成</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7.1</w:t>
      </w:r>
      <w:r>
        <w:rPr>
          <w:rFonts w:hint="eastAsia" w:ascii="宋体" w:hAnsi="宋体"/>
          <w:color w:val="auto"/>
          <w:szCs w:val="21"/>
          <w:highlight w:val="none"/>
        </w:rPr>
        <w:t>本招标文件包括下列文件，以及所有按本须知第</w:t>
      </w:r>
      <w:r>
        <w:rPr>
          <w:rFonts w:ascii="宋体" w:hAnsi="宋体"/>
          <w:color w:val="auto"/>
          <w:szCs w:val="21"/>
          <w:highlight w:val="none"/>
        </w:rPr>
        <w:t>8</w:t>
      </w:r>
      <w:r>
        <w:rPr>
          <w:rFonts w:hint="eastAsia" w:ascii="宋体" w:hAnsi="宋体"/>
          <w:color w:val="auto"/>
          <w:szCs w:val="21"/>
          <w:highlight w:val="none"/>
        </w:rPr>
        <w:t>条发出的招标答疑会会议纪要和按本须知第</w:t>
      </w:r>
      <w:r>
        <w:rPr>
          <w:rFonts w:ascii="宋体" w:hAnsi="宋体"/>
          <w:color w:val="auto"/>
          <w:szCs w:val="21"/>
          <w:highlight w:val="none"/>
        </w:rPr>
        <w:t>9</w:t>
      </w:r>
      <w:r>
        <w:rPr>
          <w:rFonts w:hint="eastAsia" w:ascii="宋体" w:hAnsi="宋体"/>
          <w:color w:val="auto"/>
          <w:szCs w:val="21"/>
          <w:highlight w:val="none"/>
        </w:rPr>
        <w:t>条发出的澄清或修改：</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第一章</w:t>
      </w:r>
      <w:r>
        <w:rPr>
          <w:rFonts w:hint="eastAsia" w:ascii="宋体" w:hAnsi="宋体" w:eastAsia="宋体" w:cs="宋体"/>
          <w:color w:val="auto"/>
          <w:sz w:val="21"/>
          <w:szCs w:val="21"/>
          <w:highlight w:val="none"/>
        </w:rPr>
        <w:t>投标须知</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第二章</w:t>
      </w:r>
      <w:r>
        <w:rPr>
          <w:rFonts w:hint="eastAsia" w:ascii="宋体" w:hAnsi="宋体" w:eastAsia="宋体" w:cs="宋体"/>
          <w:color w:val="auto"/>
          <w:sz w:val="21"/>
          <w:szCs w:val="21"/>
          <w:highlight w:val="none"/>
        </w:rPr>
        <w:t>开标、评标及定标办法</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第三章合同条款</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第四章</w:t>
      </w:r>
      <w:r>
        <w:rPr>
          <w:rFonts w:hint="eastAsia" w:ascii="宋体" w:hAnsi="宋体" w:eastAsia="宋体" w:cs="宋体"/>
          <w:color w:val="auto"/>
          <w:sz w:val="21"/>
          <w:szCs w:val="21"/>
          <w:highlight w:val="none"/>
        </w:rPr>
        <w:t>投标文件格式</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第五章</w:t>
      </w:r>
      <w:r>
        <w:rPr>
          <w:rFonts w:hint="eastAsia" w:ascii="宋体" w:hAnsi="宋体" w:eastAsia="宋体" w:cs="宋体"/>
          <w:color w:val="auto"/>
          <w:sz w:val="21"/>
          <w:szCs w:val="21"/>
          <w:highlight w:val="none"/>
        </w:rPr>
        <w:t>技术条件（工程建设标准）</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第六章</w:t>
      </w:r>
      <w:r>
        <w:rPr>
          <w:rFonts w:hint="eastAsia" w:ascii="宋体" w:hAnsi="宋体" w:eastAsia="宋体" w:cs="宋体"/>
          <w:color w:val="auto"/>
          <w:sz w:val="21"/>
          <w:szCs w:val="21"/>
          <w:highlight w:val="none"/>
        </w:rPr>
        <w:t>图纸及勘察资料（另册）</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第七章招标</w:t>
      </w:r>
      <w:r>
        <w:rPr>
          <w:rFonts w:hint="eastAsia" w:ascii="宋体" w:hAnsi="宋体" w:eastAsia="宋体" w:cs="宋体"/>
          <w:color w:val="auto"/>
          <w:sz w:val="21"/>
          <w:szCs w:val="21"/>
          <w:highlight w:val="none"/>
        </w:rPr>
        <w:t>工程量清单（另册）</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第八章最高投标限价</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 投标人一旦中标，招标文件的内容对招标人和中标人双方均有约束力。</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8．招标答疑</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8.1 投标人若对招标文件（包括招标图纸）中有疑问，可以书面形式通过交易平台提交给招标人或招标代理人，提交形式见本须知前附表第16项。</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8.3答疑会会议纪要为招标文件的一部分。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8.4若招标答疑会会议纪要与招标文件有矛盾，以答疑会议纪要最后发出的书面形式的文件为准。</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9.招标文件的澄清与修改</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9.1招标文件发出后,在提交投标文件截止时间15日前，招标人可对招标文件进行必要的澄清或修改。</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9.2招标文件的澄清或修改将在交易平台“项目答疑纪要”专区公开发布。答疑纪要一经在交易平台发布，视作已发放给所有投标人，以交易平台上网发布时间作为送达时间。</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9.3招标文件的修改内容为招标文件的组成部分。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cs="宋体"/>
          <w:color w:val="auto"/>
          <w:sz w:val="21"/>
          <w:szCs w:val="21"/>
          <w:highlight w:val="none"/>
        </w:rPr>
      </w:pPr>
      <w:bookmarkStart w:id="15" w:name="_Toc11646"/>
      <w:bookmarkStart w:id="16" w:name="_Toc2272551"/>
      <w:bookmarkStart w:id="17" w:name="_Toc21525495"/>
      <w:r>
        <w:rPr>
          <w:rFonts w:hint="eastAsia" w:cs="宋体"/>
          <w:color w:val="auto"/>
          <w:sz w:val="21"/>
          <w:szCs w:val="21"/>
          <w:highlight w:val="none"/>
        </w:rPr>
        <w:t>（三）投标文件的编制</w:t>
      </w:r>
      <w:bookmarkEnd w:id="15"/>
      <w:bookmarkEnd w:id="16"/>
      <w:bookmarkEnd w:id="17"/>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10．投标文件的语言及度量衡单位</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10.1 投标文件和与投标有关的所有文件均应使用中文。</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10.2 除工程规范另有规定外，投标文件使用的度量衡单位，均采用中华人民共和国法定计量单位。</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11．投标文件的组成</w:t>
      </w:r>
    </w:p>
    <w:p>
      <w:pPr>
        <w:pStyle w:val="36"/>
        <w:spacing w:after="0" w:line="360" w:lineRule="auto"/>
        <w:ind w:firstLineChars="200"/>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11.1 投标文件由技术部分（含资格审查文件）和经济部分两部分投标文件组成</w:t>
      </w:r>
      <w:r>
        <w:rPr>
          <w:rFonts w:hint="eastAsia" w:ascii="宋体" w:hAnsi="宋体" w:eastAsia="宋体" w:cs="宋体"/>
          <w:b/>
          <w:color w:val="auto"/>
          <w:sz w:val="21"/>
          <w:szCs w:val="21"/>
          <w:highlight w:val="none"/>
        </w:rPr>
        <w:t>。</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11.2.2 资格审查文件：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（1）投标人声明；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）其他辅助说明资料。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11.2.5</w:t>
      </w:r>
      <w:r>
        <w:rPr>
          <w:rFonts w:hint="eastAsia" w:ascii="宋体" w:hAnsi="宋体"/>
          <w:color w:val="auto"/>
          <w:szCs w:val="21"/>
          <w:highlight w:val="none"/>
        </w:rPr>
        <w:t>施工组织设计或施工方案。</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11.3 </w:t>
      </w:r>
      <w:r>
        <w:rPr>
          <w:rFonts w:hint="eastAsia" w:ascii="宋体" w:hAnsi="宋体"/>
          <w:bCs/>
          <w:color w:val="auto"/>
          <w:szCs w:val="21"/>
          <w:highlight w:val="none"/>
        </w:rPr>
        <w:t>经济部分投标文件主要包括下列内容：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11.3.1 </w:t>
      </w:r>
      <w:r>
        <w:rPr>
          <w:rFonts w:hint="eastAsia" w:ascii="宋体" w:hAnsi="宋体"/>
          <w:color w:val="auto"/>
          <w:szCs w:val="21"/>
          <w:highlight w:val="none"/>
        </w:rPr>
        <w:t>经济投标文件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（3）工程项目投标报价汇总表；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（5）单位工程投标报价汇总表；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（9）综合单价分析表；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（11）暂列金额明细表；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（13）专业工程暂估价明细表；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（14）计日工表；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（15）总承包服务计价表；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（16）规费和税金项目计价表；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（17）人工、主要材料和设备一览表</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pPr>
        <w:tabs>
          <w:tab w:val="left" w:pos="112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12．投标文件格式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 xml:space="preserve">照交易平台关于全流程电子化项目的相关指南进行编制，详见：。               </w:t>
      </w:r>
    </w:p>
    <w:p>
      <w:pPr>
        <w:pStyle w:val="36"/>
        <w:spacing w:after="0" w:line="360" w:lineRule="auto"/>
        <w:ind w:firstLine="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13．投标报价及造价承包和变更结算方式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 本工程的投标报价采用投标须知前附表第12项所规定的方式。投标报价（含单价及总价）精确到“分”。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13.5.1中标的投标文件工程量清单中已有相同项目的适用综合单价，则沿用；</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13.5.4 如相关定额没有相应子目的，其计价方式由招标人在本招标文件第三章中另行规定。未规定的，中标后双方协商约定。</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13.6暂列金额、暂估价</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暂估价是指招标人在工程量清单中提供的用于支付必然发生但暂时不能确定价格的材料的单价以及专业工程的金额。</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14．投标货币</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 本工程投标报价采用的币种为人民币。</w:t>
      </w:r>
    </w:p>
    <w:p>
      <w:pPr>
        <w:pStyle w:val="36"/>
        <w:spacing w:after="0" w:line="360" w:lineRule="auto"/>
        <w:ind w:firstLine="422" w:firstLineChars="200"/>
        <w:rPr>
          <w:rFonts w:ascii="宋体" w:hAnsi="宋体" w:eastAsia="宋体"/>
          <w:color w:val="auto"/>
          <w:sz w:val="21"/>
          <w:szCs w:val="21"/>
          <w:highlight w:val="none"/>
        </w:rPr>
      </w:pPr>
      <w:r>
        <w:rPr>
          <w:rFonts w:ascii="宋体" w:hAnsi="宋体" w:eastAsia="宋体"/>
          <w:b/>
          <w:bCs/>
          <w:color w:val="auto"/>
          <w:sz w:val="21"/>
          <w:szCs w:val="21"/>
          <w:highlight w:val="none"/>
        </w:rPr>
        <w:t>15</w:t>
      </w:r>
      <w:r>
        <w:rPr>
          <w:rFonts w:hint="eastAsia" w:ascii="宋体" w:hAnsi="宋体" w:eastAsia="宋体"/>
          <w:b/>
          <w:bCs/>
          <w:color w:val="auto"/>
          <w:sz w:val="21"/>
          <w:szCs w:val="21"/>
          <w:highlight w:val="none"/>
        </w:rPr>
        <w:t>．投标有效期</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15.1 投标有效期见投标须知前附表第13项所规定的期限，在此期限内，凡符合本招标文件要求的投标文件均保持有效。</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16．投标保证金</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16.1</w:t>
      </w:r>
      <w:r>
        <w:rPr>
          <w:rFonts w:hint="eastAsia" w:ascii="宋体" w:hAnsi="宋体"/>
          <w:color w:val="auto"/>
          <w:szCs w:val="21"/>
          <w:highlight w:val="none"/>
        </w:rPr>
        <w:t>投标人应按投标须知前附表第</w:t>
      </w:r>
      <w:r>
        <w:rPr>
          <w:rFonts w:ascii="宋体" w:hAnsi="宋体"/>
          <w:color w:val="auto"/>
          <w:szCs w:val="21"/>
          <w:highlight w:val="none"/>
        </w:rPr>
        <w:t>14</w:t>
      </w:r>
      <w:r>
        <w:rPr>
          <w:rFonts w:hint="eastAsia" w:ascii="宋体" w:hAnsi="宋体"/>
          <w:color w:val="auto"/>
          <w:szCs w:val="21"/>
          <w:highlight w:val="none"/>
        </w:rPr>
        <w:t>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注：16.5.3款由招标人二选一，需在招标文件中明确。</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17．投标文件的签署</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17.1</w:t>
      </w:r>
      <w:r>
        <w:rPr>
          <w:rFonts w:hint="eastAsia" w:ascii="宋体" w:hAnsi="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olor w:val="auto"/>
          <w:szCs w:val="21"/>
          <w:highlight w:val="none"/>
        </w:rPr>
        <w:t>。</w:t>
      </w:r>
    </w:p>
    <w:p>
      <w:pPr>
        <w:pStyle w:val="6"/>
        <w:spacing w:before="156" w:after="156"/>
        <w:rPr>
          <w:color w:val="auto"/>
          <w:sz w:val="21"/>
          <w:szCs w:val="21"/>
          <w:highlight w:val="none"/>
        </w:rPr>
      </w:pPr>
      <w:bookmarkStart w:id="18" w:name="_Toc7691"/>
      <w:bookmarkStart w:id="19" w:name="_Toc2272552"/>
      <w:bookmarkStart w:id="20" w:name="_Toc21525496"/>
      <w:r>
        <w:rPr>
          <w:rFonts w:hint="eastAsia"/>
          <w:color w:val="auto"/>
          <w:sz w:val="21"/>
          <w:szCs w:val="21"/>
          <w:highlight w:val="none"/>
        </w:rPr>
        <w:t>（四）投标文件的提交</w:t>
      </w:r>
      <w:bookmarkEnd w:id="18"/>
      <w:bookmarkEnd w:id="19"/>
      <w:bookmarkEnd w:id="20"/>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
          <w:color w:val="auto"/>
          <w:sz w:val="21"/>
          <w:szCs w:val="21"/>
          <w:highlight w:val="none"/>
        </w:rPr>
        <w:t>投标文件的密封和标记</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.1</w:t>
      </w:r>
      <w:r>
        <w:rPr>
          <w:rFonts w:hint="eastAsia" w:ascii="宋体" w:hAnsi="宋体"/>
          <w:bCs/>
          <w:color w:val="auto"/>
          <w:szCs w:val="21"/>
          <w:highlight w:val="none"/>
        </w:rPr>
        <w:t>递交的电子投标文件（不含备用光盘）必须进行加密。按照交易平台关于</w:t>
      </w:r>
      <w:r>
        <w:rPr>
          <w:rFonts w:hint="eastAsia" w:ascii="宋体" w:hAnsi="宋体"/>
          <w:color w:val="auto"/>
          <w:szCs w:val="21"/>
          <w:highlight w:val="none"/>
        </w:rPr>
        <w:t>全流程电子化项目的相关指南进行操作。</w:t>
      </w:r>
      <w:r>
        <w:rPr>
          <w:rFonts w:hint="eastAsia" w:ascii="宋体" w:hAnsi="宋体" w:cs="宋体"/>
          <w:color w:val="auto"/>
          <w:szCs w:val="21"/>
          <w:highlight w:val="none"/>
        </w:rPr>
        <w:t>详见：</w:t>
      </w:r>
      <w:r>
        <w:rPr>
          <w:rFonts w:hint="eastAsia" w:ascii="宋体" w:hAnsi="宋体"/>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.2</w:t>
      </w:r>
      <w:r>
        <w:rPr>
          <w:rFonts w:hint="eastAsia" w:ascii="宋体" w:hAnsi="宋体"/>
          <w:bCs/>
          <w:color w:val="auto"/>
          <w:szCs w:val="21"/>
          <w:highlight w:val="none"/>
        </w:rPr>
        <w:t>未按要求加密的投标文件，</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1投标人通过</w:t>
      </w:r>
      <w:r>
        <w:rPr>
          <w:rFonts w:hint="eastAsia" w:ascii="宋体" w:hAnsi="宋体"/>
          <w:color w:val="auto"/>
          <w:szCs w:val="21"/>
          <w:highlight w:val="none"/>
        </w:rPr>
        <w:t>交易平台递交电子投标文件。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3逾期送达的电子投标文件，</w:t>
      </w:r>
      <w:r>
        <w:rPr>
          <w:rFonts w:hint="eastAsia" w:ascii="宋体" w:hAnsi="宋体"/>
          <w:color w:val="auto"/>
          <w:szCs w:val="21"/>
          <w:highlight w:val="none"/>
        </w:rPr>
        <w:t>交易平台将予以拒收。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4投标截止前，招标人拒绝接收符合条件的投标文件，投标人可向招标投标监督机构投诉。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5如技术标和经济标先后分别开启，交易平台将按招标文件规定的时间分别开启技术标和经济标。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19.6</w:t>
      </w:r>
      <w:r>
        <w:rPr>
          <w:rFonts w:hint="eastAsia" w:ascii="宋体" w:hAnsi="宋体"/>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．投标文件提交的截止时间</w:t>
      </w:r>
    </w:p>
    <w:p>
      <w:pPr>
        <w:spacing w:line="360" w:lineRule="auto"/>
        <w:ind w:firstLine="420" w:firstLineChars="200"/>
        <w:rPr>
          <w:rFonts w:ascii="宋体" w:hAnsi="宋体"/>
          <w:b/>
          <w:bCs/>
          <w:color w:val="auto"/>
          <w:szCs w:val="21"/>
          <w:highlight w:val="none"/>
        </w:rPr>
      </w:pPr>
      <w:r>
        <w:rPr>
          <w:rFonts w:ascii="宋体" w:hAnsi="宋体"/>
          <w:color w:val="auto"/>
          <w:szCs w:val="21"/>
          <w:highlight w:val="none"/>
        </w:rPr>
        <w:t>20.1</w:t>
      </w:r>
      <w:r>
        <w:rPr>
          <w:rFonts w:hint="eastAsia" w:ascii="宋体" w:hAnsi="宋体"/>
          <w:color w:val="auto"/>
          <w:szCs w:val="21"/>
          <w:highlight w:val="none"/>
        </w:rPr>
        <w:t>投标人应在投标须知前附表第17项所述的时间前提交投标文件。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20.2</w:t>
      </w:r>
      <w:r>
        <w:rPr>
          <w:rFonts w:hint="eastAsia" w:ascii="宋体" w:hAnsi="宋体"/>
          <w:color w:val="auto"/>
          <w:szCs w:val="21"/>
          <w:highlight w:val="none"/>
        </w:rPr>
        <w:t>招标人可按本须知第</w:t>
      </w:r>
      <w:r>
        <w:rPr>
          <w:rFonts w:ascii="宋体" w:hAnsi="宋体"/>
          <w:color w:val="auto"/>
          <w:szCs w:val="21"/>
          <w:highlight w:val="none"/>
        </w:rPr>
        <w:t>9</w:t>
      </w:r>
      <w:r>
        <w:rPr>
          <w:rFonts w:hint="eastAsia" w:ascii="宋体" w:hAnsi="宋体"/>
          <w:color w:val="auto"/>
          <w:szCs w:val="21"/>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20.3 </w:t>
      </w:r>
      <w:r>
        <w:rPr>
          <w:rFonts w:hint="eastAsia" w:ascii="宋体" w:hAnsi="宋体"/>
          <w:color w:val="auto"/>
          <w:szCs w:val="21"/>
          <w:highlight w:val="none"/>
        </w:rPr>
        <w:t>到投标截止时间止，招标人收到的投标文件少于3家的，招标人将重新组织招标（当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21</w:t>
      </w:r>
      <w:r>
        <w:rPr>
          <w:rFonts w:hint="eastAsia" w:ascii="宋体" w:hAnsi="宋体"/>
          <w:b/>
          <w:bCs/>
          <w:color w:val="auto"/>
          <w:szCs w:val="21"/>
          <w:highlight w:val="none"/>
        </w:rPr>
        <w:t>．迟交的投标文件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rPr>
        <w:t>交易平台将予以拒收。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22</w:t>
      </w:r>
      <w:r>
        <w:rPr>
          <w:rFonts w:hint="eastAsia" w:ascii="宋体" w:hAnsi="宋体"/>
          <w:b/>
          <w:bCs/>
          <w:color w:val="auto"/>
          <w:szCs w:val="21"/>
          <w:highlight w:val="none"/>
        </w:rPr>
        <w:t>．投标文件的修改与撤回</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在规定的投标截止时间前，投标人可以修改或撤回已递交的投标文件，但应以书面形式通知招标人。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22.2投标人修改或撤回已递交</w:t>
      </w:r>
      <w:r>
        <w:rPr>
          <w:rFonts w:hint="eastAsia" w:ascii="宋体" w:hAnsi="宋体"/>
          <w:color w:val="auto"/>
          <w:szCs w:val="21"/>
          <w:highlight w:val="none"/>
        </w:rPr>
        <w:t>的</w:t>
      </w:r>
      <w:r>
        <w:rPr>
          <w:rFonts w:ascii="宋体" w:hAnsi="宋体"/>
          <w:color w:val="auto"/>
          <w:szCs w:val="21"/>
          <w:highlight w:val="none"/>
        </w:rPr>
        <w:t>投标文件</w:t>
      </w:r>
      <w:r>
        <w:rPr>
          <w:rFonts w:hint="eastAsia" w:ascii="宋体" w:hAnsi="宋体"/>
          <w:color w:val="auto"/>
          <w:szCs w:val="21"/>
          <w:highlight w:val="none"/>
        </w:rPr>
        <w:t>，需在交易平台发出修改或撤回</w:t>
      </w:r>
      <w:r>
        <w:rPr>
          <w:rFonts w:ascii="宋体" w:hAnsi="宋体"/>
          <w:color w:val="auto"/>
          <w:szCs w:val="21"/>
          <w:highlight w:val="none"/>
        </w:rPr>
        <w:t>通知，</w:t>
      </w:r>
      <w:r>
        <w:rPr>
          <w:rFonts w:hint="eastAsia" w:ascii="宋体" w:hAnsi="宋体"/>
          <w:color w:val="auto"/>
          <w:szCs w:val="21"/>
          <w:highlight w:val="none"/>
        </w:rPr>
        <w:t>并按</w:t>
      </w:r>
      <w:r>
        <w:rPr>
          <w:rFonts w:ascii="宋体" w:hAnsi="宋体"/>
          <w:color w:val="auto"/>
          <w:szCs w:val="21"/>
          <w:highlight w:val="none"/>
        </w:rPr>
        <w:t>要求加盖电子印章。</w:t>
      </w:r>
      <w:r>
        <w:rPr>
          <w:rFonts w:ascii="宋体" w:hAnsi="宋体"/>
          <w:bCs/>
          <w:iCs/>
          <w:color w:val="auto"/>
          <w:szCs w:val="21"/>
          <w:highlight w:val="none"/>
        </w:rPr>
        <w:t>电子招标投标交易平台收到通知后，</w:t>
      </w:r>
      <w:r>
        <w:rPr>
          <w:rFonts w:ascii="宋体" w:hAnsi="宋体"/>
          <w:color w:val="auto"/>
          <w:szCs w:val="21"/>
          <w:highlight w:val="none"/>
        </w:rPr>
        <w:t>即时向投标人发出确认回执通知。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22.3修改后再次递交的，按19点的规定执行。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4在投标截止时间之后，投标人不得补充、修改和更换投标文件。</w:t>
      </w:r>
    </w:p>
    <w:p>
      <w:pPr>
        <w:pStyle w:val="6"/>
        <w:spacing w:before="156" w:after="156"/>
        <w:rPr>
          <w:color w:val="auto"/>
          <w:sz w:val="21"/>
          <w:szCs w:val="21"/>
          <w:highlight w:val="none"/>
        </w:rPr>
      </w:pPr>
      <w:bookmarkStart w:id="21" w:name="_Toc2774"/>
      <w:bookmarkStart w:id="22" w:name="_Toc21525497"/>
      <w:bookmarkStart w:id="23" w:name="_Toc2272553"/>
      <w:r>
        <w:rPr>
          <w:rFonts w:hint="eastAsia"/>
          <w:color w:val="auto"/>
          <w:sz w:val="21"/>
          <w:szCs w:val="21"/>
          <w:highlight w:val="none"/>
        </w:rPr>
        <w:t>（五）开标、评标、定标及合同签定</w:t>
      </w:r>
      <w:bookmarkEnd w:id="21"/>
      <w:bookmarkEnd w:id="22"/>
      <w:bookmarkEnd w:id="23"/>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23</w:t>
      </w:r>
      <w:r>
        <w:rPr>
          <w:rFonts w:hint="eastAsia" w:ascii="宋体" w:hAnsi="宋体"/>
          <w:b/>
          <w:bCs/>
          <w:color w:val="auto"/>
          <w:szCs w:val="21"/>
          <w:highlight w:val="none"/>
        </w:rPr>
        <w:t>、开标。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24</w:t>
      </w:r>
      <w:r>
        <w:rPr>
          <w:rFonts w:hint="eastAsia" w:ascii="宋体" w:hAnsi="宋体"/>
          <w:b/>
          <w:bCs/>
          <w:color w:val="auto"/>
          <w:szCs w:val="21"/>
          <w:highlight w:val="none"/>
        </w:rPr>
        <w:t>．评标过程的保密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24.1 </w:t>
      </w:r>
      <w:r>
        <w:rPr>
          <w:rFonts w:hint="eastAsia" w:ascii="宋体" w:hAnsi="宋体"/>
          <w:color w:val="auto"/>
          <w:szCs w:val="21"/>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24.2 </w:t>
      </w:r>
      <w:r>
        <w:rPr>
          <w:rFonts w:hint="eastAsia" w:ascii="宋体" w:hAnsi="宋体"/>
          <w:color w:val="auto"/>
          <w:szCs w:val="21"/>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25</w:t>
      </w:r>
      <w:r>
        <w:rPr>
          <w:rFonts w:hint="eastAsia" w:ascii="宋体" w:hAnsi="宋体"/>
          <w:b/>
          <w:bCs/>
          <w:color w:val="auto"/>
          <w:szCs w:val="21"/>
          <w:highlight w:val="none"/>
        </w:rPr>
        <w:t>．投标文件的澄清，计算错误的修正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26</w:t>
      </w:r>
      <w:r>
        <w:rPr>
          <w:rFonts w:hint="eastAsia" w:ascii="宋体" w:hAnsi="宋体"/>
          <w:b/>
          <w:bCs/>
          <w:color w:val="auto"/>
          <w:szCs w:val="21"/>
          <w:highlight w:val="none"/>
        </w:rPr>
        <w:t>．投标文件的评审、比较和否决</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27</w:t>
      </w:r>
      <w:r>
        <w:rPr>
          <w:rFonts w:hint="eastAsia" w:ascii="宋体" w:hAnsi="宋体"/>
          <w:b/>
          <w:bCs/>
          <w:color w:val="auto"/>
          <w:szCs w:val="21"/>
          <w:highlight w:val="none"/>
        </w:rPr>
        <w:t>．中标通知书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27.1</w:t>
      </w:r>
      <w:r>
        <w:rPr>
          <w:rFonts w:hint="eastAsia" w:ascii="宋体" w:hAnsi="宋体" w:cs="宋体"/>
          <w:bCs/>
          <w:color w:val="auto"/>
          <w:kern w:val="0"/>
          <w:szCs w:val="21"/>
          <w:highlight w:val="none"/>
        </w:rPr>
        <w:t>招标人将在交易平台、广东省招标投标监管网和中国招标投标公共服务平台公示中标候选人，公示期为三天。</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27.2</w:t>
      </w:r>
      <w:r>
        <w:rPr>
          <w:rFonts w:hint="eastAsia" w:ascii="宋体" w:hAnsi="宋体"/>
          <w:color w:val="auto"/>
          <w:szCs w:val="21"/>
          <w:highlight w:val="none"/>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27.3</w:t>
      </w:r>
      <w:r>
        <w:rPr>
          <w:rFonts w:hint="eastAsia" w:ascii="宋体" w:hAnsi="宋体"/>
          <w:color w:val="auto"/>
          <w:szCs w:val="21"/>
          <w:highlight w:val="none"/>
        </w:rPr>
        <w:t>中标人必须在收到中标通知书后</w:t>
      </w:r>
      <w:r>
        <w:rPr>
          <w:rFonts w:ascii="宋体" w:hAnsi="宋体"/>
          <w:color w:val="auto"/>
          <w:szCs w:val="21"/>
          <w:highlight w:val="none"/>
        </w:rPr>
        <w:t>24</w:t>
      </w:r>
      <w:r>
        <w:rPr>
          <w:rFonts w:hint="eastAsia" w:ascii="宋体" w:hAnsi="宋体"/>
          <w:color w:val="auto"/>
          <w:szCs w:val="21"/>
          <w:highlight w:val="none"/>
        </w:rPr>
        <w:t>小时之内以书面形式回复招标人，确认收到。</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27.4</w:t>
      </w:r>
      <w:r>
        <w:rPr>
          <w:rFonts w:hint="eastAsia" w:ascii="宋体" w:hAnsi="宋体" w:cs="宋体"/>
          <w:bCs/>
          <w:color w:val="auto"/>
          <w:kern w:val="0"/>
          <w:szCs w:val="21"/>
          <w:highlight w:val="none"/>
        </w:rPr>
        <w:t>在产生中标候选人后，招标人将中标候选人的投标文件商务部分文件的所有内容（包括</w:t>
      </w:r>
      <w:r>
        <w:rPr>
          <w:rFonts w:hint="eastAsia" w:ascii="宋体" w:hAnsi="宋体" w:cs="宋体"/>
          <w:b/>
          <w:bCs/>
          <w:color w:val="auto"/>
          <w:kern w:val="0"/>
          <w:szCs w:val="21"/>
          <w:highlight w:val="none"/>
        </w:rPr>
        <w:t>报价清单</w:t>
      </w:r>
      <w:r>
        <w:rPr>
          <w:rFonts w:hint="eastAsia" w:ascii="宋体" w:hAnsi="宋体" w:cs="宋体"/>
          <w:bCs/>
          <w:color w:val="auto"/>
          <w:kern w:val="0"/>
          <w:szCs w:val="21"/>
          <w:highlight w:val="none"/>
        </w:rPr>
        <w:t>、人员、业绩、奖项等资料）在交易平台和广东省招标投标监管网公开。</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28</w:t>
      </w:r>
      <w:r>
        <w:rPr>
          <w:rFonts w:hint="eastAsia" w:ascii="宋体" w:hAnsi="宋体"/>
          <w:b/>
          <w:bCs/>
          <w:color w:val="auto"/>
          <w:szCs w:val="21"/>
          <w:highlight w:val="none"/>
        </w:rPr>
        <w:t>．合同协议书的签订</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28.1 </w:t>
      </w:r>
      <w:r>
        <w:rPr>
          <w:rFonts w:hint="eastAsia" w:ascii="宋体" w:hAnsi="宋体"/>
          <w:color w:val="auto"/>
          <w:szCs w:val="21"/>
          <w:highlight w:val="none"/>
        </w:rPr>
        <w:t>招标人与中标人将于中标通知书发出之日起</w:t>
      </w:r>
      <w:r>
        <w:rPr>
          <w:rFonts w:ascii="宋体" w:hAnsi="宋体"/>
          <w:color w:val="auto"/>
          <w:szCs w:val="21"/>
          <w:highlight w:val="none"/>
        </w:rPr>
        <w:t>30</w:t>
      </w:r>
      <w:r>
        <w:rPr>
          <w:rFonts w:hint="eastAsia" w:ascii="宋体" w:hAnsi="宋体"/>
          <w:color w:val="auto"/>
          <w:szCs w:val="21"/>
          <w:highlight w:val="none"/>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28.3</w:t>
      </w:r>
      <w:r>
        <w:rPr>
          <w:rFonts w:hint="eastAsia" w:ascii="宋体" w:hAnsi="宋体"/>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28.4</w:t>
      </w:r>
      <w:r>
        <w:rPr>
          <w:rFonts w:hint="eastAsia" w:ascii="宋体" w:hAnsi="宋体"/>
          <w:color w:val="auto"/>
          <w:szCs w:val="21"/>
          <w:highlight w:val="none"/>
        </w:rPr>
        <w:t>招标人支付工程款时，中标人应按规定开具发票。</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29</w:t>
      </w:r>
      <w:r>
        <w:rPr>
          <w:rFonts w:hint="eastAsia" w:ascii="宋体" w:hAnsi="宋体"/>
          <w:b/>
          <w:bCs/>
          <w:color w:val="auto"/>
          <w:szCs w:val="21"/>
          <w:highlight w:val="none"/>
        </w:rPr>
        <w:t>．履约担保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29.1 </w:t>
      </w:r>
      <w:r>
        <w:rPr>
          <w:rFonts w:hint="eastAsia" w:ascii="宋体" w:hAnsi="宋体"/>
          <w:color w:val="auto"/>
          <w:szCs w:val="21"/>
          <w:highlight w:val="none"/>
        </w:rPr>
        <w:t>在收到中标通知书后的</w:t>
      </w:r>
      <w:r>
        <w:rPr>
          <w:rFonts w:ascii="宋体" w:hAnsi="宋体"/>
          <w:b/>
          <w:color w:val="auto"/>
          <w:szCs w:val="21"/>
          <w:highlight w:val="none"/>
        </w:rPr>
        <w:t>15</w:t>
      </w:r>
      <w:r>
        <w:rPr>
          <w:rFonts w:hint="eastAsia" w:ascii="宋体" w:hAnsi="宋体"/>
          <w:b/>
          <w:color w:val="auto"/>
          <w:szCs w:val="21"/>
          <w:highlight w:val="none"/>
        </w:rPr>
        <w:t>日</w:t>
      </w:r>
      <w:r>
        <w:rPr>
          <w:rFonts w:hint="eastAsia" w:ascii="宋体" w:hAnsi="宋体"/>
          <w:color w:val="auto"/>
          <w:szCs w:val="21"/>
          <w:highlight w:val="none"/>
        </w:rPr>
        <w:t>内，中标人应按本须知前附表第</w:t>
      </w:r>
      <w:r>
        <w:rPr>
          <w:rFonts w:ascii="宋体" w:hAnsi="宋体"/>
          <w:color w:val="auto"/>
          <w:szCs w:val="21"/>
          <w:highlight w:val="none"/>
        </w:rPr>
        <w:t>2</w:t>
      </w:r>
      <w:r>
        <w:rPr>
          <w:rFonts w:hint="eastAsia" w:ascii="宋体" w:hAnsi="宋体"/>
          <w:color w:val="auto"/>
          <w:szCs w:val="21"/>
          <w:highlight w:val="none"/>
        </w:rPr>
        <w:t>0项的规定向招标人提交履约担保。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29.2</w:t>
      </w:r>
      <w:r>
        <w:rPr>
          <w:rFonts w:hint="eastAsia" w:ascii="宋体" w:hAnsi="宋体"/>
          <w:color w:val="auto"/>
          <w:szCs w:val="21"/>
          <w:highlight w:val="none"/>
        </w:rPr>
        <w:t>中标通知书发出之日起</w:t>
      </w:r>
      <w:r>
        <w:rPr>
          <w:rFonts w:ascii="宋体" w:hAnsi="宋体"/>
          <w:color w:val="auto"/>
          <w:szCs w:val="21"/>
          <w:highlight w:val="none"/>
        </w:rPr>
        <w:t>15</w:t>
      </w:r>
      <w:r>
        <w:rPr>
          <w:rFonts w:hint="eastAsia" w:ascii="宋体" w:hAnsi="宋体"/>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30</w:t>
      </w:r>
      <w:r>
        <w:rPr>
          <w:rFonts w:hint="eastAsia" w:ascii="宋体" w:hAnsi="宋体"/>
          <w:b/>
          <w:bCs/>
          <w:color w:val="auto"/>
          <w:szCs w:val="21"/>
          <w:highlight w:val="none"/>
        </w:rPr>
        <w:t>．合同生效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30.1</w:t>
      </w:r>
      <w:r>
        <w:rPr>
          <w:rFonts w:hint="eastAsia" w:ascii="宋体" w:hAnsi="宋体"/>
          <w:color w:val="auto"/>
          <w:szCs w:val="21"/>
          <w:highlight w:val="none"/>
        </w:rPr>
        <w:t>在合同双方全权代表在合同协议书上签字，并分别加盖双方单位的公章后，合同正式生效。</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31</w:t>
      </w:r>
      <w:r>
        <w:rPr>
          <w:rFonts w:hint="eastAsia" w:ascii="宋体" w:hAnsi="宋体"/>
          <w:b/>
          <w:bCs/>
          <w:color w:val="auto"/>
          <w:szCs w:val="21"/>
          <w:highlight w:val="none"/>
        </w:rPr>
        <w:t>．其它费用</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32．腐败与欺诈行为</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在招标和合同实施期间，招标人要求投标人和承包人遵守最高的道德标准。</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32．1对本条款的规定，特定义如下词汇：</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1）、“腐败行为”是指在招标或合同执行期间，通过提供、给予、接受或索要任何有价值的东西，从而影响招标人有关人员工作的行为；</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32．2如果投标人被认定在本招标的竞争中有腐败或欺诈行为，则会被取消投标资格。</w:t>
      </w:r>
    </w:p>
    <w:p>
      <w:pPr>
        <w:pStyle w:val="36"/>
        <w:spacing w:after="0" w:line="360" w:lineRule="auto"/>
        <w:ind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32.3</w:t>
      </w:r>
      <w:r>
        <w:rPr>
          <w:rFonts w:hint="eastAsia" w:ascii="宋体" w:hAnsi="宋体" w:eastAsia="宋体" w:cs="宋体"/>
          <w:color w:val="auto"/>
          <w:sz w:val="21"/>
          <w:szCs w:val="21"/>
          <w:highlight w:val="none"/>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color w:val="auto"/>
          <w:kern w:val="2"/>
          <w:sz w:val="21"/>
          <w:szCs w:val="21"/>
          <w:highlight w:val="none"/>
        </w:rPr>
        <w:t>。</w:t>
      </w:r>
    </w:p>
    <w:p>
      <w:pPr>
        <w:spacing w:line="480" w:lineRule="auto"/>
        <w:ind w:firstLine="472" w:firstLineChars="224"/>
        <w:rPr>
          <w:rFonts w:ascii="宋体" w:hAnsi="宋体"/>
          <w:b/>
          <w:color w:val="auto"/>
          <w:szCs w:val="21"/>
          <w:highlight w:val="none"/>
        </w:rPr>
      </w:pPr>
      <w:r>
        <w:rPr>
          <w:rFonts w:hint="eastAsia" w:ascii="宋体" w:hAnsi="宋体"/>
          <w:b/>
          <w:color w:val="auto"/>
          <w:szCs w:val="21"/>
          <w:highlight w:val="none"/>
        </w:rPr>
        <w:t>33. 投标人信誉的要求</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存在下列情形之一的，招标人可以限制其投标（需在招标文件中明确评定方法）</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（1）被住房城乡建设行政主管部门在全国建筑市场监管一体化工作平台列入建筑市场主体“黑名单”；</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kern w:val="2"/>
          <w:sz w:val="21"/>
          <w:szCs w:val="21"/>
          <w:highlight w:val="none"/>
        </w:rPr>
        <w:t>被发改委、人力资源社会保障、质检总局等有关部门、单位在“信用中国”网站中列入联合惩戒失信黑名单。</w:t>
      </w:r>
    </w:p>
    <w:p>
      <w:pPr>
        <w:rPr>
          <w:rFonts w:ascii="宋体" w:hAnsi="宋体"/>
          <w:color w:val="auto"/>
          <w:szCs w:val="21"/>
          <w:highlight w:val="none"/>
        </w:rPr>
      </w:pPr>
      <w:r>
        <w:rPr>
          <w:rFonts w:hint="eastAsia" w:ascii="宋体" w:hAnsi="宋体"/>
          <w:color w:val="auto"/>
          <w:szCs w:val="21"/>
          <w:highlight w:val="none"/>
        </w:rPr>
        <w:br w:type="page"/>
      </w:r>
    </w:p>
    <w:p>
      <w:pPr>
        <w:pStyle w:val="4"/>
        <w:ind w:left="0" w:firstLine="0" w:firstLineChars="0"/>
        <w:rPr>
          <w:rFonts w:ascii="宋体" w:hAnsi="宋体"/>
          <w:color w:val="auto"/>
          <w:sz w:val="21"/>
          <w:szCs w:val="21"/>
          <w:highlight w:val="none"/>
        </w:rPr>
      </w:pPr>
      <w:bookmarkStart w:id="24" w:name="_Toc3404"/>
      <w:r>
        <w:rPr>
          <w:rFonts w:hint="eastAsia" w:ascii="宋体" w:hAnsi="宋体"/>
          <w:color w:val="auto"/>
          <w:sz w:val="21"/>
          <w:szCs w:val="21"/>
          <w:highlight w:val="none"/>
        </w:rPr>
        <w:t>第二章开标、评标及定标办法</w:t>
      </w:r>
      <w:bookmarkEnd w:id="24"/>
    </w:p>
    <w:p>
      <w:pPr>
        <w:pStyle w:val="4"/>
        <w:ind w:firstLine="186"/>
        <w:jc w:val="center"/>
        <w:rPr>
          <w:rFonts w:ascii="宋体" w:hAnsi="宋体"/>
          <w:color w:val="auto"/>
          <w:sz w:val="21"/>
          <w:szCs w:val="21"/>
          <w:highlight w:val="none"/>
        </w:rPr>
      </w:pPr>
      <w:bookmarkStart w:id="25" w:name="_Toc24279"/>
      <w:bookmarkStart w:id="26" w:name="_Toc6493837"/>
      <w:r>
        <w:rPr>
          <w:rFonts w:hint="eastAsia" w:ascii="宋体" w:hAnsi="宋体"/>
          <w:color w:val="auto"/>
          <w:sz w:val="21"/>
          <w:szCs w:val="21"/>
          <w:highlight w:val="none"/>
        </w:rPr>
        <w:t>一、开标、评标及定标办法修改表</w:t>
      </w:r>
      <w:bookmarkEnd w:id="25"/>
      <w:bookmarkEnd w:id="26"/>
    </w:p>
    <w:p>
      <w:pPr>
        <w:pStyle w:val="36"/>
        <w:spacing w:after="0" w:line="500" w:lineRule="exac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可选办法一</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可选办法一（适合综合评分法一，技术标与经济标先后分别开启）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可选办法二</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可选办法二（适合综合评分法一，技术标与经济标同时开启）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可选办法三</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可选办法三</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可选办法四</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可选办法四（适合综合评分法二，技术标与经济标同时开启）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可选办法五</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可选办法五（适合综合评分法三，技术标与经济标先后分别开启）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可选办法六</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可选办法六（适合综合评分法三，技术标与经济标同时开启）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可选办法八</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p>
    <w:p>
      <w:pPr>
        <w:spacing w:line="500" w:lineRule="exact"/>
        <w:ind w:firstLine="472" w:firstLineChars="224"/>
        <w:rPr>
          <w:rFonts w:ascii="宋体" w:hAnsi="宋体" w:cs="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 xml:space="preserve">36.1  </w:t>
      </w:r>
      <w:r>
        <w:rPr>
          <w:rFonts w:hint="eastAsia" w:ascii="宋体" w:hAnsi="宋体"/>
          <w:b/>
          <w:color w:val="auto"/>
          <w:szCs w:val="21"/>
          <w:highlight w:val="none"/>
        </w:rPr>
        <w:t>修改类型：修改</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5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500" w:lineRule="exact"/>
        <w:ind w:firstLine="472" w:firstLineChars="224"/>
        <w:rPr>
          <w:rFonts w:ascii="宋体" w:hAnsi="宋体" w:cs="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 xml:space="preserve">36.3  </w:t>
      </w:r>
      <w:r>
        <w:rPr>
          <w:rFonts w:hint="eastAsia" w:ascii="宋体" w:hAnsi="宋体"/>
          <w:b/>
          <w:color w:val="auto"/>
          <w:szCs w:val="21"/>
          <w:highlight w:val="none"/>
        </w:rPr>
        <w:t>修改类型：删除</w:t>
      </w:r>
    </w:p>
    <w:p>
      <w:pPr>
        <w:pBdr>
          <w:bottom w:val="single" w:color="auto" w:sz="6" w:space="1"/>
        </w:pBdr>
        <w:spacing w:line="5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36.</w:t>
      </w:r>
      <w:r>
        <w:rPr>
          <w:rFonts w:hint="eastAsia" w:ascii="宋体" w:hAnsi="宋体"/>
          <w:color w:val="auto"/>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36.5.1</w:t>
      </w:r>
      <w:r>
        <w:rPr>
          <w:rFonts w:hint="eastAsia" w:ascii="宋体" w:hAnsi="宋体"/>
          <w:b/>
          <w:color w:val="auto"/>
          <w:szCs w:val="21"/>
          <w:highlight w:val="none"/>
        </w:rPr>
        <w:t>修改类型：修改</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bCs/>
          <w:color w:val="auto"/>
          <w:szCs w:val="21"/>
          <w:highlight w:val="none"/>
        </w:rPr>
        <w:t>36.5.1</w:t>
      </w:r>
      <w:r>
        <w:rPr>
          <w:rFonts w:hint="eastAsia" w:ascii="宋体" w:hAnsi="宋体" w:cs="宋体"/>
          <w:bCs/>
          <w:color w:val="auto"/>
          <w:kern w:val="0"/>
          <w:szCs w:val="21"/>
          <w:highlight w:val="none"/>
        </w:rPr>
        <w:t>在投标截止时间后半小时内，投标人通过交易平台对已递交的电子投标文件进行解密。投标人完成解密后，再由招标人进行解密</w:t>
      </w:r>
      <w:r>
        <w:rPr>
          <w:rFonts w:hint="eastAsia" w:ascii="宋体" w:hAnsi="宋体" w:cs="宋体"/>
          <w:b/>
          <w:bCs/>
          <w:color w:val="auto"/>
          <w:kern w:val="0"/>
          <w:szCs w:val="21"/>
          <w:highlight w:val="none"/>
        </w:rPr>
        <w:t>（如有项目负责人签到环节，应在项目负责人签到完成后，招标人再进行解密）</w:t>
      </w:r>
      <w:r>
        <w:rPr>
          <w:rFonts w:hint="eastAsia" w:ascii="宋体" w:hAnsi="宋体" w:cs="宋体"/>
          <w:bCs/>
          <w:color w:val="auto"/>
          <w:kern w:val="0"/>
          <w:szCs w:val="21"/>
          <w:highlight w:val="none"/>
        </w:rPr>
        <w:t>。解密完成后，公布招标项目名称、投标人名称、投标保证金的递交情况、投标报价、工期及其他内容；</w:t>
      </w:r>
    </w:p>
    <w:p>
      <w:pPr>
        <w:pBdr>
          <w:bottom w:val="single" w:color="auto" w:sz="6" w:space="1"/>
        </w:pBdr>
        <w:spacing w:line="50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36.5.1在投标截止时间后半小时内，投标人通过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交易平台对已递交的电子投标文件进行解密。投标人完成解密后，再由招标人进行解密。解密完成后，公布招标项目名称、投标人名称、投标报价、工期及其他内容；</w:t>
      </w:r>
    </w:p>
    <w:p>
      <w:pPr>
        <w:spacing w:line="4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38.1            </w:t>
      </w:r>
      <w:r>
        <w:rPr>
          <w:rFonts w:hint="eastAsia" w:ascii="宋体" w:hAnsi="宋体"/>
          <w:b/>
          <w:color w:val="auto"/>
          <w:szCs w:val="21"/>
          <w:highlight w:val="none"/>
        </w:rPr>
        <w:t>修改类型：修改</w:t>
      </w:r>
    </w:p>
    <w:p>
      <w:pPr>
        <w:spacing w:line="40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0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38.1</w:t>
      </w:r>
      <w:r>
        <w:rPr>
          <w:rFonts w:hint="eastAsia" w:ascii="宋体" w:hAnsi="宋体" w:cs="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、对同类问题表述不一致、有明显文字和计算错误的内容以及细微偏差的</w:t>
      </w:r>
      <w:r>
        <w:rPr>
          <w:rFonts w:hint="eastAsia" w:ascii="宋体" w:hAnsi="宋体" w:cs="宋体"/>
          <w:color w:val="auto"/>
          <w:szCs w:val="21"/>
          <w:highlight w:val="none"/>
        </w:rPr>
        <w:t>内容作出澄清。</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39.3</w:t>
      </w:r>
      <w:r>
        <w:rPr>
          <w:rFonts w:ascii="宋体" w:hAnsi="宋体"/>
          <w:b/>
          <w:color w:val="auto"/>
          <w:szCs w:val="21"/>
          <w:highlight w:val="none"/>
        </w:rPr>
        <w:t xml:space="preserve">          </w:t>
      </w:r>
      <w:r>
        <w:rPr>
          <w:rFonts w:hint="eastAsia" w:ascii="宋体" w:hAnsi="宋体"/>
          <w:b/>
          <w:bCs/>
          <w:color w:val="auto"/>
          <w:szCs w:val="21"/>
          <w:highlight w:val="none"/>
        </w:rPr>
        <w:t>修改类型：修改</w:t>
      </w:r>
    </w:p>
    <w:p>
      <w:pPr>
        <w:spacing w:line="460" w:lineRule="exact"/>
        <w:ind w:firstLine="422" w:firstLineChars="200"/>
        <w:rPr>
          <w:rFonts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color w:val="auto"/>
          <w:szCs w:val="21"/>
          <w:highlight w:val="none"/>
        </w:rPr>
      </w:pPr>
      <w:r>
        <w:rPr>
          <w:rFonts w:hint="eastAsia"/>
          <w:b/>
          <w:bCs/>
          <w:color w:val="auto"/>
          <w:szCs w:val="21"/>
          <w:highlight w:val="none"/>
        </w:rPr>
        <w:t>现文：</w:t>
      </w:r>
      <w:r>
        <w:rPr>
          <w:rFonts w:hint="eastAsia"/>
          <w:color w:val="auto"/>
          <w:highlight w:val="none"/>
        </w:rPr>
        <w:t>39.3</w:t>
      </w:r>
      <w:r>
        <w:rPr>
          <w:rFonts w:hint="eastAsia"/>
          <w:color w:val="auto"/>
          <w:szCs w:val="21"/>
          <w:highlight w:val="none"/>
        </w:rPr>
        <w:t>排名第一的中标候选人放弃中标、或因不可抗力提出不能履行合同，或者招标文件规定应当提交履约担保而在规定的期限内未能提交的</w:t>
      </w:r>
      <w:r>
        <w:rPr>
          <w:rFonts w:hint="eastAsia"/>
          <w:color w:val="auto"/>
          <w:szCs w:val="21"/>
          <w:highlight w:val="none"/>
          <w:u w:val="single"/>
        </w:rPr>
        <w:t>，或经核查发现委派的项目负责人已在其他在建项目中任职的，或者被查实存在影响中标结果的违法行为等情形，不符合中标条件的，</w:t>
      </w:r>
      <w:r>
        <w:rPr>
          <w:rFonts w:hint="eastAsia"/>
          <w:color w:val="auto"/>
          <w:szCs w:val="21"/>
          <w:highlight w:val="none"/>
        </w:rPr>
        <w:t>招标人可以确定排名第二的中标候选人为中标人。</w:t>
      </w:r>
    </w:p>
    <w:p>
      <w:pPr>
        <w:widowControl/>
        <w:spacing w:line="400" w:lineRule="exact"/>
        <w:ind w:firstLine="517" w:firstLineChars="245"/>
        <w:jc w:val="left"/>
        <w:rPr>
          <w:rFonts w:ascii="宋体" w:hAnsi="宋体" w:cs="宋体"/>
          <w:color w:val="auto"/>
          <w:kern w:val="0"/>
          <w:szCs w:val="21"/>
          <w:highlight w:val="none"/>
        </w:rPr>
      </w:pPr>
      <w:r>
        <w:rPr>
          <w:rFonts w:hint="eastAsia" w:ascii="宋体" w:hAnsi="宋体"/>
          <w:b/>
          <w:color w:val="auto"/>
          <w:szCs w:val="21"/>
          <w:highlight w:val="none"/>
        </w:rPr>
        <w:t>条款号：（二）开标评标办法程序和细则</w:t>
      </w:r>
      <w:r>
        <w:rPr>
          <w:rFonts w:ascii="宋体" w:hAnsi="宋体"/>
          <w:b/>
          <w:color w:val="auto"/>
          <w:szCs w:val="21"/>
          <w:highlight w:val="none"/>
        </w:rPr>
        <w:t xml:space="preserve">注          </w:t>
      </w:r>
      <w:r>
        <w:rPr>
          <w:rFonts w:hint="eastAsia" w:ascii="宋体" w:hAnsi="宋体"/>
          <w:b/>
          <w:color w:val="auto"/>
          <w:szCs w:val="21"/>
          <w:highlight w:val="none"/>
        </w:rPr>
        <w:t>修改类型：删除</w:t>
      </w:r>
    </w:p>
    <w:p>
      <w:pPr>
        <w:pBdr>
          <w:bottom w:val="single" w:color="auto" w:sz="6" w:space="1"/>
        </w:pBdr>
        <w:spacing w:line="400" w:lineRule="exact"/>
        <w:ind w:firstLine="527" w:firstLineChars="250"/>
        <w:rPr>
          <w:rFonts w:ascii="宋体" w:hAnsi="宋体" w:cs="宋体"/>
          <w:color w:val="auto"/>
          <w:kern w:val="0"/>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w:t>
      </w:r>
      <w:r>
        <w:rPr>
          <w:rFonts w:ascii="宋体" w:hAnsi="宋体" w:cs="宋体"/>
          <w:color w:val="auto"/>
          <w:szCs w:val="21"/>
          <w:highlight w:val="none"/>
        </w:rPr>
        <w:t>60</w:t>
      </w:r>
      <w:r>
        <w:rPr>
          <w:rFonts w:hint="eastAsia" w:ascii="宋体" w:hAnsi="宋体" w:cs="宋体"/>
          <w:color w:val="auto"/>
          <w:szCs w:val="21"/>
          <w:highlight w:val="none"/>
        </w:rPr>
        <w:t>日诚信分</w:t>
      </w:r>
      <w:r>
        <w:rPr>
          <w:rFonts w:ascii="宋体" w:hAnsi="宋体" w:cs="宋体"/>
          <w:color w:val="auto"/>
          <w:szCs w:val="21"/>
          <w:highlight w:val="none"/>
        </w:rPr>
        <w:t>。</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4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开标前，首先由招标人随机抽取确定该工程计算评标参考价的等分点值X；</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条款号：41.2.3             修改类型：修改</w:t>
      </w:r>
    </w:p>
    <w:p>
      <w:pPr>
        <w:pBdr>
          <w:bottom w:val="single" w:color="auto" w:sz="6" w:space="1"/>
        </w:pBdr>
        <w:spacing w:line="4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开标时，投标人代表有权出席开标会，也可以自主决定不参加开标会，若投标人代表对开标过程提出异议，该投标人代表须同时出示本人身份证原件。</w:t>
      </w:r>
    </w:p>
    <w:p>
      <w:pPr>
        <w:pBdr>
          <w:bottom w:val="single" w:color="auto" w:sz="6" w:space="1"/>
        </w:pBdr>
        <w:spacing w:line="400" w:lineRule="exact"/>
        <w:ind w:firstLine="460" w:firstLineChars="218"/>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bCs/>
          <w:color w:val="auto"/>
          <w:kern w:val="0"/>
          <w:szCs w:val="21"/>
          <w:highlight w:val="none"/>
        </w:rPr>
        <w:t>开标时，投标人代表有权参加现场开标或</w:t>
      </w:r>
      <w:r>
        <w:rPr>
          <w:rFonts w:hint="eastAsia" w:ascii="宋体" w:hAnsi="宋体" w:cs="宋体"/>
          <w:b/>
          <w:bCs/>
          <w:color w:val="auto"/>
          <w:kern w:val="0"/>
          <w:szCs w:val="21"/>
          <w:highlight w:val="none"/>
          <w:u w:val="single"/>
        </w:rPr>
        <w:t>在线开标</w:t>
      </w:r>
      <w:r>
        <w:rPr>
          <w:rFonts w:hint="eastAsia" w:ascii="宋体" w:hAnsi="宋体" w:cs="宋体"/>
          <w:bCs/>
          <w:color w:val="auto"/>
          <w:kern w:val="0"/>
          <w:szCs w:val="21"/>
          <w:highlight w:val="none"/>
        </w:rPr>
        <w:t>，也可以自主决定不参加开标，若投标人代表对开标过程有异议的，</w:t>
      </w:r>
      <w:r>
        <w:rPr>
          <w:rFonts w:hint="eastAsia" w:ascii="宋体" w:hAnsi="宋体" w:cs="宋体"/>
          <w:b/>
          <w:bCs/>
          <w:color w:val="auto"/>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4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lang w:val="en-US" w:eastAsia="zh-CN"/>
        </w:rPr>
        <w:t>41.2.4.1</w:t>
      </w:r>
      <w:r>
        <w:rPr>
          <w:rFonts w:hint="eastAsia" w:ascii="宋体" w:hAnsi="宋体"/>
          <w:b/>
          <w:color w:val="auto"/>
          <w:szCs w:val="21"/>
          <w:highlight w:val="none"/>
        </w:rPr>
        <w:t xml:space="preserve">             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
          <w:color w:val="auto"/>
          <w:szCs w:val="21"/>
          <w:highlight w:val="none"/>
          <w:lang w:val="en-US" w:eastAsia="zh-CN"/>
        </w:rPr>
        <w:t>41.2.4.1</w:t>
      </w:r>
      <w:r>
        <w:rPr>
          <w:rFonts w:hint="eastAsia" w:ascii="宋体" w:hAnsi="宋体"/>
          <w:b w:val="0"/>
          <w:color w:val="auto"/>
          <w:szCs w:val="21"/>
          <w:highlight w:val="none"/>
          <w:lang w:val="en-US" w:eastAsia="zh-CN"/>
        </w:rPr>
        <w:t>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color w:val="auto"/>
          <w:szCs w:val="21"/>
          <w:highlight w:val="none"/>
        </w:rPr>
        <w:t>。</w:t>
      </w:r>
    </w:p>
    <w:p>
      <w:pPr>
        <w:pBdr>
          <w:bottom w:val="single" w:color="auto" w:sz="6" w:space="1"/>
        </w:pBdr>
        <w:spacing w:line="440" w:lineRule="exact"/>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
          <w:color w:val="auto"/>
          <w:szCs w:val="21"/>
          <w:highlight w:val="none"/>
          <w:lang w:val="en-US" w:eastAsia="zh-CN"/>
        </w:rPr>
        <w:t>41.2.4.1</w:t>
      </w:r>
      <w:r>
        <w:rPr>
          <w:rFonts w:hint="eastAsia" w:ascii="宋体" w:hAnsi="宋体" w:eastAsia="宋体" w:cs="Times New Roman"/>
          <w:b w:val="0"/>
          <w:color w:val="auto"/>
          <w:szCs w:val="21"/>
          <w:highlight w:val="none"/>
          <w:lang w:val="en-US" w:eastAsia="zh-CN"/>
        </w:rPr>
        <w:t>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r>
        <w:rPr>
          <w:rFonts w:hint="eastAsia" w:ascii="宋体" w:hAnsi="宋体"/>
          <w:color w:val="auto"/>
          <w:szCs w:val="21"/>
          <w:highlight w:val="none"/>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条款号：43.1            修改类型：修改</w:t>
      </w:r>
    </w:p>
    <w:p>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color w:val="auto"/>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pStyle w:val="36"/>
        <w:tabs>
          <w:tab w:val="left" w:pos="7380"/>
        </w:tabs>
        <w:snapToGrid w:val="0"/>
        <w:spacing w:after="0" w:line="360" w:lineRule="auto"/>
        <w:ind w:firstLine="422" w:firstLineChars="200"/>
        <w:rPr>
          <w:rFonts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原文：</w:t>
      </w:r>
      <w:r>
        <w:rPr>
          <w:rFonts w:hint="eastAsia" w:ascii="宋体" w:hAnsi="宋体" w:eastAsia="宋体" w:cs="宋体"/>
          <w:color w:val="auto"/>
          <w:kern w:val="2"/>
          <w:sz w:val="21"/>
          <w:szCs w:val="21"/>
          <w:highlight w:val="none"/>
        </w:rPr>
        <w:t>评标委员会的组成：方式。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 xml:space="preserve">。 </w:t>
      </w:r>
    </w:p>
    <w:p>
      <w:pPr>
        <w:pBdr>
          <w:bottom w:val="single" w:color="auto" w:sz="6" w:space="1"/>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auto"/>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条款号：44.2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技术标详细审查评分：评标委员会按照附表四《技术标详细审查评分表》的标准，对通过技术标有效性审查的投标文件技术标进行详细审查，评出技术分，</w:t>
      </w:r>
      <w:r>
        <w:rPr>
          <w:rFonts w:hint="eastAsia" w:ascii="宋体" w:hAnsi="宋体" w:cs="宋体"/>
          <w:color w:val="auto"/>
          <w:szCs w:val="21"/>
          <w:highlight w:val="none"/>
          <w:u w:val="single"/>
        </w:rPr>
        <w:t>投标人的技术分为各评标委员会成员的评分的算术平均值（若分数出现小数点时，保留小数点后二位，第三位小数四舍五入）</w:t>
      </w:r>
      <w:r>
        <w:rPr>
          <w:rFonts w:hint="eastAsia" w:ascii="宋体" w:hAnsi="宋体" w:cs="宋体"/>
          <w:color w:val="auto"/>
          <w:szCs w:val="21"/>
          <w:highlight w:val="none"/>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条款号：45.1             修改类型：修改</w:t>
      </w:r>
    </w:p>
    <w:p>
      <w:pPr>
        <w:pStyle w:val="36"/>
        <w:tabs>
          <w:tab w:val="left" w:pos="7380"/>
        </w:tabs>
        <w:spacing w:after="0" w:line="400" w:lineRule="exact"/>
        <w:ind w:firstLine="422" w:firstLineChars="200"/>
        <w:rPr>
          <w:rFonts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原文：</w:t>
      </w:r>
      <w:r>
        <w:rPr>
          <w:rFonts w:hint="eastAsia" w:ascii="宋体" w:hAnsi="宋体" w:eastAsia="宋体" w:cs="宋体"/>
          <w:color w:val="auto"/>
          <w:kern w:val="2"/>
          <w:sz w:val="21"/>
          <w:szCs w:val="21"/>
          <w:highlight w:val="none"/>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0"/>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若通过技术标有效性审查的投标人中所有投标报价均大于等于最高投标限价*</w:t>
      </w:r>
      <w:r>
        <w:rPr>
          <w:rFonts w:hint="eastAsia" w:ascii="宋体" w:hAnsi="宋体" w:cs="宋体"/>
          <w:color w:val="auto"/>
          <w:szCs w:val="21"/>
          <w:highlight w:val="none"/>
          <w:u w:val="single"/>
        </w:rPr>
        <w:t>100</w:t>
      </w:r>
      <w:r>
        <w:rPr>
          <w:rFonts w:hint="eastAsia" w:ascii="宋体" w:hAnsi="宋体" w:cs="宋体"/>
          <w:color w:val="auto"/>
          <w:szCs w:val="21"/>
          <w:highlight w:val="none"/>
        </w:rPr>
        <w:t>%（D的取值范围为[94,100],由招标人自主确定）的（具体金额为：</w:t>
      </w:r>
      <w:r>
        <w:rPr>
          <w:rFonts w:hint="eastAsia" w:ascii="宋体" w:hAnsi="宋体" w:cs="宋体"/>
          <w:color w:val="auto"/>
          <w:szCs w:val="21"/>
          <w:highlight w:val="none"/>
          <w:lang w:val="en-US" w:eastAsia="zh-CN"/>
        </w:rPr>
        <w:t>13464632.04</w:t>
      </w:r>
      <w:r>
        <w:rPr>
          <w:rFonts w:hint="eastAsia" w:ascii="宋体" w:hAnsi="宋体" w:cs="宋体"/>
          <w:color w:val="auto"/>
          <w:szCs w:val="21"/>
          <w:highlight w:val="none"/>
        </w:rPr>
        <w:t xml:space="preserve">元），则本项目招标失败，由招标人依法重新招标。 </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条款号：45.2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45.2按方法计算评标参考价：</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方法一：加权平均法 </w:t>
      </w:r>
      <w:r>
        <w:rPr>
          <w:rFonts w:hint="eastAsia" w:ascii="宋体" w:hAnsi="宋体" w:cs="宋体"/>
          <w:b/>
          <w:color w:val="auto"/>
          <w:szCs w:val="21"/>
          <w:highlight w:val="none"/>
        </w:rPr>
        <w:t xml:space="preserve">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原文：方法一：加权平均法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w:t>
      </w:r>
      <w:r>
        <w:rPr>
          <w:rFonts w:ascii="宋体" w:hAnsi="宋体" w:cs="宋体"/>
          <w:color w:val="auto"/>
          <w:szCs w:val="21"/>
          <w:highlight w:val="none"/>
        </w:rPr>
        <w:t>N</w:t>
      </w:r>
      <w:r>
        <w:rPr>
          <w:rFonts w:hint="eastAsia" w:ascii="宋体" w:hAnsi="宋体" w:cs="宋体"/>
          <w:color w:val="auto"/>
          <w:szCs w:val="21"/>
          <w:highlight w:val="none"/>
        </w:rPr>
        <w:t>名（N≥5，具体由招标人自定）的经济报价加权平均，计算评标参考价。公式如下：</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Σ（投标人的投标报价</w:t>
      </w:r>
      <w:r>
        <w:rPr>
          <w:rFonts w:ascii="宋体" w:hAnsi="宋体" w:cs="宋体"/>
          <w:color w:val="auto"/>
          <w:szCs w:val="21"/>
          <w:highlight w:val="none"/>
        </w:rPr>
        <w:t>*</w:t>
      </w:r>
      <w:r>
        <w:rPr>
          <w:rFonts w:hint="eastAsia" w:ascii="宋体" w:hAnsi="宋体" w:cs="宋体"/>
          <w:color w:val="auto"/>
          <w:szCs w:val="21"/>
          <w:highlight w:val="none"/>
        </w:rPr>
        <w:t>报价权重）。</w:t>
      </w:r>
    </w:p>
    <w:p>
      <w:pPr>
        <w:spacing w:line="10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现文：方法一：加权平均法</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通过技术标有效性审查的投标人的技术标得分前</w:t>
      </w:r>
      <w:r>
        <w:rPr>
          <w:rFonts w:ascii="宋体" w:hAnsi="宋体" w:cs="宋体"/>
          <w:color w:val="auto"/>
          <w:szCs w:val="21"/>
          <w:highlight w:val="none"/>
          <w:u w:val="single"/>
        </w:rPr>
        <w:t>5</w:t>
      </w:r>
      <w:r>
        <w:rPr>
          <w:rFonts w:hint="eastAsia" w:ascii="宋体" w:hAnsi="宋体" w:cs="宋体"/>
          <w:color w:val="auto"/>
          <w:szCs w:val="21"/>
          <w:highlight w:val="none"/>
          <w:u w:val="single"/>
        </w:rPr>
        <w:t>名（若满足前述条件的投标人大于等于</w:t>
      </w:r>
      <w:r>
        <w:rPr>
          <w:rFonts w:ascii="宋体" w:hAnsi="宋体" w:cs="宋体"/>
          <w:color w:val="auto"/>
          <w:szCs w:val="21"/>
          <w:highlight w:val="none"/>
          <w:u w:val="single"/>
        </w:rPr>
        <w:t>5</w:t>
      </w:r>
      <w:r>
        <w:rPr>
          <w:rFonts w:hint="eastAsia" w:ascii="宋体" w:hAnsi="宋体" w:cs="宋体"/>
          <w:color w:val="auto"/>
          <w:szCs w:val="21"/>
          <w:highlight w:val="none"/>
          <w:u w:val="single"/>
        </w:rPr>
        <w:t>家时</w:t>
      </w:r>
      <w:r>
        <w:rPr>
          <w:rFonts w:ascii="宋体" w:hAnsi="宋体" w:cs="宋体"/>
          <w:color w:val="auto"/>
          <w:szCs w:val="21"/>
          <w:highlight w:val="none"/>
          <w:u w:val="single"/>
        </w:rPr>
        <w:t>,N=5</w:t>
      </w:r>
      <w:r>
        <w:rPr>
          <w:rFonts w:hint="eastAsia" w:ascii="宋体" w:hAnsi="宋体" w:cs="宋体"/>
          <w:color w:val="auto"/>
          <w:szCs w:val="21"/>
          <w:highlight w:val="none"/>
          <w:u w:val="single"/>
        </w:rPr>
        <w:t>；若满足前述条件的投标人小于</w:t>
      </w:r>
      <w:r>
        <w:rPr>
          <w:rFonts w:ascii="宋体" w:hAnsi="宋体" w:cs="宋体"/>
          <w:color w:val="auto"/>
          <w:szCs w:val="21"/>
          <w:highlight w:val="none"/>
          <w:u w:val="single"/>
        </w:rPr>
        <w:t>5</w:t>
      </w:r>
      <w:r>
        <w:rPr>
          <w:rFonts w:hint="eastAsia" w:ascii="宋体" w:hAnsi="宋体" w:cs="宋体"/>
          <w:color w:val="auto"/>
          <w:szCs w:val="21"/>
          <w:highlight w:val="none"/>
          <w:u w:val="single"/>
        </w:rPr>
        <w:t>家时</w:t>
      </w:r>
      <w:r>
        <w:rPr>
          <w:rFonts w:ascii="宋体" w:hAnsi="宋体" w:cs="宋体"/>
          <w:color w:val="auto"/>
          <w:szCs w:val="21"/>
          <w:highlight w:val="none"/>
          <w:u w:val="single"/>
        </w:rPr>
        <w:t>,N=</w:t>
      </w:r>
      <w:r>
        <w:rPr>
          <w:rFonts w:hint="eastAsia" w:ascii="宋体" w:hAnsi="宋体" w:cs="宋体"/>
          <w:color w:val="auto"/>
          <w:szCs w:val="21"/>
          <w:highlight w:val="none"/>
          <w:u w:val="single"/>
        </w:rPr>
        <w:t>满足前述条件的投标人个数；若技术分相同</w:t>
      </w:r>
      <w:r>
        <w:rPr>
          <w:rFonts w:ascii="宋体" w:hAnsi="宋体" w:cs="宋体"/>
          <w:color w:val="auto"/>
          <w:szCs w:val="21"/>
          <w:highlight w:val="none"/>
          <w:u w:val="single"/>
        </w:rPr>
        <w:t>,</w:t>
      </w:r>
      <w:r>
        <w:rPr>
          <w:rFonts w:hint="eastAsia" w:ascii="宋体" w:hAnsi="宋体" w:cs="宋体"/>
          <w:color w:val="auto"/>
          <w:szCs w:val="21"/>
          <w:highlight w:val="none"/>
          <w:u w:val="single"/>
        </w:rPr>
        <w:t>则以报价较低的排前</w:t>
      </w:r>
      <w:r>
        <w:rPr>
          <w:rFonts w:hint="eastAsia"/>
          <w:color w:val="auto"/>
          <w:highlight w:val="none"/>
          <w:u w:val="single"/>
          <w:lang w:eastAsia="zh-CN"/>
        </w:rPr>
        <w:t>，</w:t>
      </w:r>
      <w:r>
        <w:rPr>
          <w:rFonts w:hint="eastAsia"/>
          <w:color w:val="auto"/>
          <w:highlight w:val="none"/>
          <w:u w:val="single"/>
        </w:rPr>
        <w:t>如仍存在相同情况，则对具有相同情况的投标人，由评标委员会采用记名投票方式决定先后顺序，确定投标人的排序。</w:t>
      </w:r>
      <w:r>
        <w:rPr>
          <w:rFonts w:hint="eastAsia" w:ascii="宋体" w:hAnsi="宋体" w:cs="宋体"/>
          <w:color w:val="auto"/>
          <w:szCs w:val="21"/>
          <w:highlight w:val="none"/>
          <w:u w:val="single"/>
        </w:rPr>
        <w:t>）的经济报价加权平均，计算评标参考价。公式如下：</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Σ（投标人的投标报价</w:t>
      </w:r>
      <w:r>
        <w:rPr>
          <w:rFonts w:ascii="宋体" w:hAnsi="宋体" w:cs="宋体"/>
          <w:color w:val="auto"/>
          <w:szCs w:val="21"/>
          <w:highlight w:val="none"/>
        </w:rPr>
        <w:t>*</w:t>
      </w:r>
      <w:r>
        <w:rPr>
          <w:rFonts w:hint="eastAsia" w:ascii="宋体" w:hAnsi="宋体" w:cs="宋体"/>
          <w:color w:val="auto"/>
          <w:szCs w:val="21"/>
          <w:highlight w:val="none"/>
        </w:rPr>
        <w:t>报价权重）。</w:t>
      </w:r>
    </w:p>
    <w:p>
      <w:pPr>
        <w:spacing w:line="10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pBdr>
          <w:bottom w:val="single" w:color="auto" w:sz="6" w:space="1"/>
        </w:pBdr>
        <w:spacing w:line="400" w:lineRule="exact"/>
        <w:rPr>
          <w:rFonts w:ascii="宋体" w:hAnsi="宋体" w:cs="宋体"/>
          <w:color w:val="auto"/>
          <w:szCs w:val="21"/>
          <w:highlight w:val="non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条款号：45.3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spacing w:line="38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hint="eastAsia" w:ascii="宋体" w:hAnsi="宋体"/>
          <w:color w:val="auto"/>
          <w:szCs w:val="21"/>
          <w:highlight w:val="none"/>
          <w:lang w:val="en-US" w:eastAsia="zh-CN"/>
        </w:rPr>
        <w:t>0.2</w:t>
      </w:r>
      <w:r>
        <w:rPr>
          <w:rFonts w:hint="eastAsia" w:ascii="宋体" w:hAnsi="宋体"/>
          <w:color w:val="auto"/>
          <w:szCs w:val="21"/>
          <w:highlight w:val="none"/>
        </w:rPr>
        <w:t>分，每低于评标参考价</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，扣0.</w:t>
      </w:r>
      <w:r>
        <w:rPr>
          <w:rFonts w:hint="eastAsia" w:ascii="宋体" w:hAnsi="宋体"/>
          <w:color w:val="auto"/>
          <w:szCs w:val="21"/>
          <w:highlight w:val="none"/>
          <w:lang w:val="en-US" w:eastAsia="zh-CN"/>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Bdr>
          <w:bottom w:val="single" w:color="auto" w:sz="6" w:space="1"/>
        </w:pBdr>
        <w:spacing w:line="500" w:lineRule="exact"/>
        <w:rPr>
          <w:rFonts w:ascii="宋体" w:hAnsi="宋体"/>
          <w:b/>
          <w:color w:val="auto"/>
          <w:szCs w:val="21"/>
          <w:highlight w:val="non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条款号：45.4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none" w:color="auto" w:sz="0" w:space="1"/>
          <w:left w:val="none" w:color="auto" w:sz="0" w:space="4"/>
          <w:bottom w:val="none" w:color="auto" w:sz="0" w:space="1"/>
          <w:right w:val="none" w:color="auto" w:sz="0" w:space="4"/>
        </w:pBdr>
        <w:spacing w:line="3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投标人总得分=技术得分</w:t>
      </w:r>
      <w:r>
        <w:rPr>
          <w:rFonts w:ascii="宋体" w:hAnsi="宋体" w:cs="宋体"/>
          <w:color w:val="auto"/>
          <w:szCs w:val="21"/>
          <w:highlight w:val="none"/>
          <w:u w:val="single"/>
        </w:rPr>
        <w:t>（</w:t>
      </w:r>
      <w:r>
        <w:rPr>
          <w:rFonts w:hint="eastAsia" w:ascii="宋体" w:hAnsi="宋体" w:cs="宋体"/>
          <w:color w:val="auto"/>
          <w:szCs w:val="21"/>
          <w:highlight w:val="none"/>
          <w:u w:val="single"/>
        </w:rPr>
        <w:t>满分</w:t>
      </w:r>
      <w:r>
        <w:rPr>
          <w:rFonts w:hint="eastAsia" w:ascii="宋体" w:hAnsi="宋体" w:cs="宋体"/>
          <w:color w:val="auto"/>
          <w:szCs w:val="21"/>
          <w:highlight w:val="none"/>
          <w:u w:val="single"/>
          <w:lang w:val="en-US" w:eastAsia="zh-CN"/>
        </w:rPr>
        <w:t>100</w:t>
      </w:r>
      <w:r>
        <w:rPr>
          <w:rFonts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技术</w:t>
      </w:r>
      <w:r>
        <w:rPr>
          <w:rFonts w:hint="eastAsia" w:ascii="宋体" w:hAnsi="宋体" w:cs="宋体"/>
          <w:color w:val="auto"/>
          <w:szCs w:val="21"/>
          <w:highlight w:val="none"/>
          <w:u w:val="single"/>
        </w:rPr>
        <w:t>得分权重(</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0%)＋经济得分×经济得分权重(80%)。</w:t>
      </w:r>
      <w:r>
        <w:rPr>
          <w:rFonts w:hint="eastAsia" w:ascii="宋体" w:hAnsi="宋体" w:cs="宋体"/>
          <w:color w:val="auto"/>
          <w:szCs w:val="21"/>
          <w:highlight w:val="none"/>
        </w:rPr>
        <w:t>总得分四舍五入保留两位小数。</w:t>
      </w:r>
      <w:r>
        <w:rPr>
          <w:rFonts w:hint="eastAsia" w:ascii="宋体" w:hAnsi="宋体" w:cs="宋体"/>
          <w:color w:val="auto"/>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p>
      <w:pPr>
        <w:pBdr>
          <w:bottom w:val="single" w:color="auto" w:sz="6" w:space="1"/>
        </w:pBdr>
        <w:spacing w:line="400" w:lineRule="exact"/>
        <w:rPr>
          <w:rFonts w:ascii="宋体" w:hAnsi="宋体" w:cs="宋体"/>
          <w:color w:val="auto"/>
          <w:szCs w:val="21"/>
          <w:highlight w:val="non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条款号：46.1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auto"/>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eastAsia="宋体" w:cs="宋体"/>
          <w:b/>
          <w:bCs/>
          <w:color w:val="auto"/>
          <w:kern w:val="2"/>
          <w:sz w:val="21"/>
          <w:szCs w:val="21"/>
          <w:highlight w:val="none"/>
        </w:rPr>
        <w:t>46.2.8</w:t>
      </w:r>
      <w:r>
        <w:rPr>
          <w:rFonts w:hint="eastAsia" w:ascii="宋体" w:hAnsi="宋体" w:cs="宋体"/>
          <w:b/>
          <w:color w:val="auto"/>
          <w:szCs w:val="21"/>
          <w:highlight w:val="none"/>
        </w:rPr>
        <w:t xml:space="preserve">            修改类型：修改</w:t>
      </w:r>
    </w:p>
    <w:p>
      <w:pPr>
        <w:snapToGrid w:val="0"/>
        <w:spacing w:line="400" w:lineRule="exact"/>
        <w:ind w:firstLine="422" w:firstLineChars="200"/>
        <w:rPr>
          <w:rFonts w:ascii="宋体" w:hAnsi="宋体" w:cs="宋体"/>
          <w:color w:val="auto"/>
          <w:szCs w:val="21"/>
          <w:highlight w:val="none"/>
        </w:rPr>
      </w:pPr>
      <w:r>
        <w:rPr>
          <w:rFonts w:hint="eastAsia" w:ascii="宋体" w:hAnsi="宋体" w:eastAsia="宋体" w:cs="宋体"/>
          <w:b/>
          <w:color w:val="auto"/>
          <w:kern w:val="2"/>
          <w:sz w:val="21"/>
          <w:szCs w:val="21"/>
          <w:highlight w:val="none"/>
        </w:rPr>
        <w:t>原文：</w:t>
      </w:r>
      <w:r>
        <w:rPr>
          <w:rFonts w:hint="eastAsia" w:ascii="宋体" w:hAnsi="宋体" w:eastAsia="宋体" w:cs="宋体"/>
          <w:b/>
          <w:bCs/>
          <w:color w:val="auto"/>
          <w:kern w:val="2"/>
          <w:sz w:val="21"/>
          <w:szCs w:val="21"/>
          <w:highlight w:val="none"/>
        </w:rPr>
        <w:t>46.2.8</w:t>
      </w:r>
      <w:r>
        <w:rPr>
          <w:rFonts w:hint="eastAsia" w:ascii="宋体" w:hAnsi="宋体" w:eastAsia="宋体" w:cs="宋体"/>
          <w:color w:val="auto"/>
          <w:kern w:val="2"/>
          <w:sz w:val="21"/>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r>
        <w:rPr>
          <w:rFonts w:hint="eastAsia" w:ascii="宋体" w:hAnsi="宋体" w:cs="宋体"/>
          <w:color w:val="auto"/>
          <w:szCs w:val="21"/>
          <w:highlight w:val="none"/>
        </w:rPr>
        <w:t>。</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b/>
          <w:bCs/>
          <w:color w:val="auto"/>
          <w:kern w:val="2"/>
          <w:sz w:val="21"/>
          <w:szCs w:val="21"/>
          <w:highlight w:val="none"/>
        </w:rPr>
        <w:t>46.2.8</w:t>
      </w:r>
      <w:r>
        <w:rPr>
          <w:rFonts w:hint="eastAsia" w:ascii="宋体" w:hAnsi="宋体" w:eastAsia="宋体" w:cs="宋体"/>
          <w:color w:val="auto"/>
          <w:kern w:val="2"/>
          <w:sz w:val="21"/>
          <w:szCs w:val="21"/>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cs="宋体"/>
          <w:color w:val="auto"/>
          <w:szCs w:val="21"/>
          <w:highlight w:val="none"/>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方法一：加权平均法 </w:t>
      </w:r>
      <w:r>
        <w:rPr>
          <w:rFonts w:hint="eastAsia" w:ascii="宋体" w:hAnsi="宋体" w:cs="宋体"/>
          <w:b/>
          <w:color w:val="auto"/>
          <w:szCs w:val="21"/>
          <w:highlight w:val="none"/>
        </w:rPr>
        <w:t xml:space="preserve">           修改类型：修改</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 修改类型：修改</w:t>
      </w:r>
    </w:p>
    <w:p>
      <w:pPr>
        <w:pBdr>
          <w:bottom w:val="single" w:color="auto" w:sz="6" w:space="1"/>
        </w:pBdr>
        <w:spacing w:line="500" w:lineRule="exact"/>
        <w:ind w:firstLine="413" w:firstLineChars="196"/>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500" w:lineRule="exact"/>
        <w:ind w:firstLine="413" w:firstLineChars="196"/>
        <w:rPr>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详见本招标文件附表一：《资格审查表》    附表二：《技术标有效性审查表》   附表三：《经济标有效性审查表》   附表四：《技术标详细审查评分表》</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条款号：附表五：（适用于区间抽取法） 《经济标评分表》            修改类型：删除</w:t>
      </w:r>
    </w:p>
    <w:p>
      <w:pPr>
        <w:pBdr>
          <w:bottom w:val="single" w:color="auto" w:sz="6" w:space="1"/>
        </w:pBdr>
        <w:tabs>
          <w:tab w:val="center" w:pos="4536"/>
        </w:tabs>
        <w:spacing w:line="500" w:lineRule="exact"/>
        <w:ind w:firstLine="422" w:firstLineChars="200"/>
        <w:rPr>
          <w:rFonts w:ascii="宋体" w:hAnsi="宋体"/>
          <w:color w:val="auto"/>
          <w:szCs w:val="21"/>
          <w:highlight w:val="none"/>
          <w:u w:val="single"/>
        </w:rPr>
      </w:pPr>
      <w:r>
        <w:rPr>
          <w:rFonts w:hint="eastAsia" w:ascii="宋体" w:hAnsi="宋体"/>
          <w:b/>
          <w:color w:val="auto"/>
          <w:szCs w:val="21"/>
          <w:highlight w:val="none"/>
        </w:rPr>
        <w:t>原文：</w:t>
      </w:r>
      <w:r>
        <w:rPr>
          <w:rFonts w:hint="eastAsia" w:ascii="宋体" w:hAnsi="宋体" w:cs="宋体"/>
          <w:color w:val="auto"/>
          <w:szCs w:val="21"/>
          <w:highlight w:val="none"/>
        </w:rPr>
        <w:t>详见原范本附表五：（适用于区间抽取法）《经济标评分表》</w:t>
      </w:r>
    </w:p>
    <w:p>
      <w:pPr>
        <w:spacing w:line="5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500" w:lineRule="exact"/>
        <w:rPr>
          <w:rFonts w:ascii="宋体" w:hAnsi="宋体" w:cs="宋体"/>
          <w:color w:val="auto"/>
          <w:szCs w:val="21"/>
          <w:highlight w:val="none"/>
        </w:rPr>
      </w:pPr>
      <w:r>
        <w:rPr>
          <w:rFonts w:hint="eastAsia" w:ascii="宋体" w:hAnsi="宋体" w:cs="宋体"/>
          <w:b/>
          <w:color w:val="auto"/>
          <w:szCs w:val="21"/>
          <w:highlight w:val="none"/>
        </w:rPr>
        <w:t>（以下无正文）</w:t>
      </w:r>
    </w:p>
    <w:p>
      <w:pPr>
        <w:pStyle w:val="4"/>
        <w:ind w:firstLine="186"/>
        <w:jc w:val="center"/>
        <w:rPr>
          <w:rFonts w:ascii="宋体" w:hAnsi="宋体"/>
          <w:color w:val="auto"/>
          <w:sz w:val="21"/>
          <w:szCs w:val="21"/>
          <w:highlight w:val="none"/>
        </w:rPr>
      </w:pPr>
      <w:r>
        <w:rPr>
          <w:rFonts w:hint="eastAsia" w:ascii="宋体" w:hAnsi="宋体" w:cs="宋体"/>
          <w:color w:val="auto"/>
          <w:sz w:val="21"/>
          <w:szCs w:val="21"/>
          <w:highlight w:val="none"/>
        </w:rPr>
        <w:br w:type="page"/>
      </w:r>
      <w:bookmarkStart w:id="27" w:name="_Toc2272556"/>
      <w:bookmarkStart w:id="28" w:name="_Toc21525500"/>
      <w:bookmarkStart w:id="29" w:name="_Toc1309"/>
      <w:bookmarkStart w:id="30" w:name="_Toc2272564"/>
      <w:r>
        <w:rPr>
          <w:rFonts w:hint="eastAsia" w:ascii="宋体" w:hAnsi="宋体"/>
          <w:color w:val="auto"/>
          <w:sz w:val="21"/>
          <w:szCs w:val="21"/>
          <w:highlight w:val="none"/>
        </w:rPr>
        <w:t>二、开标、评标及定标办法通用条款</w:t>
      </w:r>
      <w:bookmarkEnd w:id="27"/>
      <w:bookmarkEnd w:id="28"/>
      <w:bookmarkEnd w:id="29"/>
    </w:p>
    <w:p>
      <w:pPr>
        <w:pStyle w:val="6"/>
        <w:spacing w:before="156" w:after="156"/>
        <w:ind w:firstLine="420" w:firstLineChars="200"/>
        <w:rPr>
          <w:color w:val="auto"/>
          <w:sz w:val="21"/>
          <w:szCs w:val="21"/>
          <w:highlight w:val="none"/>
        </w:rPr>
      </w:pPr>
      <w:bookmarkStart w:id="31" w:name="_Toc2272557"/>
      <w:bookmarkStart w:id="32" w:name="_Toc21525501"/>
      <w:bookmarkStart w:id="33" w:name="_Toc4232"/>
      <w:bookmarkStart w:id="34" w:name="_Toc21525502"/>
      <w:bookmarkStart w:id="35" w:name="_Toc2272558"/>
      <w:r>
        <w:rPr>
          <w:rFonts w:hint="eastAsia"/>
          <w:color w:val="auto"/>
          <w:sz w:val="21"/>
          <w:szCs w:val="21"/>
          <w:highlight w:val="none"/>
        </w:rPr>
        <w:t>（一）总则</w:t>
      </w:r>
      <w:bookmarkEnd w:id="31"/>
      <w:bookmarkEnd w:id="32"/>
      <w:bookmarkEnd w:id="33"/>
    </w:p>
    <w:p>
      <w:pPr>
        <w:spacing w:line="360" w:lineRule="auto"/>
        <w:ind w:firstLine="420" w:firstLineChars="200"/>
        <w:rPr>
          <w:rFonts w:ascii="宋体" w:hAnsi="宋体"/>
          <w:b/>
          <w:color w:val="auto"/>
          <w:szCs w:val="21"/>
          <w:highlight w:val="none"/>
        </w:rPr>
      </w:pPr>
      <w:r>
        <w:rPr>
          <w:rFonts w:ascii="宋体" w:hAnsi="宋体"/>
          <w:color w:val="auto"/>
          <w:szCs w:val="21"/>
          <w:highlight w:val="none"/>
        </w:rPr>
        <w:t xml:space="preserve">35 </w:t>
      </w:r>
      <w:r>
        <w:rPr>
          <w:rFonts w:hint="eastAsia" w:ascii="宋体" w:hAnsi="宋体"/>
          <w:color w:val="auto"/>
          <w:szCs w:val="21"/>
          <w:highlight w:val="none"/>
        </w:rPr>
        <w:t>开标、评标及定标所依据的规则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《中华人民共和国招标投标法》；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《中华人民共和国招标投标法实施条例》；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35.3</w:t>
      </w:r>
      <w:r>
        <w:rPr>
          <w:rFonts w:hint="eastAsia" w:ascii="宋体" w:hAnsi="宋体"/>
          <w:color w:val="auto"/>
          <w:szCs w:val="21"/>
          <w:highlight w:val="none"/>
        </w:rPr>
        <w:t>《评标委员会和评标方法暂行规定》（七部委第</w:t>
      </w:r>
      <w:r>
        <w:rPr>
          <w:rFonts w:ascii="宋体" w:hAnsi="宋体"/>
          <w:color w:val="auto"/>
          <w:szCs w:val="21"/>
          <w:highlight w:val="none"/>
        </w:rPr>
        <w:t>12</w:t>
      </w:r>
      <w:r>
        <w:rPr>
          <w:rFonts w:hint="eastAsia" w:ascii="宋体" w:hAnsi="宋体"/>
          <w:color w:val="auto"/>
          <w:szCs w:val="21"/>
          <w:highlight w:val="none"/>
        </w:rPr>
        <w:t>号令）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35.4</w:t>
      </w:r>
      <w:r>
        <w:rPr>
          <w:rFonts w:hint="eastAsia" w:ascii="宋体" w:hAnsi="宋体"/>
          <w:color w:val="auto"/>
          <w:szCs w:val="21"/>
          <w:highlight w:val="none"/>
        </w:rPr>
        <w:t>《工程建设项目施工招标投标办法》（七部委</w:t>
      </w:r>
      <w:r>
        <w:rPr>
          <w:rFonts w:ascii="宋体" w:hAnsi="宋体"/>
          <w:color w:val="auto"/>
          <w:szCs w:val="21"/>
          <w:highlight w:val="none"/>
        </w:rPr>
        <w:t>2003</w:t>
      </w:r>
      <w:r>
        <w:rPr>
          <w:rFonts w:hint="eastAsia" w:ascii="宋体" w:hAnsi="宋体"/>
          <w:color w:val="auto"/>
          <w:szCs w:val="21"/>
          <w:highlight w:val="none"/>
        </w:rPr>
        <w:t>年第</w:t>
      </w:r>
      <w:r>
        <w:rPr>
          <w:rFonts w:ascii="宋体" w:hAnsi="宋体"/>
          <w:color w:val="auto"/>
          <w:szCs w:val="21"/>
          <w:highlight w:val="none"/>
        </w:rPr>
        <w:t>30</w:t>
      </w:r>
      <w:r>
        <w:rPr>
          <w:rFonts w:hint="eastAsia" w:ascii="宋体" w:hAnsi="宋体"/>
          <w:color w:val="auto"/>
          <w:szCs w:val="21"/>
          <w:highlight w:val="none"/>
        </w:rPr>
        <w:t>号令）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35.5</w:t>
      </w:r>
      <w:r>
        <w:rPr>
          <w:rFonts w:hint="eastAsia" w:ascii="宋体" w:hAnsi="宋体"/>
          <w:color w:val="auto"/>
          <w:szCs w:val="21"/>
          <w:highlight w:val="none"/>
        </w:rPr>
        <w:t>《广东省实施〈中华人民共和国招标投标法〉办法》；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35.6</w:t>
      </w:r>
      <w:r>
        <w:rPr>
          <w:rFonts w:hint="eastAsia" w:ascii="宋体" w:hAnsi="宋体"/>
          <w:color w:val="auto"/>
          <w:szCs w:val="21"/>
          <w:highlight w:val="none"/>
        </w:rPr>
        <w:t>《房屋建筑和市政基础设施工程施工招标投标管理办法》（建设部令第</w:t>
      </w:r>
      <w:r>
        <w:rPr>
          <w:rFonts w:ascii="宋体" w:hAnsi="宋体"/>
          <w:color w:val="auto"/>
          <w:szCs w:val="21"/>
          <w:highlight w:val="none"/>
        </w:rPr>
        <w:t>89</w:t>
      </w:r>
      <w:r>
        <w:rPr>
          <w:rFonts w:hint="eastAsia" w:ascii="宋体" w:hAnsi="宋体"/>
          <w:color w:val="auto"/>
          <w:szCs w:val="21"/>
          <w:highlight w:val="none"/>
        </w:rPr>
        <w:t>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35.7</w:t>
      </w:r>
      <w:r>
        <w:rPr>
          <w:rFonts w:hint="eastAsia" w:ascii="宋体" w:hAnsi="宋体"/>
          <w:color w:val="auto"/>
          <w:szCs w:val="21"/>
          <w:highlight w:val="none"/>
        </w:rPr>
        <w:t>《广东省加强建设工程招标投标监督管理的若干规定》（粤发[2004]4号）；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w:t>
      </w:r>
      <w:r>
        <w:rPr>
          <w:rFonts w:hint="eastAsia" w:ascii="宋体" w:hAnsi="宋体"/>
          <w:color w:val="auto"/>
          <w:szCs w:val="21"/>
          <w:highlight w:val="none"/>
        </w:rPr>
        <w:t>8《广州市工程建设项目招标投标管理办法》（穗府办规〔2017〕5号）。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35.9本项目招标文件。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w:t>
      </w:r>
      <w:r>
        <w:rPr>
          <w:rFonts w:hint="eastAsia" w:ascii="宋体" w:hAnsi="宋体"/>
          <w:color w:val="auto"/>
          <w:szCs w:val="21"/>
          <w:highlight w:val="none"/>
        </w:rPr>
        <w:t>．开标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 xml:space="preserve"> 招标人在招标文件要求提交投标文件的截止时间前收到的投标文件，开标时都当众予以解密、公布。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36.4若递交投标文件的投标人不足3家，则重新组织招标。（当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36.5按下列程序进行开标：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36.5.4开标结束。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rPr>
        <w:t>．评标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评标委员会由招标人依法组建。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评标委员会的职责及守则：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37.2.1</w:t>
      </w:r>
      <w:r>
        <w:rPr>
          <w:rFonts w:hint="eastAsia" w:ascii="宋体" w:hAnsi="宋体"/>
          <w:color w:val="auto"/>
          <w:szCs w:val="21"/>
          <w:highlight w:val="none"/>
        </w:rPr>
        <w:t>根据评标细则，对投标文件进行认真评审，完成评审报告；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37.2.2</w:t>
      </w:r>
      <w:r>
        <w:rPr>
          <w:rFonts w:hint="eastAsia" w:ascii="宋体" w:hAnsi="宋体"/>
          <w:color w:val="auto"/>
          <w:szCs w:val="21"/>
          <w:highlight w:val="none"/>
        </w:rPr>
        <w:t>向招标人报告评审意见，推荐合格的中标候选人。</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37.2.3</w:t>
      </w:r>
      <w:r>
        <w:rPr>
          <w:rFonts w:hint="eastAsia" w:ascii="宋体" w:hAnsi="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37.2.4</w:t>
      </w:r>
      <w:r>
        <w:rPr>
          <w:rFonts w:hint="eastAsia" w:ascii="宋体" w:hAnsi="宋体"/>
          <w:color w:val="auto"/>
          <w:szCs w:val="21"/>
          <w:highlight w:val="none"/>
        </w:rPr>
        <w:t>全体参与评标人员：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37.2.4.1 </w:t>
      </w:r>
      <w:r>
        <w:rPr>
          <w:rFonts w:hint="eastAsia" w:ascii="宋体" w:hAnsi="宋体"/>
          <w:color w:val="auto"/>
          <w:szCs w:val="21"/>
          <w:highlight w:val="none"/>
        </w:rPr>
        <w:t>必须遵守评标纪律、不得泄密；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37.2.4.2 </w:t>
      </w:r>
      <w:r>
        <w:rPr>
          <w:rFonts w:hint="eastAsia" w:ascii="宋体" w:hAnsi="宋体"/>
          <w:color w:val="auto"/>
          <w:szCs w:val="21"/>
          <w:highlight w:val="none"/>
        </w:rPr>
        <w:t>必须公正、不得循私；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37.2.4.3 </w:t>
      </w:r>
      <w:r>
        <w:rPr>
          <w:rFonts w:hint="eastAsia" w:ascii="宋体" w:hAnsi="宋体"/>
          <w:color w:val="auto"/>
          <w:szCs w:val="21"/>
          <w:highlight w:val="none"/>
        </w:rPr>
        <w:t>必须科学、不得草率；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37.2.4.4 </w:t>
      </w:r>
      <w:r>
        <w:rPr>
          <w:rFonts w:hint="eastAsia" w:ascii="宋体" w:hAnsi="宋体"/>
          <w:color w:val="auto"/>
          <w:szCs w:val="21"/>
          <w:highlight w:val="none"/>
        </w:rPr>
        <w:t>必须客观、不得带有成见；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37.2.4.5 </w:t>
      </w:r>
      <w:r>
        <w:rPr>
          <w:rFonts w:hint="eastAsia" w:ascii="宋体" w:hAnsi="宋体"/>
          <w:color w:val="auto"/>
          <w:szCs w:val="21"/>
          <w:highlight w:val="none"/>
        </w:rPr>
        <w:t>必须平等、不得强加于人；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37.2.4.6 </w:t>
      </w:r>
      <w:r>
        <w:rPr>
          <w:rFonts w:hint="eastAsia" w:ascii="宋体" w:hAnsi="宋体"/>
          <w:color w:val="auto"/>
          <w:szCs w:val="21"/>
          <w:highlight w:val="none"/>
        </w:rPr>
        <w:t>必须严谨、不得随意马虎。</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37.3 </w:t>
      </w:r>
      <w:r>
        <w:rPr>
          <w:rFonts w:hint="eastAsia" w:ascii="宋体" w:hAnsi="宋体"/>
          <w:color w:val="auto"/>
          <w:szCs w:val="21"/>
          <w:highlight w:val="none"/>
        </w:rPr>
        <w:t>评标结束后，评标委员会递交评标报告并依法推荐中标候选人。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w:t>
      </w:r>
      <w:r>
        <w:rPr>
          <w:rFonts w:hint="eastAsia" w:ascii="宋体" w:hAnsi="宋体"/>
          <w:color w:val="auto"/>
          <w:szCs w:val="21"/>
          <w:highlight w:val="none"/>
        </w:rPr>
        <w:t>．投标文件的澄清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38.2 </w:t>
      </w:r>
      <w:r>
        <w:rPr>
          <w:rFonts w:hint="eastAsia" w:ascii="宋体" w:hAnsi="宋体"/>
          <w:color w:val="auto"/>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38.3 </w:t>
      </w:r>
      <w:r>
        <w:rPr>
          <w:rFonts w:hint="eastAsia" w:ascii="宋体" w:hAnsi="宋体"/>
          <w:color w:val="auto"/>
          <w:szCs w:val="21"/>
          <w:highlight w:val="none"/>
        </w:rPr>
        <w:t>评标委员会或评标委员会专业评审组成员均应当阅读投标人的澄清，但应独立参考澄清对投标文件进行评审。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38.4</w:t>
      </w:r>
      <w:r>
        <w:rPr>
          <w:rFonts w:hint="eastAsia" w:ascii="宋体" w:hAnsi="宋体"/>
          <w:color w:val="auto"/>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w:t>
      </w:r>
      <w:r>
        <w:rPr>
          <w:rFonts w:hint="eastAsia" w:ascii="宋体" w:hAnsi="宋体"/>
          <w:color w:val="auto"/>
          <w:szCs w:val="21"/>
          <w:highlight w:val="none"/>
        </w:rPr>
        <w:t>．定标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招标人根据评标委员会递交的评标报告，最终审定中标人。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39.2 </w:t>
      </w:r>
      <w:r>
        <w:rPr>
          <w:rFonts w:hint="eastAsia" w:ascii="宋体" w:hAnsi="宋体"/>
          <w:color w:val="auto"/>
          <w:szCs w:val="21"/>
          <w:highlight w:val="none"/>
        </w:rPr>
        <w:t>依法必须进行公开招标的项目，招标人应当确定排名第一的中标候选人为中标人。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39.4</w:t>
      </w:r>
      <w:r>
        <w:rPr>
          <w:rFonts w:hint="eastAsia" w:ascii="宋体" w:hAnsi="宋体"/>
          <w:color w:val="auto"/>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bookmarkEnd w:id="34"/>
    <w:bookmarkEnd w:id="35"/>
    <w:p>
      <w:pPr>
        <w:pStyle w:val="6"/>
        <w:spacing w:before="156" w:after="156"/>
        <w:ind w:firstLine="420" w:firstLineChars="200"/>
        <w:rPr>
          <w:color w:val="auto"/>
          <w:sz w:val="21"/>
          <w:szCs w:val="21"/>
          <w:highlight w:val="none"/>
        </w:rPr>
      </w:pPr>
      <w:bookmarkStart w:id="36" w:name="_Toc18118"/>
      <w:r>
        <w:rPr>
          <w:rFonts w:hint="eastAsia"/>
          <w:color w:val="auto"/>
          <w:sz w:val="21"/>
          <w:szCs w:val="21"/>
          <w:highlight w:val="none"/>
        </w:rPr>
        <w:t>（二）开标评标办法程序和细则</w:t>
      </w:r>
      <w:bookmarkEnd w:id="3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注：以下八种评标办法所述企业综合诚信评价分数即投标截止当日广州市工程招标代理行业协会网站上公布的企业综合诚信评价</w:t>
      </w:r>
      <w:r>
        <w:rPr>
          <w:rFonts w:ascii="宋体" w:hAnsi="宋体"/>
          <w:color w:val="auto"/>
          <w:szCs w:val="21"/>
          <w:highlight w:val="none"/>
        </w:rPr>
        <w:t>60</w:t>
      </w:r>
      <w:r>
        <w:rPr>
          <w:rFonts w:hint="eastAsia" w:ascii="宋体" w:hAnsi="宋体"/>
          <w:color w:val="auto"/>
          <w:szCs w:val="21"/>
          <w:highlight w:val="none"/>
        </w:rPr>
        <w:t>日诚信分。</w:t>
      </w:r>
    </w:p>
    <w:p>
      <w:pPr>
        <w:ind w:firstLine="186"/>
        <w:jc w:val="center"/>
        <w:rPr>
          <w:rFonts w:ascii="宋体" w:hAnsi="宋体" w:cs="宋体"/>
          <w:color w:val="auto"/>
          <w:szCs w:val="21"/>
          <w:highlight w:val="none"/>
        </w:rPr>
      </w:pPr>
    </w:p>
    <w:bookmarkEnd w:id="30"/>
    <w:p>
      <w:pPr>
        <w:pStyle w:val="6"/>
        <w:spacing w:before="156" w:after="156"/>
        <w:ind w:firstLine="420" w:firstLineChars="200"/>
        <w:rPr>
          <w:color w:val="auto"/>
          <w:sz w:val="21"/>
          <w:szCs w:val="21"/>
          <w:highlight w:val="none"/>
        </w:rPr>
      </w:pPr>
      <w:bookmarkStart w:id="37" w:name="_Toc24831"/>
      <w:bookmarkStart w:id="38" w:name="_Toc21525509"/>
      <w:r>
        <w:rPr>
          <w:rFonts w:hint="eastAsia"/>
          <w:color w:val="auto"/>
          <w:sz w:val="21"/>
          <w:szCs w:val="21"/>
          <w:highlight w:val="none"/>
        </w:rPr>
        <w:t>可选办法七（适合综合评分法四，技术标与经济标同时开启）</w:t>
      </w:r>
      <w:bookmarkEnd w:id="37"/>
      <w:bookmarkEnd w:id="38"/>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40．开标和评标程序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40.1技术标（含资格审查文件）与经济标投标文件同时公开开标；</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40.2由评标委员会对所有已公开开标的投标人进行资格审查；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40.3技术标投标文件有效性审查；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40.4技术标详细审查评分；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40.5经济标详细审查评分；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40.6评标委员会按照投标人总得分由高至低排序；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40.7经济标投标文件有效性审查；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40.8评标委员会按排序向招标人推荐中标候选人名单，并递交资格审查报告及评标报告。</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41．开标细则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41.1开标由招标人主持；</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 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41.2.2开标前，首先由招标人随机抽取确定该工程计算评标参考价的等分点值X。</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41.2.4按36.5.1的规定完成解密后，公布下列内容，并予以记录，记录提交评标委员会评审：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41.3招标人对开标过程进行记录，并存档备查，投标人在技术标开标记录上签字。</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41.4 招标人将上述符合要求的投标文件，送至评标委员会进行评审。</w:t>
      </w:r>
    </w:p>
    <w:p>
      <w:pPr>
        <w:pStyle w:val="36"/>
        <w:tabs>
          <w:tab w:val="left" w:pos="7380"/>
        </w:tabs>
        <w:snapToGrid w:val="0"/>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42. 资格审查及评标细则</w:t>
      </w:r>
    </w:p>
    <w:p>
      <w:pPr>
        <w:pStyle w:val="36"/>
        <w:tabs>
          <w:tab w:val="left" w:pos="7380"/>
        </w:tabs>
        <w:snapToGrid w:val="0"/>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42.1资格审查及评标均由招标人依法组建的评标委员会负责。</w:t>
      </w:r>
    </w:p>
    <w:p>
      <w:pPr>
        <w:pStyle w:val="36"/>
        <w:tabs>
          <w:tab w:val="left" w:pos="7380"/>
        </w:tabs>
        <w:snapToGrid w:val="0"/>
        <w:spacing w:after="0" w:line="360" w:lineRule="auto"/>
        <w:ind w:firstLineChars="200"/>
        <w:rPr>
          <w:rFonts w:ascii="宋体" w:hAnsi="宋体" w:eastAsia="宋体"/>
          <w:color w:val="auto"/>
          <w:sz w:val="21"/>
          <w:szCs w:val="21"/>
          <w:highlight w:val="none"/>
        </w:rPr>
      </w:pPr>
      <w:r>
        <w:rPr>
          <w:rFonts w:hint="eastAsia" w:ascii="宋体" w:hAnsi="宋体" w:eastAsia="宋体"/>
          <w:color w:val="auto"/>
          <w:kern w:val="2"/>
          <w:sz w:val="21"/>
          <w:szCs w:val="21"/>
          <w:highlight w:val="none"/>
        </w:rPr>
        <w:t xml:space="preserve">42.2评标委员会的组成：方式  </w:t>
      </w:r>
      <w:r>
        <w:rPr>
          <w:rFonts w:hint="eastAsia" w:ascii="宋体" w:hAnsi="宋体" w:eastAsia="宋体"/>
          <w:color w:val="auto"/>
          <w:sz w:val="21"/>
          <w:szCs w:val="21"/>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s="宋体"/>
          <w:color w:val="auto"/>
          <w:sz w:val="21"/>
          <w:szCs w:val="21"/>
          <w:highlight w:val="none"/>
        </w:rPr>
        <w:t>方式二：评标委员会由技术评审组和经济评审组组成。</w:t>
      </w:r>
      <w:r>
        <w:rPr>
          <w:rFonts w:hint="eastAsia" w:ascii="宋体" w:hAnsi="宋体" w:eastAsia="宋体"/>
          <w:color w:val="auto"/>
          <w:kern w:val="2"/>
          <w:sz w:val="21"/>
          <w:szCs w:val="21"/>
          <w:highlight w:val="none"/>
        </w:rPr>
        <w:t>其中：资格审查及技术评审由技术评标组负责，经济评审由经济评审组负责。</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43．投标人资格审查</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43.2汇总资格审查情况，编写资格审查报告。</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43.3资格审查不合格的投标文件不参加下一阶段的评标，不参与评标参考价的计算。</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43.5资审合格后，投标人的资格发生变化而不满足投标人合格条件，在发出中标通知书前，资格问题仍未解决的，招标人将取消其中标资格。</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43.6资格审查合格的投标人少于3名的（当N个标段同时招标且不允许兼中时，资格审查合格的投标人少于N+2名），则本项目招标失败。</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44．技术标评审</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45．经济标评审和得分汇总</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 xml:space="preserve"> 45.2按方法计算评标参考价：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Style w:val="36"/>
        <w:tabs>
          <w:tab w:val="left" w:pos="7380"/>
        </w:tabs>
        <w:snapToGrid w:val="0"/>
        <w:spacing w:after="0" w:line="360" w:lineRule="auto"/>
        <w:ind w:firstLineChars="200"/>
        <w:rPr>
          <w:rFonts w:ascii="宋体" w:hAnsi="宋体" w:eastAsia="宋体" w:cs="仿宋"/>
          <w:color w:val="auto"/>
          <w:kern w:val="2"/>
          <w:sz w:val="21"/>
          <w:szCs w:val="21"/>
          <w:highlight w:val="none"/>
        </w:rPr>
      </w:pPr>
      <w:r>
        <w:rPr>
          <w:rFonts w:hint="eastAsia" w:ascii="宋体" w:hAnsi="宋体" w:eastAsia="宋体"/>
          <w:color w:val="auto"/>
          <w:sz w:val="21"/>
          <w:szCs w:val="21"/>
          <w:highlight w:val="none"/>
        </w:rPr>
        <w:t>45.4</w:t>
      </w:r>
      <w:r>
        <w:rPr>
          <w:rFonts w:hint="eastAsia" w:ascii="宋体" w:hAnsi="宋体" w:eastAsia="宋体" w:cs="仿宋"/>
          <w:color w:val="auto"/>
          <w:kern w:val="2"/>
          <w:sz w:val="21"/>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6"/>
        <w:tabs>
          <w:tab w:val="left" w:pos="7380"/>
        </w:tabs>
        <w:snapToGrid w:val="0"/>
        <w:spacing w:after="0" w:line="360" w:lineRule="auto"/>
        <w:ind w:firstLineChars="200"/>
        <w:rPr>
          <w:rFonts w:ascii="宋体" w:hAnsi="宋体" w:eastAsia="宋体" w:cs="仿宋"/>
          <w:color w:val="auto"/>
          <w:kern w:val="2"/>
          <w:sz w:val="21"/>
          <w:szCs w:val="21"/>
          <w:highlight w:val="none"/>
        </w:rPr>
      </w:pPr>
      <w:r>
        <w:rPr>
          <w:rFonts w:hint="eastAsia" w:ascii="宋体" w:hAnsi="宋体" w:eastAsia="宋体" w:cs="仿宋"/>
          <w:color w:val="auto"/>
          <w:kern w:val="2"/>
          <w:sz w:val="21"/>
          <w:szCs w:val="21"/>
          <w:highlight w:val="none"/>
        </w:rPr>
        <w:t>46.经济标的有效性审查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6.2.1如果数字表示的金额和用文字表示的金额不一致时，应以文字表示的金额为准；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6.2.2经算术复核的投标人报价与其投标报价不一致时，按就低不就高原则确定其最终报价；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4</w:t>
      </w:r>
      <w:r>
        <w:rPr>
          <w:rFonts w:hint="eastAsia" w:ascii="宋体" w:hAnsi="宋体"/>
          <w:color w:val="auto"/>
          <w:szCs w:val="21"/>
          <w:highlight w:val="none"/>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5</w:t>
      </w:r>
      <w:r>
        <w:rPr>
          <w:rFonts w:hint="eastAsia" w:ascii="宋体" w:hAnsi="宋体"/>
          <w:color w:val="auto"/>
          <w:szCs w:val="21"/>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6</w:t>
      </w:r>
      <w:r>
        <w:rPr>
          <w:rFonts w:hint="eastAsia" w:ascii="宋体" w:hAnsi="宋体"/>
          <w:color w:val="auto"/>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7</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8</w:t>
      </w:r>
      <w:r>
        <w:rPr>
          <w:rFonts w:hint="eastAsia" w:ascii="宋体" w:hAnsi="宋体"/>
          <w:color w:val="auto"/>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8.评标委员会应在通过投标文件经济标有效性审查的投标人中，按步骤45.4确定的投标人第二阶段排序，推荐前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9.若通过经济标有效性审查的投标人不足三家，应当依法重新招标。（当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N+2</w:t>
      </w:r>
      <w:r>
        <w:rPr>
          <w:rFonts w:hint="eastAsia" w:ascii="宋体" w:hAnsi="宋体"/>
          <w:color w:val="auto"/>
          <w:szCs w:val="21"/>
          <w:highlight w:val="none"/>
        </w:rPr>
        <w:t>家，应当依法重新招标）</w:t>
      </w:r>
    </w:p>
    <w:p>
      <w:pPr>
        <w:spacing w:line="2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资格审查表</w:t>
      </w:r>
    </w:p>
    <w:p>
      <w:pPr>
        <w:spacing w:line="280" w:lineRule="exact"/>
        <w:rPr>
          <w:rFonts w:ascii="宋体" w:hAnsi="宋体" w:cs="宋体"/>
          <w:color w:val="auto"/>
          <w:szCs w:val="21"/>
          <w:highlight w:val="none"/>
        </w:rPr>
      </w:pPr>
      <w:r>
        <w:rPr>
          <w:rFonts w:hint="eastAsia" w:ascii="宋体" w:hAnsi="宋体" w:cs="宋体"/>
          <w:color w:val="auto"/>
          <w:szCs w:val="21"/>
          <w:highlight w:val="none"/>
        </w:rPr>
        <w:t>工程名称：</w:t>
      </w:r>
    </w:p>
    <w:p>
      <w:pPr>
        <w:spacing w:line="280" w:lineRule="exact"/>
        <w:rPr>
          <w:rFonts w:ascii="宋体" w:hAnsi="宋体" w:cs="宋体"/>
          <w:color w:val="auto"/>
          <w:szCs w:val="21"/>
          <w:highlight w:val="none"/>
        </w:rPr>
      </w:pPr>
      <w:r>
        <w:rPr>
          <w:rFonts w:hint="eastAsia" w:ascii="宋体" w:hAnsi="宋体" w:cs="宋体"/>
          <w:color w:val="auto"/>
          <w:szCs w:val="21"/>
          <w:highlight w:val="none"/>
        </w:rPr>
        <w:t>投标人名称：</w:t>
      </w:r>
    </w:p>
    <w:tbl>
      <w:tblPr>
        <w:tblStyle w:val="38"/>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727"/>
        <w:gridCol w:w="4318"/>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ascii="宋体" w:hAnsi="宋体"/>
                <w:color w:val="auto"/>
                <w:szCs w:val="21"/>
                <w:highlight w:val="none"/>
              </w:rPr>
              <w:t>资质证书及安全生产许可证在</w:t>
            </w:r>
            <w:r>
              <w:rPr>
                <w:rFonts w:hint="eastAsia" w:ascii="宋体" w:hAnsi="宋体"/>
                <w:color w:val="auto"/>
                <w:szCs w:val="21"/>
                <w:highlight w:val="none"/>
              </w:rPr>
              <w:t>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投标人拟担任本工程技术负责人符合公告要求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拟委托技术负责人的相关证书、资料（具体要求详见招标公告）</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专职安全员须具有在有效期内的安全生产考核合格证（C类）或建筑施工企业专职安全生产管理人员安全生产考核合格证书</w:t>
            </w:r>
            <w:r>
              <w:rPr>
                <w:rFonts w:hint="eastAsia" w:ascii="宋体" w:hAnsi="宋体"/>
                <w:color w:val="auto"/>
                <w:szCs w:val="21"/>
                <w:highlight w:val="none"/>
              </w:rPr>
              <w:t>（C3）</w:t>
            </w:r>
            <w:r>
              <w:rPr>
                <w:rFonts w:hint="eastAsia" w:ascii="宋体" w:hAnsi="宋体" w:cs="宋体"/>
                <w:color w:val="auto"/>
                <w:szCs w:val="21"/>
                <w:highlight w:val="none"/>
              </w:rPr>
              <w:t>。</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投标人提供的投标人声明符合公告要求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u w:val="single"/>
              </w:rPr>
              <w:t>本项目不接受联合体投标</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u w:val="single"/>
              </w:rPr>
            </w:pPr>
            <w:r>
              <w:rPr>
                <w:rFonts w:hint="eastAsia" w:ascii="宋体" w:hAnsi="宋体"/>
                <w:color w:val="auto"/>
                <w:szCs w:val="21"/>
                <w:highlight w:val="none"/>
              </w:rPr>
              <w:t>未被列入拖欠农民工工资失信联合惩戒对象名单</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投标人无需提供资料，按交易系统比对的结果进行评审</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bl>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pacing w:line="240" w:lineRule="exact"/>
        <w:ind w:firstLine="470" w:firstLineChars="224"/>
        <w:rPr>
          <w:rFonts w:ascii="宋体" w:hAnsi="宋体" w:cs="宋体"/>
          <w:color w:val="auto"/>
          <w:szCs w:val="21"/>
          <w:highlight w:val="none"/>
        </w:rPr>
        <w:sectPr>
          <w:footerReference r:id="rId10" w:type="first"/>
          <w:footerReference r:id="rId9" w:type="default"/>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color w:val="auto"/>
          <w:szCs w:val="21"/>
          <w:highlight w:val="none"/>
        </w:rPr>
      </w:pPr>
      <w:r>
        <w:rPr>
          <w:rFonts w:hint="eastAsia" w:ascii="宋体" w:hAnsi="宋体" w:cs="宋体"/>
          <w:color w:val="auto"/>
          <w:szCs w:val="21"/>
          <w:highlight w:val="none"/>
        </w:rPr>
        <w:t>附表二</w:t>
      </w:r>
    </w:p>
    <w:p>
      <w:pPr>
        <w:jc w:val="center"/>
        <w:rPr>
          <w:rFonts w:ascii="宋体" w:hAnsi="宋体" w:cs="宋体"/>
          <w:b/>
          <w:color w:val="auto"/>
          <w:szCs w:val="21"/>
          <w:highlight w:val="none"/>
        </w:rPr>
      </w:pPr>
      <w:r>
        <w:rPr>
          <w:rFonts w:hint="eastAsia" w:ascii="宋体" w:hAnsi="宋体" w:cs="宋体"/>
          <w:b/>
          <w:color w:val="auto"/>
          <w:szCs w:val="21"/>
          <w:highlight w:val="none"/>
        </w:rPr>
        <w:t>技术标有效性审查表</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投标人</w:t>
            </w:r>
          </w:p>
          <w:p>
            <w:pPr>
              <w:adjustRightInd w:val="0"/>
              <w:spacing w:line="360" w:lineRule="exact"/>
              <w:rPr>
                <w:rFonts w:ascii="宋体" w:hAnsi="宋体" w:cs="宋体"/>
                <w:color w:val="auto"/>
                <w:szCs w:val="21"/>
                <w:highlight w:val="none"/>
              </w:rPr>
            </w:pPr>
          </w:p>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评审内容</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1</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2</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u w:val="single"/>
              </w:rPr>
              <w:t>不符合招标文件质量标准的；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3</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投标文件中没有有效的法定代表人证明书</w:t>
            </w:r>
            <w:r>
              <w:rPr>
                <w:rFonts w:hint="eastAsia" w:ascii="宋体" w:hAnsi="宋体" w:cs="宋体"/>
                <w:color w:val="auto"/>
                <w:szCs w:val="21"/>
                <w:highlight w:val="none"/>
              </w:rPr>
              <w:t>，</w:t>
            </w:r>
            <w:r>
              <w:rPr>
                <w:rFonts w:hint="eastAsia" w:ascii="宋体" w:hAnsi="宋体"/>
                <w:color w:val="auto"/>
                <w:szCs w:val="21"/>
                <w:highlight w:val="none"/>
              </w:rPr>
              <w:t>或由委托代理人签署的投标文件中没有法定代表人授权书</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4</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b w:val="0"/>
                <w:bCs w:val="0"/>
                <w:color w:val="auto"/>
                <w:szCs w:val="21"/>
                <w:highlight w:val="none"/>
              </w:rPr>
              <w:t>投标文件未按</w:t>
            </w:r>
            <w:r>
              <w:rPr>
                <w:rFonts w:hint="eastAsia" w:ascii="宋体" w:hAnsi="宋体"/>
                <w:b w:val="0"/>
                <w:bCs w:val="0"/>
                <w:color w:val="auto"/>
                <w:szCs w:val="21"/>
                <w:highlight w:val="none"/>
                <w:u w:val="single"/>
              </w:rPr>
              <w:t>招标</w:t>
            </w:r>
            <w:r>
              <w:rPr>
                <w:rFonts w:ascii="宋体" w:hAnsi="宋体"/>
                <w:b w:val="0"/>
                <w:bCs w:val="0"/>
                <w:color w:val="auto"/>
                <w:szCs w:val="21"/>
                <w:highlight w:val="none"/>
                <w:u w:val="single"/>
              </w:rPr>
              <w:t>文件第四章</w:t>
            </w:r>
            <w:r>
              <w:rPr>
                <w:rFonts w:hint="eastAsia" w:ascii="宋体" w:hAnsi="宋体"/>
                <w:b w:val="0"/>
                <w:bCs w:val="0"/>
                <w:color w:val="auto"/>
                <w:szCs w:val="21"/>
                <w:highlight w:val="none"/>
              </w:rPr>
              <w:t>规定的格式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附件一、附件二《参与编制技术标投标文件人员名单》</w:t>
            </w:r>
            <w:r>
              <w:rPr>
                <w:rFonts w:hint="eastAsia" w:ascii="宋体" w:hAnsi="宋体" w:eastAsia="宋体" w:cs="宋体"/>
                <w:b/>
                <w:bCs/>
                <w:color w:val="auto"/>
                <w:sz w:val="21"/>
                <w:szCs w:val="21"/>
                <w:highlight w:val="none"/>
                <w:u w:val="single"/>
                <w:lang w:eastAsia="zh-CN"/>
              </w:rPr>
              <w:t>）</w:t>
            </w:r>
            <w:r>
              <w:rPr>
                <w:rFonts w:hint="eastAsia" w:ascii="宋体" w:hAnsi="宋体"/>
                <w:b w:val="0"/>
                <w:bCs w:val="0"/>
                <w:color w:val="auto"/>
                <w:szCs w:val="21"/>
                <w:highlight w:val="none"/>
              </w:rPr>
              <w:t>填写，或主要内容不全，或关键字迹模糊、无法辨认的</w:t>
            </w:r>
            <w:r>
              <w:rPr>
                <w:rFonts w:hint="eastAsia" w:ascii="宋体" w:hAnsi="宋体" w:cs="宋体"/>
                <w:b w:val="0"/>
                <w:bCs w:val="0"/>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5</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6</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无《参与编制技术标投标文件人员名单》的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投标人与</w:t>
            </w:r>
            <w:r>
              <w:rPr>
                <w:rFonts w:hint="eastAsia" w:ascii="宋体" w:hAnsi="宋体" w:cs="宋体"/>
                <w:color w:val="auto"/>
                <w:szCs w:val="21"/>
                <w:highlight w:val="none"/>
                <w:u w:val="single"/>
              </w:rPr>
              <w:t>本项目</w:t>
            </w:r>
            <w:r>
              <w:rPr>
                <w:rFonts w:hint="eastAsia" w:ascii="宋体" w:hAnsi="宋体"/>
                <w:color w:val="auto"/>
                <w:szCs w:val="21"/>
                <w:highlight w:val="none"/>
              </w:rPr>
              <w:t>其他投标人加密打包投标文件电脑机器特征码一致的(以交易平台评标系统的检索信息为准)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日期：    </w:t>
      </w:r>
    </w:p>
    <w:p>
      <w:pPr>
        <w:pStyle w:val="79"/>
        <w:rPr>
          <w:rFonts w:ascii="宋体" w:hAnsi="宋体"/>
          <w:color w:val="auto"/>
          <w:sz w:val="21"/>
          <w:szCs w:val="21"/>
          <w:highlight w:val="none"/>
        </w:rPr>
      </w:pPr>
    </w:p>
    <w:p>
      <w:pPr>
        <w:pStyle w:val="79"/>
        <w:rPr>
          <w:rFonts w:ascii="宋体" w:hAnsi="宋体"/>
          <w:color w:val="auto"/>
          <w:sz w:val="21"/>
          <w:szCs w:val="21"/>
          <w:highlight w:val="none"/>
        </w:rPr>
      </w:pPr>
    </w:p>
    <w:p>
      <w:pPr>
        <w:spacing w:line="360" w:lineRule="exact"/>
        <w:rPr>
          <w:rFonts w:ascii="宋体" w:hAnsi="宋体" w:cs="宋体"/>
          <w:color w:val="auto"/>
          <w:szCs w:val="21"/>
          <w:highlight w:val="none"/>
        </w:rPr>
      </w:pPr>
      <w:r>
        <w:rPr>
          <w:rFonts w:hint="eastAsia" w:ascii="宋体" w:hAnsi="宋体" w:cs="宋体"/>
          <w:color w:val="auto"/>
          <w:szCs w:val="21"/>
          <w:highlight w:val="none"/>
        </w:rPr>
        <w:t>附表三</w:t>
      </w:r>
    </w:p>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经济标有效性审查表</w:t>
      </w:r>
    </w:p>
    <w:p>
      <w:pPr>
        <w:spacing w:line="320" w:lineRule="exac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pPr>
              <w:spacing w:line="320" w:lineRule="exact"/>
              <w:rPr>
                <w:rFonts w:ascii="宋体" w:hAnsi="宋体" w:cs="宋体"/>
                <w:color w:val="auto"/>
                <w:szCs w:val="21"/>
                <w:highlight w:val="none"/>
              </w:rPr>
            </w:pPr>
            <w:r>
              <w:rPr>
                <w:rFonts w:hint="eastAsia" w:ascii="宋体" w:hAnsi="宋体" w:cs="宋体"/>
                <w:color w:val="auto"/>
                <w:szCs w:val="21"/>
                <w:highlight w:val="none"/>
              </w:rPr>
              <w:t xml:space="preserve">                                              投标人</w:t>
            </w:r>
          </w:p>
          <w:p>
            <w:pPr>
              <w:spacing w:line="320" w:lineRule="exact"/>
              <w:rPr>
                <w:rFonts w:ascii="宋体" w:hAnsi="宋体" w:cs="宋体"/>
                <w:color w:val="auto"/>
                <w:szCs w:val="21"/>
                <w:highlight w:val="none"/>
              </w:rPr>
            </w:pPr>
          </w:p>
          <w:p>
            <w:pPr>
              <w:spacing w:line="320" w:lineRule="exact"/>
              <w:rPr>
                <w:rFonts w:ascii="宋体" w:hAnsi="宋体" w:cs="宋体"/>
                <w:color w:val="auto"/>
                <w:szCs w:val="21"/>
                <w:highlight w:val="none"/>
              </w:rPr>
            </w:pPr>
            <w:r>
              <w:rPr>
                <w:rFonts w:hint="eastAsia" w:ascii="宋体" w:hAnsi="宋体" w:cs="宋体"/>
                <w:color w:val="auto"/>
                <w:szCs w:val="21"/>
                <w:highlight w:val="none"/>
              </w:rPr>
              <w:t>评审内容</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1</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对同一招标项目出现两个或以上的投标报价，且没有申明哪个有效</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2</w:t>
            </w:r>
          </w:p>
        </w:tc>
        <w:tc>
          <w:tcPr>
            <w:tcW w:w="65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olor w:val="auto"/>
                <w:szCs w:val="21"/>
                <w:highlight w:val="none"/>
              </w:rPr>
              <w:t>投标报价高于最高投标限价的；</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3</w:t>
            </w:r>
          </w:p>
        </w:tc>
        <w:tc>
          <w:tcPr>
            <w:tcW w:w="65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2" w:leftChars="-1"/>
              <w:jc w:val="left"/>
              <w:rPr>
                <w:rFonts w:ascii="宋体" w:hAnsi="宋体" w:cs="宋体"/>
                <w:color w:val="auto"/>
                <w:szCs w:val="21"/>
                <w:highlight w:val="none"/>
              </w:rPr>
            </w:pPr>
            <w:r>
              <w:rPr>
                <w:rFonts w:hint="eastAsia" w:ascii="宋体" w:hAnsi="宋体"/>
                <w:color w:val="auto"/>
                <w:szCs w:val="21"/>
                <w:highlight w:val="none"/>
              </w:rPr>
              <w:t>投标报价低于成本的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4</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5</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b w:val="0"/>
                <w:bCs w:val="0"/>
                <w:color w:val="auto"/>
                <w:szCs w:val="21"/>
                <w:highlight w:val="none"/>
              </w:rPr>
              <w:t>投标文件未按</w:t>
            </w:r>
            <w:r>
              <w:rPr>
                <w:rFonts w:hint="eastAsia" w:ascii="宋体" w:hAnsi="宋体"/>
                <w:b w:val="0"/>
                <w:bCs w:val="0"/>
                <w:color w:val="auto"/>
                <w:szCs w:val="21"/>
                <w:highlight w:val="none"/>
                <w:u w:val="single"/>
              </w:rPr>
              <w:t>招标</w:t>
            </w:r>
            <w:r>
              <w:rPr>
                <w:rFonts w:ascii="宋体" w:hAnsi="宋体"/>
                <w:b w:val="0"/>
                <w:bCs w:val="0"/>
                <w:color w:val="auto"/>
                <w:szCs w:val="21"/>
                <w:highlight w:val="none"/>
                <w:u w:val="single"/>
              </w:rPr>
              <w:t>文件第四章</w:t>
            </w:r>
            <w:r>
              <w:rPr>
                <w:rFonts w:hint="eastAsia" w:ascii="宋体" w:hAnsi="宋体"/>
                <w:b w:val="0"/>
                <w:bCs w:val="0"/>
                <w:color w:val="auto"/>
                <w:szCs w:val="21"/>
                <w:highlight w:val="none"/>
              </w:rPr>
              <w:t>规定的格式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附件二《参与编制经济标投标文件人员名单》、附件三</w:t>
            </w:r>
            <w:r>
              <w:rPr>
                <w:rFonts w:hint="eastAsia" w:ascii="宋体" w:hAnsi="宋体" w:eastAsia="宋体" w:cs="宋体"/>
                <w:b/>
                <w:bCs/>
                <w:color w:val="auto"/>
                <w:sz w:val="21"/>
                <w:szCs w:val="21"/>
                <w:highlight w:val="none"/>
                <w:u w:val="single"/>
                <w:lang w:eastAsia="zh-CN"/>
              </w:rPr>
              <w:t>）</w:t>
            </w:r>
            <w:r>
              <w:rPr>
                <w:rFonts w:hint="eastAsia" w:ascii="宋体" w:hAnsi="宋体"/>
                <w:b w:val="0"/>
                <w:bCs w:val="0"/>
                <w:color w:val="auto"/>
                <w:szCs w:val="21"/>
                <w:highlight w:val="none"/>
              </w:rPr>
              <w:t>填写，或主要内容不全，或关键字迹模糊、无法辨认的</w:t>
            </w:r>
            <w:r>
              <w:rPr>
                <w:rFonts w:hint="eastAsia" w:ascii="宋体" w:hAnsi="宋体" w:cs="宋体"/>
                <w:b w:val="0"/>
                <w:bCs w:val="0"/>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6</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7</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8</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无《参与编制经济标投标文件人员名单》的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9</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无《对投标文件编制的承诺》</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10</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u w:val="single"/>
              </w:rPr>
              <w:t>投标人与本项目其他投标人的投标文件工程量清单编制机器硬件信息一致的（以交易平台评标系统的检索信息为准）</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6"/>
        <w:ind w:firstLine="458"/>
        <w:rPr>
          <w:rFonts w:ascii="宋体" w:hAnsi="宋体" w:eastAsia="宋体"/>
          <w:color w:val="auto"/>
          <w:sz w:val="21"/>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color w:val="auto"/>
          <w:kern w:val="2"/>
          <w:sz w:val="21"/>
          <w:szCs w:val="21"/>
          <w:highlight w:val="none"/>
        </w:rPr>
        <w:t>评委签名</w:t>
      </w:r>
      <w:r>
        <w:rPr>
          <w:rFonts w:hint="eastAsia" w:ascii="宋体" w:hAnsi="宋体" w:eastAsia="宋体"/>
          <w:color w:val="auto"/>
          <w:sz w:val="21"/>
          <w:szCs w:val="21"/>
          <w:highlight w:val="none"/>
        </w:rPr>
        <w:t>：</w:t>
      </w:r>
    </w:p>
    <w:p>
      <w:pPr>
        <w:spacing w:line="320" w:lineRule="exact"/>
        <w:rPr>
          <w:rFonts w:ascii="宋体" w:hAnsi="宋体" w:cs="宋体"/>
          <w:color w:val="auto"/>
          <w:szCs w:val="21"/>
          <w:highlight w:val="none"/>
        </w:rPr>
      </w:pPr>
      <w:r>
        <w:rPr>
          <w:rFonts w:hint="eastAsia" w:ascii="宋体" w:hAnsi="宋体" w:cs="宋体"/>
          <w:color w:val="auto"/>
          <w:szCs w:val="21"/>
          <w:highlight w:val="none"/>
        </w:rPr>
        <w:t>附表四</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tbl>
      <w:tblPr>
        <w:tblStyle w:val="38"/>
        <w:tblW w:w="15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5"/>
        <w:gridCol w:w="1227"/>
        <w:gridCol w:w="1219"/>
        <w:gridCol w:w="787"/>
        <w:gridCol w:w="1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8" w:hRule="atLeast"/>
          <w:tblHeader/>
          <w:jc w:val="center"/>
        </w:trPr>
        <w:tc>
          <w:tcPr>
            <w:tcW w:w="695" w:type="dxa"/>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bookmarkStart w:id="63" w:name="_GoBack"/>
            <w:r>
              <w:rPr>
                <w:rFonts w:hint="eastAsia" w:ascii="宋体" w:hAnsi="宋体" w:eastAsia="宋体" w:cs="宋体"/>
                <w:b/>
                <w:color w:val="auto"/>
                <w:sz w:val="21"/>
                <w:szCs w:val="21"/>
                <w:highlight w:val="none"/>
              </w:rPr>
              <w:t>序号</w:t>
            </w:r>
          </w:p>
        </w:tc>
        <w:tc>
          <w:tcPr>
            <w:tcW w:w="1227" w:type="dxa"/>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评分项目</w:t>
            </w:r>
          </w:p>
        </w:tc>
        <w:tc>
          <w:tcPr>
            <w:tcW w:w="1219" w:type="dxa"/>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w:t>
            </w:r>
          </w:p>
        </w:tc>
        <w:tc>
          <w:tcPr>
            <w:tcW w:w="787" w:type="dxa"/>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11501" w:type="dxa"/>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jc w:val="center"/>
        </w:trPr>
        <w:tc>
          <w:tcPr>
            <w:tcW w:w="695" w:type="dxa"/>
            <w:vMerge w:val="restart"/>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1227" w:type="dxa"/>
            <w:vMerge w:val="restart"/>
            <w:shd w:val="clear" w:color="auto" w:fill="auto"/>
            <w:noWrap w:val="0"/>
            <w:vAlign w:val="center"/>
          </w:tcPr>
          <w:p>
            <w:pPr>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企业资信（30分）</w:t>
            </w:r>
          </w:p>
        </w:tc>
        <w:tc>
          <w:tcPr>
            <w:tcW w:w="1219" w:type="dxa"/>
            <w:shd w:val="clear" w:color="auto" w:fill="auto"/>
            <w:noWrap w:val="0"/>
            <w:vAlign w:val="center"/>
          </w:tcPr>
          <w:p>
            <w:pPr>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eastAsia="zh-CN"/>
              </w:rPr>
              <w:t>企业业绩</w:t>
            </w:r>
          </w:p>
        </w:tc>
        <w:tc>
          <w:tcPr>
            <w:tcW w:w="787" w:type="dxa"/>
            <w:shd w:val="clear" w:color="auto" w:fill="auto"/>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c>
          <w:tcPr>
            <w:tcW w:w="11501" w:type="dxa"/>
            <w:shd w:val="clear" w:color="auto" w:fill="auto"/>
            <w:noWrap w:val="0"/>
            <w:vAlign w:val="center"/>
          </w:tcPr>
          <w:p>
            <w:pPr>
              <w:spacing w:line="300" w:lineRule="exact"/>
              <w:jc w:val="left"/>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rPr>
              <w:t>投标人自2019年1月1日至投标截止时完成过质量合格的类似工程业绩（类似工程业绩是指中标金额≥1000万元的建筑工程施工总承包业绩）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每项得0.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分；不符合上述条件或不提供证明材料，得0分；本项最高得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06" w:hRule="atLeast"/>
          <w:jc w:val="center"/>
        </w:trPr>
        <w:tc>
          <w:tcPr>
            <w:tcW w:w="695" w:type="dxa"/>
            <w:vMerge w:val="continue"/>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p>
        </w:tc>
        <w:tc>
          <w:tcPr>
            <w:tcW w:w="1227" w:type="dxa"/>
            <w:vMerge w:val="continue"/>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p>
        </w:tc>
        <w:tc>
          <w:tcPr>
            <w:tcW w:w="1219" w:type="dxa"/>
            <w:shd w:val="clear" w:color="auto" w:fill="auto"/>
            <w:noWrap w:val="0"/>
            <w:vAlign w:val="center"/>
          </w:tcPr>
          <w:p>
            <w:pPr>
              <w:spacing w:line="30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企业获奖</w:t>
            </w:r>
          </w:p>
        </w:tc>
        <w:tc>
          <w:tcPr>
            <w:tcW w:w="787" w:type="dxa"/>
            <w:shd w:val="clear" w:color="auto" w:fill="auto"/>
            <w:noWrap w:val="0"/>
            <w:vAlign w:val="center"/>
          </w:tcPr>
          <w:p>
            <w:pPr>
              <w:spacing w:line="30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p>
        </w:tc>
        <w:tc>
          <w:tcPr>
            <w:tcW w:w="11501" w:type="dxa"/>
            <w:shd w:val="clear" w:color="auto" w:fill="auto"/>
            <w:noWrap w:val="0"/>
            <w:vAlign w:val="center"/>
          </w:tcPr>
          <w:p>
            <w:pPr>
              <w:adjustRightInd w:val="0"/>
              <w:snapToGrid w:val="0"/>
              <w:spacing w:line="276" w:lineRule="auto"/>
              <w:jc w:val="lef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rPr>
              <w:t>投标人自2019年1月1日至今完成过的</w:t>
            </w:r>
            <w:r>
              <w:rPr>
                <w:rFonts w:hint="eastAsia" w:ascii="宋体" w:hAnsi="宋体" w:cs="宋体"/>
                <w:bCs/>
                <w:color w:val="auto"/>
                <w:szCs w:val="21"/>
                <w:highlight w:val="none"/>
              </w:rPr>
              <w:t>建筑工程施工总承包业绩</w:t>
            </w:r>
            <w:r>
              <w:rPr>
                <w:rFonts w:hint="eastAsia" w:ascii="宋体" w:hAnsi="宋体" w:cs="宋体"/>
                <w:color w:val="auto"/>
                <w:szCs w:val="21"/>
                <w:highlight w:val="none"/>
              </w:rPr>
              <w:t>项目获得市级或以上的质量奖项或安全文明奖项</w:t>
            </w:r>
            <w:r>
              <w:rPr>
                <w:rFonts w:hint="eastAsia" w:ascii="宋体" w:hAnsi="宋体" w:cs="宋体"/>
                <w:color w:val="auto"/>
                <w:highlight w:val="none"/>
              </w:rPr>
              <w:t>（与招标公告资质要求相符）</w:t>
            </w:r>
            <w:r>
              <w:rPr>
                <w:rFonts w:hint="eastAsia" w:ascii="宋体" w:hAnsi="宋体" w:cs="宋体"/>
                <w:color w:val="auto"/>
                <w:szCs w:val="21"/>
                <w:highlight w:val="none"/>
              </w:rPr>
              <w:t>（以证书颁发时间为准）的，</w:t>
            </w:r>
            <w:r>
              <w:rPr>
                <w:rFonts w:hint="eastAsia" w:ascii="宋体" w:hAnsi="宋体" w:cs="宋体"/>
                <w:color w:val="auto"/>
                <w:highlight w:val="none"/>
              </w:rPr>
              <w:t>每项得</w:t>
            </w:r>
            <w:r>
              <w:rPr>
                <w:rFonts w:hint="eastAsia" w:ascii="宋体" w:hAnsi="宋体" w:cs="宋体"/>
                <w:color w:val="auto"/>
                <w:highlight w:val="none"/>
                <w:lang w:eastAsia="zh-CN"/>
              </w:rPr>
              <w:t>1</w:t>
            </w:r>
            <w:r>
              <w:rPr>
                <w:rFonts w:hint="eastAsia" w:ascii="宋体" w:hAnsi="宋体" w:cs="宋体"/>
                <w:color w:val="auto"/>
                <w:highlight w:val="none"/>
              </w:rPr>
              <w:t>分。</w:t>
            </w:r>
            <w:r>
              <w:rPr>
                <w:rFonts w:hint="eastAsia" w:ascii="宋体" w:hAnsi="宋体" w:cs="宋体"/>
                <w:color w:val="auto"/>
                <w:sz w:val="21"/>
                <w:szCs w:val="21"/>
                <w:highlight w:val="none"/>
              </w:rPr>
              <w:t>不符合上述条件或不提供证明材料，得0分；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06" w:hRule="atLeast"/>
          <w:jc w:val="center"/>
        </w:trPr>
        <w:tc>
          <w:tcPr>
            <w:tcW w:w="695" w:type="dxa"/>
            <w:vMerge w:val="continue"/>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p>
        </w:tc>
        <w:tc>
          <w:tcPr>
            <w:tcW w:w="1227" w:type="dxa"/>
            <w:vMerge w:val="continue"/>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p>
        </w:tc>
        <w:tc>
          <w:tcPr>
            <w:tcW w:w="1219" w:type="dxa"/>
            <w:shd w:val="clear" w:color="auto" w:fill="auto"/>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highlight w:val="none"/>
              </w:rPr>
              <w:t>财务指标</w:t>
            </w:r>
          </w:p>
        </w:tc>
        <w:tc>
          <w:tcPr>
            <w:tcW w:w="787" w:type="dxa"/>
            <w:shd w:val="clear" w:color="auto" w:fill="auto"/>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p>
        </w:tc>
        <w:tc>
          <w:tcPr>
            <w:tcW w:w="11501" w:type="dxa"/>
            <w:shd w:val="clear" w:color="auto" w:fill="auto"/>
            <w:noWrap w:val="0"/>
            <w:vAlign w:val="center"/>
          </w:tcPr>
          <w:p>
            <w:pPr>
              <w:tabs>
                <w:tab w:val="left" w:pos="1526"/>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1.投标人近五年(2018-2022)每年的资产负债率都在0（不含）～25%（含）的，得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tabs>
                <w:tab w:val="left" w:pos="1526"/>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2.投标人近五年(2018-2022)每年的资产负债率都在25%（不含）～45%（含）的，得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pPr>
              <w:spacing w:line="300" w:lineRule="exact"/>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3.投标人近五年(2018-2022)每年的资产负债率在45%（不含）以上的，得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jc w:val="center"/>
        </w:trPr>
        <w:tc>
          <w:tcPr>
            <w:tcW w:w="695" w:type="dxa"/>
            <w:vMerge w:val="continue"/>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p>
        </w:tc>
        <w:tc>
          <w:tcPr>
            <w:tcW w:w="1227" w:type="dxa"/>
            <w:vMerge w:val="continue"/>
            <w:shd w:val="clear" w:color="auto" w:fill="auto"/>
            <w:noWrap w:val="0"/>
            <w:vAlign w:val="center"/>
          </w:tcPr>
          <w:p>
            <w:pPr>
              <w:widowControl/>
              <w:adjustRightInd w:val="0"/>
              <w:snapToGrid w:val="0"/>
              <w:spacing w:line="400" w:lineRule="exact"/>
              <w:jc w:val="center"/>
              <w:rPr>
                <w:rFonts w:hint="eastAsia" w:ascii="宋体" w:hAnsi="宋体" w:eastAsia="宋体" w:cs="宋体"/>
                <w:b/>
                <w:color w:val="auto"/>
                <w:sz w:val="21"/>
                <w:szCs w:val="21"/>
                <w:highlight w:val="none"/>
              </w:rPr>
            </w:pPr>
          </w:p>
        </w:tc>
        <w:tc>
          <w:tcPr>
            <w:tcW w:w="1219" w:type="dxa"/>
            <w:shd w:val="clear" w:color="auto" w:fill="auto"/>
            <w:noWrap w:val="0"/>
            <w:vAlign w:val="center"/>
          </w:tcPr>
          <w:p>
            <w:pPr>
              <w:spacing w:line="3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highlight w:val="none"/>
              </w:rPr>
              <w:t>第三方评价</w:t>
            </w:r>
          </w:p>
        </w:tc>
        <w:tc>
          <w:tcPr>
            <w:tcW w:w="787" w:type="dxa"/>
            <w:shd w:val="clear" w:color="auto" w:fill="auto"/>
            <w:noWrap w:val="0"/>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p>
        </w:tc>
        <w:tc>
          <w:tcPr>
            <w:tcW w:w="11501" w:type="dxa"/>
            <w:shd w:val="clear" w:color="auto" w:fill="auto"/>
            <w:noWrap w:val="0"/>
            <w:vAlign w:val="center"/>
          </w:tcPr>
          <w:p>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获得国家级建筑（施工）类行业协会或政府部门颁发有效期内的企业信用等级证书AAA级的，得5分；AA级的，得3分；A级的，得1分；</w:t>
            </w:r>
          </w:p>
          <w:p>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获得省级建筑（施工）类行业协会或政府部门颁发有效期内的企业信用等级证书AAA级的，得3分；AA级的，得2分；A级的，得1分；</w:t>
            </w:r>
          </w:p>
          <w:p>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获得市级建筑（施工）类行业协会或政府部门颁发有效期内的企业信用等级证书AAA级的，得2分；AA级的，得1分；A级的，得0.5分；</w:t>
            </w:r>
          </w:p>
          <w:p>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w:t>
            </w:r>
            <w:r>
              <w:rPr>
                <w:rFonts w:hint="eastAsia" w:ascii="宋体" w:hAnsi="宋体" w:cs="宋体"/>
                <w:color w:val="auto"/>
                <w:sz w:val="21"/>
                <w:szCs w:val="21"/>
                <w:highlight w:val="none"/>
              </w:rPr>
              <w:t>最高得</w:t>
            </w:r>
            <w:r>
              <w:rPr>
                <w:rFonts w:hint="eastAsia" w:ascii="宋体" w:hAnsi="宋体" w:cs="宋体"/>
                <w:color w:val="auto"/>
                <w:sz w:val="21"/>
                <w:szCs w:val="21"/>
                <w:highlight w:val="none"/>
                <w:lang w:val="en-US" w:eastAsia="zh-CN"/>
              </w:rPr>
              <w:t>5分，按最高得分项计取，不累加得分，其他情况不得分。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818" w:hRule="atLeast"/>
          <w:jc w:val="center"/>
        </w:trPr>
        <w:tc>
          <w:tcPr>
            <w:tcW w:w="695" w:type="dxa"/>
            <w:shd w:val="clear" w:color="auto" w:fill="auto"/>
            <w:noWrap w:val="0"/>
            <w:vAlign w:val="center"/>
          </w:tcPr>
          <w:p>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227" w:type="dxa"/>
            <w:shd w:val="clear" w:color="auto" w:fill="auto"/>
            <w:noWrap w:val="0"/>
            <w:vAlign w:val="center"/>
          </w:tcPr>
          <w:p>
            <w:pPr>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项目管理机构能力（70分）</w:t>
            </w:r>
          </w:p>
        </w:tc>
        <w:tc>
          <w:tcPr>
            <w:tcW w:w="1219" w:type="dxa"/>
            <w:shd w:val="clear" w:color="auto" w:fill="auto"/>
            <w:noWrap w:val="0"/>
            <w:vAlign w:val="center"/>
          </w:tcPr>
          <w:p>
            <w:pPr>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rPr>
              <w:t>参与本项目组织管理机构各专业人员</w:t>
            </w:r>
          </w:p>
        </w:tc>
        <w:tc>
          <w:tcPr>
            <w:tcW w:w="787" w:type="dxa"/>
            <w:shd w:val="clear" w:color="auto" w:fill="auto"/>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70分</w:t>
            </w:r>
          </w:p>
        </w:tc>
        <w:tc>
          <w:tcPr>
            <w:tcW w:w="11501" w:type="dxa"/>
            <w:shd w:val="clear" w:color="auto" w:fill="auto"/>
            <w:noWrap w:val="0"/>
            <w:vAlign w:val="center"/>
          </w:tcPr>
          <w:p>
            <w:pPr>
              <w:pStyle w:val="15"/>
              <w:snapToGrid w:val="0"/>
              <w:ind w:right="-153" w:rightChars="-73"/>
              <w:jc w:val="left"/>
              <w:rPr>
                <w:rFonts w:hint="eastAsia" w:ascii="宋体" w:hAnsi="宋体" w:cs="宋体"/>
                <w:color w:val="auto"/>
                <w:sz w:val="18"/>
                <w:szCs w:val="20"/>
                <w:highlight w:val="none"/>
              </w:rPr>
            </w:pPr>
            <w:r>
              <w:rPr>
                <w:rFonts w:hint="eastAsia" w:ascii="宋体" w:hAnsi="宋体" w:cs="宋体"/>
                <w:color w:val="auto"/>
                <w:sz w:val="18"/>
                <w:szCs w:val="20"/>
                <w:highlight w:val="none"/>
              </w:rPr>
              <w:t>项目管理机构人员配备满足附表附件《项目管理机构人员要求汇总表》的得基础分</w:t>
            </w:r>
            <w:r>
              <w:rPr>
                <w:rFonts w:hint="eastAsia" w:ascii="宋体" w:hAnsi="宋体" w:cs="宋体"/>
                <w:color w:val="auto"/>
                <w:sz w:val="18"/>
                <w:szCs w:val="20"/>
                <w:highlight w:val="none"/>
                <w:lang w:eastAsia="zh-CN"/>
              </w:rPr>
              <w:t>5</w:t>
            </w:r>
            <w:r>
              <w:rPr>
                <w:rFonts w:hint="eastAsia" w:ascii="宋体" w:hAnsi="宋体" w:cs="宋体"/>
                <w:color w:val="auto"/>
                <w:sz w:val="18"/>
                <w:szCs w:val="20"/>
                <w:highlight w:val="none"/>
              </w:rPr>
              <w:t>分，不满足《项目管理机构人员要求汇总表》的本项得0分。在满足《项目管理机构人员要求汇总表》的基础上：</w:t>
            </w:r>
          </w:p>
          <w:p>
            <w:pPr>
              <w:pStyle w:val="15"/>
              <w:snapToGrid w:val="0"/>
              <w:ind w:right="-153" w:rightChars="-73"/>
              <w:jc w:val="left"/>
              <w:rPr>
                <w:rFonts w:hint="eastAsia" w:ascii="宋体" w:hAnsi="宋体" w:cs="宋体"/>
                <w:b/>
                <w:color w:val="auto"/>
                <w:sz w:val="18"/>
                <w:szCs w:val="20"/>
                <w:highlight w:val="none"/>
              </w:rPr>
            </w:pPr>
            <w:r>
              <w:rPr>
                <w:rFonts w:hint="eastAsia" w:ascii="宋体" w:hAnsi="宋体" w:cs="宋体"/>
                <w:b/>
                <w:color w:val="auto"/>
                <w:sz w:val="18"/>
                <w:szCs w:val="20"/>
                <w:highlight w:val="none"/>
              </w:rPr>
              <w:t>1.项目负责人（</w:t>
            </w:r>
            <w:r>
              <w:rPr>
                <w:rFonts w:hint="eastAsia" w:ascii="宋体" w:hAnsi="宋体" w:cs="宋体"/>
                <w:b/>
                <w:color w:val="auto"/>
                <w:sz w:val="18"/>
                <w:szCs w:val="20"/>
                <w:highlight w:val="none"/>
                <w:lang w:val="en-US" w:eastAsia="zh-CN"/>
              </w:rPr>
              <w:t>10</w:t>
            </w:r>
            <w:r>
              <w:rPr>
                <w:rFonts w:hint="eastAsia" w:ascii="宋体" w:hAnsi="宋体" w:cs="宋体"/>
                <w:b/>
                <w:color w:val="auto"/>
                <w:sz w:val="18"/>
                <w:szCs w:val="20"/>
                <w:highlight w:val="none"/>
              </w:rPr>
              <w:t>分）</w:t>
            </w:r>
          </w:p>
          <w:p>
            <w:pPr>
              <w:pStyle w:val="15"/>
              <w:snapToGrid w:val="0"/>
              <w:ind w:right="-153" w:rightChars="-73"/>
              <w:jc w:val="left"/>
              <w:rPr>
                <w:rFonts w:hint="eastAsia" w:ascii="宋体" w:hAnsi="宋体" w:cs="宋体"/>
                <w:color w:val="auto"/>
                <w:sz w:val="18"/>
                <w:szCs w:val="20"/>
                <w:highlight w:val="none"/>
              </w:rPr>
            </w:pPr>
            <w:r>
              <w:rPr>
                <w:rFonts w:hint="eastAsia" w:ascii="宋体" w:hAnsi="宋体" w:cs="宋体"/>
                <w:color w:val="auto"/>
                <w:sz w:val="18"/>
                <w:szCs w:val="20"/>
                <w:highlight w:val="none"/>
              </w:rPr>
              <w:t>①自2019年1月1日至投标截止时间止，曾以项目负责人的职务完成过类似工程业绩，得</w:t>
            </w:r>
            <w:r>
              <w:rPr>
                <w:rFonts w:hint="eastAsia" w:ascii="宋体" w:hAnsi="宋体" w:cs="宋体"/>
                <w:color w:val="auto"/>
                <w:sz w:val="18"/>
                <w:szCs w:val="20"/>
                <w:highlight w:val="none"/>
                <w:lang w:eastAsia="zh-CN"/>
              </w:rPr>
              <w:t>1</w:t>
            </w:r>
            <w:r>
              <w:rPr>
                <w:rFonts w:hint="eastAsia" w:ascii="宋体" w:hAnsi="宋体" w:cs="宋体"/>
                <w:color w:val="auto"/>
                <w:sz w:val="18"/>
                <w:szCs w:val="20"/>
                <w:highlight w:val="none"/>
                <w:lang w:val="en-US" w:eastAsia="zh-CN"/>
              </w:rPr>
              <w:t>0</w:t>
            </w:r>
            <w:r>
              <w:rPr>
                <w:rFonts w:hint="eastAsia" w:ascii="宋体" w:hAnsi="宋体" w:cs="宋体"/>
                <w:color w:val="auto"/>
                <w:sz w:val="18"/>
                <w:szCs w:val="20"/>
                <w:highlight w:val="none"/>
              </w:rPr>
              <w:t>分</w:t>
            </w:r>
            <w:r>
              <w:rPr>
                <w:rFonts w:hint="eastAsia" w:ascii="宋体" w:hAnsi="宋体" w:cs="宋体"/>
                <w:color w:val="auto"/>
                <w:sz w:val="18"/>
                <w:szCs w:val="20"/>
                <w:highlight w:val="none"/>
                <w:lang w:eastAsia="zh-CN"/>
              </w:rPr>
              <w:t>；本项最高得1</w:t>
            </w:r>
            <w:r>
              <w:rPr>
                <w:rFonts w:hint="eastAsia" w:ascii="宋体" w:hAnsi="宋体" w:cs="宋体"/>
                <w:color w:val="auto"/>
                <w:sz w:val="18"/>
                <w:szCs w:val="20"/>
                <w:highlight w:val="none"/>
                <w:lang w:val="en-US" w:eastAsia="zh-CN"/>
              </w:rPr>
              <w:t>0</w:t>
            </w:r>
            <w:r>
              <w:rPr>
                <w:rFonts w:hint="eastAsia" w:ascii="宋体" w:hAnsi="宋体" w:cs="宋体"/>
                <w:color w:val="auto"/>
                <w:sz w:val="18"/>
                <w:szCs w:val="20"/>
                <w:highlight w:val="none"/>
              </w:rPr>
              <w:t>分，其他情况不加分。</w:t>
            </w:r>
          </w:p>
          <w:p>
            <w:pPr>
              <w:pStyle w:val="15"/>
              <w:snapToGrid w:val="0"/>
              <w:ind w:right="-153" w:rightChars="-73"/>
              <w:jc w:val="left"/>
              <w:rPr>
                <w:rFonts w:hint="eastAsia" w:ascii="宋体" w:hAnsi="宋体" w:cs="宋体"/>
                <w:b/>
                <w:color w:val="auto"/>
                <w:sz w:val="18"/>
                <w:szCs w:val="20"/>
                <w:highlight w:val="none"/>
              </w:rPr>
            </w:pPr>
            <w:r>
              <w:rPr>
                <w:rFonts w:hint="eastAsia" w:ascii="宋体" w:hAnsi="宋体" w:cs="宋体"/>
                <w:color w:val="auto"/>
                <w:sz w:val="18"/>
                <w:szCs w:val="20"/>
                <w:highlight w:val="none"/>
              </w:rPr>
              <w:t>2.</w:t>
            </w:r>
            <w:r>
              <w:rPr>
                <w:rFonts w:hint="eastAsia" w:ascii="宋体" w:hAnsi="宋体" w:cs="宋体"/>
                <w:b/>
                <w:color w:val="auto"/>
                <w:sz w:val="18"/>
                <w:szCs w:val="20"/>
                <w:highlight w:val="none"/>
              </w:rPr>
              <w:t>技术负责人(</w:t>
            </w:r>
            <w:r>
              <w:rPr>
                <w:rFonts w:hint="eastAsia" w:ascii="宋体" w:hAnsi="宋体" w:cs="宋体"/>
                <w:b/>
                <w:color w:val="auto"/>
                <w:sz w:val="18"/>
                <w:szCs w:val="20"/>
                <w:highlight w:val="none"/>
                <w:lang w:val="en-US" w:eastAsia="zh-CN"/>
              </w:rPr>
              <w:t>20</w:t>
            </w:r>
            <w:r>
              <w:rPr>
                <w:rFonts w:hint="eastAsia" w:ascii="宋体" w:hAnsi="宋体" w:cs="宋体"/>
                <w:b/>
                <w:color w:val="auto"/>
                <w:sz w:val="18"/>
                <w:szCs w:val="20"/>
                <w:highlight w:val="none"/>
              </w:rPr>
              <w:t>分)</w:t>
            </w:r>
          </w:p>
          <w:p>
            <w:pPr>
              <w:pStyle w:val="15"/>
              <w:snapToGrid w:val="0"/>
              <w:ind w:right="-153" w:rightChars="-73"/>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20"/>
                <w:highlight w:val="none"/>
              </w:rPr>
              <w:t>①取得建筑工程专业一级注册建造师资格年限10年（不含）以上的，</w:t>
            </w:r>
            <w:r>
              <w:rPr>
                <w:rFonts w:hint="eastAsia" w:ascii="宋体" w:hAnsi="宋体" w:eastAsia="宋体" w:cs="宋体"/>
                <w:color w:val="auto"/>
                <w:sz w:val="18"/>
                <w:szCs w:val="20"/>
                <w:highlight w:val="none"/>
                <w:lang w:eastAsia="zh-CN"/>
              </w:rPr>
              <w:t>得5</w:t>
            </w:r>
            <w:r>
              <w:rPr>
                <w:rFonts w:hint="eastAsia" w:ascii="宋体" w:hAnsi="宋体" w:eastAsia="宋体" w:cs="宋体"/>
                <w:color w:val="auto"/>
                <w:sz w:val="18"/>
                <w:szCs w:val="20"/>
                <w:highlight w:val="none"/>
              </w:rPr>
              <w:t>分；</w:t>
            </w:r>
            <w:r>
              <w:rPr>
                <w:rFonts w:hint="eastAsia" w:ascii="宋体" w:hAnsi="宋体" w:eastAsia="宋体" w:cs="宋体"/>
                <w:color w:val="auto"/>
                <w:sz w:val="18"/>
                <w:szCs w:val="18"/>
                <w:highlight w:val="none"/>
              </w:rPr>
              <w:t>5年（不含）-10年（含）的，</w:t>
            </w:r>
            <w:r>
              <w:rPr>
                <w:rFonts w:hint="eastAsia" w:ascii="宋体" w:hAnsi="宋体" w:eastAsia="宋体" w:cs="宋体"/>
                <w:color w:val="auto"/>
                <w:sz w:val="18"/>
                <w:szCs w:val="18"/>
                <w:highlight w:val="none"/>
                <w:lang w:val="en-US" w:eastAsia="zh-CN"/>
              </w:rPr>
              <w:t>得3分</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20"/>
                <w:highlight w:val="none"/>
                <w:lang w:eastAsia="zh-CN"/>
              </w:rPr>
              <w:t>本项最高得</w:t>
            </w:r>
            <w:r>
              <w:rPr>
                <w:rFonts w:hint="eastAsia" w:ascii="宋体" w:hAnsi="宋体" w:eastAsia="宋体" w:cs="宋体"/>
                <w:color w:val="auto"/>
                <w:sz w:val="18"/>
                <w:szCs w:val="18"/>
                <w:highlight w:val="none"/>
                <w:lang w:eastAsia="zh-CN"/>
              </w:rPr>
              <w:t>5</w:t>
            </w:r>
            <w:r>
              <w:rPr>
                <w:rFonts w:hint="eastAsia" w:ascii="宋体" w:hAnsi="宋体" w:eastAsia="宋体" w:cs="宋体"/>
                <w:color w:val="auto"/>
                <w:sz w:val="18"/>
                <w:szCs w:val="18"/>
                <w:highlight w:val="none"/>
              </w:rPr>
              <w:t>分，其他情况不加分。</w:t>
            </w:r>
          </w:p>
          <w:p>
            <w:pPr>
              <w:pStyle w:val="15"/>
              <w:snapToGrid w:val="0"/>
              <w:ind w:right="-153" w:rightChars="-73"/>
              <w:jc w:val="left"/>
              <w:rPr>
                <w:rFonts w:hint="eastAsia" w:ascii="宋体" w:hAnsi="宋体" w:cs="宋体"/>
                <w:color w:val="auto"/>
                <w:sz w:val="18"/>
                <w:szCs w:val="18"/>
                <w:highlight w:val="none"/>
              </w:rPr>
            </w:pPr>
            <w:r>
              <w:rPr>
                <w:rFonts w:hint="eastAsia" w:ascii="宋体" w:hAnsi="宋体" w:cs="宋体"/>
                <w:color w:val="auto"/>
                <w:sz w:val="18"/>
                <w:szCs w:val="20"/>
                <w:highlight w:val="none"/>
              </w:rPr>
              <w:t>②取得建筑工程类专业正高级工程师或以上职称资格年限10年（不含）以上的，加</w:t>
            </w:r>
            <w:r>
              <w:rPr>
                <w:rFonts w:hint="eastAsia" w:ascii="宋体" w:hAnsi="宋体" w:cs="宋体"/>
                <w:color w:val="auto"/>
                <w:sz w:val="18"/>
                <w:szCs w:val="20"/>
                <w:highlight w:val="none"/>
                <w:lang w:eastAsia="zh-CN"/>
              </w:rPr>
              <w:t>5</w:t>
            </w:r>
            <w:r>
              <w:rPr>
                <w:rFonts w:hint="eastAsia" w:ascii="宋体" w:hAnsi="宋体" w:cs="宋体"/>
                <w:color w:val="auto"/>
                <w:sz w:val="18"/>
                <w:szCs w:val="20"/>
                <w:highlight w:val="none"/>
              </w:rPr>
              <w:t>分；</w:t>
            </w:r>
            <w:r>
              <w:rPr>
                <w:rFonts w:hint="eastAsia" w:ascii="宋体" w:hAnsi="宋体" w:cs="宋体"/>
                <w:color w:val="auto"/>
                <w:sz w:val="18"/>
                <w:szCs w:val="18"/>
                <w:highlight w:val="none"/>
              </w:rPr>
              <w:t>5年（不含）-10年（含）的，</w:t>
            </w:r>
            <w:r>
              <w:rPr>
                <w:rFonts w:hint="eastAsia" w:ascii="宋体" w:hAnsi="宋体" w:cs="宋体"/>
                <w:color w:val="auto"/>
                <w:sz w:val="18"/>
                <w:szCs w:val="18"/>
                <w:highlight w:val="none"/>
                <w:lang w:eastAsia="zh-CN"/>
              </w:rPr>
              <w:t>得3分</w:t>
            </w:r>
            <w:r>
              <w:rPr>
                <w:rFonts w:hint="eastAsia" w:ascii="宋体" w:hAnsi="宋体" w:cs="宋体"/>
                <w:color w:val="auto"/>
                <w:sz w:val="18"/>
                <w:szCs w:val="18"/>
                <w:highlight w:val="none"/>
              </w:rPr>
              <w:t>；</w:t>
            </w:r>
            <w:r>
              <w:rPr>
                <w:rFonts w:hint="eastAsia" w:ascii="宋体" w:hAnsi="宋体" w:cs="宋体"/>
                <w:color w:val="auto"/>
                <w:sz w:val="18"/>
                <w:szCs w:val="20"/>
                <w:highlight w:val="none"/>
                <w:lang w:eastAsia="zh-CN"/>
              </w:rPr>
              <w:t>本项最高得5</w:t>
            </w:r>
            <w:r>
              <w:rPr>
                <w:rFonts w:hint="eastAsia" w:ascii="宋体" w:hAnsi="宋体" w:cs="宋体"/>
                <w:color w:val="auto"/>
                <w:sz w:val="18"/>
                <w:szCs w:val="20"/>
                <w:highlight w:val="none"/>
              </w:rPr>
              <w:t>分，其他情况不加分。</w:t>
            </w:r>
          </w:p>
          <w:p>
            <w:pPr>
              <w:pStyle w:val="15"/>
              <w:snapToGrid w:val="0"/>
              <w:ind w:right="-153" w:rightChars="-73"/>
              <w:rPr>
                <w:rFonts w:hint="eastAsia" w:ascii="宋体" w:hAnsi="宋体" w:cs="宋体"/>
                <w:color w:val="auto"/>
                <w:sz w:val="18"/>
                <w:szCs w:val="20"/>
                <w:highlight w:val="none"/>
              </w:rPr>
            </w:pPr>
            <w:r>
              <w:rPr>
                <w:rFonts w:hint="eastAsia" w:ascii="宋体" w:hAnsi="宋体" w:cs="宋体"/>
                <w:color w:val="auto"/>
                <w:sz w:val="18"/>
                <w:szCs w:val="20"/>
                <w:highlight w:val="none"/>
              </w:rPr>
              <w:t>③取得本科或以上学历的，</w:t>
            </w:r>
            <w:r>
              <w:rPr>
                <w:rFonts w:hint="eastAsia" w:ascii="宋体" w:hAnsi="宋体" w:cs="宋体"/>
                <w:color w:val="auto"/>
                <w:sz w:val="18"/>
                <w:szCs w:val="20"/>
                <w:highlight w:val="none"/>
                <w:lang w:eastAsia="zh-CN"/>
              </w:rPr>
              <w:t>得5</w:t>
            </w:r>
            <w:r>
              <w:rPr>
                <w:rFonts w:hint="eastAsia" w:ascii="宋体" w:hAnsi="宋体" w:cs="宋体"/>
                <w:color w:val="auto"/>
                <w:sz w:val="18"/>
                <w:szCs w:val="20"/>
                <w:highlight w:val="none"/>
              </w:rPr>
              <w:t>分；取得大专学历的，</w:t>
            </w:r>
            <w:r>
              <w:rPr>
                <w:rFonts w:hint="eastAsia" w:ascii="宋体" w:hAnsi="宋体" w:cs="宋体"/>
                <w:color w:val="auto"/>
                <w:sz w:val="18"/>
                <w:szCs w:val="20"/>
                <w:highlight w:val="none"/>
                <w:lang w:eastAsia="zh-CN"/>
              </w:rPr>
              <w:t>得3分</w:t>
            </w:r>
            <w:r>
              <w:rPr>
                <w:rFonts w:hint="eastAsia" w:ascii="宋体" w:hAnsi="宋体" w:cs="宋体"/>
                <w:color w:val="auto"/>
                <w:sz w:val="18"/>
                <w:szCs w:val="20"/>
                <w:highlight w:val="none"/>
              </w:rPr>
              <w:t>；</w:t>
            </w:r>
            <w:r>
              <w:rPr>
                <w:rFonts w:hint="eastAsia" w:ascii="宋体" w:hAnsi="宋体" w:cs="宋体"/>
                <w:color w:val="auto"/>
                <w:sz w:val="18"/>
                <w:szCs w:val="20"/>
                <w:highlight w:val="none"/>
                <w:lang w:eastAsia="zh-CN"/>
              </w:rPr>
              <w:t>本项最高得5</w:t>
            </w:r>
            <w:r>
              <w:rPr>
                <w:rFonts w:hint="eastAsia" w:ascii="宋体" w:hAnsi="宋体" w:cs="宋体"/>
                <w:color w:val="auto"/>
                <w:sz w:val="18"/>
                <w:szCs w:val="20"/>
                <w:highlight w:val="none"/>
              </w:rPr>
              <w:t>分，其他情况不加分。</w:t>
            </w:r>
          </w:p>
          <w:p>
            <w:pPr>
              <w:pStyle w:val="15"/>
              <w:snapToGrid w:val="0"/>
              <w:ind w:right="-153" w:rightChars="-73"/>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w:t>④自2019年1月1日至投标截止时间止，曾以技术负责人的职务完成过类似业绩，得</w:t>
            </w:r>
            <w:r>
              <w:rPr>
                <w:rFonts w:hint="eastAsia" w:ascii="宋体" w:hAnsi="宋体" w:eastAsia="宋体" w:cs="宋体"/>
                <w:color w:val="auto"/>
                <w:sz w:val="18"/>
                <w:szCs w:val="20"/>
                <w:highlight w:val="none"/>
                <w:lang w:eastAsia="zh-CN"/>
              </w:rPr>
              <w:t>5</w:t>
            </w:r>
            <w:r>
              <w:rPr>
                <w:rFonts w:hint="eastAsia" w:ascii="宋体" w:hAnsi="宋体" w:eastAsia="宋体" w:cs="宋体"/>
                <w:color w:val="auto"/>
                <w:sz w:val="18"/>
                <w:szCs w:val="20"/>
                <w:highlight w:val="none"/>
              </w:rPr>
              <w:t>分。</w:t>
            </w:r>
            <w:r>
              <w:rPr>
                <w:rFonts w:hint="eastAsia" w:ascii="宋体" w:hAnsi="宋体" w:eastAsia="宋体" w:cs="宋体"/>
                <w:color w:val="auto"/>
                <w:sz w:val="18"/>
                <w:szCs w:val="20"/>
                <w:highlight w:val="none"/>
                <w:lang w:eastAsia="zh-CN"/>
              </w:rPr>
              <w:t>本项最高得5</w:t>
            </w:r>
            <w:r>
              <w:rPr>
                <w:rFonts w:hint="eastAsia" w:ascii="宋体" w:hAnsi="宋体" w:eastAsia="宋体" w:cs="宋体"/>
                <w:color w:val="auto"/>
                <w:sz w:val="18"/>
                <w:szCs w:val="20"/>
                <w:highlight w:val="none"/>
              </w:rPr>
              <w:t>分，其他情况不加分。</w:t>
            </w:r>
          </w:p>
          <w:p>
            <w:pPr>
              <w:jc w:val="left"/>
              <w:rPr>
                <w:rFonts w:hint="eastAsia" w:ascii="宋体" w:hAnsi="宋体" w:cs="宋体"/>
                <w:b/>
                <w:color w:val="auto"/>
                <w:sz w:val="20"/>
                <w:szCs w:val="20"/>
                <w:highlight w:val="none"/>
              </w:rPr>
            </w:pPr>
            <w:r>
              <w:rPr>
                <w:rFonts w:hint="eastAsia" w:ascii="宋体" w:hAnsi="宋体" w:cs="宋体"/>
                <w:b/>
                <w:bCs/>
                <w:color w:val="auto"/>
                <w:sz w:val="20"/>
                <w:szCs w:val="20"/>
                <w:highlight w:val="none"/>
              </w:rPr>
              <w:t>3.</w:t>
            </w:r>
            <w:r>
              <w:rPr>
                <w:rFonts w:hint="eastAsia" w:ascii="宋体" w:hAnsi="宋体" w:cs="宋体"/>
                <w:b/>
                <w:color w:val="auto"/>
                <w:sz w:val="20"/>
                <w:szCs w:val="20"/>
                <w:highlight w:val="none"/>
              </w:rPr>
              <w:t>安全负责人(</w:t>
            </w:r>
            <w:r>
              <w:rPr>
                <w:rFonts w:hint="eastAsia" w:ascii="宋体" w:hAnsi="宋体" w:cs="宋体"/>
                <w:b/>
                <w:color w:val="auto"/>
                <w:sz w:val="20"/>
                <w:szCs w:val="20"/>
                <w:highlight w:val="none"/>
                <w:lang w:val="en-US" w:eastAsia="zh-CN"/>
              </w:rPr>
              <w:t>15</w:t>
            </w:r>
            <w:r>
              <w:rPr>
                <w:rFonts w:hint="eastAsia" w:ascii="宋体" w:hAnsi="宋体" w:cs="宋体"/>
                <w:b/>
                <w:color w:val="auto"/>
                <w:sz w:val="20"/>
                <w:szCs w:val="20"/>
                <w:highlight w:val="none"/>
              </w:rPr>
              <w:t>分)：</w:t>
            </w:r>
          </w:p>
          <w:p>
            <w:pPr>
              <w:pStyle w:val="15"/>
              <w:snapToGrid w:val="0"/>
              <w:ind w:right="-153" w:rightChars="-73"/>
              <w:jc w:val="left"/>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w:t>①具有建筑工程类专业高级工程师或以上职称资格年限10年（不含）或以上且取得安全生产考核合格证（C类）或建筑施工企业综合类专职安全生产管理人员安全生产考核合格证书（C3）资格年限10年（不含）或以上的，</w:t>
            </w:r>
            <w:r>
              <w:rPr>
                <w:rFonts w:hint="eastAsia" w:ascii="宋体" w:hAnsi="宋体" w:eastAsia="宋体" w:cs="宋体"/>
                <w:color w:val="auto"/>
                <w:sz w:val="18"/>
                <w:szCs w:val="20"/>
                <w:highlight w:val="none"/>
                <w:lang w:eastAsia="zh-CN"/>
              </w:rPr>
              <w:t>得</w:t>
            </w:r>
            <w:r>
              <w:rPr>
                <w:rFonts w:hint="eastAsia" w:ascii="宋体" w:hAnsi="宋体" w:cs="宋体"/>
                <w:color w:val="auto"/>
                <w:sz w:val="18"/>
                <w:szCs w:val="20"/>
                <w:highlight w:val="none"/>
                <w:lang w:val="en-US" w:eastAsia="zh-CN"/>
              </w:rPr>
              <w:t>10</w:t>
            </w:r>
            <w:r>
              <w:rPr>
                <w:rFonts w:hint="eastAsia" w:ascii="宋体" w:hAnsi="宋体" w:eastAsia="宋体" w:cs="宋体"/>
                <w:color w:val="auto"/>
                <w:sz w:val="18"/>
                <w:szCs w:val="20"/>
                <w:highlight w:val="none"/>
              </w:rPr>
              <w:t>分；具有建筑工程类专业高级工程师或以上职称资格年限5年（不含）-10年（含）且取得安全生产考核合格证（C类）或建筑施工企业综合类专职安全生产管理人员安全生产考核合格证书（C3）资格年限5年（不含）-10年（含）的，</w:t>
            </w:r>
            <w:r>
              <w:rPr>
                <w:rFonts w:hint="eastAsia" w:ascii="宋体" w:hAnsi="宋体" w:eastAsia="宋体" w:cs="宋体"/>
                <w:color w:val="auto"/>
                <w:sz w:val="18"/>
                <w:szCs w:val="20"/>
                <w:highlight w:val="none"/>
                <w:lang w:eastAsia="zh-CN"/>
              </w:rPr>
              <w:t>得</w:t>
            </w:r>
            <w:r>
              <w:rPr>
                <w:rFonts w:hint="eastAsia" w:ascii="宋体" w:hAnsi="宋体" w:eastAsia="宋体" w:cs="宋体"/>
                <w:color w:val="auto"/>
                <w:sz w:val="18"/>
                <w:szCs w:val="20"/>
                <w:highlight w:val="none"/>
                <w:lang w:val="en-US" w:eastAsia="zh-CN"/>
              </w:rPr>
              <w:t>5</w:t>
            </w:r>
            <w:r>
              <w:rPr>
                <w:rFonts w:hint="eastAsia" w:ascii="宋体" w:hAnsi="宋体" w:eastAsia="宋体" w:cs="宋体"/>
                <w:color w:val="auto"/>
                <w:sz w:val="18"/>
                <w:szCs w:val="20"/>
                <w:highlight w:val="none"/>
              </w:rPr>
              <w:t>分；</w:t>
            </w:r>
            <w:r>
              <w:rPr>
                <w:rFonts w:hint="eastAsia" w:ascii="宋体" w:hAnsi="宋体" w:eastAsia="宋体" w:cs="宋体"/>
                <w:color w:val="auto"/>
                <w:sz w:val="18"/>
                <w:szCs w:val="20"/>
                <w:highlight w:val="none"/>
                <w:lang w:eastAsia="zh-CN"/>
              </w:rPr>
              <w:t>本项最高得</w:t>
            </w:r>
            <w:r>
              <w:rPr>
                <w:rFonts w:hint="eastAsia" w:ascii="宋体" w:hAnsi="宋体" w:cs="宋体"/>
                <w:color w:val="auto"/>
                <w:sz w:val="18"/>
                <w:szCs w:val="20"/>
                <w:highlight w:val="none"/>
                <w:lang w:val="en-US" w:eastAsia="zh-CN"/>
              </w:rPr>
              <w:t>10</w:t>
            </w:r>
            <w:r>
              <w:rPr>
                <w:rFonts w:hint="eastAsia" w:ascii="宋体" w:hAnsi="宋体" w:eastAsia="宋体" w:cs="宋体"/>
                <w:color w:val="auto"/>
                <w:sz w:val="18"/>
                <w:szCs w:val="20"/>
                <w:highlight w:val="none"/>
              </w:rPr>
              <w:t>分，其他情况不加分。</w:t>
            </w:r>
          </w:p>
          <w:p>
            <w:pPr>
              <w:pStyle w:val="15"/>
              <w:snapToGrid w:val="0"/>
              <w:ind w:right="-153" w:rightChars="-73"/>
              <w:jc w:val="left"/>
              <w:rPr>
                <w:rFonts w:hint="eastAsia" w:ascii="宋体" w:hAnsi="宋体" w:cs="宋体"/>
                <w:color w:val="auto"/>
                <w:sz w:val="18"/>
                <w:szCs w:val="20"/>
                <w:highlight w:val="none"/>
              </w:rPr>
            </w:pPr>
            <w:r>
              <w:rPr>
                <w:rFonts w:hint="eastAsia" w:ascii="宋体" w:hAnsi="宋体" w:cs="宋体"/>
                <w:color w:val="auto"/>
                <w:sz w:val="18"/>
                <w:szCs w:val="20"/>
                <w:highlight w:val="none"/>
              </w:rPr>
              <w:t>②自2019年1月1日至投标截止时间止，曾以安全负责人的职务完成过类似工程业绩，得</w:t>
            </w:r>
            <w:r>
              <w:rPr>
                <w:rFonts w:hint="eastAsia" w:ascii="宋体" w:hAnsi="宋体" w:cs="宋体"/>
                <w:color w:val="auto"/>
                <w:sz w:val="18"/>
                <w:szCs w:val="20"/>
                <w:highlight w:val="none"/>
                <w:lang w:val="en-US" w:eastAsia="zh-CN"/>
              </w:rPr>
              <w:t>5</w:t>
            </w:r>
            <w:r>
              <w:rPr>
                <w:rFonts w:hint="eastAsia" w:ascii="宋体" w:hAnsi="宋体" w:cs="宋体"/>
                <w:color w:val="auto"/>
                <w:sz w:val="18"/>
                <w:szCs w:val="20"/>
                <w:highlight w:val="none"/>
              </w:rPr>
              <w:t>分；</w:t>
            </w:r>
            <w:r>
              <w:rPr>
                <w:rFonts w:hint="eastAsia" w:ascii="宋体" w:hAnsi="宋体" w:cs="宋体"/>
                <w:color w:val="auto"/>
                <w:sz w:val="18"/>
                <w:szCs w:val="20"/>
                <w:highlight w:val="none"/>
                <w:lang w:eastAsia="zh-CN"/>
              </w:rPr>
              <w:t>本项最高得5</w:t>
            </w:r>
            <w:r>
              <w:rPr>
                <w:rFonts w:hint="eastAsia" w:ascii="宋体" w:hAnsi="宋体" w:cs="宋体"/>
                <w:color w:val="auto"/>
                <w:sz w:val="18"/>
                <w:szCs w:val="20"/>
                <w:highlight w:val="none"/>
              </w:rPr>
              <w:t>分，其他情况不加分。</w:t>
            </w:r>
          </w:p>
          <w:p>
            <w:pPr>
              <w:jc w:val="left"/>
              <w:rPr>
                <w:rFonts w:hint="eastAsia" w:ascii="宋体" w:hAnsi="宋体" w:cs="宋体"/>
                <w:b/>
                <w:bCs/>
                <w:color w:val="auto"/>
                <w:sz w:val="20"/>
                <w:szCs w:val="20"/>
                <w:highlight w:val="none"/>
              </w:rPr>
            </w:pPr>
            <w:r>
              <w:rPr>
                <w:rFonts w:hint="eastAsia" w:ascii="宋体" w:hAnsi="宋体" w:cs="宋体"/>
                <w:color w:val="auto"/>
                <w:sz w:val="20"/>
                <w:szCs w:val="20"/>
                <w:highlight w:val="none"/>
              </w:rPr>
              <w:t>4.</w:t>
            </w:r>
            <w:r>
              <w:rPr>
                <w:rFonts w:hint="eastAsia" w:ascii="宋体" w:hAnsi="宋体" w:cs="宋体"/>
                <w:b/>
                <w:bCs/>
                <w:color w:val="auto"/>
                <w:sz w:val="20"/>
                <w:szCs w:val="20"/>
                <w:highlight w:val="none"/>
              </w:rPr>
              <w:t>造价负责人（</w:t>
            </w:r>
            <w:r>
              <w:rPr>
                <w:rFonts w:hint="eastAsia" w:ascii="宋体" w:hAnsi="宋体" w:cs="宋体"/>
                <w:b/>
                <w:bCs/>
                <w:color w:val="auto"/>
                <w:sz w:val="20"/>
                <w:szCs w:val="20"/>
                <w:highlight w:val="none"/>
                <w:lang w:val="en-US" w:eastAsia="zh-CN"/>
              </w:rPr>
              <w:t>20</w:t>
            </w:r>
            <w:r>
              <w:rPr>
                <w:rFonts w:hint="eastAsia" w:ascii="宋体" w:hAnsi="宋体" w:cs="宋体"/>
                <w:b/>
                <w:bCs/>
                <w:color w:val="auto"/>
                <w:sz w:val="20"/>
                <w:szCs w:val="20"/>
                <w:highlight w:val="none"/>
              </w:rPr>
              <w:t>分）</w:t>
            </w:r>
          </w:p>
          <w:p>
            <w:pPr>
              <w:pStyle w:val="15"/>
              <w:snapToGrid w:val="0"/>
              <w:ind w:left="0" w:leftChars="0" w:right="-153" w:rightChars="-73" w:firstLine="0" w:firstLineChars="0"/>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w:t>①具有工程类造价专业高级工程师或以上职称资格年限10年（不含）或以上且取得注册造价工程师资格年限10年（不含）或以上的，</w:t>
            </w:r>
            <w:r>
              <w:rPr>
                <w:rFonts w:hint="eastAsia" w:ascii="宋体" w:hAnsi="宋体" w:eastAsia="宋体" w:cs="宋体"/>
                <w:color w:val="auto"/>
                <w:sz w:val="18"/>
                <w:szCs w:val="20"/>
                <w:highlight w:val="none"/>
                <w:lang w:eastAsia="zh-CN"/>
              </w:rPr>
              <w:t>得1</w:t>
            </w:r>
            <w:r>
              <w:rPr>
                <w:rFonts w:hint="eastAsia" w:ascii="宋体" w:hAnsi="宋体" w:eastAsia="宋体" w:cs="宋体"/>
                <w:color w:val="auto"/>
                <w:sz w:val="18"/>
                <w:szCs w:val="20"/>
                <w:highlight w:val="none"/>
                <w:lang w:val="en-US" w:eastAsia="zh-CN"/>
              </w:rPr>
              <w:t>5</w:t>
            </w:r>
            <w:r>
              <w:rPr>
                <w:rFonts w:hint="eastAsia" w:ascii="宋体" w:hAnsi="宋体" w:eastAsia="宋体" w:cs="宋体"/>
                <w:color w:val="auto"/>
                <w:sz w:val="18"/>
                <w:szCs w:val="20"/>
                <w:highlight w:val="none"/>
              </w:rPr>
              <w:t>分；具有工程类造价专业高级工程师或以上职称资格年限5年（不含）-10年（含）且取得注册造价工程师资格年限5年（不含）-10年（含）的，</w:t>
            </w:r>
            <w:r>
              <w:rPr>
                <w:rFonts w:hint="eastAsia" w:ascii="宋体" w:hAnsi="宋体" w:eastAsia="宋体" w:cs="宋体"/>
                <w:color w:val="auto"/>
                <w:sz w:val="18"/>
                <w:szCs w:val="20"/>
                <w:highlight w:val="none"/>
                <w:lang w:eastAsia="zh-CN"/>
              </w:rPr>
              <w:t>得1</w:t>
            </w:r>
            <w:r>
              <w:rPr>
                <w:rFonts w:hint="eastAsia" w:ascii="宋体" w:hAnsi="宋体" w:eastAsia="宋体" w:cs="宋体"/>
                <w:color w:val="auto"/>
                <w:sz w:val="18"/>
                <w:szCs w:val="20"/>
                <w:highlight w:val="none"/>
                <w:lang w:val="en-US" w:eastAsia="zh-CN"/>
              </w:rPr>
              <w:t>0</w:t>
            </w:r>
            <w:r>
              <w:rPr>
                <w:rFonts w:hint="eastAsia" w:ascii="宋体" w:hAnsi="宋体" w:eastAsia="宋体" w:cs="宋体"/>
                <w:color w:val="auto"/>
                <w:sz w:val="18"/>
                <w:szCs w:val="20"/>
                <w:highlight w:val="none"/>
              </w:rPr>
              <w:t>分；</w:t>
            </w:r>
            <w:r>
              <w:rPr>
                <w:rFonts w:hint="eastAsia" w:ascii="宋体" w:hAnsi="宋体" w:eastAsia="宋体" w:cs="宋体"/>
                <w:color w:val="auto"/>
                <w:sz w:val="18"/>
                <w:szCs w:val="20"/>
                <w:highlight w:val="none"/>
                <w:lang w:eastAsia="zh-CN"/>
              </w:rPr>
              <w:t>本项最高得</w:t>
            </w:r>
            <w:r>
              <w:rPr>
                <w:rFonts w:hint="eastAsia" w:ascii="宋体" w:hAnsi="宋体" w:eastAsia="宋体" w:cs="宋体"/>
                <w:color w:val="auto"/>
                <w:sz w:val="18"/>
                <w:szCs w:val="20"/>
                <w:highlight w:val="none"/>
                <w:lang w:val="en-US" w:eastAsia="zh-CN"/>
              </w:rPr>
              <w:t>15</w:t>
            </w:r>
            <w:r>
              <w:rPr>
                <w:rFonts w:hint="eastAsia" w:ascii="宋体" w:hAnsi="宋体" w:eastAsia="宋体" w:cs="宋体"/>
                <w:color w:val="auto"/>
                <w:sz w:val="18"/>
                <w:szCs w:val="20"/>
                <w:highlight w:val="none"/>
              </w:rPr>
              <w:t>分，其他情况不加分。</w:t>
            </w:r>
          </w:p>
          <w:p>
            <w:pPr>
              <w:pStyle w:val="15"/>
              <w:snapToGrid w:val="0"/>
              <w:ind w:left="0" w:leftChars="0" w:right="-153" w:rightChars="-73" w:firstLine="0" w:firstLineChars="0"/>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w:t>②自2019年1月1日至投标截止时间止，曾以造价负责人或预算员的职务完成过类似工程业绩，得</w:t>
            </w:r>
            <w:r>
              <w:rPr>
                <w:rFonts w:hint="eastAsia" w:ascii="宋体" w:hAnsi="宋体" w:eastAsia="宋体" w:cs="宋体"/>
                <w:color w:val="auto"/>
                <w:sz w:val="18"/>
                <w:szCs w:val="20"/>
                <w:highlight w:val="none"/>
                <w:lang w:eastAsia="zh-CN"/>
              </w:rPr>
              <w:t>5</w:t>
            </w:r>
            <w:r>
              <w:rPr>
                <w:rFonts w:hint="eastAsia" w:ascii="宋体" w:hAnsi="宋体" w:eastAsia="宋体" w:cs="宋体"/>
                <w:color w:val="auto"/>
                <w:sz w:val="18"/>
                <w:szCs w:val="20"/>
                <w:highlight w:val="none"/>
              </w:rPr>
              <w:t>分；</w:t>
            </w:r>
            <w:r>
              <w:rPr>
                <w:rFonts w:hint="eastAsia" w:ascii="宋体" w:hAnsi="宋体" w:eastAsia="宋体" w:cs="宋体"/>
                <w:color w:val="auto"/>
                <w:sz w:val="18"/>
                <w:szCs w:val="20"/>
                <w:highlight w:val="none"/>
                <w:lang w:eastAsia="zh-CN"/>
              </w:rPr>
              <w:t>本项最高得5</w:t>
            </w:r>
            <w:r>
              <w:rPr>
                <w:rFonts w:hint="eastAsia" w:ascii="宋体" w:hAnsi="宋体" w:eastAsia="宋体" w:cs="宋体"/>
                <w:color w:val="auto"/>
                <w:sz w:val="18"/>
                <w:szCs w:val="20"/>
                <w:highlight w:val="none"/>
              </w:rPr>
              <w:t>分，其他情况不加分。</w:t>
            </w:r>
          </w:p>
          <w:p>
            <w:pPr>
              <w:pStyle w:val="15"/>
              <w:snapToGrid w:val="0"/>
              <w:ind w:right="-153" w:rightChars="-73"/>
              <w:jc w:val="left"/>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w:t>注：以上</w:t>
            </w:r>
            <w:r>
              <w:rPr>
                <w:rFonts w:hint="eastAsia" w:ascii="宋体" w:hAnsi="宋体" w:eastAsia="宋体" w:cs="宋体"/>
                <w:bCs w:val="0"/>
                <w:color w:val="auto"/>
                <w:sz w:val="18"/>
                <w:szCs w:val="20"/>
                <w:highlight w:val="none"/>
              </w:rPr>
              <w:t>各岗位人员不得相互兼职，</w:t>
            </w:r>
            <w:r>
              <w:rPr>
                <w:rFonts w:hint="eastAsia" w:ascii="宋体" w:hAnsi="宋体" w:eastAsia="宋体" w:cs="宋体"/>
                <w:color w:val="auto"/>
                <w:sz w:val="18"/>
                <w:szCs w:val="20"/>
                <w:highlight w:val="none"/>
              </w:rPr>
              <w:t>各项累加最多得</w:t>
            </w:r>
            <w:r>
              <w:rPr>
                <w:rFonts w:hint="eastAsia" w:ascii="宋体" w:hAnsi="宋体" w:eastAsia="宋体" w:cs="宋体"/>
                <w:color w:val="auto"/>
                <w:sz w:val="18"/>
                <w:szCs w:val="20"/>
                <w:highlight w:val="none"/>
                <w:lang w:eastAsia="zh-CN"/>
              </w:rPr>
              <w:t>7</w:t>
            </w:r>
            <w:r>
              <w:rPr>
                <w:rFonts w:hint="eastAsia" w:ascii="宋体" w:hAnsi="宋体" w:eastAsia="宋体" w:cs="宋体"/>
                <w:color w:val="auto"/>
                <w:sz w:val="18"/>
                <w:szCs w:val="20"/>
                <w:highlight w:val="none"/>
                <w:lang w:val="en-US" w:eastAsia="zh-CN"/>
              </w:rPr>
              <w:t>0</w:t>
            </w:r>
            <w:r>
              <w:rPr>
                <w:rFonts w:hint="eastAsia" w:ascii="宋体" w:hAnsi="宋体" w:eastAsia="宋体" w:cs="宋体"/>
                <w:color w:val="auto"/>
                <w:sz w:val="18"/>
                <w:szCs w:val="20"/>
                <w:highlight w:val="none"/>
              </w:rPr>
              <w:t>分</w:t>
            </w:r>
            <w:r>
              <w:rPr>
                <w:rFonts w:hint="eastAsia" w:ascii="宋体" w:hAnsi="宋体" w:eastAsia="宋体" w:cs="宋体"/>
                <w:bCs w:val="0"/>
                <w:color w:val="auto"/>
                <w:sz w:val="18"/>
                <w:szCs w:val="20"/>
                <w:highlight w:val="none"/>
              </w:rPr>
              <w:t>。</w:t>
            </w:r>
            <w:r>
              <w:rPr>
                <w:rFonts w:hint="eastAsia" w:ascii="宋体" w:hAnsi="宋体" w:eastAsia="宋体" w:cs="宋体"/>
                <w:color w:val="auto"/>
                <w:sz w:val="18"/>
                <w:szCs w:val="20"/>
                <w:highlight w:val="none"/>
              </w:rPr>
              <w:br w:type="textWrapping"/>
            </w:r>
            <w:r>
              <w:rPr>
                <w:rFonts w:hint="eastAsia" w:ascii="宋体" w:hAnsi="宋体" w:eastAsia="宋体" w:cs="宋体"/>
                <w:color w:val="auto"/>
                <w:sz w:val="18"/>
                <w:szCs w:val="20"/>
                <w:highlight w:val="none"/>
              </w:rPr>
              <w:t>①一级注册建造师资格年限及注册造价工程师执业资格年限以执业资格证批准日期或发证日期为准起计；</w:t>
            </w:r>
          </w:p>
          <w:p>
            <w:pPr>
              <w:pStyle w:val="15"/>
              <w:snapToGrid w:val="0"/>
              <w:ind w:right="-153" w:rightChars="-73"/>
              <w:jc w:val="left"/>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w:t>②职称证年限以发证时间开始计算（如证书未体现发证时间的，以评审时间开始计算）；</w:t>
            </w:r>
          </w:p>
          <w:p>
            <w:pPr>
              <w:pStyle w:val="15"/>
              <w:snapToGrid w:val="0"/>
              <w:spacing w:line="240" w:lineRule="auto"/>
              <w:ind w:right="-153" w:rightChars="-73"/>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18"/>
                <w:szCs w:val="20"/>
                <w:highlight w:val="none"/>
              </w:rPr>
              <w:t>③安全生产考核合格证（C类）或建筑施工企业综合类专职安全生产管理人员安全生产考核合格证书（C3）年限以发证日期或初次领证日期最早日期为准</w:t>
            </w:r>
            <w:r>
              <w:rPr>
                <w:rFonts w:hint="eastAsia" w:ascii="宋体" w:hAnsi="宋体" w:eastAsia="宋体" w:cs="宋体"/>
                <w:color w:val="auto"/>
                <w:sz w:val="18"/>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5" w:hRule="atLeast"/>
          <w:jc w:val="center"/>
        </w:trPr>
        <w:tc>
          <w:tcPr>
            <w:tcW w:w="1922" w:type="dxa"/>
            <w:gridSpan w:val="2"/>
            <w:shd w:val="clear" w:color="auto" w:fill="auto"/>
            <w:noWrap w:val="0"/>
            <w:vAlign w:val="center"/>
          </w:tcPr>
          <w:p>
            <w:pPr>
              <w:widowControl/>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1219" w:type="dxa"/>
            <w:shd w:val="clear" w:color="auto" w:fill="auto"/>
            <w:noWrap w:val="0"/>
            <w:vAlign w:val="center"/>
          </w:tcPr>
          <w:p>
            <w:pPr>
              <w:widowControl/>
              <w:adjustRightInd w:val="0"/>
              <w:snapToGrid w:val="0"/>
              <w:spacing w:line="400" w:lineRule="exact"/>
              <w:jc w:val="center"/>
              <w:rPr>
                <w:rFonts w:hint="eastAsia" w:ascii="宋体" w:hAnsi="宋体" w:cs="宋体"/>
                <w:color w:val="auto"/>
                <w:szCs w:val="21"/>
                <w:highlight w:val="none"/>
              </w:rPr>
            </w:pPr>
          </w:p>
        </w:tc>
        <w:tc>
          <w:tcPr>
            <w:tcW w:w="787" w:type="dxa"/>
            <w:shd w:val="clear" w:color="auto" w:fill="auto"/>
            <w:noWrap w:val="0"/>
            <w:vAlign w:val="center"/>
          </w:tcPr>
          <w:p>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11501" w:type="dxa"/>
            <w:shd w:val="clear" w:color="auto" w:fill="auto"/>
            <w:noWrap w:val="0"/>
            <w:vAlign w:val="center"/>
          </w:tcPr>
          <w:p>
            <w:pPr>
              <w:adjustRightInd w:val="0"/>
              <w:snapToGrid w:val="0"/>
              <w:spacing w:line="400" w:lineRule="exact"/>
              <w:jc w:val="center"/>
              <w:rPr>
                <w:rFonts w:hint="eastAsia" w:ascii="宋体" w:hAnsi="宋体" w:cs="宋体"/>
                <w:color w:val="auto"/>
                <w:szCs w:val="21"/>
                <w:highlight w:val="none"/>
              </w:rPr>
            </w:pPr>
          </w:p>
        </w:tc>
      </w:tr>
      <w:bookmarkEnd w:id="63"/>
    </w:tbl>
    <w:p>
      <w:pPr>
        <w:rPr>
          <w:rFonts w:hint="eastAsia" w:ascii="宋体" w:hAnsi="宋体" w:cs="宋体"/>
          <w:color w:val="auto"/>
          <w:szCs w:val="21"/>
          <w:highlight w:val="none"/>
        </w:rPr>
      </w:pPr>
      <w:r>
        <w:rPr>
          <w:rFonts w:hint="eastAsia" w:ascii="宋体" w:hAnsi="宋体" w:cs="宋体"/>
          <w:color w:val="auto"/>
          <w:szCs w:val="21"/>
          <w:highlight w:val="none"/>
        </w:rPr>
        <w:t>注：</w:t>
      </w:r>
    </w:p>
    <w:p>
      <w:pPr>
        <w:rPr>
          <w:rFonts w:ascii="宋体" w:hAnsi="宋体" w:cs="宋体"/>
          <w:bCs/>
          <w:color w:val="auto"/>
          <w:szCs w:val="21"/>
          <w:highlight w:val="none"/>
        </w:rPr>
      </w:pPr>
      <w:r>
        <w:rPr>
          <w:rFonts w:hint="eastAsia" w:ascii="宋体" w:hAnsi="宋体" w:cs="宋体"/>
          <w:b/>
          <w:bCs w:val="0"/>
          <w:color w:val="auto"/>
          <w:szCs w:val="21"/>
          <w:highlight w:val="none"/>
        </w:rPr>
        <w:t>1、类似工程业绩：</w:t>
      </w:r>
    </w:p>
    <w:p>
      <w:pPr>
        <w:rPr>
          <w:rFonts w:ascii="宋体" w:hAnsi="宋体" w:cs="宋体"/>
          <w:bCs/>
          <w:color w:val="auto"/>
          <w:szCs w:val="21"/>
          <w:highlight w:val="none"/>
        </w:rPr>
      </w:pPr>
      <w:r>
        <w:rPr>
          <w:rFonts w:hint="eastAsia" w:ascii="宋体" w:hAnsi="宋体" w:cs="宋体"/>
          <w:bCs/>
          <w:color w:val="auto"/>
          <w:szCs w:val="21"/>
          <w:highlight w:val="none"/>
        </w:rPr>
        <w:t>（1）类似工程业绩是指中标金额大于或等于1000万元的建筑工程施工总承包项目。</w:t>
      </w:r>
      <w:r>
        <w:rPr>
          <w:rFonts w:hint="eastAsia" w:hAnsi="宋体" w:cs="宋体"/>
          <w:color w:val="auto"/>
          <w:szCs w:val="21"/>
          <w:highlight w:val="none"/>
        </w:rPr>
        <w:t>各负责人对应担任的职务需明确体现在业绩证明材料中，未在业绩证明材料中体现对应担任职务的本项不得分</w:t>
      </w:r>
      <w:r>
        <w:rPr>
          <w:rFonts w:hint="eastAsia" w:ascii="宋体" w:hAnsi="宋体" w:cs="宋体"/>
          <w:bCs/>
          <w:color w:val="auto"/>
          <w:szCs w:val="21"/>
          <w:highlight w:val="none"/>
        </w:rPr>
        <w:t>。</w:t>
      </w:r>
    </w:p>
    <w:p>
      <w:pPr>
        <w:rPr>
          <w:rFonts w:ascii="宋体" w:hAnsi="宋体" w:cs="宋体"/>
          <w:bCs/>
          <w:color w:val="auto"/>
          <w:szCs w:val="21"/>
          <w:highlight w:val="none"/>
        </w:rPr>
      </w:pPr>
      <w:r>
        <w:rPr>
          <w:rFonts w:hint="eastAsia" w:ascii="宋体" w:hAnsi="宋体" w:cs="宋体"/>
          <w:bCs/>
          <w:color w:val="auto"/>
          <w:szCs w:val="21"/>
          <w:highlight w:val="none"/>
        </w:rPr>
        <w:t>（2）各</w:t>
      </w:r>
      <w:r>
        <w:rPr>
          <w:rFonts w:hint="eastAsia" w:hAnsi="宋体" w:cs="宋体"/>
          <w:color w:val="auto"/>
          <w:szCs w:val="21"/>
          <w:highlight w:val="none"/>
        </w:rPr>
        <w:t>负责人和</w:t>
      </w:r>
      <w:r>
        <w:rPr>
          <w:rFonts w:hint="eastAsia" w:ascii="宋体" w:hAnsi="宋体" w:cs="宋体"/>
          <w:bCs/>
          <w:color w:val="auto"/>
          <w:szCs w:val="21"/>
          <w:highlight w:val="none"/>
        </w:rPr>
        <w:t>企业业绩取自广州市住建行业信用管理平台。投标人须提供类似工程业绩的名称及业绩在广州市住建行业信用管理平台中项目编号及业绩信息页，不提供项目名称及项目编号的业绩不予评审。（企业业绩相关附件投标文件里可不附，如：库内中标通知书、合同、验收报告、竣工验收备案。）若投标人提供的项目名称与项目编号不一致，项目名称和项目编号在库内分别对应不同业绩的，以项目名称对应的业绩为准。评标委员会对业绩的评审以投标截止时间在库内业绩上传件为依据。金额以中标通知书为准，中标通知书上没有金额或免招标的，以施工合同（不含补充合同）为准。完成时间以竣工验收文件为准，验收文件至少具有建设单位、设计、施工和监理单位盖章。</w:t>
      </w:r>
      <w:r>
        <w:rPr>
          <w:rFonts w:hint="eastAsia"/>
          <w:color w:val="auto"/>
          <w:szCs w:val="21"/>
          <w:highlight w:val="none"/>
        </w:rPr>
        <w:t>平台内业绩上传件不符合上述要求的或登记的工程资质内容与施工合同等业绩证明资料不相符的，该项业绩不予认定。评标委员会对业绩的评审以投标截止时间在平台内业绩上传件为依据(投标文件中可不需重复提交相关业绩上传件)</w:t>
      </w:r>
      <w:r>
        <w:rPr>
          <w:rFonts w:hint="eastAsia" w:ascii="宋体" w:hAnsi="宋体" w:cs="宋体"/>
          <w:bCs/>
          <w:color w:val="auto"/>
          <w:szCs w:val="21"/>
          <w:highlight w:val="none"/>
        </w:rPr>
        <w:t>。</w:t>
      </w:r>
    </w:p>
    <w:p>
      <w:pPr>
        <w:rPr>
          <w:rFonts w:ascii="宋体" w:hAnsi="宋体" w:cs="宋体"/>
          <w:b/>
          <w:bCs w:val="0"/>
          <w:color w:val="auto"/>
          <w:szCs w:val="21"/>
          <w:highlight w:val="none"/>
        </w:rPr>
      </w:pPr>
      <w:r>
        <w:rPr>
          <w:rFonts w:hint="eastAsia" w:ascii="宋体" w:hAnsi="宋体" w:cs="宋体"/>
          <w:b/>
          <w:bCs w:val="0"/>
          <w:color w:val="auto"/>
          <w:szCs w:val="21"/>
          <w:highlight w:val="none"/>
        </w:rPr>
        <w:t>2、投标人获奖情况：</w:t>
      </w:r>
    </w:p>
    <w:p>
      <w:pPr>
        <w:rPr>
          <w:rFonts w:ascii="宋体" w:hAnsi="宋体" w:cs="宋体"/>
          <w:bCs/>
          <w:color w:val="auto"/>
          <w:szCs w:val="21"/>
          <w:highlight w:val="none"/>
        </w:rPr>
      </w:pPr>
      <w:r>
        <w:rPr>
          <w:rFonts w:hint="eastAsia" w:ascii="宋体" w:hAnsi="宋体" w:cs="宋体"/>
          <w:bCs/>
          <w:color w:val="auto"/>
          <w:szCs w:val="21"/>
          <w:highlight w:val="none"/>
        </w:rPr>
        <w:t>（1）国家级工程奖项包括中国建设工程鲁班奖、国家优质工程金质奖、国家优质工程奖、中国土木工程詹天佑奖；省级、市级工程奖项包括省级或市级行政主管部门或行业协会颁发的工程质量方面或安全文明方面的奖项。不含技术类、“参建”类奖项。</w:t>
      </w:r>
    </w:p>
    <w:p>
      <w:pPr>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highlight w:val="none"/>
        </w:rPr>
        <w:t>获奖资料</w:t>
      </w:r>
      <w:r>
        <w:rPr>
          <w:rFonts w:hint="eastAsia" w:hAnsi="宋体" w:cs="宋体"/>
          <w:color w:val="auto"/>
          <w:szCs w:val="21"/>
          <w:highlight w:val="none"/>
        </w:rPr>
        <w:t>取自广州市住建行业信用管理平台。</w:t>
      </w:r>
      <w:r>
        <w:rPr>
          <w:rFonts w:hint="eastAsia" w:ascii="宋体" w:hAnsi="宋体" w:cs="宋体"/>
          <w:color w:val="auto"/>
          <w:szCs w:val="21"/>
          <w:highlight w:val="none"/>
        </w:rPr>
        <w:t>时间以奖项发证时间为准，提交网页信息截图与递交投标文件截止时平台内上传件不一致的，以平台内上传件为准。</w:t>
      </w:r>
      <w:r>
        <w:rPr>
          <w:rFonts w:hint="eastAsia" w:ascii="宋体" w:hAnsi="宋体" w:cs="宋体"/>
          <w:color w:val="auto"/>
          <w:highlight w:val="none"/>
        </w:rPr>
        <w:t>奖项只计算“承建”类，不含“参建”类。“承建或参建”以库内获奖证书上传件为准，获奖证书未明确“承建或参建”的，不得分。只计算房建类质量奖项或安全文明奖项，其他非房建奖项，如：路桥、铁路、水利、电力、化工、冶金、QC、装饰、装修等获奖不参与计分。</w:t>
      </w:r>
      <w:r>
        <w:rPr>
          <w:rFonts w:hint="eastAsia" w:ascii="宋体" w:hAnsi="宋体" w:cs="宋体"/>
          <w:color w:val="auto"/>
          <w:szCs w:val="21"/>
          <w:highlight w:val="none"/>
        </w:rPr>
        <w:t>奖项内容和级别以奖项名称信息为准，建筑工程施工总承包类别以平台内网页中“施工总承包内容－房建”为准，平台内网页中“验收材料-验收日期”栏须显示验收日期以证明该工程已完成。不符合上述条件或不提供平台内网页信息打印页的获奖业绩不予评审。由行业学会或行业协会颁发的奖项，行业学会或行业协会需在民政部门备案。评标委员会对获奖业绩的评审以投标人提供的完整的证明资料为依据。</w:t>
      </w:r>
    </w:p>
    <w:p>
      <w:pPr>
        <w:rPr>
          <w:rFonts w:ascii="宋体" w:hAnsi="宋体" w:cs="宋体"/>
          <w:bCs/>
          <w:color w:val="auto"/>
          <w:szCs w:val="21"/>
          <w:highlight w:val="none"/>
        </w:rPr>
      </w:pPr>
      <w:r>
        <w:rPr>
          <w:rFonts w:hint="eastAsia" w:ascii="宋体" w:hAnsi="宋体" w:cs="宋体"/>
          <w:bCs/>
          <w:color w:val="auto"/>
          <w:szCs w:val="21"/>
          <w:highlight w:val="none"/>
        </w:rPr>
        <w:t>（3）同一项目获得多个奖项的，该项目获奖只按一个奖项计算分数，不得重复计算。</w:t>
      </w:r>
    </w:p>
    <w:p>
      <w:pPr>
        <w:rPr>
          <w:rFonts w:ascii="宋体" w:hAnsi="宋体" w:cs="宋体"/>
          <w:bCs/>
          <w:color w:val="auto"/>
          <w:szCs w:val="21"/>
          <w:highlight w:val="none"/>
        </w:rPr>
      </w:pPr>
      <w:r>
        <w:rPr>
          <w:rFonts w:hint="eastAsia" w:ascii="宋体" w:hAnsi="宋体" w:cs="宋体"/>
          <w:b/>
          <w:bCs w:val="0"/>
          <w:color w:val="auto"/>
          <w:szCs w:val="21"/>
          <w:highlight w:val="none"/>
        </w:rPr>
        <w:t>3、财务指标：</w:t>
      </w:r>
    </w:p>
    <w:p>
      <w:pPr>
        <w:rPr>
          <w:rFonts w:ascii="宋体" w:hAnsi="宋体" w:cs="宋体"/>
          <w:bCs/>
          <w:color w:val="auto"/>
          <w:szCs w:val="21"/>
          <w:highlight w:val="none"/>
        </w:rPr>
      </w:pPr>
      <w:r>
        <w:rPr>
          <w:rFonts w:hint="eastAsia" w:ascii="宋体" w:hAnsi="宋体" w:cs="宋体"/>
          <w:bCs/>
          <w:color w:val="auto"/>
          <w:szCs w:val="21"/>
          <w:highlight w:val="none"/>
        </w:rPr>
        <w:t>企业资产负债率以企业对应年度的财务报表的数据为准，资产负债率=负债总额/资产总额×100%，投标人须提供2018、2019、2020、2021、2022年经会计师事务所审计的财务报表原件扫描件加盖投标人电子印章。</w:t>
      </w:r>
    </w:p>
    <w:p>
      <w:pPr>
        <w:rPr>
          <w:rFonts w:ascii="宋体" w:hAnsi="宋体" w:cs="宋体"/>
          <w:bCs/>
          <w:color w:val="auto"/>
          <w:szCs w:val="21"/>
          <w:highlight w:val="none"/>
        </w:rPr>
      </w:pPr>
      <w:r>
        <w:rPr>
          <w:rFonts w:hint="eastAsia" w:ascii="宋体" w:hAnsi="宋体" w:cs="宋体"/>
          <w:b/>
          <w:bCs w:val="0"/>
          <w:color w:val="auto"/>
          <w:szCs w:val="21"/>
          <w:highlight w:val="none"/>
        </w:rPr>
        <w:t>4、</w:t>
      </w:r>
      <w:r>
        <w:rPr>
          <w:rFonts w:hint="eastAsia" w:ascii="宋体" w:hAnsi="宋体" w:cs="宋体"/>
          <w:bCs/>
          <w:color w:val="auto"/>
          <w:szCs w:val="21"/>
          <w:highlight w:val="none"/>
        </w:rPr>
        <w:t>配备的项目管理机构人员须提各细项评审所分别需要的相关证书扫描件及在投标人企业购买的近一个月（2023年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月）的社保证明</w:t>
      </w:r>
      <w:r>
        <w:rPr>
          <w:rFonts w:hint="eastAsia" w:ascii="宋体" w:hAnsi="宋体"/>
          <w:bCs/>
          <w:color w:val="auto"/>
          <w:szCs w:val="21"/>
          <w:highlight w:val="none"/>
        </w:rPr>
        <w:t>（含分公司，不含子公司或母公司）</w:t>
      </w:r>
      <w:r>
        <w:rPr>
          <w:rFonts w:hint="eastAsia" w:ascii="宋体" w:hAnsi="宋体" w:cs="宋体"/>
          <w:bCs/>
          <w:color w:val="auto"/>
          <w:szCs w:val="21"/>
          <w:highlight w:val="none"/>
        </w:rPr>
        <w:t>并加盖投标人电子印章（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方核实，若发现弄虚作假的，则将其行为纳入不诚信名单，招标人保留上报给行政主管部门的权力)。项目负责人、安全员及其他项目施工管理人员不得在本项目中相互兼任施工管理人员岗位。</w:t>
      </w:r>
    </w:p>
    <w:p>
      <w:pPr>
        <w:rPr>
          <w:rFonts w:ascii="宋体" w:hAnsi="宋体" w:cs="宋体"/>
          <w:bCs/>
          <w:color w:val="auto"/>
          <w:szCs w:val="21"/>
          <w:highlight w:val="none"/>
        </w:rPr>
      </w:pPr>
      <w:r>
        <w:rPr>
          <w:rFonts w:hint="eastAsia" w:ascii="宋体" w:hAnsi="宋体" w:cs="宋体"/>
          <w:bCs/>
          <w:color w:val="auto"/>
          <w:szCs w:val="21"/>
          <w:highlight w:val="none"/>
        </w:rPr>
        <w:t>4.1、注册造价工程师执业资格须同时提交注册造价工程师注册信息查询网站，</w:t>
      </w:r>
    </w:p>
    <w:p>
      <w:pPr>
        <w:rPr>
          <w:rFonts w:ascii="宋体" w:hAnsi="宋体" w:cs="宋体"/>
          <w:bCs/>
          <w:color w:val="auto"/>
          <w:szCs w:val="21"/>
          <w:highlight w:val="none"/>
        </w:rPr>
      </w:pPr>
      <w:r>
        <w:rPr>
          <w:rFonts w:hint="eastAsia" w:ascii="宋体" w:hAnsi="宋体" w:cs="宋体"/>
          <w:bCs/>
          <w:color w:val="auto"/>
          <w:szCs w:val="21"/>
          <w:highlight w:val="none"/>
        </w:rPr>
        <w:t>一级注册造价工程师：（</w:t>
      </w:r>
      <w:r>
        <w:rPr>
          <w:rFonts w:ascii="宋体" w:hAnsi="宋体" w:cs="宋体"/>
          <w:bCs/>
          <w:color w:val="auto"/>
          <w:szCs w:val="21"/>
          <w:highlight w:val="none"/>
        </w:rPr>
        <w:t>https://zaojiasys.jianshe99.com/cecaopsys/queryAndSearch/view.do?op=queryUserInfoInit</w:t>
      </w:r>
      <w:r>
        <w:rPr>
          <w:rFonts w:hint="eastAsia" w:ascii="宋体" w:hAnsi="宋体" w:cs="宋体"/>
          <w:bCs/>
          <w:color w:val="auto"/>
          <w:szCs w:val="21"/>
          <w:highlight w:val="none"/>
        </w:rPr>
        <w:t>）</w:t>
      </w:r>
    </w:p>
    <w:p>
      <w:pPr>
        <w:rPr>
          <w:rFonts w:ascii="宋体" w:hAnsi="宋体" w:cs="宋体"/>
          <w:bCs/>
          <w:color w:val="auto"/>
          <w:szCs w:val="21"/>
          <w:highlight w:val="none"/>
        </w:rPr>
      </w:pPr>
      <w:r>
        <w:rPr>
          <w:rFonts w:hint="eastAsia" w:ascii="宋体" w:hAnsi="宋体" w:cs="宋体"/>
          <w:bCs/>
          <w:color w:val="auto"/>
          <w:szCs w:val="21"/>
          <w:highlight w:val="none"/>
        </w:rPr>
        <w:t>二级注册造价工程师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r>
        <w:rPr>
          <w:rFonts w:ascii="宋体" w:hAnsi="宋体" w:cs="宋体"/>
          <w:bCs/>
          <w:color w:val="auto"/>
          <w:szCs w:val="21"/>
          <w:highlight w:val="none"/>
        </w:rPr>
        <w:t>http://zaojiasys.jianshe99.com/cecaopsys/</w:t>
      </w:r>
      <w:r>
        <w:rPr>
          <w:rFonts w:hint="eastAsia" w:ascii="宋体" w:hAnsi="宋体" w:cs="宋体"/>
          <w:bCs/>
          <w:color w:val="auto"/>
          <w:szCs w:val="21"/>
          <w:highlight w:val="none"/>
        </w:rPr>
        <w:t>）查询结果网页截图证明其注册有效。</w:t>
      </w:r>
    </w:p>
    <w:p>
      <w:pPr>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、不提供或提供不完整或提供不符合要求的不得分。</w:t>
      </w:r>
    </w:p>
    <w:p>
      <w:pPr>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b/>
          <w:bCs w:val="0"/>
          <w:color w:val="auto"/>
          <w:szCs w:val="21"/>
          <w:highlight w:val="none"/>
        </w:rPr>
        <w:t>第三方评价：</w:t>
      </w:r>
      <w:r>
        <w:rPr>
          <w:rFonts w:hint="eastAsia" w:ascii="宋体" w:hAnsi="宋体" w:cs="宋体"/>
          <w:color w:val="auto"/>
          <w:szCs w:val="21"/>
          <w:highlight w:val="none"/>
        </w:rPr>
        <w:t>须提供信用等级证书原件扫描件，没有提供的，该项不予认定。</w:t>
      </w:r>
    </w:p>
    <w:p>
      <w:pPr>
        <w:spacing w:line="360" w:lineRule="auto"/>
        <w:jc w:val="left"/>
        <w:rPr>
          <w:rFonts w:ascii="宋体" w:hAnsi="宋体" w:cs="宋体"/>
          <w:color w:val="auto"/>
          <w:sz w:val="22"/>
          <w:highlight w:val="none"/>
          <w:lang w:bidi="ar"/>
        </w:rPr>
      </w:pPr>
      <w:r>
        <w:rPr>
          <w:rFonts w:hint="eastAsia" w:ascii="宋体" w:hAnsi="宋体" w:cs="宋体"/>
          <w:bCs/>
          <w:color w:val="auto"/>
          <w:szCs w:val="21"/>
          <w:highlight w:val="none"/>
        </w:rPr>
        <w:t>6、评标委员会各专家独立评分汇总后</w:t>
      </w:r>
      <w:r>
        <w:rPr>
          <w:rFonts w:hint="eastAsia" w:ascii="宋体" w:hAnsi="宋体" w:cs="宋体"/>
          <w:color w:val="auto"/>
          <w:szCs w:val="21"/>
          <w:highlight w:val="none"/>
        </w:rPr>
        <w:t>的算术平均值（若分数出现小数点时，保留小数点后二位，第三位小数四舍五入为各有效的最终得分。</w:t>
      </w:r>
    </w:p>
    <w:p>
      <w:pPr>
        <w:spacing w:line="360" w:lineRule="auto"/>
        <w:ind w:firstLine="420" w:firstLineChars="200"/>
        <w:rPr>
          <w:rFonts w:hint="eastAsia" w:ascii="宋体" w:hAnsi="宋体" w:cs="宋体"/>
          <w:color w:val="auto"/>
          <w:szCs w:val="21"/>
          <w:highlight w:val="none"/>
        </w:rPr>
      </w:pPr>
    </w:p>
    <w:p>
      <w:pPr>
        <w:rPr>
          <w:rFonts w:hint="eastAsia" w:ascii="宋体" w:hAnsi="宋体" w:cs="宋体"/>
          <w:color w:val="auto"/>
          <w:kern w:val="0"/>
          <w:szCs w:val="21"/>
          <w:highlight w:val="none"/>
        </w:rPr>
      </w:pP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pPr>
        <w:rPr>
          <w:rFonts w:hint="eastAsia" w:ascii="宋体" w:hAnsi="宋体"/>
          <w:color w:val="auto"/>
          <w:szCs w:val="21"/>
          <w:highlight w:val="none"/>
        </w:rPr>
      </w:pPr>
      <w:r>
        <w:rPr>
          <w:rFonts w:hint="eastAsia" w:ascii="宋体" w:hAnsi="宋体" w:cs="宋体"/>
          <w:color w:val="auto"/>
          <w:kern w:val="0"/>
          <w:szCs w:val="21"/>
          <w:highlight w:val="none"/>
        </w:rPr>
        <w:t>附表四附件</w:t>
      </w:r>
    </w:p>
    <w:p>
      <w:pPr>
        <w:jc w:val="center"/>
        <w:rPr>
          <w:rFonts w:ascii="宋体" w:hAnsi="宋体"/>
          <w:b/>
          <w:color w:val="auto"/>
          <w:sz w:val="30"/>
          <w:szCs w:val="30"/>
          <w:highlight w:val="none"/>
        </w:rPr>
      </w:pPr>
      <w:r>
        <w:rPr>
          <w:rFonts w:hint="eastAsia" w:ascii="宋体" w:hAnsi="宋体"/>
          <w:b/>
          <w:color w:val="auto"/>
          <w:sz w:val="30"/>
          <w:szCs w:val="30"/>
          <w:highlight w:val="none"/>
        </w:rPr>
        <w:t>《主要项目管理人员配备表》</w:t>
      </w:r>
    </w:p>
    <w:tbl>
      <w:tblPr>
        <w:tblStyle w:val="38"/>
        <w:tblpPr w:leftFromText="180" w:rightFromText="180" w:vertAnchor="text" w:horzAnchor="page" w:tblpX="1264" w:tblpY="232"/>
        <w:tblOverlap w:val="never"/>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1433"/>
        <w:gridCol w:w="4924"/>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4" w:type="dxa"/>
            <w:vAlign w:val="center"/>
          </w:tcPr>
          <w:p>
            <w:pPr>
              <w:widowControl/>
              <w:spacing w:line="24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1433" w:type="dxa"/>
            <w:vAlign w:val="center"/>
          </w:tcPr>
          <w:p>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4924" w:type="dxa"/>
            <w:vAlign w:val="center"/>
          </w:tcPr>
          <w:p>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基本要求</w:t>
            </w:r>
          </w:p>
        </w:tc>
        <w:tc>
          <w:tcPr>
            <w:tcW w:w="5472" w:type="dxa"/>
            <w:vAlign w:val="center"/>
          </w:tcPr>
          <w:p>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844" w:type="dxa"/>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433" w:type="dxa"/>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24"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472" w:type="dxa"/>
            <w:vAlign w:val="center"/>
          </w:tcPr>
          <w:p>
            <w:pPr>
              <w:widowControl/>
              <w:spacing w:line="256" w:lineRule="exac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844" w:type="dxa"/>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433" w:type="dxa"/>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24"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472" w:type="dxa"/>
            <w:vAlign w:val="center"/>
          </w:tcPr>
          <w:p>
            <w:pPr>
              <w:widowControl/>
              <w:spacing w:line="256" w:lineRule="exac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844" w:type="dxa"/>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1433" w:type="dxa"/>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24"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具有建筑工程专业工程师或以上技术职称</w:t>
            </w:r>
          </w:p>
        </w:tc>
        <w:tc>
          <w:tcPr>
            <w:tcW w:w="5472"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844" w:type="dxa"/>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433" w:type="dxa"/>
            <w:vAlign w:val="center"/>
          </w:tcPr>
          <w:p>
            <w:pPr>
              <w:widowControl/>
              <w:spacing w:line="256" w:lineRule="exact"/>
              <w:ind w:left="-44" w:leftChars="-21"/>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4924"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具有建筑工程专业工程师或以上技术职称</w:t>
            </w:r>
          </w:p>
        </w:tc>
        <w:tc>
          <w:tcPr>
            <w:tcW w:w="5472" w:type="dxa"/>
            <w:vAlign w:val="center"/>
          </w:tcPr>
          <w:p>
            <w:pPr>
              <w:pStyle w:val="23"/>
              <w:ind w:firstLine="0"/>
              <w:rPr>
                <w:color w:val="auto"/>
                <w:sz w:val="21"/>
                <w:szCs w:val="21"/>
                <w:highlight w:val="none"/>
              </w:rPr>
            </w:pPr>
            <w:r>
              <w:rPr>
                <w:rFonts w:hint="eastAsia" w:ascii="宋体" w:hAnsi="宋体" w:cs="宋体"/>
                <w:color w:val="auto"/>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4" w:type="dxa"/>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造价负责人</w:t>
            </w:r>
          </w:p>
        </w:tc>
        <w:tc>
          <w:tcPr>
            <w:tcW w:w="1433" w:type="dxa"/>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24"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olor w:val="auto"/>
                <w:szCs w:val="21"/>
                <w:highlight w:val="none"/>
              </w:rPr>
              <w:t>具有</w:t>
            </w:r>
            <w:r>
              <w:rPr>
                <w:rFonts w:ascii="宋体" w:hAnsi="宋体"/>
                <w:color w:val="auto"/>
                <w:szCs w:val="21"/>
                <w:highlight w:val="none"/>
              </w:rPr>
              <w:t>一级注册造价工程师证书（或原已注册成功的注册造价工程师证书）</w:t>
            </w:r>
          </w:p>
        </w:tc>
        <w:tc>
          <w:tcPr>
            <w:tcW w:w="5472"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提供造价工程师注册证书、“</w:t>
            </w:r>
            <w:r>
              <w:rPr>
                <w:color w:val="auto"/>
                <w:highlight w:val="none"/>
              </w:rPr>
              <w:t xml:space="preserve"> </w:t>
            </w:r>
            <w:r>
              <w:rPr>
                <w:rFonts w:ascii="宋体" w:hAnsi="宋体" w:cs="宋体"/>
                <w:color w:val="auto"/>
                <w:kern w:val="0"/>
                <w:szCs w:val="21"/>
                <w:highlight w:val="none"/>
              </w:rPr>
              <w:t>https://zaojiasys.jianshe99.com/cecaopsys/queryAndSearch/view.do?op=queryUserInfoInit</w:t>
            </w:r>
            <w:r>
              <w:rPr>
                <w:rFonts w:hint="eastAsia" w:ascii="宋体" w:hAnsi="宋体" w:cs="宋体"/>
                <w:color w:val="auto"/>
                <w:kern w:val="0"/>
                <w:szCs w:val="21"/>
                <w:highlight w:val="none"/>
              </w:rPr>
              <w:t>”造价师注册信息查询网页截图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4" w:type="dxa"/>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注册安全工程师</w:t>
            </w:r>
          </w:p>
        </w:tc>
        <w:tc>
          <w:tcPr>
            <w:tcW w:w="1433" w:type="dxa"/>
            <w:vAlign w:val="center"/>
          </w:tcPr>
          <w:p>
            <w:pPr>
              <w:widowControl/>
              <w:spacing w:line="256" w:lineRule="exact"/>
              <w:ind w:left="-44" w:leftChars="-21"/>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4924" w:type="dxa"/>
            <w:vAlign w:val="center"/>
          </w:tcPr>
          <w:p>
            <w:pPr>
              <w:widowControl/>
              <w:spacing w:line="256" w:lineRule="exact"/>
              <w:ind w:left="-48" w:leftChars="-23"/>
              <w:rPr>
                <w:rFonts w:ascii="宋体" w:hAnsi="宋体"/>
                <w:color w:val="auto"/>
                <w:szCs w:val="21"/>
                <w:highlight w:val="none"/>
              </w:rPr>
            </w:pPr>
            <w:r>
              <w:rPr>
                <w:rFonts w:hint="eastAsia" w:ascii="宋体" w:hAnsi="宋体" w:cs="宋体"/>
                <w:color w:val="auto"/>
                <w:kern w:val="0"/>
                <w:szCs w:val="21"/>
                <w:highlight w:val="none"/>
              </w:rPr>
              <w:t>具有注册安全工程师资格</w:t>
            </w:r>
          </w:p>
        </w:tc>
        <w:tc>
          <w:tcPr>
            <w:tcW w:w="5472"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提供安全工程师注册证书、注册安全工程师查询系统（</w:t>
            </w:r>
            <w:r>
              <w:rPr>
                <w:rFonts w:ascii="宋体" w:hAnsi="宋体" w:cs="宋体"/>
                <w:color w:val="auto"/>
                <w:kern w:val="0"/>
                <w:szCs w:val="21"/>
                <w:highlight w:val="none"/>
              </w:rPr>
              <w:t>http://rmocse.chinasafety.ac.cn/Query.aspx）查询网页截图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4" w:type="dxa"/>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注册消防工程师</w:t>
            </w:r>
          </w:p>
        </w:tc>
        <w:tc>
          <w:tcPr>
            <w:tcW w:w="1433" w:type="dxa"/>
            <w:vAlign w:val="center"/>
          </w:tcPr>
          <w:p>
            <w:pPr>
              <w:widowControl/>
              <w:spacing w:line="256" w:lineRule="exact"/>
              <w:ind w:left="-44" w:leftChars="-21"/>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4924"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具有注册消防</w:t>
            </w:r>
            <w:r>
              <w:rPr>
                <w:rFonts w:hint="eastAsia" w:ascii="宋体" w:hAnsi="宋体" w:cs="宋体"/>
                <w:color w:val="auto"/>
                <w:szCs w:val="21"/>
                <w:highlight w:val="none"/>
              </w:rPr>
              <w:t>专业</w:t>
            </w:r>
            <w:r>
              <w:rPr>
                <w:rFonts w:hint="eastAsia" w:ascii="宋体" w:hAnsi="宋体" w:cs="宋体"/>
                <w:color w:val="auto"/>
                <w:kern w:val="0"/>
                <w:szCs w:val="21"/>
                <w:highlight w:val="none"/>
              </w:rPr>
              <w:t>工程师资格</w:t>
            </w:r>
          </w:p>
        </w:tc>
        <w:tc>
          <w:tcPr>
            <w:tcW w:w="5472" w:type="dxa"/>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须提供资格证及社会消防技术服务信息系统网页截图</w:t>
            </w:r>
            <w:r>
              <w:rPr>
                <w:rFonts w:ascii="宋体" w:hAnsi="宋体" w:cs="宋体"/>
                <w:color w:val="auto"/>
                <w:kern w:val="0"/>
                <w:szCs w:val="21"/>
                <w:highlight w:val="none"/>
              </w:rPr>
              <w:t>https://shhxf.119.gov.cn/templet/index_7.jsp证明其注册有效。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4" w:type="dxa"/>
            <w:vAlign w:val="center"/>
          </w:tcPr>
          <w:p>
            <w:pPr>
              <w:ind w:left="-55" w:leftChars="-26" w:right="-65" w:rightChars="-31"/>
              <w:jc w:val="center"/>
              <w:rPr>
                <w:rFonts w:ascii="宋体" w:hAnsi="宋体" w:cs="宋体"/>
                <w:bCs/>
                <w:color w:val="auto"/>
                <w:kern w:val="44"/>
                <w:szCs w:val="21"/>
                <w:highlight w:val="none"/>
              </w:rPr>
            </w:pPr>
            <w:r>
              <w:rPr>
                <w:rFonts w:hint="eastAsia" w:ascii="宋体" w:hAnsi="宋体" w:cs="宋体"/>
                <w:bCs/>
                <w:color w:val="auto"/>
                <w:kern w:val="44"/>
                <w:szCs w:val="21"/>
                <w:highlight w:val="none"/>
              </w:rPr>
              <w:t>装修专业工程师</w:t>
            </w:r>
          </w:p>
        </w:tc>
        <w:tc>
          <w:tcPr>
            <w:tcW w:w="1433" w:type="dxa"/>
            <w:vAlign w:val="center"/>
          </w:tcPr>
          <w:p>
            <w:pPr>
              <w:ind w:left="-55" w:leftChars="-26" w:right="-65" w:rightChars="-3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24" w:type="dxa"/>
            <w:vAlign w:val="center"/>
          </w:tcPr>
          <w:p>
            <w:pPr>
              <w:ind w:left="-55" w:leftChars="-26" w:right="-65" w:rightChars="-31"/>
              <w:rPr>
                <w:rFonts w:ascii="宋体" w:hAnsi="宋体" w:cs="宋体"/>
                <w:color w:val="auto"/>
                <w:szCs w:val="21"/>
                <w:highlight w:val="none"/>
              </w:rPr>
            </w:pPr>
            <w:r>
              <w:rPr>
                <w:rFonts w:hint="eastAsia" w:ascii="宋体" w:hAnsi="宋体" w:cs="宋体"/>
                <w:color w:val="auto"/>
                <w:szCs w:val="21"/>
                <w:highlight w:val="none"/>
              </w:rPr>
              <w:t>具有建筑装饰施工专业工程师或以上技术职称</w:t>
            </w:r>
          </w:p>
        </w:tc>
        <w:tc>
          <w:tcPr>
            <w:tcW w:w="5472" w:type="dxa"/>
            <w:vAlign w:val="center"/>
          </w:tcPr>
          <w:p>
            <w:pPr>
              <w:ind w:left="-55" w:leftChars="-26" w:right="-65" w:rightChars="-31"/>
              <w:jc w:val="left"/>
              <w:rPr>
                <w:rFonts w:ascii="宋体" w:hAnsi="宋体" w:cs="宋体"/>
                <w:color w:val="auto"/>
                <w:szCs w:val="21"/>
                <w:highlight w:val="none"/>
              </w:rPr>
            </w:pPr>
            <w:r>
              <w:rPr>
                <w:rFonts w:hint="eastAsia" w:ascii="宋体" w:hAnsi="宋体" w:cs="宋体"/>
                <w:color w:val="auto"/>
                <w:kern w:val="0"/>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4" w:type="dxa"/>
            <w:vAlign w:val="center"/>
          </w:tcPr>
          <w:p>
            <w:pPr>
              <w:ind w:left="-55" w:leftChars="-26" w:right="-65" w:rightChars="-31"/>
              <w:jc w:val="center"/>
              <w:rPr>
                <w:rFonts w:hint="default" w:ascii="宋体" w:hAnsi="宋体" w:eastAsia="宋体" w:cs="宋体"/>
                <w:bCs/>
                <w:color w:val="auto"/>
                <w:kern w:val="44"/>
                <w:sz w:val="21"/>
                <w:szCs w:val="21"/>
                <w:highlight w:val="none"/>
                <w:lang w:val="en-US" w:eastAsia="zh-CN" w:bidi="ar-SA"/>
              </w:rPr>
            </w:pPr>
            <w:r>
              <w:rPr>
                <w:rFonts w:hint="eastAsia" w:ascii="宋体" w:hAnsi="宋体" w:cs="宋体"/>
                <w:bCs/>
                <w:color w:val="auto"/>
                <w:kern w:val="44"/>
                <w:szCs w:val="21"/>
                <w:highlight w:val="none"/>
                <w:lang w:val="en-US" w:eastAsia="zh-CN"/>
              </w:rPr>
              <w:t>材料</w:t>
            </w:r>
            <w:r>
              <w:rPr>
                <w:rFonts w:hint="eastAsia" w:ascii="宋体" w:hAnsi="宋体" w:cs="宋体"/>
                <w:bCs/>
                <w:color w:val="auto"/>
                <w:kern w:val="44"/>
                <w:szCs w:val="21"/>
                <w:highlight w:val="none"/>
              </w:rPr>
              <w:t>工程师</w:t>
            </w:r>
          </w:p>
        </w:tc>
        <w:tc>
          <w:tcPr>
            <w:tcW w:w="1433" w:type="dxa"/>
            <w:vAlign w:val="center"/>
          </w:tcPr>
          <w:p>
            <w:pPr>
              <w:ind w:left="-55" w:leftChars="-26" w:right="-65" w:rightChars="-31"/>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4924" w:type="dxa"/>
            <w:vAlign w:val="center"/>
          </w:tcPr>
          <w:p>
            <w:pPr>
              <w:ind w:left="-55" w:leftChars="-26" w:right="-65" w:rightChars="-31"/>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材料类中级或以上</w:t>
            </w:r>
            <w:r>
              <w:rPr>
                <w:rFonts w:hint="eastAsia" w:ascii="宋体" w:hAnsi="宋体" w:cs="宋体"/>
                <w:color w:val="auto"/>
                <w:szCs w:val="21"/>
                <w:highlight w:val="none"/>
              </w:rPr>
              <w:t>工程师职称</w:t>
            </w:r>
          </w:p>
        </w:tc>
        <w:tc>
          <w:tcPr>
            <w:tcW w:w="5472" w:type="dxa"/>
            <w:vAlign w:val="center"/>
          </w:tcPr>
          <w:p>
            <w:pPr>
              <w:ind w:left="-55" w:leftChars="-26" w:right="-65" w:rightChars="-31"/>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844" w:type="dxa"/>
            <w:vAlign w:val="center"/>
          </w:tcPr>
          <w:p>
            <w:pPr>
              <w:spacing w:line="22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1433" w:type="dxa"/>
            <w:vAlign w:val="center"/>
          </w:tcPr>
          <w:p>
            <w:pPr>
              <w:spacing w:line="228"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4924" w:type="dxa"/>
            <w:vAlign w:val="center"/>
          </w:tcPr>
          <w:p>
            <w:pPr>
              <w:ind w:left="-55" w:leftChars="-26" w:right="-65" w:rightChars="-31"/>
              <w:rPr>
                <w:rFonts w:ascii="宋体" w:hAnsi="宋体" w:cs="宋体"/>
                <w:color w:val="auto"/>
                <w:kern w:val="0"/>
                <w:szCs w:val="21"/>
                <w:highlight w:val="none"/>
              </w:rPr>
            </w:pPr>
            <w:r>
              <w:rPr>
                <w:rFonts w:hint="eastAsia" w:ascii="宋体" w:hAnsi="宋体" w:cs="宋体"/>
                <w:color w:val="auto"/>
                <w:kern w:val="0"/>
                <w:szCs w:val="21"/>
                <w:highlight w:val="none"/>
              </w:rPr>
              <w:t>按招标公告要求，需与投标登记时提供的一致</w:t>
            </w:r>
          </w:p>
        </w:tc>
        <w:tc>
          <w:tcPr>
            <w:tcW w:w="5472" w:type="dxa"/>
            <w:vAlign w:val="center"/>
          </w:tcPr>
          <w:p>
            <w:pPr>
              <w:ind w:left="-55" w:leftChars="-26" w:right="-65" w:rightChars="-31"/>
              <w:jc w:val="left"/>
              <w:rPr>
                <w:rFonts w:ascii="宋体" w:hAnsi="宋体" w:cs="宋体"/>
                <w:color w:val="auto"/>
                <w:kern w:val="0"/>
                <w:szCs w:val="21"/>
                <w:highlight w:val="none"/>
              </w:rPr>
            </w:pPr>
            <w:r>
              <w:rPr>
                <w:rFonts w:hint="eastAsia" w:ascii="宋体" w:hAnsi="宋体" w:cs="宋体"/>
                <w:color w:val="auto"/>
                <w:kern w:val="0"/>
                <w:szCs w:val="21"/>
                <w:highlight w:val="none"/>
              </w:rPr>
              <w:t>提供安全生产考核合格证（</w:t>
            </w:r>
            <w:r>
              <w:rPr>
                <w:rFonts w:ascii="宋体" w:hAnsi="宋体" w:cs="宋体"/>
                <w:color w:val="auto"/>
                <w:kern w:val="0"/>
                <w:szCs w:val="21"/>
                <w:highlight w:val="none"/>
              </w:rPr>
              <w:t>C类或C3类）或</w:t>
            </w:r>
            <w:r>
              <w:rPr>
                <w:rFonts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844" w:type="dxa"/>
            <w:vAlign w:val="center"/>
          </w:tcPr>
          <w:p>
            <w:pPr>
              <w:spacing w:line="228" w:lineRule="auto"/>
              <w:jc w:val="center"/>
              <w:rPr>
                <w:rFonts w:ascii="宋体" w:hAnsi="宋体" w:cs="宋体"/>
                <w:color w:val="auto"/>
                <w:kern w:val="0"/>
                <w:szCs w:val="21"/>
                <w:highlight w:val="none"/>
              </w:rPr>
            </w:pPr>
            <w:r>
              <w:rPr>
                <w:rFonts w:hint="eastAsia" w:ascii="宋体" w:hAnsi="宋体" w:cs="宋体"/>
                <w:color w:val="auto"/>
                <w:szCs w:val="21"/>
                <w:highlight w:val="none"/>
              </w:rPr>
              <w:t>土建施工员</w:t>
            </w:r>
          </w:p>
        </w:tc>
        <w:tc>
          <w:tcPr>
            <w:tcW w:w="1433" w:type="dxa"/>
            <w:vAlign w:val="center"/>
          </w:tcPr>
          <w:p>
            <w:pPr>
              <w:spacing w:line="228"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4924" w:type="dxa"/>
            <w:vAlign w:val="center"/>
          </w:tcPr>
          <w:p>
            <w:pPr>
              <w:ind w:left="-55" w:leftChars="-26" w:right="-65" w:rightChars="-31"/>
              <w:rPr>
                <w:rFonts w:ascii="宋体" w:hAnsi="宋体" w:cs="宋体"/>
                <w:color w:val="auto"/>
                <w:kern w:val="0"/>
                <w:szCs w:val="21"/>
                <w:highlight w:val="none"/>
              </w:rPr>
            </w:pPr>
            <w:r>
              <w:rPr>
                <w:rFonts w:hint="eastAsia" w:ascii="宋体" w:hAnsi="宋体" w:cs="宋体"/>
                <w:color w:val="auto"/>
                <w:kern w:val="0"/>
                <w:szCs w:val="21"/>
                <w:highlight w:val="none"/>
              </w:rPr>
              <w:t>具有施工员证</w:t>
            </w:r>
          </w:p>
        </w:tc>
        <w:tc>
          <w:tcPr>
            <w:tcW w:w="5472" w:type="dxa"/>
            <w:vAlign w:val="center"/>
          </w:tcPr>
          <w:p>
            <w:pPr>
              <w:ind w:left="-55" w:leftChars="-26" w:right="-65" w:rightChars="-31"/>
              <w:jc w:val="left"/>
              <w:rPr>
                <w:rFonts w:ascii="宋体" w:hAnsi="宋体" w:cs="宋体"/>
                <w:color w:val="auto"/>
                <w:kern w:val="0"/>
                <w:szCs w:val="21"/>
                <w:highlight w:val="none"/>
              </w:rPr>
            </w:pPr>
            <w:r>
              <w:rPr>
                <w:rFonts w:hint="eastAsia" w:ascii="宋体" w:hAnsi="宋体" w:cs="宋体"/>
                <w:color w:val="auto"/>
                <w:kern w:val="0"/>
                <w:szCs w:val="21"/>
                <w:highlight w:val="none"/>
              </w:rPr>
              <w:t>须提供施工员证书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44" w:type="dxa"/>
            <w:vAlign w:val="center"/>
          </w:tcPr>
          <w:p>
            <w:pPr>
              <w:spacing w:line="228" w:lineRule="auto"/>
              <w:jc w:val="center"/>
              <w:rPr>
                <w:rFonts w:ascii="宋体" w:hAnsi="宋体" w:cs="宋体"/>
                <w:color w:val="auto"/>
                <w:szCs w:val="21"/>
                <w:highlight w:val="none"/>
              </w:rPr>
            </w:pPr>
            <w:r>
              <w:rPr>
                <w:rFonts w:hint="eastAsia" w:ascii="宋体" w:hAnsi="宋体" w:cs="宋体"/>
                <w:color w:val="auto"/>
                <w:szCs w:val="21"/>
                <w:highlight w:val="none"/>
              </w:rPr>
              <w:t>资料员</w:t>
            </w:r>
          </w:p>
        </w:tc>
        <w:tc>
          <w:tcPr>
            <w:tcW w:w="1433" w:type="dxa"/>
            <w:vAlign w:val="center"/>
          </w:tcPr>
          <w:p>
            <w:pPr>
              <w:spacing w:line="228" w:lineRule="auto"/>
              <w:jc w:val="center"/>
              <w:rPr>
                <w:rFonts w:ascii="宋体" w:hAnsi="宋体" w:cs="宋体"/>
                <w:color w:val="auto"/>
                <w:szCs w:val="21"/>
                <w:highlight w:val="none"/>
              </w:rPr>
            </w:pPr>
            <w:r>
              <w:rPr>
                <w:rFonts w:ascii="宋体" w:hAnsi="宋体" w:cs="宋体"/>
                <w:color w:val="auto"/>
                <w:kern w:val="0"/>
                <w:szCs w:val="21"/>
                <w:highlight w:val="none"/>
              </w:rPr>
              <w:t>1</w:t>
            </w:r>
          </w:p>
        </w:tc>
        <w:tc>
          <w:tcPr>
            <w:tcW w:w="4924" w:type="dxa"/>
            <w:vAlign w:val="center"/>
          </w:tcPr>
          <w:p>
            <w:pPr>
              <w:ind w:left="-55" w:leftChars="-26" w:right="-65" w:rightChars="-31"/>
              <w:rPr>
                <w:rFonts w:ascii="宋体" w:hAnsi="宋体" w:cs="宋体"/>
                <w:color w:val="auto"/>
                <w:szCs w:val="21"/>
                <w:highlight w:val="none"/>
              </w:rPr>
            </w:pPr>
            <w:r>
              <w:rPr>
                <w:rFonts w:hint="eastAsia" w:ascii="宋体" w:hAnsi="宋体" w:cs="宋体"/>
                <w:color w:val="auto"/>
                <w:kern w:val="0"/>
                <w:szCs w:val="21"/>
                <w:highlight w:val="none"/>
              </w:rPr>
              <w:t>具有资料员证</w:t>
            </w:r>
          </w:p>
        </w:tc>
        <w:tc>
          <w:tcPr>
            <w:tcW w:w="5472" w:type="dxa"/>
            <w:vAlign w:val="center"/>
          </w:tcPr>
          <w:p>
            <w:pPr>
              <w:ind w:left="-55" w:leftChars="-26" w:right="-65" w:rightChars="-31"/>
              <w:jc w:val="left"/>
              <w:rPr>
                <w:rFonts w:ascii="宋体" w:hAnsi="宋体" w:cs="宋体"/>
                <w:color w:val="auto"/>
                <w:kern w:val="0"/>
                <w:szCs w:val="21"/>
                <w:highlight w:val="none"/>
              </w:rPr>
            </w:pPr>
            <w:r>
              <w:rPr>
                <w:rFonts w:hint="eastAsia" w:ascii="宋体" w:hAnsi="宋体" w:cs="宋体"/>
                <w:color w:val="auto"/>
                <w:kern w:val="0"/>
                <w:szCs w:val="21"/>
                <w:highlight w:val="none"/>
              </w:rPr>
              <w:t>须提供资料员证书</w:t>
            </w:r>
          </w:p>
        </w:tc>
      </w:tr>
    </w:tbl>
    <w:p>
      <w:pPr>
        <w:tabs>
          <w:tab w:val="left" w:pos="1526"/>
        </w:tabs>
        <w:snapToGrid w:val="0"/>
        <w:rPr>
          <w:rFonts w:hint="eastAsia" w:ascii="宋体" w:hAnsi="宋体" w:eastAsia="宋体" w:cs="宋体"/>
          <w:color w:val="auto"/>
          <w:sz w:val="21"/>
          <w:szCs w:val="21"/>
          <w:highlight w:val="none"/>
          <w:lang w:val="en-US" w:eastAsia="zh-CN"/>
        </w:rPr>
      </w:pPr>
    </w:p>
    <w:p>
      <w:pPr>
        <w:rPr>
          <w:color w:val="auto"/>
          <w:highlight w:val="none"/>
        </w:rPr>
      </w:pPr>
    </w:p>
    <w:p>
      <w:pPr>
        <w:rPr>
          <w:rFonts w:hint="eastAsia" w:ascii="宋体" w:hAnsi="宋体"/>
          <w:color w:val="auto"/>
          <w:szCs w:val="21"/>
          <w:highlight w:val="none"/>
        </w:rPr>
      </w:pPr>
      <w:r>
        <w:rPr>
          <w:rFonts w:hint="eastAsia" w:ascii="宋体" w:hAnsi="宋体"/>
          <w:color w:val="auto"/>
          <w:szCs w:val="21"/>
          <w:highlight w:val="none"/>
        </w:rPr>
        <w:br w:type="page"/>
      </w:r>
    </w:p>
    <w:p>
      <w:pPr>
        <w:rPr>
          <w:rFonts w:ascii="宋体" w:hAnsi="宋体"/>
          <w:color w:val="auto"/>
          <w:szCs w:val="21"/>
          <w:highlight w:val="none"/>
        </w:rPr>
      </w:pPr>
      <w:r>
        <w:rPr>
          <w:rFonts w:hint="eastAsia" w:ascii="宋体" w:hAnsi="宋体"/>
          <w:color w:val="auto"/>
          <w:szCs w:val="21"/>
          <w:highlight w:val="none"/>
        </w:rPr>
        <w:t>附表五（适用于加权平均法）</w:t>
      </w:r>
    </w:p>
    <w:p>
      <w:pPr>
        <w:jc w:val="center"/>
        <w:rPr>
          <w:rFonts w:ascii="宋体" w:hAnsi="宋体"/>
          <w:b/>
          <w:color w:val="auto"/>
          <w:szCs w:val="21"/>
          <w:highlight w:val="none"/>
        </w:rPr>
      </w:pPr>
      <w:r>
        <w:rPr>
          <w:rFonts w:hint="eastAsia" w:ascii="宋体" w:hAnsi="宋体"/>
          <w:b/>
          <w:color w:val="auto"/>
          <w:szCs w:val="21"/>
          <w:highlight w:val="none"/>
        </w:rPr>
        <w:t>经济标评分表</w:t>
      </w:r>
    </w:p>
    <w:p>
      <w:pPr>
        <w:rPr>
          <w:rFonts w:ascii="宋体" w:hAnsi="宋体"/>
          <w:color w:val="auto"/>
          <w:szCs w:val="21"/>
          <w:highlight w:val="none"/>
        </w:rPr>
      </w:pPr>
      <w:r>
        <w:rPr>
          <w:rFonts w:hint="eastAsia" w:ascii="宋体" w:hAnsi="宋体"/>
          <w:color w:val="auto"/>
          <w:szCs w:val="21"/>
          <w:highlight w:val="none"/>
        </w:rPr>
        <w:t>工程名称：</w:t>
      </w:r>
    </w:p>
    <w:tbl>
      <w:tblPr>
        <w:tblStyle w:val="3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评委签名：</w:t>
      </w:r>
    </w:p>
    <w:p>
      <w:pPr>
        <w:pStyle w:val="2"/>
        <w:rPr>
          <w:rFonts w:hAnsi="宋体"/>
          <w:color w:val="auto"/>
          <w:sz w:val="21"/>
          <w:szCs w:val="21"/>
          <w:highlight w:val="none"/>
        </w:rPr>
      </w:pPr>
    </w:p>
    <w:p>
      <w:pPr>
        <w:rPr>
          <w:rFonts w:ascii="宋体" w:hAnsi="宋体"/>
          <w:color w:val="auto"/>
          <w:szCs w:val="21"/>
          <w:highlight w:val="none"/>
        </w:rPr>
      </w:pPr>
    </w:p>
    <w:p>
      <w:pPr>
        <w:pStyle w:val="2"/>
        <w:rPr>
          <w:rFonts w:hAnsi="宋体"/>
          <w:color w:val="auto"/>
          <w:sz w:val="21"/>
          <w:szCs w:val="21"/>
          <w:highlight w:val="none"/>
        </w:rPr>
      </w:pPr>
    </w:p>
    <w:p>
      <w:pPr>
        <w:rPr>
          <w:rFonts w:ascii="宋体" w:hAnsi="宋体" w:cs="宋体"/>
          <w:color w:val="auto"/>
          <w:szCs w:val="21"/>
          <w:highlight w:val="none"/>
        </w:rPr>
      </w:pPr>
    </w:p>
    <w:p>
      <w:pPr>
        <w:pStyle w:val="2"/>
        <w:rPr>
          <w:rFonts w:hAnsi="宋体"/>
          <w:color w:val="auto"/>
          <w:sz w:val="21"/>
          <w:szCs w:val="21"/>
          <w:highlight w:val="none"/>
        </w:rPr>
      </w:pPr>
    </w:p>
    <w:p>
      <w:pPr>
        <w:rPr>
          <w:rFonts w:ascii="等线" w:hAnsi="等线" w:eastAsia="等线"/>
          <w:color w:val="auto"/>
          <w:highlight w:val="none"/>
        </w:rPr>
      </w:pPr>
    </w:p>
    <w:p>
      <w:pPr>
        <w:rPr>
          <w:rFonts w:ascii="宋体" w:hAnsi="宋体" w:cs="宋体"/>
          <w:color w:val="auto"/>
          <w:szCs w:val="21"/>
          <w:highlight w:val="none"/>
        </w:rPr>
      </w:pPr>
    </w:p>
    <w:p>
      <w:pPr>
        <w:rPr>
          <w:rFonts w:ascii="宋体" w:hAnsi="宋体"/>
          <w:b/>
          <w:color w:val="auto"/>
          <w:szCs w:val="21"/>
          <w:highlight w:val="none"/>
        </w:rPr>
      </w:pPr>
      <w:r>
        <w:rPr>
          <w:rFonts w:hint="eastAsia" w:ascii="宋体" w:hAnsi="宋体"/>
          <w:color w:val="auto"/>
          <w:szCs w:val="21"/>
          <w:highlight w:val="none"/>
        </w:rPr>
        <w:t>附表六</w:t>
      </w:r>
    </w:p>
    <w:p>
      <w:pPr>
        <w:jc w:val="center"/>
        <w:rPr>
          <w:rFonts w:ascii="宋体" w:hAnsi="宋体"/>
          <w:b/>
          <w:color w:val="auto"/>
          <w:szCs w:val="21"/>
          <w:highlight w:val="none"/>
        </w:rPr>
      </w:pPr>
      <w:r>
        <w:rPr>
          <w:rFonts w:hint="eastAsia" w:ascii="宋体" w:hAnsi="宋体"/>
          <w:b/>
          <w:color w:val="auto"/>
          <w:szCs w:val="21"/>
          <w:highlight w:val="none"/>
        </w:rPr>
        <w:t>算术复核表</w:t>
      </w:r>
    </w:p>
    <w:p>
      <w:pPr>
        <w:rPr>
          <w:rFonts w:ascii="宋体" w:hAnsi="宋体"/>
          <w:color w:val="auto"/>
          <w:kern w:val="0"/>
          <w:szCs w:val="21"/>
          <w:highlight w:val="none"/>
        </w:rPr>
      </w:pPr>
      <w:r>
        <w:rPr>
          <w:rFonts w:hint="eastAsia" w:ascii="宋体" w:hAnsi="宋体"/>
          <w:color w:val="auto"/>
          <w:kern w:val="0"/>
          <w:szCs w:val="21"/>
          <w:highlight w:val="none"/>
        </w:rPr>
        <w:t>工程名称：投标人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auto"/>
          <w:kern w:val="0"/>
          <w:szCs w:val="21"/>
          <w:highlight w:val="none"/>
        </w:rPr>
        <w:tab/>
      </w:r>
    </w:p>
    <w:p>
      <w:pPr>
        <w:rPr>
          <w:rFonts w:ascii="宋体" w:hAnsi="宋体"/>
          <w:color w:val="auto"/>
          <w:kern w:val="0"/>
          <w:szCs w:val="21"/>
          <w:highlight w:val="none"/>
        </w:rPr>
      </w:pPr>
      <w:r>
        <w:rPr>
          <w:rFonts w:hint="eastAsia" w:ascii="宋体" w:hAnsi="宋体"/>
          <w:color w:val="auto"/>
          <w:kern w:val="0"/>
          <w:szCs w:val="21"/>
          <w:highlight w:val="none"/>
        </w:rPr>
        <w:t>评委签名：</w:t>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hint="eastAsia" w:ascii="宋体" w:hAnsi="宋体"/>
          <w:color w:val="auto"/>
          <w:kern w:val="0"/>
          <w:szCs w:val="21"/>
          <w:highlight w:val="none"/>
        </w:rPr>
        <w:t>日期：</w:t>
      </w:r>
    </w:p>
    <w:p>
      <w:pPr>
        <w:rPr>
          <w:rFonts w:ascii="宋体" w:hAnsi="宋体"/>
          <w:color w:val="auto"/>
          <w:szCs w:val="21"/>
          <w:highlight w:val="none"/>
        </w:rPr>
      </w:pPr>
    </w:p>
    <w:p>
      <w:pPr>
        <w:rPr>
          <w:rFonts w:ascii="宋体" w:hAnsi="宋体"/>
          <w:color w:val="auto"/>
          <w:szCs w:val="21"/>
          <w:highlight w:val="none"/>
        </w:rPr>
      </w:pPr>
      <w:r>
        <w:rPr>
          <w:rFonts w:ascii="宋体" w:hAnsi="宋体"/>
          <w:color w:val="auto"/>
          <w:szCs w:val="21"/>
          <w:highlight w:val="none"/>
        </w:rPr>
        <w:br w:type="page"/>
      </w:r>
    </w:p>
    <w:p>
      <w:pPr>
        <w:rPr>
          <w:rFonts w:ascii="宋体" w:hAnsi="宋体" w:cs="宋体"/>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算术复核表</w:t>
      </w:r>
    </w:p>
    <w:p>
      <w:pPr>
        <w:rPr>
          <w:rFonts w:ascii="宋体" w:hAnsi="宋体"/>
          <w:color w:val="auto"/>
          <w:szCs w:val="21"/>
          <w:highlight w:val="none"/>
        </w:rPr>
      </w:pPr>
      <w:r>
        <w:rPr>
          <w:rFonts w:hint="eastAsia" w:ascii="宋体" w:hAnsi="宋体"/>
          <w:color w:val="auto"/>
          <w:szCs w:val="21"/>
          <w:highlight w:val="none"/>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原投标报价（</w:t>
            </w:r>
            <w:r>
              <w:rPr>
                <w:rFonts w:ascii="宋体" w:hAnsi="宋体"/>
                <w:b/>
                <w:color w:val="auto"/>
                <w:szCs w:val="21"/>
                <w:highlight w:val="none"/>
              </w:rPr>
              <w:t>A</w:t>
            </w:r>
            <w:r>
              <w:rPr>
                <w:rFonts w:hint="eastAsia" w:ascii="宋体" w:hAnsi="宋体"/>
                <w:b/>
                <w:color w:val="auto"/>
                <w:szCs w:val="21"/>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算数复核后投标报价（</w:t>
            </w:r>
            <w:r>
              <w:rPr>
                <w:rFonts w:ascii="宋体" w:hAnsi="宋体"/>
                <w:b/>
                <w:color w:val="auto"/>
                <w:szCs w:val="21"/>
                <w:highlight w:val="none"/>
              </w:rPr>
              <w:t>B</w:t>
            </w:r>
            <w:r>
              <w:rPr>
                <w:rFonts w:hint="eastAsia" w:ascii="宋体" w:hAnsi="宋体"/>
                <w:b/>
                <w:color w:val="auto"/>
                <w:szCs w:val="21"/>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误差率（</w:t>
            </w:r>
            <w:r>
              <w:rPr>
                <w:rFonts w:ascii="宋体" w:hAnsi="宋体"/>
                <w:b/>
                <w:color w:val="auto"/>
                <w:szCs w:val="21"/>
                <w:highlight w:val="none"/>
              </w:rPr>
              <w:t>r=|A-B|/A*100%</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rPr>
          <w:rFonts w:ascii="宋体" w:hAnsi="宋体" w:cs="宋体"/>
          <w:color w:val="auto"/>
          <w:szCs w:val="21"/>
          <w:highlight w:val="none"/>
        </w:rPr>
        <w:sectPr>
          <w:headerReference r:id="rId11" w:type="default"/>
          <w:footerReference r:id="rId12" w:type="default"/>
          <w:pgSz w:w="16838" w:h="11906" w:orient="landscape"/>
          <w:pgMar w:top="1418" w:right="1418" w:bottom="1418" w:left="1418" w:header="851" w:footer="567" w:gutter="0"/>
          <w:cols w:space="720" w:num="1"/>
          <w:docGrid w:linePitch="317" w:charSpace="0"/>
        </w:sectPr>
      </w:pPr>
      <w:r>
        <w:rPr>
          <w:rFonts w:hint="eastAsia" w:ascii="宋体" w:hAnsi="宋体"/>
          <w:color w:val="auto"/>
          <w:szCs w:val="21"/>
          <w:highlight w:val="none"/>
        </w:rPr>
        <w:t>评委签名：</w:t>
      </w:r>
    </w:p>
    <w:p>
      <w:pPr>
        <w:pStyle w:val="3"/>
        <w:jc w:val="center"/>
        <w:rPr>
          <w:rFonts w:ascii="宋体" w:hAnsi="宋体" w:cs="宋体"/>
          <w:b/>
          <w:bCs/>
          <w:color w:val="auto"/>
          <w:sz w:val="21"/>
          <w:szCs w:val="21"/>
          <w:highlight w:val="none"/>
        </w:rPr>
      </w:pPr>
      <w:bookmarkStart w:id="39" w:name="_Toc18472"/>
      <w:r>
        <w:rPr>
          <w:rFonts w:hint="eastAsia" w:ascii="宋体" w:hAnsi="宋体" w:cs="宋体"/>
          <w:b/>
          <w:bCs/>
          <w:color w:val="auto"/>
          <w:sz w:val="21"/>
          <w:szCs w:val="21"/>
          <w:highlight w:val="none"/>
        </w:rPr>
        <w:t>第三章  合同条款</w:t>
      </w:r>
      <w:bookmarkEnd w:id="39"/>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rPr>
          <w:rFonts w:ascii="宋体" w:hAnsi="宋体" w:cs="宋体"/>
          <w:color w:val="auto"/>
          <w:szCs w:val="21"/>
          <w:highlight w:val="none"/>
        </w:rPr>
      </w:pPr>
      <w:r>
        <w:rPr>
          <w:rFonts w:ascii="宋体" w:hAnsi="宋体" w:cs="宋体"/>
          <w:color w:val="auto"/>
          <w:szCs w:val="21"/>
          <w:highlight w:val="none"/>
        </w:rPr>
        <w:br w:type="page"/>
      </w:r>
    </w:p>
    <w:p>
      <w:pPr>
        <w:pStyle w:val="3"/>
        <w:spacing w:line="400" w:lineRule="exact"/>
        <w:jc w:val="center"/>
        <w:rPr>
          <w:rFonts w:ascii="宋体" w:hAnsi="宋体" w:cs="宋体"/>
          <w:b/>
          <w:bCs/>
          <w:color w:val="auto"/>
          <w:sz w:val="21"/>
          <w:szCs w:val="21"/>
          <w:highlight w:val="none"/>
        </w:rPr>
      </w:pPr>
      <w:bookmarkStart w:id="40" w:name="_Toc27420"/>
      <w:r>
        <w:rPr>
          <w:rFonts w:hint="eastAsia" w:ascii="宋体" w:hAnsi="宋体" w:cs="宋体"/>
          <w:b/>
          <w:bCs/>
          <w:color w:val="auto"/>
          <w:sz w:val="21"/>
          <w:szCs w:val="21"/>
          <w:highlight w:val="none"/>
        </w:rPr>
        <w:t>第四章  投标文件格式</w:t>
      </w:r>
      <w:bookmarkEnd w:id="40"/>
    </w:p>
    <w:p>
      <w:pPr>
        <w:rPr>
          <w:rFonts w:hint="eastAsia" w:ascii="宋体" w:cs="宋体"/>
          <w:b/>
          <w:bCs/>
          <w:color w:val="auto"/>
          <w:sz w:val="22"/>
          <w:highlight w:val="none"/>
        </w:rPr>
      </w:pPr>
      <w:bookmarkStart w:id="41" w:name="_Toc478044835"/>
      <w:bookmarkStart w:id="42" w:name="_Toc369536768"/>
      <w:bookmarkStart w:id="43" w:name="_Toc358370576"/>
      <w:bookmarkStart w:id="44" w:name="_Toc395261097"/>
      <w:bookmarkStart w:id="45" w:name="_Toc19235"/>
    </w:p>
    <w:p>
      <w:pPr>
        <w:rPr>
          <w:rFonts w:ascii="宋体" w:cs="宋体"/>
          <w:b/>
          <w:bCs/>
          <w:color w:val="auto"/>
          <w:sz w:val="22"/>
          <w:highlight w:val="none"/>
        </w:rPr>
      </w:pPr>
      <w:r>
        <w:rPr>
          <w:rFonts w:hint="eastAsia" w:ascii="宋体" w:cs="宋体"/>
          <w:b/>
          <w:bCs/>
          <w:color w:val="auto"/>
          <w:sz w:val="22"/>
          <w:highlight w:val="none"/>
        </w:rPr>
        <w:t>第一部分、技术投标文件（含资格审查文件）</w:t>
      </w:r>
    </w:p>
    <w:p>
      <w:pPr>
        <w:pStyle w:val="125"/>
        <w:spacing w:beforeLines="0" w:after="120" w:line="400" w:lineRule="exact"/>
        <w:jc w:val="center"/>
        <w:rPr>
          <w:rFonts w:ascii="宋体" w:eastAsia="宋体" w:cs="宋体"/>
          <w:b w:val="0"/>
          <w:color w:val="auto"/>
          <w:sz w:val="21"/>
          <w:szCs w:val="21"/>
          <w:highlight w:val="none"/>
        </w:rPr>
      </w:pPr>
      <w:r>
        <w:rPr>
          <w:rFonts w:hint="eastAsia" w:ascii="宋体" w:eastAsia="宋体" w:cs="宋体"/>
          <w:b w:val="0"/>
          <w:color w:val="auto"/>
          <w:sz w:val="21"/>
          <w:szCs w:val="21"/>
          <w:highlight w:val="none"/>
        </w:rPr>
        <w:t>技术标封面</w:t>
      </w:r>
      <w:bookmarkEnd w:id="41"/>
      <w:bookmarkEnd w:id="42"/>
      <w:bookmarkEnd w:id="43"/>
      <w:bookmarkEnd w:id="44"/>
      <w:bookmarkEnd w:id="45"/>
    </w:p>
    <w:p>
      <w:pPr>
        <w:pStyle w:val="119"/>
        <w:spacing w:line="400" w:lineRule="exact"/>
        <w:ind w:firstLine="498"/>
        <w:rPr>
          <w:rFonts w:ascii="宋体" w:hAnsi="宋体" w:eastAsia="宋体" w:cs="宋体"/>
          <w:b w:val="0"/>
          <w:color w:val="auto"/>
          <w:sz w:val="21"/>
          <w:szCs w:val="21"/>
          <w:highlight w:val="none"/>
          <w:u w:val="single"/>
        </w:rPr>
      </w:pPr>
    </w:p>
    <w:p>
      <w:pPr>
        <w:pStyle w:val="119"/>
        <w:spacing w:line="400" w:lineRule="exact"/>
        <w:ind w:firstLine="498"/>
        <w:rPr>
          <w:rFonts w:ascii="宋体" w:hAnsi="宋体" w:eastAsia="宋体" w:cs="宋体"/>
          <w:b w:val="0"/>
          <w:color w:val="auto"/>
          <w:sz w:val="21"/>
          <w:szCs w:val="21"/>
          <w:highlight w:val="none"/>
          <w:u w:val="single"/>
        </w:rPr>
      </w:pPr>
    </w:p>
    <w:p>
      <w:pPr>
        <w:pStyle w:val="119"/>
        <w:spacing w:line="400" w:lineRule="exact"/>
        <w:ind w:firstLine="498"/>
        <w:rPr>
          <w:rFonts w:ascii="宋体" w:hAnsi="宋体" w:eastAsia="宋体" w:cs="宋体"/>
          <w:b w:val="0"/>
          <w:color w:val="auto"/>
          <w:sz w:val="21"/>
          <w:szCs w:val="21"/>
          <w:highlight w:val="none"/>
          <w:u w:val="single"/>
        </w:rPr>
      </w:pPr>
    </w:p>
    <w:p>
      <w:pPr>
        <w:pStyle w:val="119"/>
        <w:spacing w:line="400" w:lineRule="exact"/>
        <w:jc w:val="both"/>
        <w:rPr>
          <w:rFonts w:ascii="宋体" w:hAnsi="宋体" w:eastAsia="宋体" w:cs="宋体"/>
          <w:b w:val="0"/>
          <w:color w:val="auto"/>
          <w:sz w:val="21"/>
          <w:szCs w:val="21"/>
          <w:highlight w:val="none"/>
          <w:u w:val="single"/>
        </w:rPr>
      </w:pPr>
    </w:p>
    <w:p>
      <w:pPr>
        <w:pStyle w:val="119"/>
        <w:spacing w:line="480" w:lineRule="exact"/>
        <w:ind w:firstLine="499"/>
        <w:rPr>
          <w:rFonts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u w:val="single"/>
        </w:rPr>
        <w:t xml:space="preserve">[工程名称] </w:t>
      </w:r>
    </w:p>
    <w:p>
      <w:pPr>
        <w:pStyle w:val="83"/>
        <w:spacing w:line="400" w:lineRule="exact"/>
        <w:ind w:firstLine="436"/>
        <w:rPr>
          <w:rFonts w:ascii="宋体" w:hAnsi="宋体" w:cs="宋体"/>
          <w:color w:val="auto"/>
          <w:sz w:val="21"/>
          <w:szCs w:val="21"/>
          <w:highlight w:val="none"/>
        </w:rPr>
      </w:pPr>
    </w:p>
    <w:p>
      <w:pPr>
        <w:pStyle w:val="140"/>
        <w:spacing w:line="400" w:lineRule="exact"/>
        <w:rPr>
          <w:rFonts w:ascii="宋体" w:hAnsi="宋体" w:eastAsia="宋体" w:cs="宋体"/>
          <w:b w:val="0"/>
          <w:color w:val="auto"/>
          <w:sz w:val="21"/>
          <w:szCs w:val="21"/>
          <w:highlight w:val="none"/>
        </w:rPr>
      </w:pPr>
    </w:p>
    <w:p>
      <w:pPr>
        <w:pStyle w:val="83"/>
        <w:ind w:firstLine="438"/>
        <w:rPr>
          <w:rFonts w:ascii="宋体" w:hAnsi="宋体" w:cs="宋体"/>
          <w:b/>
          <w:color w:val="auto"/>
          <w:sz w:val="21"/>
          <w:szCs w:val="21"/>
          <w:highlight w:val="none"/>
        </w:rPr>
      </w:pPr>
    </w:p>
    <w:p>
      <w:pPr>
        <w:pStyle w:val="83"/>
        <w:ind w:firstLine="438"/>
        <w:rPr>
          <w:rFonts w:ascii="宋体" w:hAnsi="宋体" w:cs="宋体"/>
          <w:b/>
          <w:color w:val="auto"/>
          <w:sz w:val="21"/>
          <w:szCs w:val="21"/>
          <w:highlight w:val="none"/>
        </w:rPr>
      </w:pPr>
    </w:p>
    <w:p>
      <w:pPr>
        <w:pStyle w:val="140"/>
        <w:spacing w:line="400" w:lineRule="exact"/>
        <w:rPr>
          <w:rFonts w:ascii="宋体" w:hAnsi="宋体" w:eastAsia="宋体" w:cs="宋体"/>
          <w:b w:val="0"/>
          <w:color w:val="auto"/>
          <w:sz w:val="21"/>
          <w:szCs w:val="21"/>
          <w:highlight w:val="none"/>
        </w:rPr>
      </w:pPr>
    </w:p>
    <w:p>
      <w:pPr>
        <w:pStyle w:val="140"/>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p>
    <w:p>
      <w:pPr>
        <w:pStyle w:val="119"/>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第一部分  【技术标投标文件（含资格审查文件）】</w:t>
      </w: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436"/>
        <w:rPr>
          <w:rFonts w:ascii="宋体" w:hAnsi="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p>
    <w:p>
      <w:pPr>
        <w:pStyle w:val="121"/>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pPr>
        <w:pStyle w:val="125"/>
        <w:spacing w:beforeLines="0" w:after="120" w:line="400" w:lineRule="exact"/>
        <w:outlineLvl w:val="9"/>
        <w:rPr>
          <w:rFonts w:ascii="宋体" w:eastAsia="宋体" w:cs="宋体"/>
          <w:b w:val="0"/>
          <w:color w:val="auto"/>
          <w:sz w:val="21"/>
          <w:szCs w:val="21"/>
          <w:highlight w:val="none"/>
        </w:rPr>
      </w:pPr>
      <w:bookmarkStart w:id="46" w:name="_Toc369536787"/>
      <w:bookmarkStart w:id="47" w:name="_Toc163337642"/>
      <w:bookmarkStart w:id="48" w:name="_Toc337720110"/>
      <w:bookmarkStart w:id="49" w:name="_Toc318924516"/>
      <w:bookmarkStart w:id="50" w:name="_Toc352240542"/>
      <w:bookmarkStart w:id="51" w:name="_Toc358370595"/>
      <w:bookmarkStart w:id="52" w:name="_Toc352623440"/>
      <w:bookmarkStart w:id="53" w:name="_Toc395261115"/>
      <w:bookmarkStart w:id="54" w:name="_Toc478044857"/>
      <w:bookmarkStart w:id="55" w:name="_Toc239311766"/>
      <w:bookmarkStart w:id="56" w:name="_Toc226209024"/>
      <w:bookmarkStart w:id="57" w:name="_Toc239216051"/>
    </w:p>
    <w:p>
      <w:pPr>
        <w:rPr>
          <w:rFonts w:ascii="宋体" w:hAnsi="宋体"/>
          <w:color w:val="auto"/>
          <w:szCs w:val="21"/>
          <w:highlight w:val="none"/>
        </w:rPr>
      </w:pPr>
      <w:r>
        <w:rPr>
          <w:rFonts w:ascii="宋体" w:hAnsi="宋体"/>
          <w:color w:val="auto"/>
          <w:szCs w:val="21"/>
          <w:highlight w:val="none"/>
        </w:rPr>
        <w:br w:type="page"/>
      </w:r>
    </w:p>
    <w:p>
      <w:pPr>
        <w:autoSpaceDE w:val="0"/>
        <w:autoSpaceDN w:val="0"/>
        <w:adjustRightInd w:val="0"/>
        <w:rPr>
          <w:rFonts w:ascii="宋体" w:hAnsi="宋体"/>
          <w:bCs/>
          <w:color w:val="auto"/>
          <w:szCs w:val="21"/>
          <w:highlight w:val="none"/>
        </w:rPr>
      </w:pPr>
      <w:r>
        <w:rPr>
          <w:rFonts w:hint="eastAsia" w:ascii="宋体" w:hAnsi="宋体"/>
          <w:bCs/>
          <w:color w:val="auto"/>
          <w:szCs w:val="21"/>
          <w:highlight w:val="none"/>
        </w:rPr>
        <w:t>附件一</w:t>
      </w:r>
    </w:p>
    <w:p>
      <w:pPr>
        <w:autoSpaceDE w:val="0"/>
        <w:autoSpaceDN w:val="0"/>
        <w:adjustRightInd w:val="0"/>
        <w:rPr>
          <w:rFonts w:ascii="宋体" w:hAnsi="宋体" w:cs="宋体"/>
          <w:b/>
          <w:bCs/>
          <w:color w:val="auto"/>
          <w:szCs w:val="21"/>
          <w:highlight w:val="none"/>
          <w:lang w:val="zh-CN"/>
        </w:rPr>
      </w:pPr>
      <w:r>
        <w:rPr>
          <w:rFonts w:hint="eastAsia" w:ascii="宋体" w:hAnsi="宋体"/>
          <w:bCs/>
          <w:color w:val="auto"/>
          <w:szCs w:val="21"/>
          <w:highlight w:val="none"/>
        </w:rPr>
        <w:t>（适用于技术标与经济标同时开启）</w:t>
      </w:r>
    </w:p>
    <w:p>
      <w:pPr>
        <w:autoSpaceDE w:val="0"/>
        <w:autoSpaceDN w:val="0"/>
        <w:adjustRightInd w:val="0"/>
        <w:ind w:left="-540" w:leftChars="-257" w:firstLine="542" w:firstLineChars="257"/>
        <w:jc w:val="center"/>
        <w:rPr>
          <w:rFonts w:ascii="宋体" w:hAnsi="宋体" w:cs="宋体"/>
          <w:b/>
          <w:bCs/>
          <w:color w:val="auto"/>
          <w:szCs w:val="21"/>
          <w:highlight w:val="none"/>
          <w:lang w:val="zh-CN"/>
        </w:rPr>
      </w:pPr>
    </w:p>
    <w:p>
      <w:pPr>
        <w:autoSpaceDE w:val="0"/>
        <w:autoSpaceDN w:val="0"/>
        <w:adjustRightInd w:val="0"/>
        <w:ind w:left="-540" w:leftChars="-257" w:firstLine="542" w:firstLineChars="257"/>
        <w:jc w:val="center"/>
        <w:rPr>
          <w:rFonts w:ascii="宋体" w:hAnsi="宋体"/>
          <w:b/>
          <w:bCs/>
          <w:color w:val="auto"/>
          <w:szCs w:val="21"/>
          <w:highlight w:val="none"/>
        </w:rPr>
      </w:pPr>
      <w:r>
        <w:rPr>
          <w:rFonts w:hint="eastAsia" w:ascii="宋体" w:hAnsi="宋体" w:cs="宋体"/>
          <w:b/>
          <w:bCs/>
          <w:color w:val="auto"/>
          <w:szCs w:val="21"/>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投标总报价（元）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其中：</w:t>
            </w:r>
            <w:r>
              <w:rPr>
                <w:rFonts w:hint="eastAsia" w:ascii="宋体" w:hAnsi="宋体" w:cs="宋体"/>
                <w:b/>
                <w:bCs/>
                <w:color w:val="auto"/>
                <w:szCs w:val="21"/>
                <w:highlight w:val="none"/>
                <w:lang w:val="zh-CN"/>
              </w:rPr>
              <w:t>人工费</w:t>
            </w:r>
            <w:r>
              <w:rPr>
                <w:rFonts w:hint="eastAsia" w:ascii="宋体" w:hAnsi="宋体" w:cs="宋体"/>
                <w:b/>
                <w:color w:val="auto"/>
                <w:szCs w:val="21"/>
                <w:highlight w:val="none"/>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其中：</w:t>
            </w:r>
            <w:r>
              <w:rPr>
                <w:rFonts w:hint="eastAsia" w:ascii="宋体" w:hAnsi="宋体" w:cs="宋体"/>
                <w:b/>
                <w:color w:val="auto"/>
                <w:szCs w:val="21"/>
                <w:highlight w:val="none"/>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投标总工期</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lang w:val="zh-CN"/>
              </w:rPr>
              <w:t>工程质量标准</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Cs w:val="21"/>
                <w:highlight w:val="none"/>
                <w:lang w:val="zh-CN"/>
              </w:rPr>
            </w:pPr>
            <w:r>
              <w:rPr>
                <w:rFonts w:hint="eastAsia"/>
                <w:b/>
                <w:bCs/>
                <w:color w:val="auto"/>
                <w:highlight w:val="none"/>
                <w:lang w:val="zh-CN"/>
              </w:rPr>
              <w:t>保修期限</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Cs w:val="21"/>
                <w:highlight w:val="none"/>
              </w:rPr>
            </w:pPr>
            <w:r>
              <w:rPr>
                <w:rFonts w:hint="eastAsia" w:ascii="宋体" w:hAnsi="宋体" w:cs="宋体"/>
                <w:b/>
                <w:color w:val="auto"/>
                <w:szCs w:val="21"/>
                <w:highlight w:val="none"/>
              </w:rPr>
              <w:t>项目负责人</w:t>
            </w:r>
          </w:p>
        </w:tc>
        <w:tc>
          <w:tcPr>
            <w:tcW w:w="4577" w:type="dxa"/>
            <w:tcBorders>
              <w:top w:val="single" w:color="auto" w:sz="4" w:space="0"/>
              <w:left w:val="single" w:color="auto" w:sz="4" w:space="0"/>
              <w:bottom w:val="single" w:color="auto" w:sz="4" w:space="0"/>
              <w:right w:val="single" w:color="auto" w:sz="4" w:space="0"/>
            </w:tcBorders>
          </w:tcPr>
          <w:p>
            <w:pPr>
              <w:pStyle w:val="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Cs w:val="21"/>
                <w:highlight w:val="none"/>
              </w:rPr>
            </w:pPr>
            <w:r>
              <w:rPr>
                <w:rFonts w:hint="eastAsia" w:ascii="宋体" w:hAnsi="宋体" w:cs="宋体"/>
                <w:b/>
                <w:color w:val="auto"/>
                <w:szCs w:val="21"/>
                <w:highlight w:val="none"/>
              </w:rPr>
              <w:t>技术负责人</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Cs w:val="21"/>
                <w:highlight w:val="none"/>
              </w:rPr>
            </w:pPr>
            <w:r>
              <w:rPr>
                <w:rFonts w:hint="eastAsia" w:ascii="宋体" w:hAnsi="宋体" w:cs="宋体"/>
                <w:b/>
                <w:color w:val="auto"/>
                <w:szCs w:val="21"/>
                <w:highlight w:val="none"/>
              </w:rPr>
              <w:t>专职安全员</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bl>
    <w:p>
      <w:pPr>
        <w:tabs>
          <w:tab w:val="left" w:pos="720"/>
        </w:tabs>
        <w:snapToGrid w:val="0"/>
        <w:spacing w:line="360" w:lineRule="auto"/>
        <w:jc w:val="center"/>
        <w:rPr>
          <w:rFonts w:ascii="宋体" w:hAnsi="宋体"/>
          <w:b/>
          <w:color w:val="auto"/>
          <w:szCs w:val="21"/>
          <w:highlight w:val="none"/>
        </w:rPr>
      </w:pPr>
    </w:p>
    <w:p>
      <w:pPr>
        <w:pStyle w:val="2"/>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autoSpaceDE w:val="0"/>
        <w:autoSpaceDN w:val="0"/>
        <w:adjustRightInd w:val="0"/>
        <w:rPr>
          <w:rFonts w:ascii="宋体" w:hAnsi="宋体"/>
          <w:color w:val="auto"/>
          <w:szCs w:val="21"/>
          <w:highlight w:val="none"/>
        </w:rPr>
      </w:pPr>
      <w:r>
        <w:rPr>
          <w:rFonts w:hint="eastAsia" w:ascii="宋体" w:hAnsi="宋体"/>
          <w:color w:val="auto"/>
          <w:szCs w:val="21"/>
          <w:highlight w:val="none"/>
        </w:rPr>
        <w:t>附件二</w:t>
      </w:r>
    </w:p>
    <w:p>
      <w:pPr>
        <w:tabs>
          <w:tab w:val="left" w:pos="720"/>
        </w:tabs>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投标文件编制人员名单</w:t>
      </w:r>
    </w:p>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一、参与编制技术标投标文件人员名单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83"/>
        <w:ind w:firstLine="0" w:firstLineChars="0"/>
        <w:rPr>
          <w:rFonts w:ascii="宋体" w:hAnsi="宋体" w:cs="宋体"/>
          <w:color w:val="auto"/>
          <w:sz w:val="21"/>
          <w:szCs w:val="21"/>
          <w:highlight w:val="none"/>
        </w:rPr>
      </w:pPr>
    </w:p>
    <w:p>
      <w:pPr>
        <w:tabs>
          <w:tab w:val="left" w:pos="720"/>
        </w:tabs>
        <w:snapToGrid w:val="0"/>
        <w:spacing w:line="360" w:lineRule="auto"/>
        <w:rPr>
          <w:rFonts w:ascii="宋体" w:hAnsi="宋体"/>
          <w:color w:val="auto"/>
          <w:szCs w:val="21"/>
          <w:highlight w:val="none"/>
        </w:rPr>
      </w:pPr>
    </w:p>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二、参与编制经济标投标文件人员名单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rFonts w:ascii="宋体" w:hAnsi="宋体"/>
          <w:color w:val="auto"/>
          <w:szCs w:val="21"/>
          <w:highlight w:val="none"/>
        </w:rPr>
      </w:pPr>
    </w:p>
    <w:p>
      <w:pPr>
        <w:pStyle w:val="36"/>
        <w:spacing w:after="0" w:line="360" w:lineRule="auto"/>
        <w:ind w:left="-2" w:leftChars="-1" w:firstLine="367" w:firstLineChars="175"/>
        <w:jc w:val="left"/>
        <w:rPr>
          <w:rFonts w:ascii="宋体" w:hAnsi="宋体" w:eastAsia="宋体"/>
          <w:color w:val="auto"/>
          <w:sz w:val="21"/>
          <w:szCs w:val="21"/>
          <w:highlight w:val="none"/>
        </w:rPr>
      </w:pPr>
      <w:r>
        <w:rPr>
          <w:rFonts w:hint="eastAsia" w:ascii="宋体" w:hAnsi="宋体" w:eastAsia="宋体"/>
          <w:color w:val="auto"/>
          <w:sz w:val="21"/>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spacing w:line="400" w:lineRule="exact"/>
        <w:rPr>
          <w:rFonts w:ascii="宋体" w:hAnsi="宋体" w:cs="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autoSpaceDE w:val="0"/>
        <w:autoSpaceDN w:val="0"/>
        <w:adjustRightInd w:val="0"/>
        <w:spacing w:line="400" w:lineRule="exact"/>
        <w:rPr>
          <w:rFonts w:ascii="宋体" w:hAnsi="宋体"/>
          <w:color w:val="auto"/>
          <w:szCs w:val="21"/>
          <w:highlight w:val="none"/>
        </w:rPr>
      </w:pPr>
      <w:r>
        <w:rPr>
          <w:rFonts w:hint="eastAsia" w:ascii="宋体" w:hAnsi="宋体"/>
          <w:color w:val="auto"/>
          <w:szCs w:val="21"/>
          <w:highlight w:val="none"/>
        </w:rPr>
        <w:t>附件三</w:t>
      </w:r>
    </w:p>
    <w:p>
      <w:pPr>
        <w:pStyle w:val="36"/>
        <w:spacing w:after="0" w:line="360" w:lineRule="auto"/>
        <w:ind w:firstLine="0"/>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对投标文件编制的承诺</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本公司授权</w:t>
      </w:r>
      <w:r>
        <w:rPr>
          <w:rFonts w:hint="eastAsia" w:ascii="宋体" w:hAnsi="宋体" w:eastAsia="宋体"/>
          <w:color w:val="auto"/>
          <w:sz w:val="21"/>
          <w:szCs w:val="21"/>
          <w:highlight w:val="none"/>
          <w:u w:val="single"/>
        </w:rPr>
        <w:t xml:space="preserve">         （身份证号：               ）</w:t>
      </w:r>
      <w:r>
        <w:rPr>
          <w:rFonts w:hint="eastAsia" w:ascii="宋体" w:hAnsi="宋体" w:eastAsia="宋体"/>
          <w:color w:val="auto"/>
          <w:sz w:val="21"/>
          <w:szCs w:val="21"/>
          <w:highlight w:val="none"/>
        </w:rPr>
        <w:t>负责对投标文件的编制及内容进行解释、说明，并承诺以下事项：</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1.被授权人清楚投标文件编制的具体情况，包括技术方案文件、工程量清单、以及投标文件的加密打包的理解；</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2.在本项目开标至评标结束前，努力确保被授权人在项目评标所在地附近；</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3.从评标委员会要求澄清起二小时内，被授权人应如实地书面澄清。</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如由于未遵守上述承诺内容之一导致无法进行澄清的，我公司认可和接受评标委员会作出的评审结论。                                 </w:t>
      </w:r>
    </w:p>
    <w:p>
      <w:pPr>
        <w:pStyle w:val="36"/>
        <w:spacing w:after="0" w:line="360" w:lineRule="auto"/>
        <w:ind w:firstLine="315" w:firstLineChars="150"/>
        <w:rPr>
          <w:rFonts w:ascii="宋体" w:hAnsi="宋体" w:eastAsia="宋体"/>
          <w:color w:val="auto"/>
          <w:sz w:val="21"/>
          <w:szCs w:val="21"/>
          <w:highlight w:val="none"/>
        </w:rPr>
      </w:pPr>
    </w:p>
    <w:p>
      <w:pPr>
        <w:pStyle w:val="36"/>
        <w:spacing w:after="0" w:line="360" w:lineRule="auto"/>
        <w:ind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附件：《投标文件编制情况》</w:t>
      </w:r>
    </w:p>
    <w:p>
      <w:pPr>
        <w:spacing w:line="360" w:lineRule="auto"/>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p>
    <w:p>
      <w:pPr>
        <w:spacing w:line="360" w:lineRule="auto"/>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p>
    <w:p>
      <w:pPr>
        <w:spacing w:line="360" w:lineRule="auto"/>
        <w:ind w:firstLine="3885" w:firstLineChars="1850"/>
        <w:jc w:val="center"/>
        <w:rPr>
          <w:rFonts w:ascii="宋体" w:hAnsi="宋体"/>
          <w:color w:val="auto"/>
          <w:szCs w:val="21"/>
          <w:highlight w:val="none"/>
        </w:rPr>
      </w:pPr>
      <w:r>
        <w:rPr>
          <w:rFonts w:hint="eastAsia" w:ascii="宋体" w:hAnsi="宋体"/>
          <w:color w:val="auto"/>
          <w:szCs w:val="21"/>
          <w:highlight w:val="none"/>
        </w:rPr>
        <w:t xml:space="preserve"> 日期：      年   月   日 </w:t>
      </w:r>
    </w:p>
    <w:p>
      <w:pPr>
        <w:pStyle w:val="36"/>
        <w:spacing w:after="0" w:line="360" w:lineRule="auto"/>
        <w:ind w:firstLine="0"/>
        <w:rPr>
          <w:rFonts w:ascii="宋体" w:hAnsi="宋体" w:eastAsia="宋体"/>
          <w:b/>
          <w:color w:val="auto"/>
          <w:sz w:val="21"/>
          <w:szCs w:val="21"/>
          <w:highlight w:val="none"/>
        </w:rPr>
      </w:pPr>
    </w:p>
    <w:p>
      <w:pPr>
        <w:pStyle w:val="36"/>
        <w:spacing w:after="0" w:line="360" w:lineRule="auto"/>
        <w:ind w:firstLine="422" w:firstLineChars="200"/>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投标文件编制情况</w:t>
      </w:r>
    </w:p>
    <w:p>
      <w:pPr>
        <w:pStyle w:val="36"/>
        <w:spacing w:after="0" w:line="360" w:lineRule="auto"/>
        <w:ind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1.投标文件报价编制方式: □自行编制的，编制的负责人：</w:t>
      </w:r>
      <w:r>
        <w:rPr>
          <w:rFonts w:hint="eastAsia" w:ascii="宋体" w:hAnsi="宋体" w:eastAsia="宋体"/>
          <w:color w:val="auto"/>
          <w:sz w:val="21"/>
          <w:szCs w:val="21"/>
          <w:highlight w:val="none"/>
          <w:u w:val="single"/>
        </w:rPr>
        <w:t xml:space="preserve"> （盖造价工程师执业专用章或全国建设工程造价员章，执业单位应与投标人一致） </w:t>
      </w:r>
      <w:r>
        <w:rPr>
          <w:rFonts w:hint="eastAsia" w:ascii="宋体" w:hAnsi="宋体" w:eastAsia="宋体"/>
          <w:color w:val="auto"/>
          <w:sz w:val="21"/>
          <w:szCs w:val="21"/>
          <w:highlight w:val="none"/>
        </w:rPr>
        <w:t>。□委托编制的，受委托单位，编制的负责人：</w:t>
      </w:r>
      <w:r>
        <w:rPr>
          <w:rFonts w:hint="eastAsia" w:ascii="宋体" w:hAnsi="宋体" w:eastAsia="宋体"/>
          <w:color w:val="auto"/>
          <w:sz w:val="21"/>
          <w:szCs w:val="21"/>
          <w:highlight w:val="none"/>
          <w:u w:val="single"/>
        </w:rPr>
        <w:t xml:space="preserve"> （盖造价工程师执业专用章或全国建设工程造价员章，执业单位应与受委托单位一致） </w:t>
      </w:r>
      <w:r>
        <w:rPr>
          <w:rFonts w:hint="eastAsia" w:ascii="宋体" w:hAnsi="宋体" w:eastAsia="宋体"/>
          <w:color w:val="auto"/>
          <w:sz w:val="21"/>
          <w:szCs w:val="21"/>
          <w:highlight w:val="none"/>
        </w:rPr>
        <w:t>。</w:t>
      </w:r>
    </w:p>
    <w:p>
      <w:pPr>
        <w:pStyle w:val="36"/>
        <w:spacing w:after="0" w:line="360" w:lineRule="auto"/>
        <w:ind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2.投标文件加密打包的电脑情况</w:t>
      </w:r>
    </w:p>
    <w:tbl>
      <w:tblPr>
        <w:tblStyle w:val="38"/>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投标文件加密打包的电脑     自有    □      外包    □     其他    □</w:t>
            </w:r>
          </w:p>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电脑类型</w:t>
            </w:r>
          </w:p>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电脑所属单位</w:t>
            </w:r>
          </w:p>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电脑所在地址        （如××市××区(县) ××街（路）××号××大厦××房）</w:t>
            </w:r>
          </w:p>
        </w:tc>
      </w:tr>
    </w:tbl>
    <w:p>
      <w:pPr>
        <w:tabs>
          <w:tab w:val="left" w:pos="720"/>
        </w:tabs>
        <w:snapToGrid w:val="0"/>
        <w:spacing w:line="360" w:lineRule="auto"/>
        <w:rPr>
          <w:rFonts w:ascii="宋体" w:hAnsi="宋体"/>
          <w:color w:val="auto"/>
          <w:szCs w:val="21"/>
          <w:highlight w:val="none"/>
        </w:rPr>
      </w:pPr>
    </w:p>
    <w:p>
      <w:pPr>
        <w:pStyle w:val="148"/>
        <w:rPr>
          <w:color w:val="auto"/>
          <w:highlight w:val="none"/>
        </w:rPr>
      </w:pPr>
    </w:p>
    <w:p>
      <w:pPr>
        <w:tabs>
          <w:tab w:val="left" w:pos="720"/>
        </w:tabs>
        <w:snapToGrid w:val="0"/>
        <w:spacing w:line="360" w:lineRule="auto"/>
        <w:rPr>
          <w:rFonts w:ascii="宋体" w:hAnsi="宋体"/>
          <w:color w:val="auto"/>
          <w:szCs w:val="21"/>
          <w:highlight w:val="none"/>
        </w:rPr>
      </w:pPr>
      <w:r>
        <w:rPr>
          <w:rFonts w:hint="eastAsia" w:ascii="宋体" w:hAnsi="宋体" w:cs="宋体"/>
          <w:color w:val="auto"/>
          <w:szCs w:val="21"/>
          <w:highlight w:val="none"/>
        </w:rPr>
        <w:br w:type="page"/>
      </w:r>
      <w:r>
        <w:rPr>
          <w:rFonts w:hint="eastAsia" w:ascii="宋体" w:hAnsi="宋体"/>
          <w:color w:val="auto"/>
          <w:szCs w:val="21"/>
          <w:highlight w:val="none"/>
        </w:rPr>
        <w:t>附件四</w:t>
      </w: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pStyle w:val="15"/>
        <w:rPr>
          <w:color w:val="auto"/>
          <w:sz w:val="21"/>
          <w:szCs w:val="21"/>
          <w:highlight w:val="none"/>
        </w:rPr>
      </w:pPr>
      <w:r>
        <w:rPr>
          <w:rFonts w:hint="eastAsia" w:ascii="宋体" w:hAnsi="宋体" w:cs="宋体"/>
          <w:snapToGrid w:val="0"/>
          <w:color w:val="auto"/>
          <w:spacing w:val="4"/>
          <w:sz w:val="21"/>
          <w:szCs w:val="21"/>
          <w:highlight w:val="none"/>
        </w:rPr>
        <w:t>注：按投标须知修改表11.2.2条款及《资格审查表》要求提交，格式自拟。</w:t>
      </w:r>
    </w:p>
    <w:p>
      <w:pPr>
        <w:rPr>
          <w:color w:val="auto"/>
          <w:sz w:val="24"/>
          <w:szCs w:val="24"/>
          <w:highlight w:val="none"/>
        </w:rPr>
      </w:pPr>
      <w:r>
        <w:rPr>
          <w:color w:val="auto"/>
          <w:sz w:val="24"/>
          <w:szCs w:val="24"/>
          <w:highlight w:val="none"/>
        </w:rPr>
        <w:br w:type="page"/>
      </w:r>
    </w:p>
    <w:p>
      <w:pPr>
        <w:pStyle w:val="2"/>
        <w:rPr>
          <w:color w:val="auto"/>
          <w:highlight w:val="none"/>
        </w:rPr>
      </w:pPr>
      <w:r>
        <w:rPr>
          <w:rFonts w:hint="eastAsia"/>
          <w:color w:val="auto"/>
          <w:highlight w:val="none"/>
        </w:rPr>
        <w:t>附件五</w:t>
      </w: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snapToGrid w:val="0"/>
          <w:color w:val="auto"/>
          <w:spacing w:val="4"/>
          <w:kern w:val="0"/>
          <w:sz w:val="21"/>
          <w:szCs w:val="21"/>
          <w:highlight w:val="none"/>
        </w:rPr>
        <w:t>注：按《技术标有效性审查表》及《技术标详细审查评分表》要求提交</w:t>
      </w:r>
      <w:r>
        <w:rPr>
          <w:rFonts w:hint="eastAsia" w:ascii="宋体" w:hAnsi="宋体" w:eastAsia="宋体" w:cs="宋体"/>
          <w:snapToGrid w:val="0"/>
          <w:color w:val="auto"/>
          <w:spacing w:val="4"/>
          <w:sz w:val="21"/>
          <w:szCs w:val="21"/>
          <w:highlight w:val="none"/>
        </w:rPr>
        <w:t>，格式如无要求可自拟。</w:t>
      </w:r>
    </w:p>
    <w:p>
      <w:pPr>
        <w:rPr>
          <w:rFonts w:ascii="宋体" w:hAnsi="宋体" w:cs="宋体"/>
          <w:bCs/>
          <w:color w:val="auto"/>
          <w:kern w:val="44"/>
          <w:szCs w:val="21"/>
          <w:highlight w:val="none"/>
        </w:rPr>
      </w:pPr>
      <w:bookmarkStart w:id="58" w:name="_Toc6612"/>
      <w:r>
        <w:rPr>
          <w:rFonts w:hint="eastAsia" w:ascii="宋体" w:hAnsi="宋体" w:cs="宋体"/>
          <w:bCs/>
          <w:color w:val="auto"/>
          <w:kern w:val="44"/>
          <w:szCs w:val="21"/>
          <w:highlight w:val="none"/>
        </w:rPr>
        <w:br w:type="page"/>
      </w:r>
    </w:p>
    <w:p>
      <w:pPr>
        <w:tabs>
          <w:tab w:val="left" w:pos="720"/>
        </w:tabs>
        <w:snapToGrid w:val="0"/>
        <w:spacing w:line="360" w:lineRule="auto"/>
        <w:jc w:val="left"/>
        <w:rPr>
          <w:rFonts w:ascii="宋体" w:hAnsi="宋体" w:cs="宋体"/>
          <w:bCs/>
          <w:color w:val="auto"/>
          <w:kern w:val="44"/>
          <w:szCs w:val="21"/>
          <w:highlight w:val="none"/>
        </w:rPr>
      </w:pPr>
      <w:r>
        <w:rPr>
          <w:rFonts w:hint="eastAsia" w:ascii="宋体" w:hAnsi="宋体" w:cs="宋体"/>
          <w:bCs/>
          <w:color w:val="auto"/>
          <w:kern w:val="44"/>
          <w:szCs w:val="21"/>
          <w:highlight w:val="none"/>
        </w:rPr>
        <w:t>附件六</w:t>
      </w:r>
    </w:p>
    <w:p>
      <w:pPr>
        <w:pStyle w:val="23"/>
        <w:rPr>
          <w:rFonts w:ascii="宋体" w:hAnsi="宋体" w:cs="宋体"/>
          <w:b/>
          <w:color w:val="auto"/>
          <w:kern w:val="44"/>
          <w:sz w:val="21"/>
          <w:szCs w:val="21"/>
          <w:highlight w:val="none"/>
        </w:rPr>
      </w:pPr>
    </w:p>
    <w:tbl>
      <w:tblPr>
        <w:tblStyle w:val="38"/>
        <w:tblW w:w="9095" w:type="dxa"/>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Cs/>
                <w:color w:val="auto"/>
                <w:kern w:val="0"/>
                <w:szCs w:val="21"/>
                <w:highlight w:val="none"/>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color w:val="auto"/>
                <w:szCs w:val="21"/>
                <w:highlight w:val="none"/>
                <w:lang w:val="en-US"/>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88"/>
                <w:rFonts w:hint="default" w:ascii="宋体" w:hAnsi="宋体" w:eastAsia="宋体" w:cs="宋体"/>
                <w:color w:val="auto"/>
                <w:sz w:val="21"/>
                <w:szCs w:val="21"/>
                <w:highlight w:val="none"/>
              </w:rPr>
            </w:pPr>
            <w:r>
              <w:rPr>
                <w:rStyle w:val="88"/>
                <w:rFonts w:hint="default" w:ascii="宋体" w:hAnsi="宋体" w:eastAsia="宋体" w:cs="宋体"/>
                <w:color w:val="auto"/>
                <w:sz w:val="21"/>
                <w:szCs w:val="21"/>
                <w:highlight w:val="none"/>
              </w:rPr>
              <w:t>备注：</w:t>
            </w:r>
          </w:p>
          <w:p>
            <w:pPr>
              <w:widowControl/>
              <w:jc w:val="left"/>
              <w:textAlignment w:val="center"/>
              <w:rPr>
                <w:rStyle w:val="88"/>
                <w:rFonts w:hint="default" w:ascii="宋体" w:hAnsi="宋体" w:eastAsia="宋体" w:cs="宋体"/>
                <w:color w:val="auto"/>
                <w:sz w:val="21"/>
                <w:szCs w:val="21"/>
                <w:highlight w:val="none"/>
              </w:rPr>
            </w:pPr>
            <w:r>
              <w:rPr>
                <w:rStyle w:val="88"/>
                <w:rFonts w:hint="default" w:ascii="宋体" w:hAnsi="宋体" w:eastAsia="宋体" w:cs="宋体"/>
                <w:color w:val="auto"/>
                <w:sz w:val="21"/>
                <w:szCs w:val="21"/>
                <w:highlight w:val="none"/>
              </w:rPr>
              <w:t>1、“岗位”要求</w:t>
            </w:r>
            <w:r>
              <w:rPr>
                <w:rStyle w:val="93"/>
                <w:rFonts w:hint="default" w:ascii="宋体" w:hAnsi="宋体" w:eastAsia="宋体" w:cs="宋体"/>
                <w:b w:val="0"/>
                <w:bCs/>
                <w:color w:val="auto"/>
                <w:sz w:val="21"/>
                <w:szCs w:val="21"/>
                <w:highlight w:val="none"/>
              </w:rPr>
              <w:t>（除项目负责人和专职安全员外）</w:t>
            </w:r>
            <w:r>
              <w:rPr>
                <w:rStyle w:val="88"/>
                <w:rFonts w:hint="default" w:ascii="宋体" w:hAnsi="宋体" w:eastAsia="宋体" w:cs="宋体"/>
                <w:color w:val="auto"/>
                <w:sz w:val="21"/>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88"/>
                <w:rFonts w:hint="default" w:ascii="宋体" w:hAnsi="宋体" w:eastAsia="宋体" w:cs="宋体"/>
                <w:color w:val="auto"/>
                <w:sz w:val="21"/>
                <w:szCs w:val="21"/>
                <w:highlight w:val="none"/>
              </w:rPr>
            </w:pPr>
            <w:r>
              <w:rPr>
                <w:rStyle w:val="88"/>
                <w:rFonts w:hint="default"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color w:val="auto"/>
                <w:szCs w:val="21"/>
                <w:highlight w:val="none"/>
              </w:rPr>
            </w:pPr>
            <w:r>
              <w:rPr>
                <w:rStyle w:val="88"/>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color w:val="auto"/>
          <w:szCs w:val="21"/>
          <w:highlight w:val="none"/>
        </w:rPr>
      </w:pPr>
      <w:r>
        <w:rPr>
          <w:rFonts w:ascii="宋体" w:hAnsi="宋体"/>
          <w:color w:val="auto"/>
          <w:szCs w:val="21"/>
          <w:highlight w:val="none"/>
        </w:rPr>
        <w:br w:type="page"/>
      </w:r>
    </w:p>
    <w:p>
      <w:pPr>
        <w:tabs>
          <w:tab w:val="left" w:pos="720"/>
        </w:tabs>
        <w:snapToGrid w:val="0"/>
        <w:spacing w:line="360" w:lineRule="auto"/>
        <w:jc w:val="left"/>
        <w:rPr>
          <w:rFonts w:ascii="宋体" w:hAnsi="宋体" w:cs="宋体"/>
          <w:bCs/>
          <w:color w:val="auto"/>
          <w:kern w:val="44"/>
          <w:sz w:val="24"/>
          <w:szCs w:val="24"/>
          <w:highlight w:val="none"/>
        </w:rPr>
      </w:pPr>
      <w:r>
        <w:rPr>
          <w:rFonts w:hint="eastAsia" w:ascii="宋体" w:hAnsi="宋体" w:cs="宋体"/>
          <w:bCs/>
          <w:color w:val="auto"/>
          <w:kern w:val="44"/>
          <w:sz w:val="24"/>
          <w:szCs w:val="24"/>
          <w:highlight w:val="none"/>
        </w:rPr>
        <w:t>附件七</w:t>
      </w:r>
    </w:p>
    <w:p>
      <w:pPr>
        <w:widowControl/>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类似业绩表</w:t>
      </w:r>
    </w:p>
    <w:tbl>
      <w:tblPr>
        <w:tblStyle w:val="39"/>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118"/>
        <w:gridCol w:w="1441"/>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1"/>
              <w:jc w:val="center"/>
              <w:rPr>
                <w:b/>
                <w:bCs/>
                <w:color w:val="auto"/>
                <w:highlight w:val="none"/>
              </w:rPr>
            </w:pPr>
            <w:r>
              <w:rPr>
                <w:rFonts w:hint="eastAsia"/>
                <w:b/>
                <w:bCs/>
                <w:color w:val="auto"/>
                <w:highlight w:val="none"/>
              </w:rPr>
              <w:t>序号</w:t>
            </w:r>
          </w:p>
        </w:tc>
        <w:tc>
          <w:tcPr>
            <w:tcW w:w="3118" w:type="dxa"/>
          </w:tcPr>
          <w:p>
            <w:pPr>
              <w:pStyle w:val="131"/>
              <w:jc w:val="center"/>
              <w:rPr>
                <w:b/>
                <w:bCs/>
                <w:color w:val="auto"/>
                <w:highlight w:val="none"/>
              </w:rPr>
            </w:pPr>
            <w:r>
              <w:rPr>
                <w:rFonts w:hint="eastAsia"/>
                <w:b/>
                <w:bCs/>
                <w:color w:val="auto"/>
                <w:highlight w:val="none"/>
              </w:rPr>
              <w:t>项目名称</w:t>
            </w:r>
          </w:p>
        </w:tc>
        <w:tc>
          <w:tcPr>
            <w:tcW w:w="1441" w:type="dxa"/>
          </w:tcPr>
          <w:p>
            <w:pPr>
              <w:pStyle w:val="131"/>
              <w:jc w:val="center"/>
              <w:rPr>
                <w:b/>
                <w:bCs/>
                <w:color w:val="auto"/>
                <w:highlight w:val="none"/>
              </w:rPr>
            </w:pPr>
            <w:r>
              <w:rPr>
                <w:rFonts w:hint="eastAsia"/>
                <w:b/>
                <w:bCs/>
                <w:color w:val="auto"/>
                <w:highlight w:val="none"/>
              </w:rPr>
              <w:t>项目编号</w:t>
            </w:r>
          </w:p>
        </w:tc>
        <w:tc>
          <w:tcPr>
            <w:tcW w:w="2151" w:type="dxa"/>
          </w:tcPr>
          <w:p>
            <w:pPr>
              <w:pStyle w:val="131"/>
              <w:jc w:val="center"/>
              <w:rPr>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1"/>
              <w:rPr>
                <w:color w:val="auto"/>
                <w:highlight w:val="none"/>
              </w:rPr>
            </w:pPr>
          </w:p>
        </w:tc>
        <w:tc>
          <w:tcPr>
            <w:tcW w:w="3118" w:type="dxa"/>
          </w:tcPr>
          <w:p>
            <w:pPr>
              <w:pStyle w:val="131"/>
              <w:rPr>
                <w:color w:val="auto"/>
                <w:highlight w:val="none"/>
              </w:rPr>
            </w:pPr>
          </w:p>
        </w:tc>
        <w:tc>
          <w:tcPr>
            <w:tcW w:w="1441" w:type="dxa"/>
          </w:tcPr>
          <w:p>
            <w:pPr>
              <w:pStyle w:val="131"/>
              <w:rPr>
                <w:color w:val="auto"/>
                <w:highlight w:val="none"/>
              </w:rPr>
            </w:pPr>
          </w:p>
        </w:tc>
        <w:tc>
          <w:tcPr>
            <w:tcW w:w="2151" w:type="dxa"/>
          </w:tcPr>
          <w:p>
            <w:pPr>
              <w:pStyle w:val="131"/>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1"/>
              <w:rPr>
                <w:color w:val="auto"/>
                <w:highlight w:val="none"/>
              </w:rPr>
            </w:pPr>
          </w:p>
        </w:tc>
        <w:tc>
          <w:tcPr>
            <w:tcW w:w="3118" w:type="dxa"/>
          </w:tcPr>
          <w:p>
            <w:pPr>
              <w:pStyle w:val="131"/>
              <w:rPr>
                <w:color w:val="auto"/>
                <w:highlight w:val="none"/>
              </w:rPr>
            </w:pPr>
          </w:p>
        </w:tc>
        <w:tc>
          <w:tcPr>
            <w:tcW w:w="1441" w:type="dxa"/>
          </w:tcPr>
          <w:p>
            <w:pPr>
              <w:pStyle w:val="131"/>
              <w:rPr>
                <w:color w:val="auto"/>
                <w:highlight w:val="none"/>
              </w:rPr>
            </w:pPr>
          </w:p>
        </w:tc>
        <w:tc>
          <w:tcPr>
            <w:tcW w:w="2151" w:type="dxa"/>
          </w:tcPr>
          <w:p>
            <w:pPr>
              <w:pStyle w:val="131"/>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1"/>
              <w:rPr>
                <w:color w:val="auto"/>
                <w:highlight w:val="none"/>
              </w:rPr>
            </w:pPr>
          </w:p>
        </w:tc>
        <w:tc>
          <w:tcPr>
            <w:tcW w:w="3118" w:type="dxa"/>
          </w:tcPr>
          <w:p>
            <w:pPr>
              <w:pStyle w:val="131"/>
              <w:rPr>
                <w:color w:val="auto"/>
                <w:highlight w:val="none"/>
              </w:rPr>
            </w:pPr>
          </w:p>
        </w:tc>
        <w:tc>
          <w:tcPr>
            <w:tcW w:w="1441" w:type="dxa"/>
          </w:tcPr>
          <w:p>
            <w:pPr>
              <w:pStyle w:val="131"/>
              <w:rPr>
                <w:color w:val="auto"/>
                <w:highlight w:val="none"/>
              </w:rPr>
            </w:pPr>
          </w:p>
        </w:tc>
        <w:tc>
          <w:tcPr>
            <w:tcW w:w="2151" w:type="dxa"/>
          </w:tcPr>
          <w:p>
            <w:pPr>
              <w:pStyle w:val="131"/>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1"/>
              <w:rPr>
                <w:color w:val="auto"/>
                <w:highlight w:val="none"/>
              </w:rPr>
            </w:pPr>
          </w:p>
        </w:tc>
        <w:tc>
          <w:tcPr>
            <w:tcW w:w="3118" w:type="dxa"/>
          </w:tcPr>
          <w:p>
            <w:pPr>
              <w:pStyle w:val="131"/>
              <w:rPr>
                <w:color w:val="auto"/>
                <w:highlight w:val="none"/>
              </w:rPr>
            </w:pPr>
          </w:p>
        </w:tc>
        <w:tc>
          <w:tcPr>
            <w:tcW w:w="1441" w:type="dxa"/>
          </w:tcPr>
          <w:p>
            <w:pPr>
              <w:pStyle w:val="131"/>
              <w:rPr>
                <w:color w:val="auto"/>
                <w:highlight w:val="none"/>
              </w:rPr>
            </w:pPr>
          </w:p>
        </w:tc>
        <w:tc>
          <w:tcPr>
            <w:tcW w:w="2151" w:type="dxa"/>
          </w:tcPr>
          <w:p>
            <w:pPr>
              <w:pStyle w:val="131"/>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1"/>
              <w:rPr>
                <w:color w:val="auto"/>
                <w:highlight w:val="none"/>
              </w:rPr>
            </w:pPr>
          </w:p>
        </w:tc>
        <w:tc>
          <w:tcPr>
            <w:tcW w:w="3118" w:type="dxa"/>
          </w:tcPr>
          <w:p>
            <w:pPr>
              <w:pStyle w:val="131"/>
              <w:rPr>
                <w:color w:val="auto"/>
                <w:highlight w:val="none"/>
              </w:rPr>
            </w:pPr>
          </w:p>
        </w:tc>
        <w:tc>
          <w:tcPr>
            <w:tcW w:w="1441" w:type="dxa"/>
          </w:tcPr>
          <w:p>
            <w:pPr>
              <w:pStyle w:val="131"/>
              <w:rPr>
                <w:color w:val="auto"/>
                <w:highlight w:val="none"/>
              </w:rPr>
            </w:pPr>
          </w:p>
        </w:tc>
        <w:tc>
          <w:tcPr>
            <w:tcW w:w="2151" w:type="dxa"/>
          </w:tcPr>
          <w:p>
            <w:pPr>
              <w:pStyle w:val="131"/>
              <w:rPr>
                <w:color w:val="auto"/>
                <w:highlight w:val="none"/>
              </w:rPr>
            </w:pPr>
          </w:p>
        </w:tc>
      </w:tr>
    </w:tbl>
    <w:p>
      <w:pPr>
        <w:tabs>
          <w:tab w:val="left" w:pos="720"/>
        </w:tabs>
        <w:snapToGrid w:val="0"/>
        <w:spacing w:line="360" w:lineRule="auto"/>
        <w:jc w:val="left"/>
        <w:rPr>
          <w:rFonts w:ascii="宋体" w:hAnsi="宋体" w:cs="宋体"/>
          <w:bCs/>
          <w:color w:val="auto"/>
          <w:kern w:val="44"/>
          <w:sz w:val="24"/>
          <w:szCs w:val="24"/>
          <w:highlight w:val="none"/>
        </w:rPr>
      </w:pPr>
    </w:p>
    <w:p>
      <w:pPr>
        <w:tabs>
          <w:tab w:val="left" w:pos="720"/>
        </w:tabs>
        <w:snapToGrid w:val="0"/>
        <w:spacing w:line="360" w:lineRule="auto"/>
        <w:jc w:val="left"/>
        <w:rPr>
          <w:rFonts w:ascii="宋体" w:hAnsi="宋体" w:cs="宋体"/>
          <w:bCs/>
          <w:color w:val="auto"/>
          <w:kern w:val="44"/>
          <w:sz w:val="24"/>
          <w:szCs w:val="24"/>
          <w:highlight w:val="none"/>
        </w:rPr>
      </w:pPr>
      <w:r>
        <w:rPr>
          <w:rFonts w:hint="eastAsia" w:ascii="宋体" w:hAnsi="宋体" w:cs="宋体"/>
          <w:bCs/>
          <w:color w:val="auto"/>
          <w:kern w:val="44"/>
          <w:sz w:val="24"/>
          <w:szCs w:val="24"/>
          <w:highlight w:val="none"/>
        </w:rPr>
        <w:t>附件八</w:t>
      </w:r>
    </w:p>
    <w:p>
      <w:pPr>
        <w:jc w:val="center"/>
        <w:rPr>
          <w:b/>
          <w:bCs/>
          <w:color w:val="auto"/>
          <w:sz w:val="32"/>
          <w:szCs w:val="32"/>
          <w:highlight w:val="none"/>
        </w:rPr>
      </w:pPr>
      <w:r>
        <w:rPr>
          <w:rFonts w:hint="eastAsia"/>
          <w:b/>
          <w:bCs/>
          <w:color w:val="auto"/>
          <w:sz w:val="32"/>
          <w:szCs w:val="32"/>
          <w:highlight w:val="none"/>
        </w:rPr>
        <w:t>企业施工财务指标</w:t>
      </w:r>
    </w:p>
    <w:tbl>
      <w:tblPr>
        <w:tblStyle w:val="38"/>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548"/>
        <w:gridCol w:w="171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b/>
                <w:bCs/>
                <w:color w:val="auto"/>
                <w:sz w:val="24"/>
                <w:highlight w:val="none"/>
              </w:rPr>
            </w:pPr>
            <w:r>
              <w:rPr>
                <w:rFonts w:hint="eastAsia"/>
                <w:b/>
                <w:bCs/>
                <w:color w:val="auto"/>
                <w:sz w:val="24"/>
                <w:highlight w:val="none"/>
              </w:rPr>
              <w:t>年份</w:t>
            </w:r>
          </w:p>
        </w:tc>
        <w:tc>
          <w:tcPr>
            <w:tcW w:w="1548" w:type="dxa"/>
          </w:tcPr>
          <w:p>
            <w:pPr>
              <w:jc w:val="center"/>
              <w:rPr>
                <w:b/>
                <w:bCs/>
                <w:color w:val="auto"/>
                <w:sz w:val="24"/>
                <w:highlight w:val="none"/>
              </w:rPr>
            </w:pPr>
            <w:r>
              <w:rPr>
                <w:rFonts w:hint="eastAsia" w:ascii="宋体" w:hAnsi="宋体"/>
                <w:color w:val="auto"/>
                <w:sz w:val="24"/>
                <w:highlight w:val="none"/>
              </w:rPr>
              <w:t>2019年</w:t>
            </w:r>
          </w:p>
        </w:tc>
        <w:tc>
          <w:tcPr>
            <w:tcW w:w="1716" w:type="dxa"/>
          </w:tcPr>
          <w:p>
            <w:pPr>
              <w:jc w:val="center"/>
              <w:rPr>
                <w:b/>
                <w:bCs/>
                <w:color w:val="auto"/>
                <w:sz w:val="24"/>
                <w:highlight w:val="none"/>
              </w:rPr>
            </w:pPr>
            <w:r>
              <w:rPr>
                <w:rFonts w:hint="eastAsia" w:ascii="宋体" w:hAnsi="宋体"/>
                <w:color w:val="auto"/>
                <w:sz w:val="24"/>
                <w:highlight w:val="none"/>
              </w:rPr>
              <w:t>2020年</w:t>
            </w:r>
          </w:p>
        </w:tc>
        <w:tc>
          <w:tcPr>
            <w:tcW w:w="1716" w:type="dxa"/>
          </w:tcPr>
          <w:p>
            <w:pPr>
              <w:jc w:val="center"/>
              <w:rPr>
                <w:rFonts w:ascii="宋体" w:hAnsi="宋体"/>
                <w:color w:val="auto"/>
                <w:sz w:val="24"/>
                <w:highlight w:val="none"/>
              </w:rPr>
            </w:pPr>
            <w:r>
              <w:rPr>
                <w:rFonts w:hint="eastAsia" w:ascii="宋体" w:hAnsi="宋体"/>
                <w:color w:val="auto"/>
                <w:sz w:val="24"/>
                <w:highlight w:val="none"/>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color w:val="auto"/>
                <w:sz w:val="24"/>
                <w:highlight w:val="none"/>
              </w:rPr>
            </w:pPr>
            <w:r>
              <w:rPr>
                <w:rFonts w:hint="eastAsia" w:ascii="宋体" w:hAnsi="宋体"/>
                <w:color w:val="auto"/>
                <w:sz w:val="24"/>
                <w:highlight w:val="none"/>
              </w:rPr>
              <w:t>期（年）末负债总额</w:t>
            </w:r>
          </w:p>
        </w:tc>
        <w:tc>
          <w:tcPr>
            <w:tcW w:w="1548" w:type="dxa"/>
          </w:tcPr>
          <w:p>
            <w:pPr>
              <w:rPr>
                <w:color w:val="auto"/>
                <w:sz w:val="24"/>
                <w:highlight w:val="none"/>
              </w:rPr>
            </w:pPr>
          </w:p>
        </w:tc>
        <w:tc>
          <w:tcPr>
            <w:tcW w:w="1716" w:type="dxa"/>
          </w:tcPr>
          <w:p>
            <w:pPr>
              <w:rPr>
                <w:color w:val="auto"/>
                <w:sz w:val="24"/>
                <w:highlight w:val="none"/>
              </w:rPr>
            </w:pPr>
          </w:p>
        </w:tc>
        <w:tc>
          <w:tcPr>
            <w:tcW w:w="1716"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820" w:type="dxa"/>
          </w:tcPr>
          <w:p>
            <w:pPr>
              <w:jc w:val="center"/>
              <w:rPr>
                <w:color w:val="auto"/>
                <w:sz w:val="24"/>
                <w:highlight w:val="none"/>
              </w:rPr>
            </w:pPr>
            <w:r>
              <w:rPr>
                <w:rFonts w:hint="eastAsia" w:ascii="宋体" w:hAnsi="宋体"/>
                <w:color w:val="auto"/>
                <w:sz w:val="24"/>
                <w:highlight w:val="none"/>
              </w:rPr>
              <w:t>期（年）末资产总额</w:t>
            </w:r>
          </w:p>
        </w:tc>
        <w:tc>
          <w:tcPr>
            <w:tcW w:w="1548" w:type="dxa"/>
          </w:tcPr>
          <w:p>
            <w:pPr>
              <w:rPr>
                <w:color w:val="auto"/>
                <w:sz w:val="24"/>
                <w:highlight w:val="none"/>
              </w:rPr>
            </w:pPr>
          </w:p>
        </w:tc>
        <w:tc>
          <w:tcPr>
            <w:tcW w:w="1716" w:type="dxa"/>
          </w:tcPr>
          <w:p>
            <w:pPr>
              <w:rPr>
                <w:color w:val="auto"/>
                <w:sz w:val="24"/>
                <w:highlight w:val="none"/>
              </w:rPr>
            </w:pPr>
          </w:p>
        </w:tc>
        <w:tc>
          <w:tcPr>
            <w:tcW w:w="1716"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color w:val="auto"/>
                <w:sz w:val="24"/>
                <w:highlight w:val="none"/>
              </w:rPr>
            </w:pPr>
            <w:r>
              <w:rPr>
                <w:rFonts w:hint="eastAsia"/>
                <w:color w:val="auto"/>
                <w:sz w:val="24"/>
                <w:highlight w:val="none"/>
              </w:rPr>
              <w:t>资产负债率</w:t>
            </w:r>
          </w:p>
        </w:tc>
        <w:tc>
          <w:tcPr>
            <w:tcW w:w="1548" w:type="dxa"/>
          </w:tcPr>
          <w:p>
            <w:pPr>
              <w:rPr>
                <w:color w:val="auto"/>
                <w:sz w:val="24"/>
                <w:highlight w:val="none"/>
              </w:rPr>
            </w:pPr>
          </w:p>
        </w:tc>
        <w:tc>
          <w:tcPr>
            <w:tcW w:w="1716" w:type="dxa"/>
          </w:tcPr>
          <w:p>
            <w:pPr>
              <w:rPr>
                <w:color w:val="auto"/>
                <w:sz w:val="24"/>
                <w:highlight w:val="none"/>
              </w:rPr>
            </w:pPr>
          </w:p>
        </w:tc>
        <w:tc>
          <w:tcPr>
            <w:tcW w:w="1716"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rFonts w:ascii="宋体" w:hAnsi="宋体"/>
                <w:color w:val="auto"/>
                <w:sz w:val="24"/>
                <w:highlight w:val="none"/>
              </w:rPr>
            </w:pPr>
            <w:r>
              <w:rPr>
                <w:rFonts w:hint="eastAsia" w:ascii="宋体" w:hAnsi="宋体"/>
                <w:color w:val="auto"/>
                <w:sz w:val="24"/>
                <w:highlight w:val="none"/>
              </w:rPr>
              <w:t>平均资产负债率</w:t>
            </w:r>
          </w:p>
        </w:tc>
        <w:tc>
          <w:tcPr>
            <w:tcW w:w="4980" w:type="dxa"/>
            <w:gridSpan w:val="3"/>
          </w:tcPr>
          <w:p>
            <w:pPr>
              <w:rPr>
                <w:color w:val="auto"/>
                <w:sz w:val="24"/>
                <w:highlight w:val="none"/>
              </w:rPr>
            </w:pPr>
          </w:p>
        </w:tc>
      </w:tr>
    </w:tbl>
    <w:p>
      <w:pPr>
        <w:jc w:val="left"/>
        <w:rPr>
          <w:rFonts w:ascii="宋体" w:hAnsi="宋体"/>
          <w:color w:val="auto"/>
          <w:sz w:val="24"/>
          <w:highlight w:val="none"/>
        </w:rPr>
      </w:pPr>
      <w:r>
        <w:rPr>
          <w:rFonts w:hint="eastAsia" w:ascii="宋体" w:hAnsi="宋体"/>
          <w:color w:val="auto"/>
          <w:sz w:val="24"/>
          <w:highlight w:val="none"/>
        </w:rPr>
        <w:t>注：1、单位：人民币 元</w:t>
      </w:r>
    </w:p>
    <w:p>
      <w:pPr>
        <w:rPr>
          <w:rFonts w:ascii="宋体" w:cs="宋体"/>
          <w:color w:val="auto"/>
          <w:szCs w:val="21"/>
          <w:highlight w:val="none"/>
        </w:rPr>
      </w:pPr>
      <w:r>
        <w:rPr>
          <w:rFonts w:hint="eastAsia" w:ascii="宋体" w:hAnsi="宋体"/>
          <w:color w:val="auto"/>
          <w:sz w:val="24"/>
          <w:szCs w:val="24"/>
          <w:highlight w:val="none"/>
        </w:rPr>
        <w:t>2、按照评分办法中的评审要求提供资料</w:t>
      </w:r>
      <w:r>
        <w:rPr>
          <w:rFonts w:hint="eastAsia" w:ascii="宋体" w:hAnsi="宋体"/>
          <w:color w:val="auto"/>
          <w:sz w:val="24"/>
          <w:highlight w:val="none"/>
        </w:rPr>
        <w:t>。</w:t>
      </w:r>
    </w:p>
    <w:p>
      <w:pPr>
        <w:rPr>
          <w:rFonts w:ascii="宋体" w:cs="宋体"/>
          <w:color w:val="auto"/>
          <w:szCs w:val="21"/>
          <w:highlight w:val="none"/>
        </w:rPr>
      </w:pPr>
      <w:r>
        <w:rPr>
          <w:rFonts w:hint="eastAsia" w:ascii="宋体" w:cs="宋体"/>
          <w:color w:val="auto"/>
          <w:szCs w:val="21"/>
          <w:highlight w:val="none"/>
        </w:rPr>
        <w:br w:type="page"/>
      </w:r>
    </w:p>
    <w:p>
      <w:pPr>
        <w:pStyle w:val="125"/>
        <w:spacing w:beforeLines="0" w:after="120" w:line="400" w:lineRule="exact"/>
        <w:rPr>
          <w:rFonts w:ascii="宋体" w:eastAsia="宋体" w:cs="宋体"/>
          <w:b w:val="0"/>
          <w:color w:val="auto"/>
          <w:sz w:val="21"/>
          <w:szCs w:val="21"/>
          <w:highlight w:val="none"/>
        </w:rPr>
      </w:pPr>
      <w:r>
        <w:rPr>
          <w:rFonts w:hint="eastAsia" w:ascii="宋体" w:eastAsia="宋体" w:cs="宋体"/>
          <w:bCs/>
          <w:color w:val="auto"/>
          <w:sz w:val="22"/>
          <w:szCs w:val="22"/>
          <w:highlight w:val="none"/>
        </w:rPr>
        <w:t>第二部分经济标投标文件</w:t>
      </w:r>
    </w:p>
    <w:p>
      <w:pPr>
        <w:pStyle w:val="125"/>
        <w:spacing w:beforeLines="0" w:after="120" w:line="400" w:lineRule="exact"/>
        <w:rPr>
          <w:rFonts w:ascii="宋体" w:eastAsia="宋体" w:cs="宋体"/>
          <w:b w:val="0"/>
          <w:color w:val="auto"/>
          <w:sz w:val="21"/>
          <w:szCs w:val="21"/>
          <w:highlight w:val="none"/>
        </w:rPr>
      </w:pPr>
      <w:r>
        <w:rPr>
          <w:rFonts w:hint="eastAsia" w:ascii="宋体" w:eastAsia="宋体" w:cs="宋体"/>
          <w:b w:val="0"/>
          <w:color w:val="auto"/>
          <w:sz w:val="21"/>
          <w:szCs w:val="21"/>
          <w:highlight w:val="none"/>
        </w:rPr>
        <w:t>经济标封面</w:t>
      </w:r>
      <w:bookmarkEnd w:id="46"/>
      <w:bookmarkEnd w:id="47"/>
      <w:bookmarkEnd w:id="48"/>
      <w:bookmarkEnd w:id="49"/>
      <w:bookmarkEnd w:id="50"/>
      <w:bookmarkEnd w:id="51"/>
      <w:bookmarkEnd w:id="52"/>
      <w:bookmarkEnd w:id="53"/>
      <w:bookmarkEnd w:id="54"/>
      <w:bookmarkEnd w:id="55"/>
      <w:bookmarkEnd w:id="56"/>
      <w:bookmarkEnd w:id="57"/>
      <w:bookmarkEnd w:id="58"/>
    </w:p>
    <w:p>
      <w:pPr>
        <w:pStyle w:val="119"/>
        <w:spacing w:line="400" w:lineRule="exact"/>
        <w:rPr>
          <w:rFonts w:ascii="宋体" w:hAnsi="宋体" w:eastAsia="宋体" w:cs="宋体"/>
          <w:b w:val="0"/>
          <w:color w:val="auto"/>
          <w:sz w:val="21"/>
          <w:szCs w:val="21"/>
          <w:highlight w:val="none"/>
          <w:u w:val="single"/>
        </w:rPr>
      </w:pPr>
    </w:p>
    <w:p>
      <w:pPr>
        <w:pStyle w:val="119"/>
        <w:spacing w:line="400" w:lineRule="exact"/>
        <w:rPr>
          <w:rFonts w:ascii="宋体" w:hAnsi="宋体" w:eastAsia="宋体" w:cs="宋体"/>
          <w:b w:val="0"/>
          <w:color w:val="auto"/>
          <w:sz w:val="21"/>
          <w:szCs w:val="21"/>
          <w:highlight w:val="none"/>
          <w:u w:val="single"/>
        </w:rPr>
      </w:pPr>
    </w:p>
    <w:p>
      <w:pPr>
        <w:pStyle w:val="119"/>
        <w:spacing w:line="400" w:lineRule="exact"/>
        <w:rPr>
          <w:rFonts w:ascii="宋体" w:hAnsi="宋体" w:eastAsia="宋体" w:cs="宋体"/>
          <w:b w:val="0"/>
          <w:color w:val="auto"/>
          <w:sz w:val="21"/>
          <w:szCs w:val="21"/>
          <w:highlight w:val="none"/>
          <w:u w:val="single"/>
        </w:rPr>
      </w:pPr>
    </w:p>
    <w:p>
      <w:pPr>
        <w:pStyle w:val="119"/>
        <w:spacing w:line="400" w:lineRule="exact"/>
        <w:rPr>
          <w:rFonts w:ascii="宋体" w:hAnsi="宋体" w:eastAsia="宋体" w:cs="宋体"/>
          <w:b w:val="0"/>
          <w:color w:val="auto"/>
          <w:sz w:val="21"/>
          <w:szCs w:val="21"/>
          <w:highlight w:val="none"/>
          <w:u w:val="single"/>
        </w:rPr>
      </w:pPr>
    </w:p>
    <w:p>
      <w:pPr>
        <w:pStyle w:val="119"/>
        <w:spacing w:line="400" w:lineRule="exact"/>
        <w:rPr>
          <w:rFonts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u w:val="single"/>
        </w:rPr>
        <w:t xml:space="preserve">[工程名称] </w:t>
      </w: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436"/>
        <w:rPr>
          <w:rFonts w:ascii="宋体" w:hAnsi="宋体" w:cs="宋体"/>
          <w:color w:val="auto"/>
          <w:sz w:val="21"/>
          <w:szCs w:val="21"/>
          <w:highlight w:val="none"/>
        </w:rPr>
      </w:pPr>
    </w:p>
    <w:p>
      <w:pPr>
        <w:pStyle w:val="140"/>
        <w:spacing w:line="400" w:lineRule="exact"/>
        <w:rPr>
          <w:rFonts w:ascii="宋体" w:hAnsi="宋体" w:eastAsia="宋体" w:cs="宋体"/>
          <w:b w:val="0"/>
          <w:color w:val="auto"/>
          <w:sz w:val="21"/>
          <w:szCs w:val="21"/>
          <w:highlight w:val="none"/>
        </w:rPr>
      </w:pPr>
    </w:p>
    <w:p>
      <w:pPr>
        <w:pStyle w:val="140"/>
        <w:spacing w:line="400" w:lineRule="exact"/>
        <w:rPr>
          <w:rFonts w:ascii="宋体" w:hAnsi="宋体" w:eastAsia="宋体" w:cs="宋体"/>
          <w:b w:val="0"/>
          <w:color w:val="auto"/>
          <w:sz w:val="21"/>
          <w:szCs w:val="21"/>
          <w:highlight w:val="none"/>
        </w:rPr>
      </w:pPr>
    </w:p>
    <w:p>
      <w:pPr>
        <w:pStyle w:val="140"/>
        <w:spacing w:line="500" w:lineRule="exact"/>
        <w:rPr>
          <w:rFonts w:ascii="宋体" w:hAnsi="宋体" w:eastAsia="宋体" w:cs="宋体"/>
          <w:b w:val="0"/>
          <w:color w:val="auto"/>
          <w:sz w:val="21"/>
          <w:szCs w:val="21"/>
          <w:highlight w:val="none"/>
        </w:rPr>
      </w:pPr>
    </w:p>
    <w:p>
      <w:pPr>
        <w:pStyle w:val="140"/>
        <w:spacing w:line="5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p>
    <w:p>
      <w:pPr>
        <w:pStyle w:val="119"/>
        <w:spacing w:line="500" w:lineRule="exact"/>
        <w:rPr>
          <w:rFonts w:ascii="宋体" w:hAnsi="宋体" w:eastAsia="宋体" w:cs="宋体"/>
          <w:b w:val="0"/>
          <w:color w:val="auto"/>
          <w:sz w:val="21"/>
          <w:szCs w:val="21"/>
          <w:highlight w:val="none"/>
        </w:rPr>
      </w:pPr>
      <w:r>
        <w:rPr>
          <w:rFonts w:hint="eastAsia" w:ascii="宋体" w:eastAsia="宋体" w:cs="宋体"/>
          <w:b w:val="0"/>
          <w:color w:val="auto"/>
          <w:sz w:val="21"/>
          <w:szCs w:val="21"/>
          <w:highlight w:val="none"/>
        </w:rPr>
        <w:t>第二部分</w:t>
      </w:r>
      <w:r>
        <w:rPr>
          <w:rFonts w:hint="eastAsia" w:ascii="宋体" w:hAnsi="宋体" w:eastAsia="宋体" w:cs="宋体"/>
          <w:b w:val="0"/>
          <w:color w:val="auto"/>
          <w:sz w:val="21"/>
          <w:szCs w:val="21"/>
          <w:highlight w:val="none"/>
        </w:rPr>
        <w:t xml:space="preserve"> （经济标投标文件）</w:t>
      </w:r>
    </w:p>
    <w:p>
      <w:pPr>
        <w:pStyle w:val="83"/>
        <w:spacing w:line="400" w:lineRule="exact"/>
        <w:ind w:firstLine="436"/>
        <w:rPr>
          <w:rFonts w:ascii="宋体" w:hAnsi="宋体" w:cs="宋体"/>
          <w:color w:val="auto"/>
          <w:sz w:val="21"/>
          <w:szCs w:val="21"/>
          <w:highlight w:val="none"/>
        </w:rPr>
      </w:pPr>
    </w:p>
    <w:p>
      <w:pPr>
        <w:pStyle w:val="83"/>
        <w:spacing w:line="400" w:lineRule="exact"/>
        <w:ind w:firstLine="436"/>
        <w:rPr>
          <w:rFonts w:ascii="宋体" w:hAnsi="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p>
    <w:p>
      <w:pPr>
        <w:pStyle w:val="121"/>
        <w:spacing w:line="400" w:lineRule="exact"/>
        <w:ind w:firstLine="0" w:firstLineChars="0"/>
        <w:rPr>
          <w:rFonts w:ascii="宋体" w:hAnsi="宋体" w:eastAsia="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p>
    <w:p>
      <w:pPr>
        <w:pStyle w:val="121"/>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pPr>
        <w:pStyle w:val="83"/>
        <w:ind w:firstLine="0" w:firstLineChars="0"/>
        <w:rPr>
          <w:rFonts w:ascii="宋体" w:hAnsi="宋体" w:cs="宋体"/>
          <w:color w:val="auto"/>
          <w:sz w:val="21"/>
          <w:szCs w:val="21"/>
          <w:highlight w:val="none"/>
        </w:rPr>
      </w:pPr>
    </w:p>
    <w:p>
      <w:pPr>
        <w:pStyle w:val="83"/>
        <w:ind w:firstLine="0" w:firstLineChars="0"/>
        <w:rPr>
          <w:rFonts w:ascii="宋体" w:hAnsi="宋体" w:cs="宋体"/>
          <w:color w:val="auto"/>
          <w:sz w:val="21"/>
          <w:szCs w:val="21"/>
          <w:highlight w:val="none"/>
        </w:rPr>
      </w:pPr>
    </w:p>
    <w:p>
      <w:pPr>
        <w:pStyle w:val="83"/>
        <w:ind w:firstLine="0" w:firstLineChars="0"/>
        <w:rPr>
          <w:rFonts w:ascii="宋体" w:hAnsi="宋体" w:cs="宋体"/>
          <w:color w:val="auto"/>
          <w:sz w:val="21"/>
          <w:szCs w:val="21"/>
          <w:highlight w:val="none"/>
        </w:rPr>
      </w:pPr>
    </w:p>
    <w:p>
      <w:pPr>
        <w:jc w:val="left"/>
        <w:rPr>
          <w:rFonts w:ascii="宋体" w:hAnsi="宋体"/>
          <w:color w:val="auto"/>
          <w:sz w:val="24"/>
          <w:highlight w:val="none"/>
        </w:rPr>
      </w:pPr>
    </w:p>
    <w:p>
      <w:pPr>
        <w:rPr>
          <w:rFonts w:ascii="宋体" w:hAnsi="宋体"/>
          <w:color w:val="auto"/>
          <w:szCs w:val="21"/>
          <w:highlight w:val="none"/>
        </w:rPr>
      </w:pPr>
      <w:r>
        <w:rPr>
          <w:rFonts w:ascii="宋体" w:hAnsi="宋体"/>
          <w:color w:val="auto"/>
          <w:szCs w:val="21"/>
          <w:highlight w:val="none"/>
        </w:rPr>
        <w:br w:type="page"/>
      </w:r>
    </w:p>
    <w:p>
      <w:pPr>
        <w:pStyle w:val="3"/>
        <w:jc w:val="center"/>
        <w:rPr>
          <w:rFonts w:ascii="宋体" w:hAnsi="宋体" w:cs="宋体"/>
          <w:b/>
          <w:color w:val="auto"/>
          <w:sz w:val="21"/>
          <w:szCs w:val="21"/>
          <w:highlight w:val="none"/>
        </w:rPr>
      </w:pPr>
      <w:bookmarkStart w:id="59" w:name="_Toc17698"/>
      <w:r>
        <w:rPr>
          <w:rFonts w:hint="eastAsia" w:ascii="宋体" w:hAnsi="宋体" w:cs="宋体"/>
          <w:b/>
          <w:color w:val="auto"/>
          <w:sz w:val="21"/>
          <w:szCs w:val="21"/>
          <w:highlight w:val="none"/>
        </w:rPr>
        <w:t>第五章  技术条件（工程建设标准）</w:t>
      </w:r>
      <w:bookmarkEnd w:id="59"/>
    </w:p>
    <w:p>
      <w:pPr>
        <w:spacing w:line="350" w:lineRule="exact"/>
        <w:rPr>
          <w:rFonts w:ascii="宋体" w:hAnsi="宋体" w:cs="宋体"/>
          <w:color w:val="auto"/>
          <w:szCs w:val="21"/>
          <w:highlight w:val="none"/>
        </w:rPr>
      </w:pPr>
      <w:r>
        <w:rPr>
          <w:rFonts w:hint="eastAsia" w:ascii="宋体" w:hAnsi="宋体" w:cs="宋体"/>
          <w:color w:val="auto"/>
          <w:szCs w:val="21"/>
          <w:highlight w:val="none"/>
        </w:rPr>
        <w:t>按照国家及有关部委颁布的标准、规范、和规程。若施工时期建设主管部门颁布新的规范、标准，则按照新的规范、标准执行。</w:t>
      </w:r>
    </w:p>
    <w:p>
      <w:pPr>
        <w:rPr>
          <w:rFonts w:ascii="宋体" w:hAnsi="宋体" w:cs="宋体"/>
          <w:color w:val="auto"/>
          <w:szCs w:val="21"/>
          <w:highlight w:val="none"/>
        </w:rPr>
      </w:pPr>
      <w:r>
        <w:rPr>
          <w:rFonts w:ascii="宋体" w:hAnsi="宋体" w:cs="宋体"/>
          <w:color w:val="auto"/>
          <w:szCs w:val="21"/>
          <w:highlight w:val="none"/>
        </w:rPr>
        <w:br w:type="page"/>
      </w:r>
    </w:p>
    <w:p>
      <w:pPr>
        <w:pStyle w:val="36"/>
        <w:ind w:firstLine="0"/>
        <w:rPr>
          <w:rFonts w:ascii="宋体" w:hAnsi="宋体" w:cs="宋体"/>
          <w:color w:val="auto"/>
          <w:szCs w:val="21"/>
          <w:highlight w:val="none"/>
        </w:rPr>
      </w:pPr>
    </w:p>
    <w:p>
      <w:pPr>
        <w:pStyle w:val="3"/>
        <w:jc w:val="center"/>
        <w:rPr>
          <w:rFonts w:ascii="宋体" w:hAnsi="宋体" w:cs="宋体"/>
          <w:b/>
          <w:bCs/>
          <w:color w:val="auto"/>
          <w:sz w:val="21"/>
          <w:szCs w:val="21"/>
          <w:highlight w:val="none"/>
        </w:rPr>
      </w:pPr>
      <w:bookmarkStart w:id="60" w:name="_Toc4616"/>
      <w:r>
        <w:rPr>
          <w:rFonts w:hint="eastAsia" w:ascii="宋体" w:hAnsi="宋体" w:cs="宋体"/>
          <w:b/>
          <w:bCs/>
          <w:color w:val="auto"/>
          <w:sz w:val="21"/>
          <w:szCs w:val="21"/>
          <w:highlight w:val="none"/>
        </w:rPr>
        <w:t>第六章  图纸及勘察资料</w:t>
      </w:r>
      <w:bookmarkEnd w:id="60"/>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61" w:name="_Toc16409"/>
      <w:r>
        <w:rPr>
          <w:rFonts w:hint="eastAsia" w:ascii="宋体" w:hAnsi="宋体" w:cs="宋体"/>
          <w:b/>
          <w:bCs/>
          <w:color w:val="auto"/>
          <w:sz w:val="21"/>
          <w:szCs w:val="21"/>
          <w:highlight w:val="none"/>
        </w:rPr>
        <w:t>第七章  工程量清单</w:t>
      </w:r>
      <w:bookmarkEnd w:id="61"/>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6"/>
        <w:spacing w:after="0" w:line="360" w:lineRule="auto"/>
        <w:ind w:left="-2" w:leftChars="-1" w:firstLine="840" w:firstLineChars="400"/>
        <w:rPr>
          <w:rFonts w:ascii="宋体" w:hAnsi="宋体" w:eastAsia="宋体" w:cs="宋体"/>
          <w:color w:val="auto"/>
          <w:sz w:val="21"/>
          <w:szCs w:val="21"/>
          <w:highlight w:val="none"/>
        </w:rPr>
      </w:pPr>
    </w:p>
    <w:p>
      <w:pPr>
        <w:rPr>
          <w:rFonts w:ascii="宋体" w:hAnsi="宋体" w:cs="宋体"/>
          <w:color w:val="auto"/>
          <w:szCs w:val="21"/>
          <w:highlight w:val="none"/>
        </w:rPr>
      </w:pPr>
    </w:p>
    <w:p>
      <w:pPr>
        <w:pStyle w:val="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62" w:name="_Toc13320"/>
      <w:r>
        <w:rPr>
          <w:rFonts w:hint="eastAsia" w:ascii="宋体" w:hAnsi="宋体" w:cs="宋体"/>
          <w:b/>
          <w:bCs/>
          <w:color w:val="auto"/>
          <w:sz w:val="21"/>
          <w:szCs w:val="21"/>
          <w:highlight w:val="none"/>
        </w:rPr>
        <w:t>第八章  最高投标限价</w:t>
      </w:r>
      <w:bookmarkEnd w:id="62"/>
    </w:p>
    <w:p>
      <w:pPr>
        <w:spacing w:line="360" w:lineRule="auto"/>
        <w:ind w:firstLine="480"/>
        <w:jc w:val="center"/>
        <w:rPr>
          <w:rFonts w:ascii="宋体" w:hAnsi="宋体" w:cs="宋体"/>
          <w:color w:val="auto"/>
          <w:szCs w:val="21"/>
          <w:highlight w:val="none"/>
          <w:u w:val="single"/>
        </w:rPr>
      </w:pPr>
      <w:r>
        <w:rPr>
          <w:rFonts w:hint="eastAsia" w:ascii="宋体" w:hAnsi="宋体" w:cs="宋体"/>
          <w:color w:val="auto"/>
          <w:szCs w:val="21"/>
          <w:highlight w:val="none"/>
        </w:rPr>
        <w:t>注：另册</w:t>
      </w:r>
    </w:p>
    <w:p>
      <w:pPr>
        <w:rPr>
          <w:rFonts w:ascii="宋体" w:hAnsi="宋体" w:cs="宋体"/>
          <w:color w:val="auto"/>
          <w:szCs w:val="21"/>
          <w:highlight w:val="none"/>
        </w:rPr>
      </w:pPr>
    </w:p>
    <w:p>
      <w:pPr>
        <w:rPr>
          <w:rFonts w:ascii="宋体" w:hAnsi="宋体"/>
          <w:color w:val="auto"/>
          <w:szCs w:val="21"/>
          <w:highlight w:val="none"/>
        </w:rPr>
      </w:pPr>
    </w:p>
    <w:p>
      <w:pPr>
        <w:pStyle w:val="5"/>
        <w:spacing w:line="360" w:lineRule="auto"/>
        <w:rPr>
          <w:rFonts w:ascii="宋体" w:hAnsi="宋体" w:eastAsia="宋体"/>
          <w:color w:val="auto"/>
          <w:szCs w:val="21"/>
          <w:highlight w:val="none"/>
        </w:rPr>
      </w:pPr>
    </w:p>
    <w:bookmarkEnd w:id="0"/>
    <w:p>
      <w:pPr>
        <w:rPr>
          <w:rFonts w:ascii="宋体" w:hAnsi="宋体"/>
          <w:color w:val="auto"/>
          <w:szCs w:val="21"/>
          <w:highlight w:val="none"/>
        </w:rPr>
      </w:pPr>
    </w:p>
    <w:sectPr>
      <w:headerReference r:id="rId13" w:type="default"/>
      <w:footerReference r:id="rId14"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MingLiU">
    <w:panose1 w:val="02010609000101010101"/>
    <w:charset w:val="88"/>
    <w:family w:val="modern"/>
    <w:pitch w:val="default"/>
    <w:sig w:usb0="80000001" w:usb1="280918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jc w:val="right"/>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jc w:val="right"/>
      <w:rPr>
        <w:rStyle w:val="4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hPNc4BAACo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mYTzXOAQAAqAMAAA4AAAAAAAAAAQAgAAAAHgEAAGRycy9l&#10;Mm9Eb2MueG1sUEsFBgAAAAAGAAYAWQEAAF4FAAAAAA==&#10;">
              <v:fill on="f" focussize="0,0"/>
              <v:stroke on="f"/>
              <v:imagedata o:title=""/>
              <o:lock v:ext="edit" aspectratio="f"/>
              <v:textbox inset="0mm,0mm,0mm,0mm" style="mso-fit-shape-to-text:t;">
                <w:txbxContent>
                  <w:p>
                    <w:pPr>
                      <w:pStyle w:val="23"/>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2mZF7OAQAAqQMAAA4AAAAAAAAAAQAgAAAAHgEAAGRycy9l&#10;Mm9Eb2MueG1sUEsFBgAAAAAGAAYAWQEAAF4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3"/>
                            <w:ind w:left="-4410" w:leftChars="-2100" w:right="-4439" w:rightChars="-2114"/>
                            <w:rPr>
                              <w:rStyle w:val="43"/>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by84BAACoAwAADgAAAGRycy9lMm9Eb2MueG1srVPNjtMwEL4j8Q6W&#10;7zRpk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EOb8JozJyy9+OX7t8uPX5efX9nL&#10;pE/vsaKyO0+FcXgLA9XOcaRgoj20waYvEWKUJ3XPV3XVEJlMl9ar9bqklKTc7BB+8XDdB4zvFFiW&#10;jJoHer6sqjh9wDiWziWpm4NbbUx+QuP+ChDmGFF5B6bbick4cbLisB8mentozsSupz2ouaO158y8&#10;dyRzWpnZCLOxn42jD/rQ0aDLPCX6N8dII+VJU4cRlhgmhx4wc52WLW3In36uevj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nfm8vOAQAAqAMAAA4AAAAAAAAAAQAgAAAAHgEAAGRycy9l&#10;Mm9Eb2MueG1sUEsFBgAAAAAGAAYAWQEAAF4FAAAAAA==&#10;">
              <v:fill on="f" focussize="0,0"/>
              <v:stroke on="f"/>
              <v:imagedata o:title=""/>
              <o:lock v:ext="edit" aspectratio="f"/>
              <v:textbox inset="0mm,0mm,0mm,0mm" style="mso-fit-shape-to-text:t;">
                <w:txbxContent>
                  <w:p>
                    <w:pPr>
                      <w:pStyle w:val="23"/>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3"/>
                      <w:ind w:left="-4410" w:leftChars="-2100" w:right="-4439" w:rightChars="-2114"/>
                      <w:rPr>
                        <w:rStyle w:val="4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3"/>
                            <w:ind w:left="-4410" w:leftChars="-2100" w:right="-4439" w:rightChars="-2114"/>
                            <w:rPr>
                              <w:rStyle w:val="43"/>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AhlsgBAACdAwAADgAAAGRycy9lMm9Eb2MueG1srVPNjtMwEL4j8Q6W&#10;7zRpk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c1X73mzAlLL375/u3y49fl51e2&#10;XCaBeo8V1T14qozDHQy0NnMcKZh4D22w6UuMGOVJ3vNVXjVEJtOl9Wq9LiklKTc7hF88XvcB41sF&#10;liWj5oHeL8sqTu8xjqVzSerm4F4bk9/QuL8ChDlGVF6C6XZiMk6crDjsh4neHpozsetpEWruaO85&#10;M+8c6Zx2ZjbCbOwnI3VEf3uMNEaeLqGOUMQqOfRqmd+0YWkt/vRz1eN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xwIZbIAQAAnQMAAA4AAAAAAAAAAQAgAAAAHgEAAGRycy9lMm9Eb2Mu&#10;eG1sUEsFBgAAAAAGAAYAWQEAAFgFAAAAAA==&#10;">
              <v:fill on="f" focussize="0,0"/>
              <v:stroke on="f"/>
              <v:imagedata o:title=""/>
              <o:lock v:ext="edit" aspectratio="f"/>
              <v:textbox inset="0mm,0mm,0mm,0mm" style="mso-fit-shape-to-text:t;">
                <w:txbxContent>
                  <w:p>
                    <w:pPr>
                      <w:pStyle w:val="23"/>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3"/>
                      <w:ind w:left="-4410" w:leftChars="-2100" w:right="-4439" w:rightChars="-2114"/>
                      <w:rPr>
                        <w:rStyle w:val="4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ZjM1YzYzYzVmN2YzZTI3NzBlODYyNjIwODEyZTI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563A"/>
    <w:rsid w:val="00017C6E"/>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64FF"/>
    <w:rsid w:val="00066946"/>
    <w:rsid w:val="000746D4"/>
    <w:rsid w:val="00081FBE"/>
    <w:rsid w:val="00082916"/>
    <w:rsid w:val="00083326"/>
    <w:rsid w:val="000848FA"/>
    <w:rsid w:val="00084917"/>
    <w:rsid w:val="00084A50"/>
    <w:rsid w:val="00084BB7"/>
    <w:rsid w:val="00085A98"/>
    <w:rsid w:val="00085C9A"/>
    <w:rsid w:val="00086134"/>
    <w:rsid w:val="00086BB0"/>
    <w:rsid w:val="00086DBD"/>
    <w:rsid w:val="00086FA7"/>
    <w:rsid w:val="000908B5"/>
    <w:rsid w:val="000924F6"/>
    <w:rsid w:val="000938D2"/>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607A"/>
    <w:rsid w:val="001A664D"/>
    <w:rsid w:val="001A66B3"/>
    <w:rsid w:val="001A78DB"/>
    <w:rsid w:val="001B0554"/>
    <w:rsid w:val="001B09C3"/>
    <w:rsid w:val="001B11AF"/>
    <w:rsid w:val="001B14E8"/>
    <w:rsid w:val="001B1AD5"/>
    <w:rsid w:val="001B4BAF"/>
    <w:rsid w:val="001B4C98"/>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7BB0"/>
    <w:rsid w:val="001E0C77"/>
    <w:rsid w:val="001E12E0"/>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5F97"/>
    <w:rsid w:val="0025686D"/>
    <w:rsid w:val="002579CE"/>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F45"/>
    <w:rsid w:val="002A3EC8"/>
    <w:rsid w:val="002A507C"/>
    <w:rsid w:val="002A5204"/>
    <w:rsid w:val="002A52F3"/>
    <w:rsid w:val="002A5375"/>
    <w:rsid w:val="002A63B6"/>
    <w:rsid w:val="002A66D1"/>
    <w:rsid w:val="002A7DC3"/>
    <w:rsid w:val="002A7FFB"/>
    <w:rsid w:val="002B0532"/>
    <w:rsid w:val="002B13CF"/>
    <w:rsid w:val="002B1ED0"/>
    <w:rsid w:val="002B2873"/>
    <w:rsid w:val="002B3A9F"/>
    <w:rsid w:val="002B444F"/>
    <w:rsid w:val="002B4977"/>
    <w:rsid w:val="002B578D"/>
    <w:rsid w:val="002B582C"/>
    <w:rsid w:val="002B7146"/>
    <w:rsid w:val="002C1122"/>
    <w:rsid w:val="002C21BA"/>
    <w:rsid w:val="002C26BF"/>
    <w:rsid w:val="002C50EF"/>
    <w:rsid w:val="002C5ECB"/>
    <w:rsid w:val="002D0177"/>
    <w:rsid w:val="002D121C"/>
    <w:rsid w:val="002D26B0"/>
    <w:rsid w:val="002D2B52"/>
    <w:rsid w:val="002D2E34"/>
    <w:rsid w:val="002D3296"/>
    <w:rsid w:val="002D4376"/>
    <w:rsid w:val="002D5260"/>
    <w:rsid w:val="002D6E17"/>
    <w:rsid w:val="002E07E4"/>
    <w:rsid w:val="002E1CE4"/>
    <w:rsid w:val="002E1D05"/>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3D7F"/>
    <w:rsid w:val="003B4D47"/>
    <w:rsid w:val="003B59EB"/>
    <w:rsid w:val="003B5C00"/>
    <w:rsid w:val="003B651F"/>
    <w:rsid w:val="003B6CC2"/>
    <w:rsid w:val="003C201C"/>
    <w:rsid w:val="003C3418"/>
    <w:rsid w:val="003C39B9"/>
    <w:rsid w:val="003C3F7E"/>
    <w:rsid w:val="003C42C3"/>
    <w:rsid w:val="003C520C"/>
    <w:rsid w:val="003D0D05"/>
    <w:rsid w:val="003D1378"/>
    <w:rsid w:val="003D2367"/>
    <w:rsid w:val="003D3C74"/>
    <w:rsid w:val="003D4A1E"/>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46E"/>
    <w:rsid w:val="00477173"/>
    <w:rsid w:val="00481002"/>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1673"/>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AF9"/>
    <w:rsid w:val="005A3B6C"/>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78BE"/>
    <w:rsid w:val="00721083"/>
    <w:rsid w:val="0072129A"/>
    <w:rsid w:val="00721E1F"/>
    <w:rsid w:val="00723F01"/>
    <w:rsid w:val="00724AE8"/>
    <w:rsid w:val="00724F78"/>
    <w:rsid w:val="00725EA1"/>
    <w:rsid w:val="0072667E"/>
    <w:rsid w:val="0072734A"/>
    <w:rsid w:val="00730663"/>
    <w:rsid w:val="00733245"/>
    <w:rsid w:val="00734B6C"/>
    <w:rsid w:val="00735F02"/>
    <w:rsid w:val="007370AA"/>
    <w:rsid w:val="0074159F"/>
    <w:rsid w:val="00741BDC"/>
    <w:rsid w:val="00741DFD"/>
    <w:rsid w:val="00742095"/>
    <w:rsid w:val="007423D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5A64"/>
    <w:rsid w:val="007B5EBB"/>
    <w:rsid w:val="007B616D"/>
    <w:rsid w:val="007B7479"/>
    <w:rsid w:val="007B7BE3"/>
    <w:rsid w:val="007C084C"/>
    <w:rsid w:val="007C13EB"/>
    <w:rsid w:val="007C1418"/>
    <w:rsid w:val="007C4548"/>
    <w:rsid w:val="007C4E96"/>
    <w:rsid w:val="007C57BC"/>
    <w:rsid w:val="007C651C"/>
    <w:rsid w:val="007C7B31"/>
    <w:rsid w:val="007D0971"/>
    <w:rsid w:val="007D0E69"/>
    <w:rsid w:val="007D4277"/>
    <w:rsid w:val="007D4564"/>
    <w:rsid w:val="007D48A0"/>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22F2"/>
    <w:rsid w:val="007F335F"/>
    <w:rsid w:val="007F425C"/>
    <w:rsid w:val="007F433A"/>
    <w:rsid w:val="007F53B5"/>
    <w:rsid w:val="007F5B2C"/>
    <w:rsid w:val="007F73C2"/>
    <w:rsid w:val="007F74EF"/>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80B75"/>
    <w:rsid w:val="00981370"/>
    <w:rsid w:val="009815FE"/>
    <w:rsid w:val="00982159"/>
    <w:rsid w:val="009840D8"/>
    <w:rsid w:val="0098410F"/>
    <w:rsid w:val="0098434F"/>
    <w:rsid w:val="00984826"/>
    <w:rsid w:val="00984B97"/>
    <w:rsid w:val="009854E1"/>
    <w:rsid w:val="00985969"/>
    <w:rsid w:val="0098640B"/>
    <w:rsid w:val="00990790"/>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37C7"/>
    <w:rsid w:val="009F41C4"/>
    <w:rsid w:val="009F5096"/>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3074"/>
    <w:rsid w:val="00A43358"/>
    <w:rsid w:val="00A43E53"/>
    <w:rsid w:val="00A46BA4"/>
    <w:rsid w:val="00A47CEA"/>
    <w:rsid w:val="00A47D42"/>
    <w:rsid w:val="00A54075"/>
    <w:rsid w:val="00A546D5"/>
    <w:rsid w:val="00A5513A"/>
    <w:rsid w:val="00A556D3"/>
    <w:rsid w:val="00A5598C"/>
    <w:rsid w:val="00A5685F"/>
    <w:rsid w:val="00A5730B"/>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FD"/>
    <w:rsid w:val="00AE701A"/>
    <w:rsid w:val="00AE75B9"/>
    <w:rsid w:val="00AF0269"/>
    <w:rsid w:val="00AF05BB"/>
    <w:rsid w:val="00AF21A6"/>
    <w:rsid w:val="00AF2BC8"/>
    <w:rsid w:val="00AF32AF"/>
    <w:rsid w:val="00AF339F"/>
    <w:rsid w:val="00AF50A8"/>
    <w:rsid w:val="00AF56F2"/>
    <w:rsid w:val="00AF6642"/>
    <w:rsid w:val="00AF6897"/>
    <w:rsid w:val="00AF7C76"/>
    <w:rsid w:val="00B00F73"/>
    <w:rsid w:val="00B01F31"/>
    <w:rsid w:val="00B026DA"/>
    <w:rsid w:val="00B02747"/>
    <w:rsid w:val="00B02E98"/>
    <w:rsid w:val="00B03146"/>
    <w:rsid w:val="00B03742"/>
    <w:rsid w:val="00B05602"/>
    <w:rsid w:val="00B06067"/>
    <w:rsid w:val="00B0799D"/>
    <w:rsid w:val="00B1040E"/>
    <w:rsid w:val="00B142C0"/>
    <w:rsid w:val="00B14F57"/>
    <w:rsid w:val="00B1630B"/>
    <w:rsid w:val="00B17CF4"/>
    <w:rsid w:val="00B200A6"/>
    <w:rsid w:val="00B2042E"/>
    <w:rsid w:val="00B2098D"/>
    <w:rsid w:val="00B21B9E"/>
    <w:rsid w:val="00B23862"/>
    <w:rsid w:val="00B24E22"/>
    <w:rsid w:val="00B251FF"/>
    <w:rsid w:val="00B25571"/>
    <w:rsid w:val="00B25781"/>
    <w:rsid w:val="00B2666D"/>
    <w:rsid w:val="00B26837"/>
    <w:rsid w:val="00B304B8"/>
    <w:rsid w:val="00B3232C"/>
    <w:rsid w:val="00B339B3"/>
    <w:rsid w:val="00B34E88"/>
    <w:rsid w:val="00B352E6"/>
    <w:rsid w:val="00B35661"/>
    <w:rsid w:val="00B36BB3"/>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CF1"/>
    <w:rsid w:val="00B942E8"/>
    <w:rsid w:val="00B94AE1"/>
    <w:rsid w:val="00B9525F"/>
    <w:rsid w:val="00B96BCD"/>
    <w:rsid w:val="00B978E6"/>
    <w:rsid w:val="00B97AC4"/>
    <w:rsid w:val="00BA04FC"/>
    <w:rsid w:val="00BA1890"/>
    <w:rsid w:val="00BA3401"/>
    <w:rsid w:val="00BA4B41"/>
    <w:rsid w:val="00BA567C"/>
    <w:rsid w:val="00BA5938"/>
    <w:rsid w:val="00BA5BEB"/>
    <w:rsid w:val="00BA62C6"/>
    <w:rsid w:val="00BA6950"/>
    <w:rsid w:val="00BB287D"/>
    <w:rsid w:val="00BB36B4"/>
    <w:rsid w:val="00BB5593"/>
    <w:rsid w:val="00BB576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0540"/>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717A"/>
    <w:rsid w:val="00C607FC"/>
    <w:rsid w:val="00C61684"/>
    <w:rsid w:val="00C62785"/>
    <w:rsid w:val="00C63C26"/>
    <w:rsid w:val="00C63DB7"/>
    <w:rsid w:val="00C649C0"/>
    <w:rsid w:val="00C6707C"/>
    <w:rsid w:val="00C7042A"/>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306"/>
    <w:rsid w:val="00D20D8A"/>
    <w:rsid w:val="00D20E23"/>
    <w:rsid w:val="00D21081"/>
    <w:rsid w:val="00D24F04"/>
    <w:rsid w:val="00D259C7"/>
    <w:rsid w:val="00D26D81"/>
    <w:rsid w:val="00D3280E"/>
    <w:rsid w:val="00D32FF1"/>
    <w:rsid w:val="00D33631"/>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65EB"/>
    <w:rsid w:val="00D601E1"/>
    <w:rsid w:val="00D61DD1"/>
    <w:rsid w:val="00D6262A"/>
    <w:rsid w:val="00D62696"/>
    <w:rsid w:val="00D63CD2"/>
    <w:rsid w:val="00D6459E"/>
    <w:rsid w:val="00D64D8F"/>
    <w:rsid w:val="00D67529"/>
    <w:rsid w:val="00D71F7E"/>
    <w:rsid w:val="00D753F8"/>
    <w:rsid w:val="00D757A9"/>
    <w:rsid w:val="00D75B8D"/>
    <w:rsid w:val="00D76663"/>
    <w:rsid w:val="00D76AE2"/>
    <w:rsid w:val="00D775D1"/>
    <w:rsid w:val="00D7777D"/>
    <w:rsid w:val="00D779CA"/>
    <w:rsid w:val="00D8191A"/>
    <w:rsid w:val="00D82011"/>
    <w:rsid w:val="00D82815"/>
    <w:rsid w:val="00D8370A"/>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5EA9"/>
    <w:rsid w:val="00E06D37"/>
    <w:rsid w:val="00E07A28"/>
    <w:rsid w:val="00E104DF"/>
    <w:rsid w:val="00E1103D"/>
    <w:rsid w:val="00E119DD"/>
    <w:rsid w:val="00E14A07"/>
    <w:rsid w:val="00E15203"/>
    <w:rsid w:val="00E1534D"/>
    <w:rsid w:val="00E154A7"/>
    <w:rsid w:val="00E15829"/>
    <w:rsid w:val="00E21C39"/>
    <w:rsid w:val="00E21C63"/>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7023"/>
    <w:rsid w:val="00E503A0"/>
    <w:rsid w:val="00E51A85"/>
    <w:rsid w:val="00E5368C"/>
    <w:rsid w:val="00E53726"/>
    <w:rsid w:val="00E53C53"/>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689"/>
    <w:rsid w:val="00EB0F91"/>
    <w:rsid w:val="00EB3A4A"/>
    <w:rsid w:val="00EB4929"/>
    <w:rsid w:val="00EB52FA"/>
    <w:rsid w:val="00EB5DFB"/>
    <w:rsid w:val="00EB6567"/>
    <w:rsid w:val="00EC0651"/>
    <w:rsid w:val="00EC4A3D"/>
    <w:rsid w:val="00EC520D"/>
    <w:rsid w:val="00EC5EC1"/>
    <w:rsid w:val="00EC7750"/>
    <w:rsid w:val="00EC7A7F"/>
    <w:rsid w:val="00EC7F03"/>
    <w:rsid w:val="00ED0108"/>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F2D"/>
    <w:rsid w:val="00F73291"/>
    <w:rsid w:val="00F736F8"/>
    <w:rsid w:val="00F73F4B"/>
    <w:rsid w:val="00F74674"/>
    <w:rsid w:val="00F74975"/>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843559"/>
    <w:rsid w:val="028D20AE"/>
    <w:rsid w:val="02B81BCD"/>
    <w:rsid w:val="02BD1F00"/>
    <w:rsid w:val="02E14401"/>
    <w:rsid w:val="02E72A90"/>
    <w:rsid w:val="03896AB9"/>
    <w:rsid w:val="0398110D"/>
    <w:rsid w:val="03AE4BB7"/>
    <w:rsid w:val="03C2721C"/>
    <w:rsid w:val="03CA4098"/>
    <w:rsid w:val="03F80A41"/>
    <w:rsid w:val="046C68A4"/>
    <w:rsid w:val="047703D3"/>
    <w:rsid w:val="048111D6"/>
    <w:rsid w:val="04B4706E"/>
    <w:rsid w:val="04CD3F1A"/>
    <w:rsid w:val="04E3486B"/>
    <w:rsid w:val="0500277F"/>
    <w:rsid w:val="05181BF9"/>
    <w:rsid w:val="056D13DD"/>
    <w:rsid w:val="059666A2"/>
    <w:rsid w:val="05A731E5"/>
    <w:rsid w:val="05BA3A62"/>
    <w:rsid w:val="05C54490"/>
    <w:rsid w:val="05D050DE"/>
    <w:rsid w:val="061E65E2"/>
    <w:rsid w:val="066565C1"/>
    <w:rsid w:val="067036AB"/>
    <w:rsid w:val="068C61F4"/>
    <w:rsid w:val="069178A6"/>
    <w:rsid w:val="069D0043"/>
    <w:rsid w:val="06E80BBF"/>
    <w:rsid w:val="07154BC0"/>
    <w:rsid w:val="07281077"/>
    <w:rsid w:val="072F0395"/>
    <w:rsid w:val="077454EF"/>
    <w:rsid w:val="07EC340A"/>
    <w:rsid w:val="08470AEB"/>
    <w:rsid w:val="087430FC"/>
    <w:rsid w:val="088609EB"/>
    <w:rsid w:val="088E6EF7"/>
    <w:rsid w:val="08B32C17"/>
    <w:rsid w:val="08E31C50"/>
    <w:rsid w:val="08FB2EAC"/>
    <w:rsid w:val="09081D42"/>
    <w:rsid w:val="090F2CFE"/>
    <w:rsid w:val="09274272"/>
    <w:rsid w:val="09504B28"/>
    <w:rsid w:val="09561BD6"/>
    <w:rsid w:val="09676270"/>
    <w:rsid w:val="096D799C"/>
    <w:rsid w:val="0A262600"/>
    <w:rsid w:val="0A32250E"/>
    <w:rsid w:val="0A3F14A0"/>
    <w:rsid w:val="0A5F23CC"/>
    <w:rsid w:val="0AD31E57"/>
    <w:rsid w:val="0AD446CA"/>
    <w:rsid w:val="0B10435E"/>
    <w:rsid w:val="0B414AA6"/>
    <w:rsid w:val="0B506DF7"/>
    <w:rsid w:val="0B952918"/>
    <w:rsid w:val="0BBD6DAC"/>
    <w:rsid w:val="0C0B4CBA"/>
    <w:rsid w:val="0C3E7947"/>
    <w:rsid w:val="0C8B6718"/>
    <w:rsid w:val="0C926671"/>
    <w:rsid w:val="0C955737"/>
    <w:rsid w:val="0CB01D44"/>
    <w:rsid w:val="0CBE317A"/>
    <w:rsid w:val="0CC3145D"/>
    <w:rsid w:val="0CC93748"/>
    <w:rsid w:val="0D1C195D"/>
    <w:rsid w:val="0D227DB6"/>
    <w:rsid w:val="0D584FE9"/>
    <w:rsid w:val="0D5C7C15"/>
    <w:rsid w:val="0D9B653D"/>
    <w:rsid w:val="0DB0636D"/>
    <w:rsid w:val="0DB167C2"/>
    <w:rsid w:val="0DCB7ED1"/>
    <w:rsid w:val="0DE37BEA"/>
    <w:rsid w:val="0E5F01F4"/>
    <w:rsid w:val="0E6E66D8"/>
    <w:rsid w:val="0E736994"/>
    <w:rsid w:val="0E736EC8"/>
    <w:rsid w:val="0ECB619E"/>
    <w:rsid w:val="0ED13800"/>
    <w:rsid w:val="0EDB5FC3"/>
    <w:rsid w:val="0EDE4C18"/>
    <w:rsid w:val="0F0272D0"/>
    <w:rsid w:val="0F5D37AA"/>
    <w:rsid w:val="0F7C1A3F"/>
    <w:rsid w:val="0F994023"/>
    <w:rsid w:val="0FA56856"/>
    <w:rsid w:val="0FB47431"/>
    <w:rsid w:val="0FC379A3"/>
    <w:rsid w:val="102B2061"/>
    <w:rsid w:val="1033677A"/>
    <w:rsid w:val="103673EC"/>
    <w:rsid w:val="10661E80"/>
    <w:rsid w:val="108E4DD0"/>
    <w:rsid w:val="111D5E14"/>
    <w:rsid w:val="111E2F89"/>
    <w:rsid w:val="113E1CE8"/>
    <w:rsid w:val="1149646B"/>
    <w:rsid w:val="11A67DAF"/>
    <w:rsid w:val="11BB7151"/>
    <w:rsid w:val="11DE3894"/>
    <w:rsid w:val="11EA2670"/>
    <w:rsid w:val="11F01EF2"/>
    <w:rsid w:val="123F5AB2"/>
    <w:rsid w:val="125115C1"/>
    <w:rsid w:val="12535C57"/>
    <w:rsid w:val="12862A45"/>
    <w:rsid w:val="12B22D98"/>
    <w:rsid w:val="12BB4A34"/>
    <w:rsid w:val="12EB1A25"/>
    <w:rsid w:val="132F6200"/>
    <w:rsid w:val="134C6724"/>
    <w:rsid w:val="138D14CF"/>
    <w:rsid w:val="140446C5"/>
    <w:rsid w:val="14130A56"/>
    <w:rsid w:val="143B2A9E"/>
    <w:rsid w:val="149D7BED"/>
    <w:rsid w:val="14D51FAC"/>
    <w:rsid w:val="152529A7"/>
    <w:rsid w:val="156B00D6"/>
    <w:rsid w:val="156B1C33"/>
    <w:rsid w:val="158A4FAF"/>
    <w:rsid w:val="158F0C47"/>
    <w:rsid w:val="15D22CA8"/>
    <w:rsid w:val="15E35820"/>
    <w:rsid w:val="16415384"/>
    <w:rsid w:val="165916C2"/>
    <w:rsid w:val="16E90E79"/>
    <w:rsid w:val="17112371"/>
    <w:rsid w:val="17330C1C"/>
    <w:rsid w:val="173F5AA6"/>
    <w:rsid w:val="175B345B"/>
    <w:rsid w:val="178A2938"/>
    <w:rsid w:val="178D59B4"/>
    <w:rsid w:val="17B658DB"/>
    <w:rsid w:val="17E87BE9"/>
    <w:rsid w:val="17FE6AE9"/>
    <w:rsid w:val="1807368E"/>
    <w:rsid w:val="18094E4C"/>
    <w:rsid w:val="181A32D5"/>
    <w:rsid w:val="1854609A"/>
    <w:rsid w:val="18634E1A"/>
    <w:rsid w:val="18981081"/>
    <w:rsid w:val="189D1DA0"/>
    <w:rsid w:val="18A878B6"/>
    <w:rsid w:val="18FE58CB"/>
    <w:rsid w:val="191804CF"/>
    <w:rsid w:val="191B4BCA"/>
    <w:rsid w:val="198D5962"/>
    <w:rsid w:val="19F5691B"/>
    <w:rsid w:val="1A7173BA"/>
    <w:rsid w:val="1A863A12"/>
    <w:rsid w:val="1A9620B0"/>
    <w:rsid w:val="1AA608A8"/>
    <w:rsid w:val="1AE11AD0"/>
    <w:rsid w:val="1B37456E"/>
    <w:rsid w:val="1B5D2B0E"/>
    <w:rsid w:val="1B8617B4"/>
    <w:rsid w:val="1BB73177"/>
    <w:rsid w:val="1BC4243D"/>
    <w:rsid w:val="1BD61F8D"/>
    <w:rsid w:val="1C104180"/>
    <w:rsid w:val="1C144751"/>
    <w:rsid w:val="1C4F0B6A"/>
    <w:rsid w:val="1C9E005B"/>
    <w:rsid w:val="1CA95A8D"/>
    <w:rsid w:val="1CB25648"/>
    <w:rsid w:val="1CE61711"/>
    <w:rsid w:val="1CF7773A"/>
    <w:rsid w:val="1D0F5D70"/>
    <w:rsid w:val="1D7A117E"/>
    <w:rsid w:val="1D873604"/>
    <w:rsid w:val="1DE50346"/>
    <w:rsid w:val="1DF37ACA"/>
    <w:rsid w:val="1E0E2315"/>
    <w:rsid w:val="1E5A7B00"/>
    <w:rsid w:val="1E646764"/>
    <w:rsid w:val="1E740A3E"/>
    <w:rsid w:val="1E942105"/>
    <w:rsid w:val="1EA0138E"/>
    <w:rsid w:val="1EAD68A3"/>
    <w:rsid w:val="1EB00E11"/>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6F2329"/>
    <w:rsid w:val="20785859"/>
    <w:rsid w:val="20861356"/>
    <w:rsid w:val="20E9534B"/>
    <w:rsid w:val="212168D9"/>
    <w:rsid w:val="21314A20"/>
    <w:rsid w:val="21454EFA"/>
    <w:rsid w:val="217C5665"/>
    <w:rsid w:val="21827EE2"/>
    <w:rsid w:val="220F70A1"/>
    <w:rsid w:val="225E4A2F"/>
    <w:rsid w:val="22602004"/>
    <w:rsid w:val="22646AC5"/>
    <w:rsid w:val="22A03185"/>
    <w:rsid w:val="23243073"/>
    <w:rsid w:val="240309B7"/>
    <w:rsid w:val="24744F65"/>
    <w:rsid w:val="2485369E"/>
    <w:rsid w:val="24BE768F"/>
    <w:rsid w:val="24CD0A36"/>
    <w:rsid w:val="24F76C4E"/>
    <w:rsid w:val="254611E8"/>
    <w:rsid w:val="254A758B"/>
    <w:rsid w:val="255E4722"/>
    <w:rsid w:val="25666677"/>
    <w:rsid w:val="2579401F"/>
    <w:rsid w:val="25CD3837"/>
    <w:rsid w:val="25D421F9"/>
    <w:rsid w:val="25EE1E11"/>
    <w:rsid w:val="25FE64A2"/>
    <w:rsid w:val="26134C40"/>
    <w:rsid w:val="265B348D"/>
    <w:rsid w:val="26A37F72"/>
    <w:rsid w:val="26F577F9"/>
    <w:rsid w:val="272D1FDB"/>
    <w:rsid w:val="27497F21"/>
    <w:rsid w:val="276341A2"/>
    <w:rsid w:val="27766970"/>
    <w:rsid w:val="27882E27"/>
    <w:rsid w:val="278A1E73"/>
    <w:rsid w:val="27D54B85"/>
    <w:rsid w:val="28016741"/>
    <w:rsid w:val="28362935"/>
    <w:rsid w:val="284D138A"/>
    <w:rsid w:val="28567F72"/>
    <w:rsid w:val="28E75DD6"/>
    <w:rsid w:val="28F456DC"/>
    <w:rsid w:val="295B5406"/>
    <w:rsid w:val="298174AA"/>
    <w:rsid w:val="29BB0AB0"/>
    <w:rsid w:val="29DF4EED"/>
    <w:rsid w:val="2A4E7883"/>
    <w:rsid w:val="2A683248"/>
    <w:rsid w:val="2AE55981"/>
    <w:rsid w:val="2AE70FCE"/>
    <w:rsid w:val="2B120F7D"/>
    <w:rsid w:val="2B3475D7"/>
    <w:rsid w:val="2B382006"/>
    <w:rsid w:val="2B75232D"/>
    <w:rsid w:val="2B821CAB"/>
    <w:rsid w:val="2B8A731D"/>
    <w:rsid w:val="2C1D0CD9"/>
    <w:rsid w:val="2C3B319A"/>
    <w:rsid w:val="2C5742D6"/>
    <w:rsid w:val="2C6C5299"/>
    <w:rsid w:val="2CD17838"/>
    <w:rsid w:val="2D4277A9"/>
    <w:rsid w:val="2D7A32FD"/>
    <w:rsid w:val="2DB63A64"/>
    <w:rsid w:val="2E32727B"/>
    <w:rsid w:val="2E857B1B"/>
    <w:rsid w:val="2E9979B0"/>
    <w:rsid w:val="2EAA6D5B"/>
    <w:rsid w:val="2EAB74D1"/>
    <w:rsid w:val="2EE82CBC"/>
    <w:rsid w:val="2EE9750A"/>
    <w:rsid w:val="2F22487C"/>
    <w:rsid w:val="2F2E58DD"/>
    <w:rsid w:val="2F622AC8"/>
    <w:rsid w:val="2F6805A7"/>
    <w:rsid w:val="2F6F1C4B"/>
    <w:rsid w:val="2FDF3879"/>
    <w:rsid w:val="2FFE7AEF"/>
    <w:rsid w:val="300F1588"/>
    <w:rsid w:val="308204A7"/>
    <w:rsid w:val="309009EE"/>
    <w:rsid w:val="30A42596"/>
    <w:rsid w:val="30B04FD3"/>
    <w:rsid w:val="30FE70C9"/>
    <w:rsid w:val="313A111E"/>
    <w:rsid w:val="31537F45"/>
    <w:rsid w:val="31705E42"/>
    <w:rsid w:val="319C677B"/>
    <w:rsid w:val="31AF13B8"/>
    <w:rsid w:val="32252F37"/>
    <w:rsid w:val="32553658"/>
    <w:rsid w:val="32553CE6"/>
    <w:rsid w:val="32905B96"/>
    <w:rsid w:val="32930A5B"/>
    <w:rsid w:val="329D33DA"/>
    <w:rsid w:val="32C95D50"/>
    <w:rsid w:val="32DF419F"/>
    <w:rsid w:val="32E048C1"/>
    <w:rsid w:val="32E121BE"/>
    <w:rsid w:val="3335016B"/>
    <w:rsid w:val="33646479"/>
    <w:rsid w:val="339E41DA"/>
    <w:rsid w:val="33D1523F"/>
    <w:rsid w:val="33D777A9"/>
    <w:rsid w:val="34204816"/>
    <w:rsid w:val="34881E31"/>
    <w:rsid w:val="34A04463"/>
    <w:rsid w:val="34AE6BFF"/>
    <w:rsid w:val="34D4239D"/>
    <w:rsid w:val="350C7DCA"/>
    <w:rsid w:val="350D72B0"/>
    <w:rsid w:val="350E3B42"/>
    <w:rsid w:val="3511180E"/>
    <w:rsid w:val="35257571"/>
    <w:rsid w:val="359C1EFA"/>
    <w:rsid w:val="36165E9C"/>
    <w:rsid w:val="36801F82"/>
    <w:rsid w:val="3694658E"/>
    <w:rsid w:val="369A1340"/>
    <w:rsid w:val="36BE6024"/>
    <w:rsid w:val="36D85F49"/>
    <w:rsid w:val="36F6263B"/>
    <w:rsid w:val="372543F3"/>
    <w:rsid w:val="37297180"/>
    <w:rsid w:val="374044AF"/>
    <w:rsid w:val="3755743A"/>
    <w:rsid w:val="37A35F2C"/>
    <w:rsid w:val="37B00763"/>
    <w:rsid w:val="37FE577C"/>
    <w:rsid w:val="3855296F"/>
    <w:rsid w:val="38E56105"/>
    <w:rsid w:val="38FE0FCD"/>
    <w:rsid w:val="39551D3F"/>
    <w:rsid w:val="39751204"/>
    <w:rsid w:val="39940E67"/>
    <w:rsid w:val="39C537BE"/>
    <w:rsid w:val="3A0E6242"/>
    <w:rsid w:val="3A171FAE"/>
    <w:rsid w:val="3ABE0A43"/>
    <w:rsid w:val="3B120EEC"/>
    <w:rsid w:val="3B146650"/>
    <w:rsid w:val="3B561B9E"/>
    <w:rsid w:val="3B9C2681"/>
    <w:rsid w:val="3BB05F7B"/>
    <w:rsid w:val="3BC7134F"/>
    <w:rsid w:val="3BD65482"/>
    <w:rsid w:val="3BDA21E6"/>
    <w:rsid w:val="3BF710C3"/>
    <w:rsid w:val="3C186EE1"/>
    <w:rsid w:val="3C257429"/>
    <w:rsid w:val="3C430575"/>
    <w:rsid w:val="3C537840"/>
    <w:rsid w:val="3C752089"/>
    <w:rsid w:val="3C935671"/>
    <w:rsid w:val="3CB25F15"/>
    <w:rsid w:val="3CBE7E9F"/>
    <w:rsid w:val="3CC71CA8"/>
    <w:rsid w:val="3CE42A47"/>
    <w:rsid w:val="3D893AC8"/>
    <w:rsid w:val="3D8F025D"/>
    <w:rsid w:val="3DE90F80"/>
    <w:rsid w:val="3E2C3425"/>
    <w:rsid w:val="3E4531BF"/>
    <w:rsid w:val="3EA237B6"/>
    <w:rsid w:val="3EA47F39"/>
    <w:rsid w:val="3F45521F"/>
    <w:rsid w:val="3F47451F"/>
    <w:rsid w:val="3F65239A"/>
    <w:rsid w:val="3F941438"/>
    <w:rsid w:val="3FAB065C"/>
    <w:rsid w:val="3FDB36EB"/>
    <w:rsid w:val="4013391D"/>
    <w:rsid w:val="404223B5"/>
    <w:rsid w:val="404253A9"/>
    <w:rsid w:val="405254E0"/>
    <w:rsid w:val="408325EF"/>
    <w:rsid w:val="40B94AF3"/>
    <w:rsid w:val="40BC06B7"/>
    <w:rsid w:val="40DA7A41"/>
    <w:rsid w:val="40EE7F4E"/>
    <w:rsid w:val="41177778"/>
    <w:rsid w:val="41285293"/>
    <w:rsid w:val="4152035E"/>
    <w:rsid w:val="41B702A6"/>
    <w:rsid w:val="41D43A1D"/>
    <w:rsid w:val="41E31BBB"/>
    <w:rsid w:val="41E51558"/>
    <w:rsid w:val="41ED786B"/>
    <w:rsid w:val="41EF38EC"/>
    <w:rsid w:val="422D4817"/>
    <w:rsid w:val="42336EDC"/>
    <w:rsid w:val="423D2056"/>
    <w:rsid w:val="42465C66"/>
    <w:rsid w:val="425C6909"/>
    <w:rsid w:val="42BE7383"/>
    <w:rsid w:val="42CA7724"/>
    <w:rsid w:val="43CD3F67"/>
    <w:rsid w:val="43CF05F4"/>
    <w:rsid w:val="43F90B17"/>
    <w:rsid w:val="440D04B5"/>
    <w:rsid w:val="441A5CAD"/>
    <w:rsid w:val="445B7A45"/>
    <w:rsid w:val="44626241"/>
    <w:rsid w:val="446B2045"/>
    <w:rsid w:val="45126190"/>
    <w:rsid w:val="451429BB"/>
    <w:rsid w:val="45366970"/>
    <w:rsid w:val="45535C43"/>
    <w:rsid w:val="458217E0"/>
    <w:rsid w:val="45910E05"/>
    <w:rsid w:val="4599617B"/>
    <w:rsid w:val="45DE61D5"/>
    <w:rsid w:val="45E529EA"/>
    <w:rsid w:val="462438B8"/>
    <w:rsid w:val="462E1B1C"/>
    <w:rsid w:val="46782929"/>
    <w:rsid w:val="46B30817"/>
    <w:rsid w:val="46EE6131"/>
    <w:rsid w:val="46FE4BEF"/>
    <w:rsid w:val="47054969"/>
    <w:rsid w:val="47160BCA"/>
    <w:rsid w:val="472D4050"/>
    <w:rsid w:val="47353157"/>
    <w:rsid w:val="47357C6D"/>
    <w:rsid w:val="47413AD5"/>
    <w:rsid w:val="47753997"/>
    <w:rsid w:val="479D0736"/>
    <w:rsid w:val="47BC40D7"/>
    <w:rsid w:val="47BF45EC"/>
    <w:rsid w:val="47C6205A"/>
    <w:rsid w:val="47D30E6E"/>
    <w:rsid w:val="47D31C64"/>
    <w:rsid w:val="47D744B6"/>
    <w:rsid w:val="48502589"/>
    <w:rsid w:val="48937526"/>
    <w:rsid w:val="48AF3D2B"/>
    <w:rsid w:val="48C25198"/>
    <w:rsid w:val="48D87541"/>
    <w:rsid w:val="49205746"/>
    <w:rsid w:val="493A5DF4"/>
    <w:rsid w:val="4975507C"/>
    <w:rsid w:val="497B4803"/>
    <w:rsid w:val="49807B7B"/>
    <w:rsid w:val="4A170301"/>
    <w:rsid w:val="4A1B3ACE"/>
    <w:rsid w:val="4A3B62B0"/>
    <w:rsid w:val="4A4C592A"/>
    <w:rsid w:val="4A4E669E"/>
    <w:rsid w:val="4A6B427E"/>
    <w:rsid w:val="4A837DF0"/>
    <w:rsid w:val="4A891664"/>
    <w:rsid w:val="4A944B06"/>
    <w:rsid w:val="4AC667B8"/>
    <w:rsid w:val="4B073A20"/>
    <w:rsid w:val="4B1F66F8"/>
    <w:rsid w:val="4B23074F"/>
    <w:rsid w:val="4B2C48CA"/>
    <w:rsid w:val="4B466C66"/>
    <w:rsid w:val="4B512B86"/>
    <w:rsid w:val="4B7B6EEB"/>
    <w:rsid w:val="4B9E726D"/>
    <w:rsid w:val="4BF22F94"/>
    <w:rsid w:val="4C236710"/>
    <w:rsid w:val="4C327CBE"/>
    <w:rsid w:val="4C3D16D4"/>
    <w:rsid w:val="4C776384"/>
    <w:rsid w:val="4C7C51AC"/>
    <w:rsid w:val="4CA86196"/>
    <w:rsid w:val="4CAA325C"/>
    <w:rsid w:val="4CC03170"/>
    <w:rsid w:val="4CC3460A"/>
    <w:rsid w:val="4CC96BF4"/>
    <w:rsid w:val="4CF224C3"/>
    <w:rsid w:val="4CF729C2"/>
    <w:rsid w:val="4D56754C"/>
    <w:rsid w:val="4D890CA8"/>
    <w:rsid w:val="4D9D597F"/>
    <w:rsid w:val="4DA71A49"/>
    <w:rsid w:val="4DEF1D3B"/>
    <w:rsid w:val="4DF12809"/>
    <w:rsid w:val="4E12551C"/>
    <w:rsid w:val="4E3F7A8E"/>
    <w:rsid w:val="4E5B0B53"/>
    <w:rsid w:val="4E965BF7"/>
    <w:rsid w:val="4F2B5053"/>
    <w:rsid w:val="4F5E791F"/>
    <w:rsid w:val="4F672B18"/>
    <w:rsid w:val="4F994CB5"/>
    <w:rsid w:val="4FBC00C9"/>
    <w:rsid w:val="4FCD6206"/>
    <w:rsid w:val="4FF16761"/>
    <w:rsid w:val="50163F3B"/>
    <w:rsid w:val="5086142D"/>
    <w:rsid w:val="50A31016"/>
    <w:rsid w:val="50C60DD3"/>
    <w:rsid w:val="50F86241"/>
    <w:rsid w:val="50FA6B0E"/>
    <w:rsid w:val="50FC7506"/>
    <w:rsid w:val="510752DB"/>
    <w:rsid w:val="513B39A9"/>
    <w:rsid w:val="51416F5E"/>
    <w:rsid w:val="517B7A06"/>
    <w:rsid w:val="51CA76A1"/>
    <w:rsid w:val="51E2029D"/>
    <w:rsid w:val="51F93C67"/>
    <w:rsid w:val="52242B61"/>
    <w:rsid w:val="5244465C"/>
    <w:rsid w:val="526C0F3D"/>
    <w:rsid w:val="527D17B1"/>
    <w:rsid w:val="52CD5976"/>
    <w:rsid w:val="52D31CE5"/>
    <w:rsid w:val="52D42BCC"/>
    <w:rsid w:val="52EF4289"/>
    <w:rsid w:val="534A1636"/>
    <w:rsid w:val="53A67E78"/>
    <w:rsid w:val="547E5133"/>
    <w:rsid w:val="54840294"/>
    <w:rsid w:val="54B71115"/>
    <w:rsid w:val="54D4046E"/>
    <w:rsid w:val="54EF0874"/>
    <w:rsid w:val="55346A9A"/>
    <w:rsid w:val="55BF7115"/>
    <w:rsid w:val="5678249A"/>
    <w:rsid w:val="569951D6"/>
    <w:rsid w:val="56A5050F"/>
    <w:rsid w:val="56B80A1E"/>
    <w:rsid w:val="574B0578"/>
    <w:rsid w:val="575B031C"/>
    <w:rsid w:val="576059DC"/>
    <w:rsid w:val="57724F91"/>
    <w:rsid w:val="578364CE"/>
    <w:rsid w:val="57CA0DDC"/>
    <w:rsid w:val="5812150A"/>
    <w:rsid w:val="5848109C"/>
    <w:rsid w:val="58706EC5"/>
    <w:rsid w:val="5882172C"/>
    <w:rsid w:val="58A75D23"/>
    <w:rsid w:val="58B959EF"/>
    <w:rsid w:val="58EE65B7"/>
    <w:rsid w:val="595C265B"/>
    <w:rsid w:val="59734E4D"/>
    <w:rsid w:val="59815811"/>
    <w:rsid w:val="59924F82"/>
    <w:rsid w:val="59B71052"/>
    <w:rsid w:val="59D4145F"/>
    <w:rsid w:val="5A257E64"/>
    <w:rsid w:val="5A3277FC"/>
    <w:rsid w:val="5A5E4A81"/>
    <w:rsid w:val="5A772751"/>
    <w:rsid w:val="5A7E66FB"/>
    <w:rsid w:val="5B2D640F"/>
    <w:rsid w:val="5B5703CE"/>
    <w:rsid w:val="5B633094"/>
    <w:rsid w:val="5BB84237"/>
    <w:rsid w:val="5C343BF4"/>
    <w:rsid w:val="5C9302E8"/>
    <w:rsid w:val="5C951009"/>
    <w:rsid w:val="5CB37AD2"/>
    <w:rsid w:val="5CE87F9D"/>
    <w:rsid w:val="5D1906AD"/>
    <w:rsid w:val="5D854CC5"/>
    <w:rsid w:val="5DAE1718"/>
    <w:rsid w:val="5DB86BDF"/>
    <w:rsid w:val="5E0E2BE8"/>
    <w:rsid w:val="5E1B0AB7"/>
    <w:rsid w:val="5EC563CA"/>
    <w:rsid w:val="5EC56FAB"/>
    <w:rsid w:val="5EED4BD2"/>
    <w:rsid w:val="5F14420B"/>
    <w:rsid w:val="5F527F33"/>
    <w:rsid w:val="5FAB683B"/>
    <w:rsid w:val="5FAD1F65"/>
    <w:rsid w:val="5FC34600"/>
    <w:rsid w:val="60F86CCC"/>
    <w:rsid w:val="61222514"/>
    <w:rsid w:val="612B0CDA"/>
    <w:rsid w:val="61634BDE"/>
    <w:rsid w:val="618C65A0"/>
    <w:rsid w:val="619E1E1A"/>
    <w:rsid w:val="61A217E0"/>
    <w:rsid w:val="61B3691E"/>
    <w:rsid w:val="61D44796"/>
    <w:rsid w:val="61E31DE8"/>
    <w:rsid w:val="61E72512"/>
    <w:rsid w:val="620F7E1D"/>
    <w:rsid w:val="627570E2"/>
    <w:rsid w:val="62CF2FBC"/>
    <w:rsid w:val="62DF1B29"/>
    <w:rsid w:val="63411783"/>
    <w:rsid w:val="634569FB"/>
    <w:rsid w:val="634F1558"/>
    <w:rsid w:val="635B3CBB"/>
    <w:rsid w:val="637169F7"/>
    <w:rsid w:val="63810D20"/>
    <w:rsid w:val="638E4697"/>
    <w:rsid w:val="63D31A11"/>
    <w:rsid w:val="640837C9"/>
    <w:rsid w:val="642A38B4"/>
    <w:rsid w:val="643165AC"/>
    <w:rsid w:val="645D3B0C"/>
    <w:rsid w:val="648B1453"/>
    <w:rsid w:val="64923F3B"/>
    <w:rsid w:val="64B172A3"/>
    <w:rsid w:val="64E93A10"/>
    <w:rsid w:val="64FA028D"/>
    <w:rsid w:val="656219FF"/>
    <w:rsid w:val="65882089"/>
    <w:rsid w:val="65972E76"/>
    <w:rsid w:val="65A342E9"/>
    <w:rsid w:val="65EF214B"/>
    <w:rsid w:val="65F41CDB"/>
    <w:rsid w:val="663A10AC"/>
    <w:rsid w:val="665F1FEC"/>
    <w:rsid w:val="666601EF"/>
    <w:rsid w:val="667E6E63"/>
    <w:rsid w:val="66A808A3"/>
    <w:rsid w:val="67072E12"/>
    <w:rsid w:val="670D40D1"/>
    <w:rsid w:val="672A226F"/>
    <w:rsid w:val="67306233"/>
    <w:rsid w:val="67377175"/>
    <w:rsid w:val="6740773E"/>
    <w:rsid w:val="676F56D0"/>
    <w:rsid w:val="677D10D5"/>
    <w:rsid w:val="677F5C17"/>
    <w:rsid w:val="67BC2E7E"/>
    <w:rsid w:val="67CB11B2"/>
    <w:rsid w:val="67EA6533"/>
    <w:rsid w:val="67F96719"/>
    <w:rsid w:val="67FA15FC"/>
    <w:rsid w:val="67FA3EA9"/>
    <w:rsid w:val="68046FE2"/>
    <w:rsid w:val="68163561"/>
    <w:rsid w:val="68293532"/>
    <w:rsid w:val="684B01EF"/>
    <w:rsid w:val="687B2CDC"/>
    <w:rsid w:val="69073FEB"/>
    <w:rsid w:val="69240832"/>
    <w:rsid w:val="694A619A"/>
    <w:rsid w:val="69695586"/>
    <w:rsid w:val="6A3D142E"/>
    <w:rsid w:val="6A6B68B5"/>
    <w:rsid w:val="6AA17D67"/>
    <w:rsid w:val="6ABF493E"/>
    <w:rsid w:val="6B174C36"/>
    <w:rsid w:val="6B2D5376"/>
    <w:rsid w:val="6B7915FC"/>
    <w:rsid w:val="6C0360CB"/>
    <w:rsid w:val="6C1D4AA5"/>
    <w:rsid w:val="6C700348"/>
    <w:rsid w:val="6C8859AD"/>
    <w:rsid w:val="6C9E5548"/>
    <w:rsid w:val="6CA169A6"/>
    <w:rsid w:val="6CBE7875"/>
    <w:rsid w:val="6D1F4EAA"/>
    <w:rsid w:val="6D6A1C41"/>
    <w:rsid w:val="6D907449"/>
    <w:rsid w:val="6D9D4117"/>
    <w:rsid w:val="6DF4056F"/>
    <w:rsid w:val="6E384A9E"/>
    <w:rsid w:val="6E9527E1"/>
    <w:rsid w:val="6EA51FA3"/>
    <w:rsid w:val="6F2578B2"/>
    <w:rsid w:val="6F6D282D"/>
    <w:rsid w:val="6FA34535"/>
    <w:rsid w:val="6FCC4672"/>
    <w:rsid w:val="6FF70BE7"/>
    <w:rsid w:val="70101B35"/>
    <w:rsid w:val="709E1901"/>
    <w:rsid w:val="70C56B75"/>
    <w:rsid w:val="70CD2FA7"/>
    <w:rsid w:val="70E8679D"/>
    <w:rsid w:val="70F8550E"/>
    <w:rsid w:val="711558B8"/>
    <w:rsid w:val="7135690B"/>
    <w:rsid w:val="71461D7E"/>
    <w:rsid w:val="71C82C84"/>
    <w:rsid w:val="722933A4"/>
    <w:rsid w:val="722D066E"/>
    <w:rsid w:val="722F1F60"/>
    <w:rsid w:val="7265719B"/>
    <w:rsid w:val="728B3621"/>
    <w:rsid w:val="729C25CA"/>
    <w:rsid w:val="72FF098C"/>
    <w:rsid w:val="73040142"/>
    <w:rsid w:val="731E7464"/>
    <w:rsid w:val="73295019"/>
    <w:rsid w:val="733A6744"/>
    <w:rsid w:val="736714A1"/>
    <w:rsid w:val="73847C26"/>
    <w:rsid w:val="73A6227B"/>
    <w:rsid w:val="73D11105"/>
    <w:rsid w:val="73E27943"/>
    <w:rsid w:val="74050B86"/>
    <w:rsid w:val="74477EFB"/>
    <w:rsid w:val="74E41BEE"/>
    <w:rsid w:val="750D7E6B"/>
    <w:rsid w:val="75263F8E"/>
    <w:rsid w:val="755517C4"/>
    <w:rsid w:val="75906D28"/>
    <w:rsid w:val="75A47106"/>
    <w:rsid w:val="75A73D14"/>
    <w:rsid w:val="75FC7A17"/>
    <w:rsid w:val="762430D2"/>
    <w:rsid w:val="76600D6D"/>
    <w:rsid w:val="766840FE"/>
    <w:rsid w:val="768E391F"/>
    <w:rsid w:val="76D041DB"/>
    <w:rsid w:val="76DB2566"/>
    <w:rsid w:val="773348CC"/>
    <w:rsid w:val="776125B0"/>
    <w:rsid w:val="77D17909"/>
    <w:rsid w:val="7805298F"/>
    <w:rsid w:val="783D525A"/>
    <w:rsid w:val="785B21C7"/>
    <w:rsid w:val="789E419E"/>
    <w:rsid w:val="79052035"/>
    <w:rsid w:val="79134D4E"/>
    <w:rsid w:val="793F34EF"/>
    <w:rsid w:val="796A7A14"/>
    <w:rsid w:val="797A1017"/>
    <w:rsid w:val="79CB4151"/>
    <w:rsid w:val="79DD294E"/>
    <w:rsid w:val="79E611C8"/>
    <w:rsid w:val="7A07011E"/>
    <w:rsid w:val="7A83373D"/>
    <w:rsid w:val="7AC7009C"/>
    <w:rsid w:val="7AE702A9"/>
    <w:rsid w:val="7AE86092"/>
    <w:rsid w:val="7B064FA9"/>
    <w:rsid w:val="7B072C89"/>
    <w:rsid w:val="7B614FF5"/>
    <w:rsid w:val="7B821741"/>
    <w:rsid w:val="7B850C2C"/>
    <w:rsid w:val="7BE349AD"/>
    <w:rsid w:val="7BEE2DF8"/>
    <w:rsid w:val="7C577F94"/>
    <w:rsid w:val="7C6F1AA6"/>
    <w:rsid w:val="7C8212CA"/>
    <w:rsid w:val="7C822470"/>
    <w:rsid w:val="7CD47696"/>
    <w:rsid w:val="7D607410"/>
    <w:rsid w:val="7D6F6D8F"/>
    <w:rsid w:val="7DAC22A3"/>
    <w:rsid w:val="7DD554DA"/>
    <w:rsid w:val="7DDF4763"/>
    <w:rsid w:val="7DF312AC"/>
    <w:rsid w:val="7E09234E"/>
    <w:rsid w:val="7E130B1F"/>
    <w:rsid w:val="7E5F0DAF"/>
    <w:rsid w:val="7E620D55"/>
    <w:rsid w:val="7E665F8C"/>
    <w:rsid w:val="7E86573B"/>
    <w:rsid w:val="7E970A50"/>
    <w:rsid w:val="7E99193F"/>
    <w:rsid w:val="7E9C6A8D"/>
    <w:rsid w:val="7F456D1B"/>
    <w:rsid w:val="7FA54456"/>
    <w:rsid w:val="7FEA7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4"/>
    <w:qFormat/>
    <w:uiPriority w:val="0"/>
    <w:pPr>
      <w:keepNext/>
      <w:keepLines/>
      <w:spacing w:after="120" w:line="360" w:lineRule="auto"/>
      <w:outlineLvl w:val="0"/>
    </w:pPr>
    <w:rPr>
      <w:kern w:val="44"/>
      <w:sz w:val="28"/>
      <w:szCs w:val="28"/>
    </w:rPr>
  </w:style>
  <w:style w:type="paragraph" w:styleId="4">
    <w:name w:val="heading 2"/>
    <w:basedOn w:val="1"/>
    <w:next w:val="5"/>
    <w:link w:val="57"/>
    <w:qFormat/>
    <w:uiPriority w:val="0"/>
    <w:pPr>
      <w:keepNext/>
      <w:keepLines/>
      <w:spacing w:before="120" w:after="120"/>
      <w:ind w:left="454" w:firstLine="212" w:firstLineChars="88"/>
      <w:jc w:val="left"/>
      <w:outlineLvl w:val="1"/>
    </w:pPr>
    <w:rPr>
      <w:rFonts w:ascii="Arial" w:hAnsi="Arial"/>
      <w:b/>
      <w:color w:val="000000"/>
      <w:kern w:val="0"/>
      <w:sz w:val="24"/>
      <w:szCs w:val="24"/>
    </w:rPr>
  </w:style>
  <w:style w:type="paragraph" w:styleId="6">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6"/>
    <w:next w:val="5"/>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8">
    <w:name w:val="heading 5"/>
    <w:basedOn w:val="7"/>
    <w:next w:val="5"/>
    <w:link w:val="60"/>
    <w:qFormat/>
    <w:uiPriority w:val="0"/>
    <w:pPr>
      <w:numPr>
        <w:ilvl w:val="4"/>
      </w:numPr>
      <w:spacing w:line="240" w:lineRule="exact"/>
      <w:outlineLvl w:val="4"/>
    </w:pPr>
  </w:style>
  <w:style w:type="paragraph" w:styleId="9">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2"/>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7"/>
    <w:qFormat/>
    <w:uiPriority w:val="99"/>
    <w:rPr>
      <w:rFonts w:ascii="宋体" w:hAnsi="Courier New"/>
      <w:kern w:val="0"/>
      <w:sz w:val="20"/>
      <w:szCs w:val="20"/>
    </w:rPr>
  </w:style>
  <w:style w:type="paragraph" w:styleId="5">
    <w:name w:val="Normal Indent"/>
    <w:basedOn w:val="1"/>
    <w:next w:val="1"/>
    <w:qFormat/>
    <w:uiPriority w:val="0"/>
    <w:pPr>
      <w:ind w:firstLine="420"/>
    </w:pPr>
    <w:rPr>
      <w:rFonts w:eastAsia="等线"/>
      <w:szCs w:val="20"/>
    </w:rPr>
  </w:style>
  <w:style w:type="paragraph" w:styleId="13">
    <w:name w:val="Document Map"/>
    <w:basedOn w:val="1"/>
    <w:link w:val="65"/>
    <w:qFormat/>
    <w:uiPriority w:val="0"/>
    <w:pPr>
      <w:shd w:val="clear" w:color="auto" w:fill="000080"/>
    </w:pPr>
    <w:rPr>
      <w:kern w:val="0"/>
      <w:sz w:val="20"/>
      <w:szCs w:val="20"/>
    </w:rPr>
  </w:style>
  <w:style w:type="paragraph" w:styleId="14">
    <w:name w:val="annotation text"/>
    <w:basedOn w:val="1"/>
    <w:next w:val="1"/>
    <w:link w:val="66"/>
    <w:qFormat/>
    <w:uiPriority w:val="0"/>
    <w:pPr>
      <w:spacing w:line="360" w:lineRule="auto"/>
      <w:ind w:firstLine="523" w:firstLineChars="218"/>
      <w:jc w:val="left"/>
    </w:pPr>
    <w:rPr>
      <w:rFonts w:ascii="宋体" w:hAnsi="宋体"/>
      <w:kern w:val="0"/>
      <w:sz w:val="24"/>
      <w:szCs w:val="24"/>
    </w:rPr>
  </w:style>
  <w:style w:type="paragraph" w:styleId="15">
    <w:name w:val="Body Text"/>
    <w:basedOn w:val="1"/>
    <w:next w:val="1"/>
    <w:link w:val="55"/>
    <w:qFormat/>
    <w:uiPriority w:val="0"/>
    <w:pPr>
      <w:spacing w:after="120"/>
    </w:pPr>
    <w:rPr>
      <w:kern w:val="0"/>
      <w:sz w:val="20"/>
      <w:szCs w:val="20"/>
    </w:rPr>
  </w:style>
  <w:style w:type="paragraph" w:styleId="16">
    <w:name w:val="Body Text Indent"/>
    <w:basedOn w:val="1"/>
    <w:link w:val="51"/>
    <w:qFormat/>
    <w:uiPriority w:val="0"/>
    <w:pPr>
      <w:ind w:firstLine="570"/>
    </w:pPr>
    <w:rPr>
      <w:kern w:val="0"/>
      <w:sz w:val="28"/>
      <w:szCs w:val="20"/>
    </w:rPr>
  </w:style>
  <w:style w:type="paragraph" w:styleId="17">
    <w:name w:val="Block Text"/>
    <w:basedOn w:val="1"/>
    <w:unhideWhenUsed/>
    <w:qFormat/>
    <w:uiPriority w:val="99"/>
    <w:pPr>
      <w:spacing w:after="120"/>
      <w:ind w:left="1440" w:leftChars="700" w:right="1440" w:rightChars="700"/>
    </w:pPr>
  </w:style>
  <w:style w:type="paragraph" w:styleId="18">
    <w:name w:val="toc 3"/>
    <w:basedOn w:val="1"/>
    <w:next w:val="1"/>
    <w:qFormat/>
    <w:uiPriority w:val="0"/>
    <w:pPr>
      <w:snapToGrid w:val="0"/>
      <w:spacing w:line="360" w:lineRule="auto"/>
      <w:ind w:left="400" w:leftChars="400"/>
      <w:jc w:val="left"/>
    </w:pPr>
    <w:rPr>
      <w:rFonts w:eastAsia="等线"/>
      <w:sz w:val="24"/>
      <w:szCs w:val="20"/>
    </w:rPr>
  </w:style>
  <w:style w:type="paragraph" w:styleId="19">
    <w:name w:val="Date"/>
    <w:basedOn w:val="1"/>
    <w:next w:val="1"/>
    <w:link w:val="68"/>
    <w:qFormat/>
    <w:uiPriority w:val="0"/>
    <w:rPr>
      <w:kern w:val="0"/>
      <w:sz w:val="20"/>
      <w:szCs w:val="20"/>
    </w:rPr>
  </w:style>
  <w:style w:type="paragraph" w:styleId="20">
    <w:name w:val="Body Text Indent 2"/>
    <w:basedOn w:val="1"/>
    <w:link w:val="69"/>
    <w:qFormat/>
    <w:uiPriority w:val="0"/>
    <w:pPr>
      <w:spacing w:line="400" w:lineRule="exact"/>
      <w:ind w:left="425"/>
    </w:pPr>
    <w:rPr>
      <w:color w:val="000000"/>
      <w:kern w:val="0"/>
      <w:sz w:val="24"/>
      <w:szCs w:val="20"/>
    </w:rPr>
  </w:style>
  <w:style w:type="paragraph" w:styleId="21">
    <w:name w:val="endnote text"/>
    <w:basedOn w:val="1"/>
    <w:link w:val="70"/>
    <w:qFormat/>
    <w:uiPriority w:val="0"/>
    <w:pPr>
      <w:snapToGrid w:val="0"/>
      <w:jc w:val="left"/>
    </w:pPr>
    <w:rPr>
      <w:kern w:val="0"/>
      <w:sz w:val="20"/>
      <w:szCs w:val="20"/>
    </w:rPr>
  </w:style>
  <w:style w:type="paragraph" w:styleId="22">
    <w:name w:val="Balloon Text"/>
    <w:basedOn w:val="1"/>
    <w:link w:val="71"/>
    <w:qFormat/>
    <w:uiPriority w:val="0"/>
    <w:rPr>
      <w:kern w:val="0"/>
      <w:sz w:val="18"/>
      <w:szCs w:val="18"/>
    </w:rPr>
  </w:style>
  <w:style w:type="paragraph" w:styleId="23">
    <w:name w:val="footer"/>
    <w:basedOn w:val="1"/>
    <w:link w:val="72"/>
    <w:qFormat/>
    <w:uiPriority w:val="0"/>
    <w:pPr>
      <w:tabs>
        <w:tab w:val="center" w:pos="4153"/>
        <w:tab w:val="right" w:pos="8306"/>
      </w:tabs>
      <w:snapToGrid w:val="0"/>
      <w:jc w:val="left"/>
    </w:pPr>
    <w:rPr>
      <w:rFonts w:ascii="Calibri" w:hAnsi="Calibri"/>
      <w:kern w:val="0"/>
      <w:sz w:val="18"/>
      <w:szCs w:val="18"/>
    </w:rPr>
  </w:style>
  <w:style w:type="paragraph" w:styleId="24">
    <w:name w:val="envelope return"/>
    <w:basedOn w:val="1"/>
    <w:qFormat/>
    <w:uiPriority w:val="0"/>
    <w:pPr>
      <w:snapToGrid w:val="0"/>
    </w:pPr>
    <w:rPr>
      <w:rFonts w:ascii="Arial" w:hAnsi="Arial"/>
      <w:szCs w:val="24"/>
    </w:rPr>
  </w:style>
  <w:style w:type="paragraph" w:styleId="25">
    <w:name w:val="header"/>
    <w:basedOn w:val="1"/>
    <w:link w:val="7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link w:val="74"/>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link w:val="75"/>
    <w:qFormat/>
    <w:uiPriority w:val="0"/>
    <w:pPr>
      <w:snapToGrid w:val="0"/>
      <w:spacing w:line="360" w:lineRule="auto"/>
      <w:ind w:firstLine="523" w:firstLineChars="218"/>
      <w:jc w:val="left"/>
    </w:pPr>
    <w:rPr>
      <w:rFonts w:ascii="宋体" w:hAnsi="宋体"/>
      <w:kern w:val="0"/>
      <w:sz w:val="18"/>
      <w:szCs w:val="18"/>
    </w:rPr>
  </w:style>
  <w:style w:type="paragraph" w:styleId="29">
    <w:name w:val="Body Text Indent 3"/>
    <w:basedOn w:val="1"/>
    <w:link w:val="76"/>
    <w:qFormat/>
    <w:uiPriority w:val="0"/>
    <w:pPr>
      <w:tabs>
        <w:tab w:val="left" w:pos="0"/>
      </w:tabs>
      <w:spacing w:line="400" w:lineRule="exact"/>
      <w:ind w:left="563" w:leftChars="228" w:hanging="84"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420" w:leftChars="200"/>
      <w:jc w:val="left"/>
    </w:pPr>
    <w:rPr>
      <w:rFonts w:eastAsia="等线"/>
      <w:sz w:val="24"/>
      <w:szCs w:val="24"/>
    </w:rPr>
  </w:style>
  <w:style w:type="paragraph" w:styleId="31">
    <w:name w:val="Body Text 2"/>
    <w:basedOn w:val="1"/>
    <w:link w:val="77"/>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link w:val="53"/>
    <w:qFormat/>
    <w:uiPriority w:val="0"/>
    <w:pPr>
      <w:spacing w:before="120" w:after="60"/>
      <w:jc w:val="center"/>
    </w:pPr>
    <w:rPr>
      <w:rFonts w:ascii="Arial" w:hAnsi="Arial"/>
      <w:b/>
      <w:kern w:val="0"/>
      <w:sz w:val="44"/>
      <w:szCs w:val="20"/>
    </w:rPr>
  </w:style>
  <w:style w:type="paragraph" w:styleId="35">
    <w:name w:val="annotation subject"/>
    <w:basedOn w:val="14"/>
    <w:next w:val="14"/>
    <w:link w:val="78"/>
    <w:qFormat/>
    <w:uiPriority w:val="0"/>
    <w:rPr>
      <w:b/>
      <w:bCs/>
    </w:rPr>
  </w:style>
  <w:style w:type="paragraph" w:styleId="36">
    <w:name w:val="Body Text First Indent"/>
    <w:basedOn w:val="15"/>
    <w:link w:val="56"/>
    <w:qFormat/>
    <w:uiPriority w:val="0"/>
    <w:pPr>
      <w:ind w:firstLine="420"/>
    </w:pPr>
    <w:rPr>
      <w:rFonts w:ascii="等线" w:hAnsi="等线" w:eastAsia="等线"/>
    </w:rPr>
  </w:style>
  <w:style w:type="paragraph" w:styleId="37">
    <w:name w:val="Body Text First Indent 2"/>
    <w:basedOn w:val="16"/>
    <w:link w:val="52"/>
    <w:unhideWhenUsed/>
    <w:qFormat/>
    <w:uiPriority w:val="99"/>
    <w:pPr>
      <w:spacing w:after="120"/>
      <w:ind w:left="420" w:leftChars="200" w:firstLine="420" w:firstLineChars="200"/>
    </w:pPr>
    <w:rPr>
      <w:kern w:val="2"/>
      <w:sz w:val="21"/>
      <w:szCs w:val="2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等线" w:hAnsi="等线" w:eastAsia="等线" w:cs="Times New Roman"/>
      <w:b/>
    </w:rPr>
  </w:style>
  <w:style w:type="character" w:styleId="42">
    <w:name w:val="endnote reference"/>
    <w:qFormat/>
    <w:uiPriority w:val="0"/>
    <w:rPr>
      <w:rFonts w:ascii="等线" w:hAnsi="等线" w:eastAsia="等线" w:cs="Times New Roman"/>
      <w:vertAlign w:val="superscript"/>
    </w:rPr>
  </w:style>
  <w:style w:type="character" w:styleId="43">
    <w:name w:val="page number"/>
    <w:qFormat/>
    <w:uiPriority w:val="0"/>
    <w:rPr>
      <w:rFonts w:ascii="等线" w:hAnsi="等线" w:eastAsia="等线" w:cs="Times New Roman"/>
    </w:rPr>
  </w:style>
  <w:style w:type="character" w:styleId="44">
    <w:name w:val="FollowedHyperlink"/>
    <w:qFormat/>
    <w:uiPriority w:val="0"/>
    <w:rPr>
      <w:rFonts w:ascii="等线" w:hAnsi="等线" w:eastAsia="等线" w:cs="Times New Roman"/>
      <w:color w:val="954F72"/>
      <w:u w:val="single"/>
    </w:rPr>
  </w:style>
  <w:style w:type="character" w:styleId="45">
    <w:name w:val="line number"/>
    <w:qFormat/>
    <w:uiPriority w:val="0"/>
    <w:rPr>
      <w:rFonts w:ascii="等线" w:hAnsi="等线" w:eastAsia="等线" w:cs="Times New Roman"/>
    </w:rPr>
  </w:style>
  <w:style w:type="character" w:styleId="46">
    <w:name w:val="Hyperlink"/>
    <w:qFormat/>
    <w:uiPriority w:val="0"/>
    <w:rPr>
      <w:rFonts w:ascii="等线" w:hAnsi="等线" w:eastAsia="等线" w:cs="Times New Roman"/>
      <w:color w:val="0000FF"/>
      <w:u w:val="single"/>
    </w:rPr>
  </w:style>
  <w:style w:type="character" w:styleId="47">
    <w:name w:val="annotation reference"/>
    <w:qFormat/>
    <w:uiPriority w:val="0"/>
    <w:rPr>
      <w:rFonts w:ascii="等线" w:hAnsi="等线" w:eastAsia="等线" w:cs="Times New Roman"/>
      <w:sz w:val="21"/>
      <w:szCs w:val="21"/>
    </w:rPr>
  </w:style>
  <w:style w:type="character" w:styleId="48">
    <w:name w:val="footnote reference"/>
    <w:qFormat/>
    <w:uiPriority w:val="0"/>
    <w:rPr>
      <w:rFonts w:ascii="等线" w:hAnsi="等线" w:eastAsia="等线" w:cs="Times New Roman"/>
      <w:vertAlign w:val="superscript"/>
    </w:rPr>
  </w:style>
  <w:style w:type="paragraph" w:customStyle="1" w:styleId="49">
    <w:name w:val="样式 小四 行距: 1.5 倍行距"/>
    <w:basedOn w:val="1"/>
    <w:qFormat/>
    <w:uiPriority w:val="0"/>
    <w:pPr>
      <w:ind w:firstLine="480"/>
    </w:pPr>
    <w:rPr>
      <w:rFonts w:cs="宋体"/>
    </w:rPr>
  </w:style>
  <w:style w:type="paragraph" w:customStyle="1" w:styleId="50">
    <w:name w:val="PlainText"/>
    <w:basedOn w:val="1"/>
    <w:qFormat/>
    <w:uiPriority w:val="0"/>
    <w:pPr>
      <w:textAlignment w:val="baseline"/>
    </w:pPr>
    <w:rPr>
      <w:rFonts w:ascii="宋体" w:hAnsi="Courier New" w:cs="Calibri"/>
      <w:color w:val="000000"/>
      <w:kern w:val="0"/>
      <w:sz w:val="20"/>
      <w:szCs w:val="20"/>
    </w:rPr>
  </w:style>
  <w:style w:type="character" w:customStyle="1" w:styleId="51">
    <w:name w:val="正文文本缩进 Char"/>
    <w:link w:val="16"/>
    <w:qFormat/>
    <w:uiPriority w:val="0"/>
    <w:rPr>
      <w:rFonts w:ascii="Times New Roman" w:hAnsi="Times New Roman" w:eastAsia="宋体" w:cs="Times New Roman"/>
      <w:sz w:val="28"/>
      <w:szCs w:val="20"/>
    </w:rPr>
  </w:style>
  <w:style w:type="character" w:customStyle="1" w:styleId="52">
    <w:name w:val="正文首行缩进 2 Char"/>
    <w:basedOn w:val="51"/>
    <w:link w:val="37"/>
    <w:qFormat/>
    <w:uiPriority w:val="99"/>
    <w:rPr>
      <w:rFonts w:ascii="Times New Roman" w:hAnsi="Times New Roman" w:eastAsia="宋体" w:cs="Times New Roman"/>
      <w:kern w:val="2"/>
      <w:sz w:val="21"/>
      <w:szCs w:val="22"/>
    </w:rPr>
  </w:style>
  <w:style w:type="character" w:customStyle="1" w:styleId="53">
    <w:name w:val="标题 Char"/>
    <w:link w:val="34"/>
    <w:qFormat/>
    <w:uiPriority w:val="0"/>
    <w:rPr>
      <w:rFonts w:ascii="Arial" w:hAnsi="Arial" w:eastAsia="宋体" w:cs="Times New Roman"/>
      <w:b/>
      <w:sz w:val="44"/>
      <w:szCs w:val="20"/>
    </w:rPr>
  </w:style>
  <w:style w:type="character" w:customStyle="1" w:styleId="54">
    <w:name w:val="标题 1 Char"/>
    <w:link w:val="3"/>
    <w:qFormat/>
    <w:uiPriority w:val="0"/>
    <w:rPr>
      <w:rFonts w:ascii="Arial" w:hAnsi="Arial" w:eastAsia="宋体" w:cs="Times New Roman"/>
      <w:b/>
      <w:kern w:val="44"/>
      <w:sz w:val="28"/>
      <w:szCs w:val="28"/>
    </w:rPr>
  </w:style>
  <w:style w:type="character" w:customStyle="1" w:styleId="55">
    <w:name w:val="正文文本 Char"/>
    <w:link w:val="15"/>
    <w:qFormat/>
    <w:uiPriority w:val="0"/>
    <w:rPr>
      <w:rFonts w:ascii="Times New Roman" w:hAnsi="Times New Roman" w:eastAsia="宋体" w:cs="Times New Roman"/>
      <w:szCs w:val="20"/>
    </w:rPr>
  </w:style>
  <w:style w:type="character" w:customStyle="1" w:styleId="56">
    <w:name w:val="正文首行缩进 Char"/>
    <w:link w:val="36"/>
    <w:qFormat/>
    <w:uiPriority w:val="0"/>
    <w:rPr>
      <w:rFonts w:ascii="等线" w:hAnsi="等线" w:eastAsia="等线" w:cs="Times New Roman"/>
    </w:rPr>
  </w:style>
  <w:style w:type="character" w:customStyle="1" w:styleId="57">
    <w:name w:val="标题 2 Char"/>
    <w:link w:val="4"/>
    <w:qFormat/>
    <w:uiPriority w:val="0"/>
    <w:rPr>
      <w:rFonts w:ascii="Arial" w:hAnsi="Arial" w:eastAsia="宋体" w:cs="Times New Roman"/>
      <w:b/>
      <w:color w:val="000000"/>
      <w:sz w:val="24"/>
      <w:szCs w:val="24"/>
    </w:rPr>
  </w:style>
  <w:style w:type="character" w:customStyle="1" w:styleId="58">
    <w:name w:val="标题 3 Char"/>
    <w:link w:val="6"/>
    <w:qFormat/>
    <w:uiPriority w:val="0"/>
    <w:rPr>
      <w:rFonts w:ascii="宋体" w:hAnsi="宋体" w:eastAsia="宋体" w:cs="宋体"/>
      <w:kern w:val="0"/>
      <w:sz w:val="27"/>
      <w:szCs w:val="27"/>
    </w:rPr>
  </w:style>
  <w:style w:type="character" w:customStyle="1" w:styleId="59">
    <w:name w:val="标题 4 Char"/>
    <w:link w:val="7"/>
    <w:qFormat/>
    <w:uiPriority w:val="0"/>
    <w:rPr>
      <w:rFonts w:ascii="Arial" w:hAnsi="Arial" w:eastAsia="宋体" w:cs="Times New Roman"/>
      <w:color w:val="000000"/>
      <w:kern w:val="2"/>
      <w:sz w:val="21"/>
      <w:szCs w:val="21"/>
    </w:rPr>
  </w:style>
  <w:style w:type="character" w:customStyle="1" w:styleId="60">
    <w:name w:val="标题 5 Char"/>
    <w:link w:val="8"/>
    <w:qFormat/>
    <w:uiPriority w:val="0"/>
    <w:rPr>
      <w:rFonts w:ascii="Arial" w:hAnsi="Arial" w:eastAsia="宋体" w:cs="Times New Roman"/>
      <w:color w:val="000000"/>
      <w:kern w:val="2"/>
      <w:sz w:val="21"/>
      <w:szCs w:val="21"/>
    </w:rPr>
  </w:style>
  <w:style w:type="character" w:customStyle="1" w:styleId="61">
    <w:name w:val="标题 6 Char"/>
    <w:link w:val="9"/>
    <w:qFormat/>
    <w:uiPriority w:val="0"/>
    <w:rPr>
      <w:rFonts w:ascii="Arial" w:hAnsi="Arial" w:eastAsia="黑体" w:cs="Times New Roman"/>
      <w:b/>
      <w:bCs/>
      <w:kern w:val="2"/>
      <w:sz w:val="24"/>
      <w:szCs w:val="24"/>
    </w:rPr>
  </w:style>
  <w:style w:type="character" w:customStyle="1" w:styleId="62">
    <w:name w:val="标题 7 Char"/>
    <w:link w:val="10"/>
    <w:qFormat/>
    <w:uiPriority w:val="0"/>
    <w:rPr>
      <w:rFonts w:ascii="Times New Roman" w:hAnsi="Times New Roman" w:eastAsia="宋体" w:cs="Times New Roman"/>
      <w:b/>
      <w:kern w:val="2"/>
      <w:sz w:val="24"/>
    </w:rPr>
  </w:style>
  <w:style w:type="character" w:customStyle="1" w:styleId="63">
    <w:name w:val="标题 8 Char"/>
    <w:link w:val="11"/>
    <w:qFormat/>
    <w:uiPriority w:val="0"/>
    <w:rPr>
      <w:rFonts w:ascii="Arial" w:hAnsi="Arial" w:eastAsia="黑体" w:cs="Times New Roman"/>
      <w:kern w:val="2"/>
      <w:sz w:val="24"/>
    </w:rPr>
  </w:style>
  <w:style w:type="character" w:customStyle="1" w:styleId="64">
    <w:name w:val="标题 9 Char"/>
    <w:link w:val="12"/>
    <w:qFormat/>
    <w:uiPriority w:val="0"/>
    <w:rPr>
      <w:rFonts w:ascii="Arial" w:hAnsi="Arial" w:eastAsia="黑体" w:cs="Times New Roman"/>
      <w:kern w:val="2"/>
      <w:sz w:val="21"/>
    </w:rPr>
  </w:style>
  <w:style w:type="character" w:customStyle="1" w:styleId="65">
    <w:name w:val="文档结构图 Char"/>
    <w:link w:val="13"/>
    <w:qFormat/>
    <w:uiPriority w:val="0"/>
    <w:rPr>
      <w:rFonts w:ascii="Times New Roman" w:hAnsi="Times New Roman" w:eastAsia="宋体" w:cs="Times New Roman"/>
      <w:szCs w:val="20"/>
      <w:shd w:val="clear" w:color="auto" w:fill="000080"/>
    </w:rPr>
  </w:style>
  <w:style w:type="character" w:customStyle="1" w:styleId="66">
    <w:name w:val="批注文字 Char"/>
    <w:link w:val="14"/>
    <w:qFormat/>
    <w:uiPriority w:val="0"/>
    <w:rPr>
      <w:rFonts w:ascii="宋体" w:hAnsi="宋体" w:eastAsia="宋体" w:cs="Times New Roman"/>
      <w:sz w:val="24"/>
      <w:szCs w:val="24"/>
    </w:rPr>
  </w:style>
  <w:style w:type="character" w:customStyle="1" w:styleId="67">
    <w:name w:val="纯文本 Char"/>
    <w:link w:val="2"/>
    <w:qFormat/>
    <w:uiPriority w:val="99"/>
    <w:rPr>
      <w:rFonts w:ascii="宋体" w:hAnsi="Courier New" w:eastAsia="宋体" w:cs="Times New Roman"/>
      <w:szCs w:val="20"/>
    </w:rPr>
  </w:style>
  <w:style w:type="character" w:customStyle="1" w:styleId="68">
    <w:name w:val="日期 Char"/>
    <w:link w:val="19"/>
    <w:qFormat/>
    <w:uiPriority w:val="0"/>
    <w:rPr>
      <w:rFonts w:ascii="Times New Roman" w:hAnsi="Times New Roman" w:eastAsia="宋体" w:cs="Times New Roman"/>
      <w:szCs w:val="20"/>
    </w:rPr>
  </w:style>
  <w:style w:type="character" w:customStyle="1" w:styleId="69">
    <w:name w:val="正文文本缩进 2 Char"/>
    <w:link w:val="20"/>
    <w:qFormat/>
    <w:uiPriority w:val="0"/>
    <w:rPr>
      <w:rFonts w:ascii="Times New Roman" w:hAnsi="Times New Roman" w:eastAsia="宋体" w:cs="Times New Roman"/>
      <w:color w:val="000000"/>
      <w:sz w:val="24"/>
      <w:szCs w:val="20"/>
    </w:rPr>
  </w:style>
  <w:style w:type="character" w:customStyle="1" w:styleId="70">
    <w:name w:val="尾注文本 Char"/>
    <w:link w:val="21"/>
    <w:qFormat/>
    <w:uiPriority w:val="0"/>
    <w:rPr>
      <w:rFonts w:ascii="Times New Roman" w:hAnsi="Times New Roman" w:eastAsia="宋体" w:cs="Times New Roman"/>
      <w:szCs w:val="20"/>
    </w:rPr>
  </w:style>
  <w:style w:type="character" w:customStyle="1" w:styleId="71">
    <w:name w:val="批注框文本 Char"/>
    <w:link w:val="22"/>
    <w:qFormat/>
    <w:uiPriority w:val="0"/>
    <w:rPr>
      <w:rFonts w:ascii="Times New Roman" w:hAnsi="Times New Roman" w:eastAsia="宋体" w:cs="Times New Roman"/>
      <w:sz w:val="18"/>
      <w:szCs w:val="18"/>
    </w:rPr>
  </w:style>
  <w:style w:type="character" w:customStyle="1" w:styleId="72">
    <w:name w:val="页脚 Char"/>
    <w:link w:val="23"/>
    <w:qFormat/>
    <w:uiPriority w:val="0"/>
    <w:rPr>
      <w:rFonts w:ascii="Calibri" w:hAnsi="Calibri" w:eastAsia="宋体" w:cs="Times New Roman"/>
      <w:sz w:val="18"/>
      <w:szCs w:val="18"/>
    </w:rPr>
  </w:style>
  <w:style w:type="character" w:customStyle="1" w:styleId="73">
    <w:name w:val="页眉 Char"/>
    <w:link w:val="25"/>
    <w:qFormat/>
    <w:uiPriority w:val="0"/>
    <w:rPr>
      <w:rFonts w:ascii="Calibri" w:hAnsi="Calibri" w:eastAsia="宋体" w:cs="Times New Roman"/>
      <w:sz w:val="18"/>
      <w:szCs w:val="18"/>
    </w:rPr>
  </w:style>
  <w:style w:type="character" w:customStyle="1" w:styleId="74">
    <w:name w:val="副标题 Char"/>
    <w:link w:val="27"/>
    <w:qFormat/>
    <w:uiPriority w:val="0"/>
    <w:rPr>
      <w:rFonts w:ascii="Cambria" w:hAnsi="Cambria" w:eastAsia="等线" w:cs="Times New Roman"/>
      <w:b/>
      <w:bCs/>
      <w:kern w:val="28"/>
      <w:sz w:val="32"/>
      <w:szCs w:val="32"/>
    </w:rPr>
  </w:style>
  <w:style w:type="character" w:customStyle="1" w:styleId="75">
    <w:name w:val="脚注文本 Char"/>
    <w:link w:val="28"/>
    <w:qFormat/>
    <w:uiPriority w:val="0"/>
    <w:rPr>
      <w:rFonts w:ascii="宋体" w:hAnsi="宋体" w:eastAsia="宋体" w:cs="Times New Roman"/>
      <w:sz w:val="18"/>
      <w:szCs w:val="18"/>
    </w:rPr>
  </w:style>
  <w:style w:type="character" w:customStyle="1" w:styleId="76">
    <w:name w:val="正文文本缩进 3 Char"/>
    <w:link w:val="29"/>
    <w:qFormat/>
    <w:uiPriority w:val="0"/>
    <w:rPr>
      <w:rFonts w:ascii="Times New Roman" w:hAnsi="Times New Roman" w:eastAsia="宋体" w:cs="Times New Roman"/>
      <w:color w:val="000000"/>
      <w:sz w:val="24"/>
      <w:szCs w:val="20"/>
    </w:rPr>
  </w:style>
  <w:style w:type="character" w:customStyle="1" w:styleId="77">
    <w:name w:val="正文文本 2 Char"/>
    <w:link w:val="31"/>
    <w:qFormat/>
    <w:uiPriority w:val="0"/>
    <w:rPr>
      <w:rFonts w:ascii="宋体" w:hAnsi="宋体" w:eastAsia="宋体" w:cs="Times New Roman"/>
      <w:szCs w:val="24"/>
      <w:u w:val="single"/>
    </w:rPr>
  </w:style>
  <w:style w:type="character" w:customStyle="1" w:styleId="78">
    <w:name w:val="批注主题 Char"/>
    <w:link w:val="35"/>
    <w:qFormat/>
    <w:uiPriority w:val="0"/>
    <w:rPr>
      <w:rFonts w:ascii="宋体" w:hAnsi="宋体" w:eastAsia="宋体" w:cs="Times New Roman"/>
      <w:b/>
      <w:bCs/>
      <w:sz w:val="24"/>
      <w:szCs w:val="24"/>
    </w:rPr>
  </w:style>
  <w:style w:type="paragraph" w:customStyle="1" w:styleId="79">
    <w:name w:val="_Style 3"/>
    <w:basedOn w:val="1"/>
    <w:qFormat/>
    <w:uiPriority w:val="1"/>
    <w:pPr>
      <w:ind w:firstLine="420" w:firstLineChars="200"/>
    </w:pPr>
    <w:rPr>
      <w:sz w:val="20"/>
      <w:szCs w:val="24"/>
    </w:rPr>
  </w:style>
  <w:style w:type="character" w:customStyle="1" w:styleId="80">
    <w:name w:val="标题 4 字符"/>
    <w:qFormat/>
    <w:uiPriority w:val="0"/>
    <w:rPr>
      <w:rFonts w:ascii="等线 Light" w:hAnsi="等线 Light" w:eastAsia="等线 Light" w:cs="Times New Roman"/>
      <w:b/>
      <w:bCs/>
      <w:sz w:val="28"/>
      <w:szCs w:val="28"/>
    </w:rPr>
  </w:style>
  <w:style w:type="character" w:customStyle="1" w:styleId="81">
    <w:name w:val="标题 7 字符"/>
    <w:qFormat/>
    <w:uiPriority w:val="0"/>
    <w:rPr>
      <w:rFonts w:ascii="Calibri" w:hAnsi="Calibri" w:eastAsia="宋体" w:cs="Times New Roman"/>
      <w:b/>
      <w:bCs/>
      <w:sz w:val="24"/>
      <w:szCs w:val="24"/>
    </w:rPr>
  </w:style>
  <w:style w:type="character" w:customStyle="1" w:styleId="82">
    <w:name w:val="文一 Char"/>
    <w:link w:val="83"/>
    <w:qFormat/>
    <w:uiPriority w:val="0"/>
    <w:rPr>
      <w:rFonts w:ascii="等线" w:hAnsi="等线" w:eastAsia="宋体" w:cs="Times New Roman"/>
      <w:snapToGrid/>
      <w:spacing w:val="4"/>
      <w:sz w:val="24"/>
      <w:szCs w:val="24"/>
    </w:rPr>
  </w:style>
  <w:style w:type="paragraph" w:customStyle="1" w:styleId="83">
    <w:name w:val="文一"/>
    <w:basedOn w:val="1"/>
    <w:link w:val="82"/>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84">
    <w:name w:val="尾注文本 字符"/>
    <w:qFormat/>
    <w:uiPriority w:val="0"/>
    <w:rPr>
      <w:rFonts w:ascii="Calibri" w:hAnsi="Calibri" w:eastAsia="宋体" w:cs="Times New Roman"/>
    </w:rPr>
  </w:style>
  <w:style w:type="character" w:customStyle="1" w:styleId="85">
    <w:name w:val="标题 8 字符"/>
    <w:qFormat/>
    <w:uiPriority w:val="0"/>
    <w:rPr>
      <w:rFonts w:ascii="等线 Light" w:hAnsi="等线 Light" w:eastAsia="等线 Light" w:cs="Times New Roman"/>
      <w:sz w:val="24"/>
      <w:szCs w:val="24"/>
    </w:rPr>
  </w:style>
  <w:style w:type="character" w:customStyle="1" w:styleId="86">
    <w:name w:val="正文文本缩进 2 字符"/>
    <w:qFormat/>
    <w:uiPriority w:val="0"/>
    <w:rPr>
      <w:rFonts w:ascii="Calibri" w:hAnsi="Calibri" w:eastAsia="宋体" w:cs="Times New Roman"/>
    </w:rPr>
  </w:style>
  <w:style w:type="character" w:customStyle="1" w:styleId="87">
    <w:name w:val="正文文本缩进 3 字符"/>
    <w:qFormat/>
    <w:uiPriority w:val="0"/>
    <w:rPr>
      <w:rFonts w:ascii="Calibri" w:hAnsi="Calibri" w:eastAsia="宋体" w:cs="Times New Roman"/>
      <w:sz w:val="16"/>
      <w:szCs w:val="16"/>
    </w:rPr>
  </w:style>
  <w:style w:type="character" w:customStyle="1" w:styleId="88">
    <w:name w:val="font21"/>
    <w:qFormat/>
    <w:uiPriority w:val="0"/>
    <w:rPr>
      <w:rFonts w:hint="eastAsia" w:ascii="仿宋" w:hAnsi="仿宋" w:eastAsia="仿宋" w:cs="仿宋"/>
      <w:color w:val="000000"/>
      <w:sz w:val="28"/>
      <w:szCs w:val="28"/>
      <w:u w:val="none"/>
    </w:rPr>
  </w:style>
  <w:style w:type="character" w:customStyle="1" w:styleId="89">
    <w:name w:val="页脚 字符"/>
    <w:qFormat/>
    <w:uiPriority w:val="0"/>
    <w:rPr>
      <w:rFonts w:ascii="Calibri" w:hAnsi="Calibri" w:eastAsia="宋体" w:cs="Times New Roman"/>
      <w:sz w:val="18"/>
      <w:szCs w:val="18"/>
    </w:rPr>
  </w:style>
  <w:style w:type="character" w:customStyle="1" w:styleId="90">
    <w:name w:val="未处理的提及1"/>
    <w:qFormat/>
    <w:uiPriority w:val="0"/>
    <w:rPr>
      <w:rFonts w:ascii="等线" w:hAnsi="等线" w:eastAsia="等线" w:cs="Times New Roman"/>
      <w:color w:val="605E5C"/>
      <w:shd w:val="clear" w:color="auto" w:fill="E1DFDD"/>
    </w:rPr>
  </w:style>
  <w:style w:type="character" w:customStyle="1" w:styleId="91">
    <w:name w:val="正文首行缩进 字符"/>
    <w:qFormat/>
    <w:uiPriority w:val="0"/>
    <w:rPr>
      <w:rFonts w:ascii="等线" w:hAnsi="等线" w:eastAsia="等线" w:cs="Times New Roman"/>
    </w:rPr>
  </w:style>
  <w:style w:type="character" w:customStyle="1" w:styleId="92">
    <w:name w:val="正文文本缩进 2 Char1"/>
    <w:qFormat/>
    <w:uiPriority w:val="0"/>
    <w:rPr>
      <w:rFonts w:ascii="等线" w:hAnsi="等线" w:eastAsia="等线" w:cs="Times New Roman"/>
    </w:rPr>
  </w:style>
  <w:style w:type="character" w:customStyle="1" w:styleId="93">
    <w:name w:val="font31"/>
    <w:qFormat/>
    <w:uiPriority w:val="0"/>
    <w:rPr>
      <w:rFonts w:hint="eastAsia" w:ascii="仿宋" w:hAnsi="仿宋" w:eastAsia="仿宋" w:cs="仿宋"/>
      <w:b/>
      <w:color w:val="000000"/>
      <w:sz w:val="28"/>
      <w:szCs w:val="28"/>
      <w:u w:val="none"/>
    </w:rPr>
  </w:style>
  <w:style w:type="character" w:customStyle="1" w:styleId="94">
    <w:name w:val="正文首行缩进 Char1"/>
    <w:qFormat/>
    <w:uiPriority w:val="0"/>
    <w:rPr>
      <w:rFonts w:ascii="等线" w:hAnsi="等线" w:eastAsia="宋体" w:cs="Times New Roman"/>
      <w:kern w:val="2"/>
      <w:sz w:val="21"/>
      <w:lang w:val="en-US" w:eastAsia="zh-CN" w:bidi="ar-SA"/>
    </w:rPr>
  </w:style>
  <w:style w:type="character" w:customStyle="1" w:styleId="95">
    <w:name w:val="批注文字 Char2"/>
    <w:qFormat/>
    <w:uiPriority w:val="0"/>
    <w:rPr>
      <w:rFonts w:ascii="等线" w:hAnsi="等线" w:eastAsia="等线" w:cs="Times New Roman"/>
    </w:rPr>
  </w:style>
  <w:style w:type="character" w:customStyle="1" w:styleId="96">
    <w:name w:val="标题 9 字符"/>
    <w:qFormat/>
    <w:uiPriority w:val="0"/>
    <w:rPr>
      <w:rFonts w:ascii="等线 Light" w:hAnsi="等线 Light" w:eastAsia="等线 Light" w:cs="Times New Roman"/>
      <w:szCs w:val="21"/>
    </w:rPr>
  </w:style>
  <w:style w:type="character" w:customStyle="1" w:styleId="97">
    <w:name w:val="批注文字 字符"/>
    <w:qFormat/>
    <w:uiPriority w:val="0"/>
    <w:rPr>
      <w:rFonts w:ascii="Calibri" w:hAnsi="Calibri" w:eastAsia="宋体" w:cs="Times New Roman"/>
    </w:rPr>
  </w:style>
  <w:style w:type="character" w:customStyle="1" w:styleId="98">
    <w:name w:val="标题 3 字符"/>
    <w:qFormat/>
    <w:uiPriority w:val="0"/>
    <w:rPr>
      <w:rFonts w:ascii="Calibri" w:hAnsi="Calibri" w:eastAsia="宋体" w:cs="Times New Roman"/>
      <w:b/>
      <w:bCs/>
      <w:sz w:val="32"/>
      <w:szCs w:val="32"/>
    </w:rPr>
  </w:style>
  <w:style w:type="character" w:customStyle="1" w:styleId="99">
    <w:name w:val="正文文本 字符"/>
    <w:qFormat/>
    <w:uiPriority w:val="0"/>
    <w:rPr>
      <w:rFonts w:ascii="Calibri" w:hAnsi="Calibri" w:eastAsia="宋体" w:cs="Times New Roman"/>
    </w:rPr>
  </w:style>
  <w:style w:type="character" w:customStyle="1" w:styleId="100">
    <w:name w:val="标题 6 字符"/>
    <w:qFormat/>
    <w:uiPriority w:val="0"/>
    <w:rPr>
      <w:rFonts w:ascii="等线 Light" w:hAnsi="等线 Light" w:eastAsia="等线 Light" w:cs="Times New Roman"/>
      <w:b/>
      <w:bCs/>
      <w:sz w:val="24"/>
      <w:szCs w:val="24"/>
    </w:rPr>
  </w:style>
  <w:style w:type="character" w:customStyle="1" w:styleId="101">
    <w:name w:val="正文文本 2 字符"/>
    <w:qFormat/>
    <w:uiPriority w:val="0"/>
    <w:rPr>
      <w:rFonts w:ascii="Calibri" w:hAnsi="Calibri" w:eastAsia="宋体" w:cs="Times New Roman"/>
    </w:rPr>
  </w:style>
  <w:style w:type="character" w:customStyle="1" w:styleId="102">
    <w:name w:val="页眉 字符"/>
    <w:qFormat/>
    <w:uiPriority w:val="0"/>
    <w:rPr>
      <w:rFonts w:ascii="Calibri" w:hAnsi="Calibri" w:eastAsia="宋体" w:cs="Times New Roman"/>
      <w:sz w:val="18"/>
      <w:szCs w:val="18"/>
    </w:rPr>
  </w:style>
  <w:style w:type="character" w:customStyle="1" w:styleId="103">
    <w:name w:val="日期 字符"/>
    <w:qFormat/>
    <w:uiPriority w:val="0"/>
    <w:rPr>
      <w:rFonts w:ascii="Calibri" w:hAnsi="Calibri" w:eastAsia="宋体" w:cs="Times New Roman"/>
    </w:rPr>
  </w:style>
  <w:style w:type="character" w:customStyle="1" w:styleId="104">
    <w:name w:val="脚注文本 字符"/>
    <w:qFormat/>
    <w:uiPriority w:val="0"/>
    <w:rPr>
      <w:rFonts w:ascii="Calibri" w:hAnsi="Calibri" w:eastAsia="宋体" w:cs="Times New Roman"/>
      <w:sz w:val="18"/>
      <w:szCs w:val="18"/>
    </w:rPr>
  </w:style>
  <w:style w:type="character" w:customStyle="1" w:styleId="105">
    <w:name w:val="标题 1 字符"/>
    <w:qFormat/>
    <w:uiPriority w:val="0"/>
    <w:rPr>
      <w:rFonts w:ascii="Calibri" w:hAnsi="Calibri" w:eastAsia="宋体" w:cs="Times New Roman"/>
      <w:b/>
      <w:bCs/>
      <w:kern w:val="44"/>
      <w:sz w:val="44"/>
      <w:szCs w:val="44"/>
    </w:rPr>
  </w:style>
  <w:style w:type="character" w:customStyle="1" w:styleId="106">
    <w:name w:val="批注文字 Char1"/>
    <w:qFormat/>
    <w:uiPriority w:val="0"/>
    <w:rPr>
      <w:rFonts w:ascii="仿宋_GB2312" w:hAnsi="等线" w:eastAsia="宋体" w:cs="Times New Roman"/>
      <w:kern w:val="2"/>
      <w:sz w:val="21"/>
      <w:szCs w:val="32"/>
      <w:lang w:val="en-US" w:eastAsia="zh-CN" w:bidi="ar-SA"/>
    </w:rPr>
  </w:style>
  <w:style w:type="character" w:customStyle="1" w:styleId="107">
    <w:name w:val="标题 字符"/>
    <w:qFormat/>
    <w:uiPriority w:val="0"/>
    <w:rPr>
      <w:rFonts w:ascii="等线 Light" w:hAnsi="等线 Light" w:eastAsia="等线 Light" w:cs="Times New Roman"/>
      <w:b/>
      <w:bCs/>
      <w:sz w:val="32"/>
      <w:szCs w:val="32"/>
    </w:rPr>
  </w:style>
  <w:style w:type="character" w:customStyle="1" w:styleId="108">
    <w:name w:val="文档结构图 字符"/>
    <w:qFormat/>
    <w:uiPriority w:val="0"/>
    <w:rPr>
      <w:rFonts w:ascii="Microsoft YaHei UI" w:hAnsi="Calibri" w:eastAsia="Microsoft YaHei UI" w:cs="Times New Roman"/>
      <w:sz w:val="18"/>
      <w:szCs w:val="18"/>
    </w:rPr>
  </w:style>
  <w:style w:type="character" w:customStyle="1" w:styleId="109">
    <w:name w:val="NormalCharacter"/>
    <w:qFormat/>
    <w:uiPriority w:val="0"/>
  </w:style>
  <w:style w:type="character" w:customStyle="1" w:styleId="110">
    <w:name w:val="标题 2 字符"/>
    <w:qFormat/>
    <w:uiPriority w:val="0"/>
    <w:rPr>
      <w:rFonts w:ascii="等线 Light" w:hAnsi="等线 Light" w:eastAsia="等线 Light" w:cs="Times New Roman"/>
      <w:b/>
      <w:bCs/>
      <w:sz w:val="32"/>
      <w:szCs w:val="32"/>
    </w:rPr>
  </w:style>
  <w:style w:type="character" w:customStyle="1" w:styleId="111">
    <w:name w:val="批注框文本 Char3"/>
    <w:qFormat/>
    <w:uiPriority w:val="0"/>
    <w:rPr>
      <w:rFonts w:ascii="等线" w:hAnsi="等线" w:eastAsia="等线" w:cs="Times New Roman"/>
      <w:sz w:val="18"/>
      <w:szCs w:val="18"/>
      <w:lang w:eastAsia="en-US" w:bidi="en-US"/>
    </w:rPr>
  </w:style>
  <w:style w:type="character" w:customStyle="1" w:styleId="112">
    <w:name w:val="纯文本 字符"/>
    <w:qFormat/>
    <w:uiPriority w:val="0"/>
    <w:rPr>
      <w:rFonts w:ascii="等线" w:hAnsi="Courier New" w:eastAsia="等线" w:cs="Courier New"/>
    </w:rPr>
  </w:style>
  <w:style w:type="character" w:customStyle="1" w:styleId="113">
    <w:name w:val="批注主题 字符"/>
    <w:qFormat/>
    <w:uiPriority w:val="0"/>
    <w:rPr>
      <w:rFonts w:ascii="Calibri" w:hAnsi="Calibri" w:eastAsia="宋体" w:cs="Times New Roman"/>
      <w:b/>
      <w:bCs/>
    </w:rPr>
  </w:style>
  <w:style w:type="character" w:customStyle="1" w:styleId="114">
    <w:name w:val="副标题 Char1"/>
    <w:qFormat/>
    <w:uiPriority w:val="0"/>
    <w:rPr>
      <w:rFonts w:ascii="Cambria" w:hAnsi="Cambria" w:eastAsia="宋体" w:cs="Times New Roman"/>
      <w:b/>
      <w:bCs/>
      <w:kern w:val="28"/>
      <w:sz w:val="32"/>
      <w:szCs w:val="32"/>
    </w:rPr>
  </w:style>
  <w:style w:type="character" w:customStyle="1" w:styleId="115">
    <w:name w:val="s2"/>
    <w:qFormat/>
    <w:uiPriority w:val="0"/>
  </w:style>
  <w:style w:type="character" w:customStyle="1" w:styleId="116">
    <w:name w:val="正文文本缩进 字符"/>
    <w:qFormat/>
    <w:uiPriority w:val="0"/>
    <w:rPr>
      <w:rFonts w:ascii="Calibri" w:hAnsi="Calibri" w:eastAsia="宋体" w:cs="Times New Roman"/>
    </w:rPr>
  </w:style>
  <w:style w:type="character" w:customStyle="1" w:styleId="117">
    <w:name w:val="标题 5 字符"/>
    <w:qFormat/>
    <w:uiPriority w:val="0"/>
    <w:rPr>
      <w:rFonts w:ascii="Calibri" w:hAnsi="Calibri" w:eastAsia="宋体" w:cs="Times New Roman"/>
      <w:b/>
      <w:bCs/>
      <w:sz w:val="28"/>
      <w:szCs w:val="28"/>
    </w:rPr>
  </w:style>
  <w:style w:type="character" w:customStyle="1" w:styleId="118">
    <w:name w:val="批注框文本 字符"/>
    <w:qFormat/>
    <w:uiPriority w:val="0"/>
    <w:rPr>
      <w:rFonts w:ascii="Calibri" w:hAnsi="Calibri" w:eastAsia="宋体" w:cs="Times New Roman"/>
      <w:sz w:val="18"/>
      <w:szCs w:val="18"/>
    </w:rPr>
  </w:style>
  <w:style w:type="paragraph" w:customStyle="1" w:styleId="119">
    <w:name w:val="封二"/>
    <w:basedOn w:val="83"/>
    <w:next w:val="83"/>
    <w:qFormat/>
    <w:uiPriority w:val="0"/>
    <w:pPr>
      <w:ind w:firstLine="0" w:firstLineChars="0"/>
      <w:jc w:val="center"/>
    </w:pPr>
    <w:rPr>
      <w:rFonts w:eastAsia="黑体"/>
      <w:b/>
      <w:sz w:val="36"/>
      <w:szCs w:val="36"/>
    </w:rPr>
  </w:style>
  <w:style w:type="paragraph" w:customStyle="1" w:styleId="120">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121">
    <w:name w:val="封四"/>
    <w:basedOn w:val="83"/>
    <w:next w:val="83"/>
    <w:qFormat/>
    <w:uiPriority w:val="0"/>
    <w:pPr>
      <w:jc w:val="left"/>
    </w:pPr>
    <w:rPr>
      <w:rFonts w:eastAsia="等线"/>
      <w:sz w:val="30"/>
      <w:szCs w:val="30"/>
    </w:rPr>
  </w:style>
  <w:style w:type="paragraph" w:customStyle="1" w:styleId="122">
    <w:name w:val="公文抬头"/>
    <w:basedOn w:val="5"/>
    <w:qFormat/>
    <w:uiPriority w:val="0"/>
    <w:pPr>
      <w:ind w:firstLine="0"/>
    </w:pPr>
    <w:rPr>
      <w:rFonts w:ascii="仿宋_GB2312" w:hAnsi="等线" w:eastAsia="仿宋_GB2312"/>
      <w:sz w:val="30"/>
      <w:szCs w:val="24"/>
    </w:rPr>
  </w:style>
  <w:style w:type="paragraph" w:customStyle="1" w:styleId="123">
    <w:name w:val="_Style 25"/>
    <w:basedOn w:val="1"/>
    <w:next w:val="1"/>
    <w:qFormat/>
    <w:uiPriority w:val="0"/>
    <w:rPr>
      <w:rFonts w:ascii="等线" w:hAnsi="等线" w:eastAsia="等线"/>
    </w:rPr>
  </w:style>
  <w:style w:type="paragraph" w:customStyle="1" w:styleId="124">
    <w:name w:val="表头"/>
    <w:basedOn w:val="1"/>
    <w:qFormat/>
    <w:uiPriority w:val="0"/>
    <w:pPr>
      <w:spacing w:line="360" w:lineRule="auto"/>
      <w:jc w:val="center"/>
    </w:pPr>
    <w:rPr>
      <w:rFonts w:ascii="黑体" w:eastAsia="黑体"/>
      <w:kern w:val="0"/>
      <w:sz w:val="24"/>
      <w:szCs w:val="20"/>
    </w:rPr>
  </w:style>
  <w:style w:type="paragraph" w:customStyle="1" w:styleId="125">
    <w:name w:val="章节三"/>
    <w:basedOn w:val="83"/>
    <w:next w:val="83"/>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6">
    <w:name w:val="正题"/>
    <w:basedOn w:val="83"/>
    <w:next w:val="83"/>
    <w:qFormat/>
    <w:uiPriority w:val="0"/>
    <w:pPr>
      <w:ind w:firstLine="0" w:firstLineChars="0"/>
      <w:jc w:val="center"/>
    </w:pPr>
    <w:rPr>
      <w:rFonts w:eastAsia="黑体"/>
      <w:b/>
      <w:sz w:val="36"/>
      <w:szCs w:val="36"/>
    </w:rPr>
  </w:style>
  <w:style w:type="paragraph" w:customStyle="1" w:styleId="127">
    <w:name w:val="Char1"/>
    <w:basedOn w:val="1"/>
    <w:qFormat/>
    <w:uiPriority w:val="0"/>
    <w:pPr>
      <w:numPr>
        <w:ilvl w:val="0"/>
        <w:numId w:val="1"/>
      </w:numPr>
    </w:pPr>
    <w:rPr>
      <w:rFonts w:eastAsia="等线"/>
      <w:sz w:val="24"/>
      <w:szCs w:val="24"/>
    </w:rPr>
  </w:style>
  <w:style w:type="paragraph" w:customStyle="1" w:styleId="128">
    <w:name w:val="Char Char Char1 Char"/>
    <w:basedOn w:val="13"/>
    <w:qFormat/>
    <w:uiPriority w:val="0"/>
    <w:rPr>
      <w:rFonts w:ascii="Tahoma" w:hAnsi="Tahoma" w:eastAsia="等线"/>
      <w:sz w:val="24"/>
      <w:szCs w:val="24"/>
    </w:rPr>
  </w:style>
  <w:style w:type="paragraph" w:customStyle="1" w:styleId="129">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30">
    <w:name w:val="tab.txt"/>
    <w:basedOn w:val="1"/>
    <w:qFormat/>
    <w:uiPriority w:val="0"/>
    <w:pPr>
      <w:widowControl/>
      <w:jc w:val="left"/>
    </w:pPr>
    <w:rPr>
      <w:rFonts w:ascii="Arial" w:hAnsi="Arial" w:eastAsia="等线"/>
      <w:kern w:val="0"/>
      <w:sz w:val="18"/>
      <w:szCs w:val="20"/>
      <w:lang w:val="en-GB" w:eastAsia="fr-FR"/>
    </w:rPr>
  </w:style>
  <w:style w:type="paragraph" w:customStyle="1" w:styleId="131">
    <w:name w:val="文二"/>
    <w:basedOn w:val="1"/>
    <w:qFormat/>
    <w:uiPriority w:val="0"/>
    <w:pPr>
      <w:jc w:val="left"/>
    </w:pPr>
    <w:rPr>
      <w:rFonts w:ascii="宋体" w:hAnsi="宋体" w:eastAsia="等线"/>
      <w:szCs w:val="21"/>
    </w:rPr>
  </w:style>
  <w:style w:type="paragraph" w:styleId="132">
    <w:name w:val="List Paragraph"/>
    <w:basedOn w:val="1"/>
    <w:qFormat/>
    <w:uiPriority w:val="0"/>
    <w:pPr>
      <w:ind w:firstLine="420" w:firstLineChars="200"/>
    </w:pPr>
    <w:rPr>
      <w:rFonts w:eastAsia="等线"/>
      <w:szCs w:val="20"/>
    </w:rPr>
  </w:style>
  <w:style w:type="paragraph" w:customStyle="1" w:styleId="133">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4">
    <w:name w:val="章节二"/>
    <w:basedOn w:val="1"/>
    <w:next w:val="1"/>
    <w:qFormat/>
    <w:uiPriority w:val="0"/>
    <w:pPr>
      <w:topLinePunct/>
      <w:adjustRightInd w:val="0"/>
      <w:snapToGrid w:val="0"/>
      <w:spacing w:beforeLines="50" w:afterLines="50"/>
      <w:jc w:val="center"/>
      <w:outlineLvl w:val="1"/>
    </w:pPr>
    <w:rPr>
      <w:rFonts w:ascii="等线" w:hAnsi="等线" w:eastAsia="黑体"/>
      <w:b/>
      <w:snapToGrid w:val="0"/>
      <w:spacing w:val="4"/>
      <w:kern w:val="0"/>
      <w:sz w:val="30"/>
      <w:szCs w:val="30"/>
    </w:rPr>
  </w:style>
  <w:style w:type="paragraph" w:customStyle="1" w:styleId="135">
    <w:name w:val="Char"/>
    <w:basedOn w:val="1"/>
    <w:qFormat/>
    <w:uiPriority w:val="0"/>
    <w:rPr>
      <w:rFonts w:ascii="Tahoma" w:hAnsi="Tahoma" w:eastAsia="等线"/>
      <w:sz w:val="24"/>
      <w:szCs w:val="20"/>
    </w:rPr>
  </w:style>
  <w:style w:type="paragraph" w:customStyle="1" w:styleId="136">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_Style 134"/>
    <w:basedOn w:val="3"/>
    <w:next w:val="1"/>
    <w:qFormat/>
    <w:uiPriority w:val="0"/>
    <w:pPr>
      <w:widowControl/>
      <w:spacing w:before="480" w:after="0" w:line="276" w:lineRule="auto"/>
      <w:outlineLvl w:val="9"/>
    </w:pPr>
    <w:rPr>
      <w:rFonts w:ascii="Cambria" w:hAnsi="Cambria" w:eastAsia="等线"/>
      <w:color w:val="365F91"/>
      <w:kern w:val="0"/>
    </w:rPr>
  </w:style>
  <w:style w:type="paragraph" w:customStyle="1" w:styleId="138">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39">
    <w:name w:val="Char Char Char Char"/>
    <w:basedOn w:val="1"/>
    <w:qFormat/>
    <w:uiPriority w:val="0"/>
    <w:rPr>
      <w:rFonts w:eastAsia="等线"/>
      <w:sz w:val="30"/>
      <w:szCs w:val="24"/>
    </w:rPr>
  </w:style>
  <w:style w:type="paragraph" w:customStyle="1" w:styleId="140">
    <w:name w:val="封一"/>
    <w:basedOn w:val="83"/>
    <w:next w:val="83"/>
    <w:qFormat/>
    <w:uiPriority w:val="0"/>
    <w:pPr>
      <w:ind w:firstLine="0" w:firstLineChars="0"/>
      <w:jc w:val="center"/>
    </w:pPr>
    <w:rPr>
      <w:rFonts w:eastAsia="黑体"/>
      <w:b/>
      <w:sz w:val="84"/>
      <w:szCs w:val="84"/>
    </w:rPr>
  </w:style>
  <w:style w:type="paragraph" w:customStyle="1" w:styleId="14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2">
    <w:name w:val="发文落款"/>
    <w:basedOn w:val="141"/>
    <w:qFormat/>
    <w:uiPriority w:val="0"/>
    <w:pPr>
      <w:ind w:left="4094" w:right="607" w:firstLine="0"/>
      <w:jc w:val="center"/>
    </w:pPr>
    <w:rPr>
      <w:rFonts w:ascii="等线" w:hAnsi="等线" w:eastAsia="等线"/>
    </w:rPr>
  </w:style>
  <w:style w:type="paragraph" w:customStyle="1" w:styleId="143">
    <w:name w:val="Char2"/>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144">
    <w:name w:val="公文标题"/>
    <w:basedOn w:val="6"/>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45">
    <w:name w:val="_Style 143"/>
    <w:qFormat/>
    <w:uiPriority w:val="0"/>
    <w:rPr>
      <w:rFonts w:ascii="Times New Roman" w:hAnsi="Times New Roman" w:eastAsia="宋体" w:cs="Times New Roman"/>
      <w:kern w:val="2"/>
      <w:sz w:val="21"/>
      <w:lang w:val="en-US" w:eastAsia="zh-CN" w:bidi="ar-SA"/>
    </w:rPr>
  </w:style>
  <w:style w:type="paragraph" w:customStyle="1" w:styleId="146">
    <w:name w:val="正文 New New"/>
    <w:basedOn w:val="1"/>
    <w:qFormat/>
    <w:uiPriority w:val="0"/>
    <w:rPr>
      <w:rFonts w:eastAsia="楷体_GB2312" w:cs="宋体"/>
      <w:szCs w:val="21"/>
    </w:rPr>
  </w:style>
  <w:style w:type="paragraph" w:customStyle="1" w:styleId="147">
    <w:name w:val="BodyText"/>
    <w:basedOn w:val="1"/>
    <w:qFormat/>
    <w:uiPriority w:val="99"/>
    <w:pPr>
      <w:spacing w:after="120"/>
    </w:pPr>
    <w:rPr>
      <w:kern w:val="0"/>
      <w:sz w:val="20"/>
      <w:szCs w:val="20"/>
    </w:rPr>
  </w:style>
  <w:style w:type="paragraph" w:customStyle="1" w:styleId="148">
    <w:name w:val="Heading2"/>
    <w:basedOn w:val="1"/>
    <w:next w:val="1"/>
    <w:qFormat/>
    <w:uiPriority w:val="0"/>
    <w:pPr>
      <w:keepNext/>
      <w:keepLines/>
      <w:spacing w:before="260" w:after="260" w:line="415" w:lineRule="auto"/>
    </w:pPr>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9EE8A-7E26-4F27-BD05-B92F058F6741}">
  <ds:schemaRefs/>
</ds:datastoreItem>
</file>

<file path=docProps/app.xml><?xml version="1.0" encoding="utf-8"?>
<Properties xmlns="http://schemas.openxmlformats.org/officeDocument/2006/extended-properties" xmlns:vt="http://schemas.openxmlformats.org/officeDocument/2006/docPropsVTypes">
  <Template>Normal</Template>
  <Pages>71</Pages>
  <Words>40833</Words>
  <Characters>43051</Characters>
  <Lines>330</Lines>
  <Paragraphs>92</Paragraphs>
  <TotalTime>21</TotalTime>
  <ScaleCrop>false</ScaleCrop>
  <LinksUpToDate>false</LinksUpToDate>
  <CharactersWithSpaces>44385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2021-11-08T02:53:00Z</dcterms:created>
  <cp:lastPrinted>2022-12-15T09:36:00Z</cp:lastPrinted>
  <dcterms:modified xsi:type="dcterms:W3CDTF">2023-10-16T06:30:12Z</dcterms:modified>
  <dc:title>良口镇良口墟微改造项目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92A55B4F177E49AB9A4ACAD157576F4E</vt:lpwstr>
  </property>
</Properties>
</file>